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40"/>
        <w:spacing w:after="0"/>
        <w:rPr>
          <w:sz w:val="20"/>
          <w:szCs w:val="20"/>
          <w:color w:val="auto"/>
        </w:rPr>
      </w:pPr>
      <w:r>
        <w:rPr>
          <w:rFonts w:ascii="Courier New" w:cs="Courier New" w:eastAsia="Courier New" w:hAnsi="Courier New"/>
          <w:sz w:val="17"/>
          <w:szCs w:val="17"/>
          <w:color w:val="auto"/>
        </w:rPr>
        <w:t>SCHEDULE 14A INFORMATION</w:t>
      </w:r>
    </w:p>
    <w:p>
      <w:pPr>
        <w:spacing w:after="0" w:line="210"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PROXY STATEMENT PURSUANT TO SECTION 14(a)</w:t>
      </w:r>
    </w:p>
    <w:p>
      <w:pPr>
        <w:spacing w:after="0" w:line="9" w:lineRule="exact"/>
        <w:rPr>
          <w:sz w:val="24"/>
          <w:szCs w:val="24"/>
          <w:color w:val="auto"/>
        </w:rPr>
      </w:pPr>
    </w:p>
    <w:p>
      <w:pPr>
        <w:ind w:left="220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20" w:type="dxa"/>
            <w:vAlign w:val="bottom"/>
          </w:tcPr>
          <w:p>
            <w:pPr>
              <w:spacing w:after="0"/>
              <w:rPr>
                <w:sz w:val="20"/>
                <w:szCs w:val="20"/>
                <w:color w:val="auto"/>
              </w:rPr>
            </w:pPr>
            <w:r>
              <w:rPr>
                <w:rFonts w:ascii="Courier New" w:cs="Courier New" w:eastAsia="Courier New" w:hAnsi="Courier New"/>
                <w:sz w:val="17"/>
                <w:szCs w:val="17"/>
                <w:color w:val="auto"/>
              </w:rPr>
              <w:t>[X]</w:t>
            </w:r>
          </w:p>
        </w:tc>
        <w:tc>
          <w:tcPr>
            <w:tcW w:w="424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Preliminary Proxy Statement</w:t>
            </w:r>
          </w:p>
        </w:tc>
        <w:tc>
          <w:tcPr>
            <w:tcW w:w="2200" w:type="dxa"/>
            <w:vAlign w:val="bottom"/>
          </w:tcPr>
          <w:p>
            <w:pPr>
              <w:ind w:left="260"/>
              <w:spacing w:after="0"/>
              <w:rPr>
                <w:sz w:val="20"/>
                <w:szCs w:val="20"/>
                <w:color w:val="auto"/>
              </w:rPr>
            </w:pPr>
            <w:r>
              <w:rPr>
                <w:rFonts w:ascii="Courier New" w:cs="Courier New" w:eastAsia="Courier New" w:hAnsi="Courier New"/>
                <w:sz w:val="17"/>
                <w:szCs w:val="17"/>
                <w:color w:val="auto"/>
              </w:rPr>
              <w:t>[ ]  Confidential,</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For Use</w:t>
            </w:r>
          </w:p>
        </w:tc>
        <w:tc>
          <w:tcPr>
            <w:tcW w:w="1840" w:type="dxa"/>
            <w:vAlign w:val="bottom"/>
          </w:tcPr>
          <w:p>
            <w:pPr>
              <w:ind w:left="60"/>
              <w:spacing w:after="0"/>
              <w:rPr>
                <w:sz w:val="20"/>
                <w:szCs w:val="20"/>
                <w:color w:val="auto"/>
              </w:rPr>
            </w:pPr>
            <w:r>
              <w:rPr>
                <w:rFonts w:ascii="Courier New" w:cs="Courier New" w:eastAsia="Courier New" w:hAnsi="Courier New"/>
                <w:sz w:val="17"/>
                <w:szCs w:val="17"/>
                <w:color w:val="auto"/>
              </w:rPr>
              <w:t>of the Commission</w:t>
            </w:r>
          </w:p>
        </w:tc>
      </w:tr>
      <w:tr>
        <w:trPr>
          <w:trHeight w:val="201"/>
        </w:trPr>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7"/>
                <w:szCs w:val="17"/>
                <w:color w:val="auto"/>
              </w:rPr>
              <w:t>Only (as permitted</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by Rule</w:t>
            </w:r>
          </w:p>
        </w:tc>
        <w:tc>
          <w:tcPr>
            <w:tcW w:w="1840" w:type="dxa"/>
            <w:vAlign w:val="bottom"/>
          </w:tcPr>
          <w:p>
            <w:pPr>
              <w:ind w:left="60"/>
              <w:spacing w:after="0"/>
              <w:rPr>
                <w:sz w:val="20"/>
                <w:szCs w:val="20"/>
                <w:color w:val="auto"/>
              </w:rPr>
            </w:pPr>
            <w:r>
              <w:rPr>
                <w:rFonts w:ascii="Courier New" w:cs="Courier New" w:eastAsia="Courier New" w:hAnsi="Courier New"/>
                <w:sz w:val="17"/>
                <w:szCs w:val="17"/>
                <w:color w:val="auto"/>
              </w:rPr>
              <w:t>14a-6(e)(2))</w:t>
            </w:r>
          </w:p>
        </w:tc>
      </w:tr>
      <w:tr>
        <w:trPr>
          <w:trHeight w:val="201"/>
        </w:trPr>
        <w:tc>
          <w:tcPr>
            <w:tcW w:w="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24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Definitive Proxy Statement</w:t>
            </w:r>
          </w:p>
        </w:tc>
        <w:tc>
          <w:tcPr>
            <w:tcW w:w="2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220" w:type="dxa"/>
            <w:vAlign w:val="bottom"/>
          </w:tcPr>
          <w:p>
            <w:pPr>
              <w:ind w:left="120"/>
              <w:spacing w:after="0"/>
              <w:rPr>
                <w:sz w:val="20"/>
                <w:szCs w:val="20"/>
                <w:color w:val="auto"/>
              </w:rPr>
            </w:pPr>
            <w:r>
              <w:rPr>
                <w:rFonts w:ascii="Courier New" w:cs="Courier New" w:eastAsia="Courier New" w:hAnsi="Courier New"/>
                <w:sz w:val="17"/>
                <w:szCs w:val="17"/>
                <w:color w:val="auto"/>
              </w:rPr>
              <w:t>Definitive</w:t>
            </w:r>
          </w:p>
        </w:tc>
        <w:tc>
          <w:tcPr>
            <w:tcW w:w="3020" w:type="dxa"/>
            <w:vAlign w:val="bottom"/>
          </w:tcPr>
          <w:p>
            <w:pPr>
              <w:ind w:left="40"/>
              <w:spacing w:after="0"/>
              <w:rPr>
                <w:sz w:val="20"/>
                <w:szCs w:val="20"/>
                <w:color w:val="auto"/>
              </w:rPr>
            </w:pPr>
            <w:r>
              <w:rPr>
                <w:rFonts w:ascii="Courier New" w:cs="Courier New" w:eastAsia="Courier New" w:hAnsi="Courier New"/>
                <w:sz w:val="17"/>
                <w:szCs w:val="17"/>
                <w:color w:val="auto"/>
              </w:rPr>
              <w:t>Additional Materials</w:t>
            </w:r>
          </w:p>
        </w:tc>
        <w:tc>
          <w:tcPr>
            <w:tcW w:w="2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220" w:type="dxa"/>
            <w:vAlign w:val="bottom"/>
          </w:tcPr>
          <w:p>
            <w:pPr>
              <w:ind w:left="120"/>
              <w:spacing w:after="0"/>
              <w:rPr>
                <w:sz w:val="20"/>
                <w:szCs w:val="20"/>
                <w:color w:val="auto"/>
              </w:rPr>
            </w:pPr>
            <w:r>
              <w:rPr>
                <w:rFonts w:ascii="Courier New" w:cs="Courier New" w:eastAsia="Courier New" w:hAnsi="Courier New"/>
                <w:sz w:val="17"/>
                <w:szCs w:val="17"/>
                <w:color w:val="auto"/>
              </w:rPr>
              <w:t>Soliciting</w:t>
            </w:r>
          </w:p>
        </w:tc>
        <w:tc>
          <w:tcPr>
            <w:tcW w:w="3020" w:type="dxa"/>
            <w:vAlign w:val="bottom"/>
          </w:tcPr>
          <w:p>
            <w:pPr>
              <w:ind w:left="40"/>
              <w:spacing w:after="0"/>
              <w:rPr>
                <w:sz w:val="20"/>
                <w:szCs w:val="20"/>
                <w:color w:val="auto"/>
              </w:rPr>
            </w:pPr>
            <w:r>
              <w:rPr>
                <w:rFonts w:ascii="Courier New" w:cs="Courier New" w:eastAsia="Courier New" w:hAnsi="Courier New"/>
                <w:sz w:val="17"/>
                <w:szCs w:val="17"/>
                <w:color w:val="auto"/>
              </w:rPr>
              <w:t>Material Under Rule 14a-12</w:t>
            </w:r>
          </w:p>
        </w:tc>
        <w:tc>
          <w:tcPr>
            <w:tcW w:w="2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00" w:lineRule="exact"/>
        <w:rPr>
          <w:sz w:val="24"/>
          <w:szCs w:val="24"/>
          <w:color w:val="auto"/>
        </w:rPr>
      </w:pPr>
    </w:p>
    <w:p>
      <w:pPr>
        <w:spacing w:after="0" w:line="207"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COMCAST CORPORATION</w:t>
      </w:r>
    </w:p>
    <w:p>
      <w:pPr>
        <w:spacing w:after="0" w:line="9" w:lineRule="exact"/>
        <w:rPr>
          <w:sz w:val="24"/>
          <w:szCs w:val="24"/>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6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Registrant as Specified In Its Charter)</w:t>
      </w:r>
    </w:p>
    <w:p>
      <w:pPr>
        <w:spacing w:after="0" w:line="210"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Person(s) Filing Proxy Statement, if other than the Registrant)</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10" w:lineRule="exact"/>
        <w:rPr>
          <w:sz w:val="24"/>
          <w:szCs w:val="24"/>
          <w:color w:val="auto"/>
        </w:rPr>
      </w:pPr>
    </w:p>
    <w:p>
      <w:pPr>
        <w:ind w:left="540" w:hanging="533"/>
        <w:spacing w:after="0"/>
        <w:tabs>
          <w:tab w:leader="none" w:pos="5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spacing w:after="0" w:line="210" w:lineRule="exact"/>
        <w:rPr>
          <w:sz w:val="24"/>
          <w:szCs w:val="24"/>
          <w:color w:val="auto"/>
        </w:rPr>
      </w:pPr>
    </w:p>
    <w:p>
      <w:pPr>
        <w:ind w:left="220" w:hanging="213"/>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14a-6(i)(1) and 0-11.</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210"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210"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1060" w:right="1939" w:hanging="529"/>
        <w:spacing w:after="0" w:line="254" w:lineRule="auto"/>
        <w:tabs>
          <w:tab w:leader="none" w:pos="106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4"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left="1060" w:hanging="529"/>
        <w:spacing w:after="0"/>
        <w:tabs>
          <w:tab w:leader="none" w:pos="10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210"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210"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 ]</w:t>
        <w:tab/>
        <w:t>Fee paid previously with preliminary materials.</w:t>
      </w:r>
    </w:p>
    <w:p>
      <w:pPr>
        <w:spacing w:after="0" w:line="210" w:lineRule="exact"/>
        <w:rPr>
          <w:sz w:val="24"/>
          <w:szCs w:val="24"/>
          <w:color w:val="auto"/>
        </w:rPr>
      </w:pPr>
    </w:p>
    <w:p>
      <w:pPr>
        <w:ind w:left="220" w:hanging="213"/>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w:t>
      </w:r>
    </w:p>
    <w:p>
      <w:pPr>
        <w:spacing w:after="0" w:line="8" w:lineRule="exact"/>
        <w:rPr>
          <w:rFonts w:ascii="Courier New" w:cs="Courier New" w:eastAsia="Courier New" w:hAnsi="Courier New"/>
          <w:sz w:val="17"/>
          <w:szCs w:val="17"/>
          <w:color w:val="auto"/>
        </w:rPr>
      </w:pPr>
    </w:p>
    <w:p>
      <w:pPr>
        <w:ind w:left="540" w:right="19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0-11(a)(2) and identify the filing for which the offsetting fee was paid previously. Identify the previous filing by registration statement number, or the form or schedule and the date of its filing.</w:t>
      </w:r>
    </w:p>
    <w:p>
      <w:pPr>
        <w:spacing w:after="0" w:line="194" w:lineRule="exact"/>
        <w:rPr>
          <w:rFonts w:ascii="Courier New" w:cs="Courier New" w:eastAsia="Courier New" w:hAnsi="Courier New"/>
          <w:sz w:val="17"/>
          <w:szCs w:val="17"/>
          <w:color w:val="auto"/>
        </w:rPr>
      </w:pPr>
    </w:p>
    <w:p>
      <w:pPr>
        <w:ind w:left="1060" w:hanging="529"/>
        <w:spacing w:after="0"/>
        <w:tabs>
          <w:tab w:leader="none" w:pos="106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8"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8"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8"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8"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652" w:right="1440" w:bottom="927" w:gutter="0" w:footer="0" w:header="0"/>
        </w:sectPr>
      </w:pPr>
    </w:p>
    <w:bookmarkStart w:id="1" w:name="page2"/>
    <w:bookmarkEnd w:id="1"/>
    <w:p>
      <w:pPr>
        <w:ind w:left="840"/>
        <w:spacing w:after="0"/>
        <w:rPr>
          <w:sz w:val="20"/>
          <w:szCs w:val="20"/>
          <w:color w:val="auto"/>
        </w:rPr>
      </w:pPr>
      <w:r>
        <w:rPr>
          <w:rFonts w:ascii="Courier New" w:cs="Courier New" w:eastAsia="Courier New" w:hAnsi="Courier New"/>
          <w:sz w:val="17"/>
          <w:szCs w:val="17"/>
          <w:color w:val="auto"/>
        </w:rPr>
        <w:t>PRELIMINARY DRAFT DATED FEBRUARY 11, 2002,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0360" w:val="left"/>
        </w:tabs>
        <w:rPr>
          <w:sz w:val="20"/>
          <w:szCs w:val="20"/>
          <w:color w:val="auto"/>
        </w:rPr>
      </w:pPr>
      <w:r>
        <w:rPr>
          <w:rFonts w:ascii="Courier New" w:cs="Courier New" w:eastAsia="Courier New" w:hAnsi="Courier New"/>
          <w:sz w:val="17"/>
          <w:szCs w:val="17"/>
          <w:color w:val="auto"/>
        </w:rPr>
        <w:t>[COMCAST LOGO]</w:t>
      </w:r>
      <w:r>
        <w:rPr>
          <w:sz w:val="20"/>
          <w:szCs w:val="20"/>
          <w:color w:val="auto"/>
        </w:rPr>
        <w:tab/>
      </w:r>
      <w:r>
        <w:rPr>
          <w:rFonts w:ascii="Courier New" w:cs="Courier New" w:eastAsia="Courier New" w:hAnsi="Courier New"/>
          <w:sz w:val="17"/>
          <w:szCs w:val="17"/>
          <w:color w:val="auto"/>
        </w:rPr>
        <w:t>[AT&amp;T LOGO]</w:t>
      </w:r>
    </w:p>
    <w:p>
      <w:pPr>
        <w:spacing w:after="0" w:line="200" w:lineRule="exact"/>
        <w:rPr>
          <w:sz w:val="20"/>
          <w:szCs w:val="20"/>
          <w:color w:val="auto"/>
        </w:rPr>
      </w:pPr>
    </w:p>
    <w:p>
      <w:pPr>
        <w:spacing w:after="0" w:line="212"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A MERGER PROPOSAL -- YOUR VOTE IS VERY IMPORTANT</w:t>
      </w:r>
    </w:p>
    <w:p>
      <w:pPr>
        <w:spacing w:after="0" w:line="210" w:lineRule="exact"/>
        <w:rPr>
          <w:sz w:val="20"/>
          <w:szCs w:val="20"/>
          <w:color w:val="auto"/>
        </w:rPr>
      </w:pPr>
    </w:p>
    <w:p>
      <w:pPr>
        <w:ind w:right="3140" w:firstLine="524"/>
        <w:spacing w:after="0" w:line="251" w:lineRule="auto"/>
        <w:rPr>
          <w:sz w:val="20"/>
          <w:szCs w:val="20"/>
          <w:color w:val="auto"/>
        </w:rPr>
      </w:pPr>
      <w:r>
        <w:rPr>
          <w:rFonts w:ascii="Courier New" w:cs="Courier New" w:eastAsia="Courier New" w:hAnsi="Courier New"/>
          <w:sz w:val="17"/>
          <w:szCs w:val="17"/>
          <w:color w:val="auto"/>
        </w:rPr>
        <w:t>Comcast and AT&amp;T have agreed to combine Comcast and AT&amp;T's broadband business. As a result, AT&amp;T shareholders will have shares of both AT&amp;T and the new corporation -- AT&amp;T Comcast. We are proposing the transaction because we believe the combination of Comcast and AT&amp;T Broadband will create the world's premier broadband communications company. The new corporation will be named AT&amp;T Comcast Corporation and will be headquartered in Philadelphia.</w:t>
      </w:r>
    </w:p>
    <w:p>
      <w:pPr>
        <w:ind w:left="540"/>
        <w:spacing w:after="0"/>
        <w:rPr>
          <w:sz w:val="20"/>
          <w:szCs w:val="20"/>
          <w:color w:val="auto"/>
        </w:rPr>
      </w:pPr>
      <w:r>
        <w:rPr>
          <w:rFonts w:ascii="Courier New" w:cs="Courier New" w:eastAsia="Courier New" w:hAnsi="Courier New"/>
          <w:sz w:val="17"/>
          <w:szCs w:val="17"/>
          <w:color w:val="auto"/>
        </w:rPr>
        <w:t>When the transaction is completed,</w:t>
      </w:r>
    </w:p>
    <w:p>
      <w:pPr>
        <w:spacing w:after="0" w:line="9" w:lineRule="exact"/>
        <w:rPr>
          <w:sz w:val="20"/>
          <w:szCs w:val="20"/>
          <w:color w:val="auto"/>
        </w:rPr>
      </w:pPr>
    </w:p>
    <w:p>
      <w:pPr>
        <w:ind w:left="740" w:right="3340" w:hanging="209"/>
        <w:spacing w:after="0" w:line="251" w:lineRule="auto"/>
        <w:tabs>
          <w:tab w:leader="none" w:pos="7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shareholders will receive one share of a corresponding class of AT&amp;T Comcast common stock in exchange for each Comcast share they own; and</w:t>
      </w:r>
    </w:p>
    <w:p>
      <w:pPr>
        <w:ind w:left="740" w:right="3240" w:hanging="209"/>
        <w:spacing w:after="0" w:line="251" w:lineRule="auto"/>
        <w:tabs>
          <w:tab w:leader="none" w:pos="7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shareholders will receive a number of shares of AT&amp;T Comcast common stock determined pursuant to a formula described in this joint proxy statement/prospectus for each AT&amp;T share they own. If the AT&amp;T exchange ratio were determined as of the date of this joint proxy statement/prospectus, each AT&amp;T shareholder would receive approximately</w:t>
      </w:r>
    </w:p>
    <w:p>
      <w:pPr>
        <w:ind w:left="740" w:right="3140" w:firstLine="524"/>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a share of AT&amp;T Comcast common stock for each of their AT&amp;T shares. AT&amp;T shareholders will also continue to hold their shares of AT&amp;T common stock.</w:t>
      </w:r>
    </w:p>
    <w:p>
      <w:pPr>
        <w:spacing w:after="0" w:line="194" w:lineRule="exact"/>
        <w:rPr>
          <w:sz w:val="20"/>
          <w:szCs w:val="20"/>
          <w:color w:val="auto"/>
        </w:rPr>
      </w:pPr>
    </w:p>
    <w:p>
      <w:pPr>
        <w:ind w:left="740" w:right="3140" w:hanging="209"/>
        <w:spacing w:after="0" w:line="251" w:lineRule="auto"/>
        <w:tabs>
          <w:tab w:leader="none" w:pos="7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shareholders will own [ ]% of AT&amp;T Comcast's economic interest and, depending upon which of two alternative capital structures described</w:t>
      </w:r>
    </w:p>
    <w:tbl>
      <w:tblPr>
        <w:tblLayout w:type="fixed"/>
        <w:tblInd w:w="540" w:type="dxa"/>
        <w:tblCellMar>
          <w:top w:w="0" w:type="dxa"/>
          <w:left w:w="0" w:type="dxa"/>
          <w:bottom w:w="0" w:type="dxa"/>
          <w:right w:w="0" w:type="dxa"/>
        </w:tblCellMar>
      </w:tblPr>
      <w:tr>
        <w:trPr>
          <w:trHeight w:val="197"/>
        </w:trPr>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in</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this</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joint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proxy</w:t>
            </w:r>
          </w:p>
        </w:tc>
        <w:tc>
          <w:tcPr>
            <w:tcW w:w="38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statement/prospectus is implemented,</w:t>
            </w:r>
          </w:p>
        </w:tc>
        <w:tc>
          <w:tcPr>
            <w:tcW w:w="1160" w:type="dxa"/>
            <w:vAlign w:val="bottom"/>
          </w:tcPr>
          <w:p>
            <w:pPr>
              <w:ind w:left="60"/>
              <w:spacing w:after="0"/>
              <w:rPr>
                <w:sz w:val="20"/>
                <w:szCs w:val="20"/>
                <w:color w:val="auto"/>
              </w:rPr>
            </w:pPr>
            <w:r>
              <w:rPr>
                <w:rFonts w:ascii="Courier New" w:cs="Courier New" w:eastAsia="Courier New" w:hAnsi="Courier New"/>
                <w:sz w:val="17"/>
                <w:szCs w:val="17"/>
                <w:color w:val="auto"/>
              </w:rPr>
              <w:t>either [</w:t>
            </w: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or</w:t>
            </w:r>
          </w:p>
        </w:tc>
        <w:tc>
          <w:tcPr>
            <w:tcW w:w="5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of AT&amp;T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Comcast's</w:t>
            </w:r>
          </w:p>
        </w:tc>
        <w:tc>
          <w:tcPr>
            <w:tcW w:w="25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voting power.</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1"/>
        </w:trPr>
        <w:tc>
          <w:tcPr>
            <w:tcW w:w="1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Comcast</w:t>
            </w:r>
          </w:p>
        </w:tc>
        <w:tc>
          <w:tcPr>
            <w:tcW w:w="22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shareholders will own</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 of</w:t>
            </w:r>
          </w:p>
        </w:tc>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AT&amp;T Comcast's</w:t>
            </w:r>
          </w:p>
        </w:tc>
        <w:tc>
          <w:tcPr>
            <w:tcW w:w="1160" w:type="dxa"/>
            <w:vAlign w:val="bottom"/>
          </w:tcPr>
          <w:p>
            <w:pPr>
              <w:ind w:left="60"/>
              <w:spacing w:after="0"/>
              <w:rPr>
                <w:sz w:val="20"/>
                <w:szCs w:val="20"/>
                <w:color w:val="auto"/>
              </w:rPr>
            </w:pPr>
            <w:r>
              <w:rPr>
                <w:rFonts w:ascii="Courier New" w:cs="Courier New" w:eastAsia="Courier New" w:hAnsi="Courier New"/>
                <w:sz w:val="17"/>
                <w:szCs w:val="17"/>
                <w:color w:val="auto"/>
              </w:rPr>
              <w:t>economic</w:t>
            </w:r>
          </w:p>
        </w:tc>
        <w:tc>
          <w:tcPr>
            <w:tcW w:w="560" w:type="dxa"/>
            <w:vAlign w:val="bottom"/>
          </w:tcPr>
          <w:p>
            <w:pPr>
              <w:spacing w:after="0"/>
              <w:rPr>
                <w:sz w:val="17"/>
                <w:szCs w:val="17"/>
                <w:color w:val="auto"/>
              </w:rPr>
            </w:pPr>
          </w:p>
        </w:tc>
      </w:tr>
      <w:tr>
        <w:trPr>
          <w:trHeight w:val="201"/>
        </w:trPr>
        <w:tc>
          <w:tcPr>
            <w:tcW w:w="10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interest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and,</w:t>
            </w:r>
          </w:p>
        </w:tc>
        <w:tc>
          <w:tcPr>
            <w:tcW w:w="10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depending</w:t>
            </w:r>
          </w:p>
        </w:tc>
        <w:tc>
          <w:tcPr>
            <w:tcW w:w="18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upon which of two</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alternative</w:t>
            </w:r>
          </w:p>
        </w:tc>
        <w:tc>
          <w:tcPr>
            <w:tcW w:w="20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capital structures</w:t>
            </w:r>
          </w:p>
        </w:tc>
      </w:tr>
      <w:tr>
        <w:trPr>
          <w:trHeight w:val="201"/>
        </w:trPr>
        <w:tc>
          <w:tcPr>
            <w:tcW w:w="266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described in this joint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proxy</w:t>
            </w:r>
          </w:p>
        </w:tc>
        <w:tc>
          <w:tcPr>
            <w:tcW w:w="25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statement/prospectus is</w:t>
            </w:r>
          </w:p>
        </w:tc>
        <w:tc>
          <w:tcPr>
            <w:tcW w:w="20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implemented, either</w:t>
            </w:r>
          </w:p>
        </w:tc>
      </w:tr>
    </w:tbl>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 or []% of AT&amp;T Comcast's voting power.</w:t>
      </w:r>
    </w:p>
    <w:p>
      <w:pPr>
        <w:spacing w:after="0" w:line="8" w:lineRule="exact"/>
        <w:rPr>
          <w:sz w:val="20"/>
          <w:szCs w:val="20"/>
          <w:color w:val="auto"/>
        </w:rPr>
      </w:pPr>
    </w:p>
    <w:p>
      <w:pPr>
        <w:ind w:left="740" w:right="3140" w:hanging="209"/>
        <w:spacing w:after="0" w:line="251" w:lineRule="auto"/>
        <w:tabs>
          <w:tab w:leader="none" w:pos="7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Sural LLC, which is controlled by Brian L. Roberts, President of Comcast, and today holds approximately 86.7% of Comcast's voting power, will hold</w:t>
      </w:r>
    </w:p>
    <w:p>
      <w:pPr>
        <w:ind w:left="740" w:right="3240"/>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approximately [ ]% of AT&amp;T Comcast's voting power upon completion of the transaction.</w:t>
      </w:r>
    </w:p>
    <w:p>
      <w:pPr>
        <w:ind w:right="3240" w:firstLine="524"/>
        <w:spacing w:after="0" w:line="251" w:lineRule="auto"/>
        <w:rPr>
          <w:sz w:val="20"/>
          <w:szCs w:val="20"/>
          <w:color w:val="auto"/>
        </w:rPr>
      </w:pPr>
      <w:r>
        <w:rPr>
          <w:rFonts w:ascii="Courier New" w:cs="Courier New" w:eastAsia="Courier New" w:hAnsi="Courier New"/>
          <w:sz w:val="17"/>
          <w:szCs w:val="17"/>
          <w:color w:val="auto"/>
        </w:rPr>
        <w:t>THE BOARDS OF DIRECTORS OF BOTH COMCAST AND AT&amp;T HAVE UNANIMOUSLY APPROVED THE TRANSACTION AND RECOMMEND THAT THEIR RESPECTIVE SHAREHOLDERS VOTE FOR THE PROPOSAL TO APPROVE AND ADOPT THE MERGER AGREEMENT AND THE TRANSACTIONS CONTEMPLATED BY THE MERGER AGREEMENT. SURAL LLC HAS AGREED TO VOTE IN FAVOR OF THE TRANSACTION THEREBY ASSURING APPROVAL OF THE TRANSACTION BY THE COMCAST SHAREHOLDERS.</w:t>
      </w:r>
    </w:p>
    <w:p>
      <w:pPr>
        <w:ind w:right="3240" w:firstLine="524"/>
        <w:spacing w:after="0" w:line="251" w:lineRule="auto"/>
        <w:rPr>
          <w:sz w:val="20"/>
          <w:szCs w:val="20"/>
          <w:color w:val="auto"/>
        </w:rPr>
      </w:pPr>
      <w:r>
        <w:rPr>
          <w:rFonts w:ascii="Courier New" w:cs="Courier New" w:eastAsia="Courier New" w:hAnsi="Courier New"/>
          <w:sz w:val="17"/>
          <w:szCs w:val="17"/>
          <w:color w:val="auto"/>
        </w:rPr>
        <w:t>In addition to the merger proposal, holders of Comcast common stock are also being asked to consider a proposal that is referred to in this joint proxy statement/prospectus as the preferred structure proposal. The outcome of the vote on this proposal will determine which of the two alternative capital structures described in this joint proxy statement/prospectus is implemented upon completion of the transaction.</w:t>
      </w:r>
    </w:p>
    <w:p>
      <w:pPr>
        <w:ind w:right="3560" w:firstLine="524"/>
        <w:spacing w:after="0" w:line="251" w:lineRule="auto"/>
        <w:rPr>
          <w:sz w:val="20"/>
          <w:szCs w:val="20"/>
          <w:color w:val="auto"/>
        </w:rPr>
      </w:pPr>
      <w:r>
        <w:rPr>
          <w:rFonts w:ascii="Courier New" w:cs="Courier New" w:eastAsia="Courier New" w:hAnsi="Courier New"/>
          <w:sz w:val="17"/>
          <w:szCs w:val="17"/>
          <w:color w:val="auto"/>
        </w:rPr>
        <w:t>THE COMCAST BOARD OF DIRECTORS RECOMMENDS THAT THE COMCAST SHAREHOLDERS VOTE FOR THE PREFERRED STRUCTURE PROPOSAL.</w:t>
      </w:r>
    </w:p>
    <w:p>
      <w:pPr>
        <w:ind w:right="3240" w:firstLine="524"/>
        <w:spacing w:after="0" w:line="251" w:lineRule="auto"/>
        <w:rPr>
          <w:sz w:val="20"/>
          <w:szCs w:val="20"/>
          <w:color w:val="auto"/>
        </w:rPr>
      </w:pPr>
      <w:r>
        <w:rPr>
          <w:rFonts w:ascii="Courier New" w:cs="Courier New" w:eastAsia="Courier New" w:hAnsi="Courier New"/>
          <w:sz w:val="17"/>
          <w:szCs w:val="17"/>
          <w:color w:val="auto"/>
        </w:rPr>
        <w:t>In addition to the merger proposal, the election of directors and other matters to be considered at the AT&amp;T annual meeting, AT&amp;T shareholders are also being asked to consider a proposal to create a tracking stock that is intended to reflect the financial performance and economic value of the AT&amp;T Consumer Services business and related benefit plan proposals.</w:t>
      </w:r>
    </w:p>
    <w:p>
      <w:pPr>
        <w:ind w:right="3140" w:firstLine="524"/>
        <w:spacing w:after="0" w:line="252" w:lineRule="auto"/>
        <w:rPr>
          <w:sz w:val="20"/>
          <w:szCs w:val="20"/>
          <w:color w:val="auto"/>
        </w:rPr>
      </w:pPr>
      <w:r>
        <w:rPr>
          <w:rFonts w:ascii="Courier New" w:cs="Courier New" w:eastAsia="Courier New" w:hAnsi="Courier New"/>
          <w:sz w:val="17"/>
          <w:szCs w:val="17"/>
          <w:color w:val="auto"/>
        </w:rPr>
        <w:t>If AT&amp;T shareholders approve the proposal to create an AT&amp;T Consumer Services Group tracking stock, AT&amp;T plans to distribute some or all of the shares of AT&amp;T Consumer Services Group tracking stock to its common shareholders as a dividend later this year. AT&amp;T could, however, decide not to proceed with the proposal, or could proceed at a time or in a manner different from its current intentions.</w:t>
      </w:r>
    </w:p>
    <w:p>
      <w:pPr>
        <w:spacing w:after="0" w:line="197" w:lineRule="exact"/>
        <w:rPr>
          <w:sz w:val="20"/>
          <w:szCs w:val="20"/>
          <w:color w:val="auto"/>
        </w:rPr>
      </w:pPr>
    </w:p>
    <w:p>
      <w:pPr>
        <w:ind w:right="3240" w:firstLine="524"/>
        <w:spacing w:after="0" w:line="251" w:lineRule="auto"/>
        <w:rPr>
          <w:sz w:val="20"/>
          <w:szCs w:val="20"/>
          <w:color w:val="auto"/>
        </w:rPr>
      </w:pPr>
      <w:r>
        <w:rPr>
          <w:rFonts w:ascii="Courier New" w:cs="Courier New" w:eastAsia="Courier New" w:hAnsi="Courier New"/>
          <w:sz w:val="17"/>
          <w:szCs w:val="17"/>
          <w:color w:val="auto"/>
        </w:rPr>
        <w:t>THE AT&amp;T BOARD OF DIRECTORS RECOMMENDS THAT THE AT&amp;T SHAREHOLDERS VOTE FOR THE PROPOSAL TO CREATE AN AT&amp;T CONSUMER SERVICES GROUP TRACKING STOCK.</w:t>
      </w:r>
    </w:p>
    <w:p>
      <w:pPr>
        <w:ind w:right="3140" w:firstLine="524"/>
        <w:spacing w:after="0" w:line="254" w:lineRule="auto"/>
        <w:rPr>
          <w:sz w:val="20"/>
          <w:szCs w:val="20"/>
          <w:color w:val="auto"/>
        </w:rPr>
      </w:pPr>
      <w:r>
        <w:rPr>
          <w:rFonts w:ascii="Courier New" w:cs="Courier New" w:eastAsia="Courier New" w:hAnsi="Courier New"/>
          <w:sz w:val="17"/>
          <w:szCs w:val="17"/>
          <w:color w:val="auto"/>
        </w:rPr>
        <w:t>Information about all the proposals is contained in this joint proxy statement/prospectus. We urge you to read this joint proxy statement/prospectus, including the section describing risk factors that begins on page [I-29].</w:t>
      </w:r>
    </w:p>
    <w:p>
      <w:pPr>
        <w:sectPr>
          <w:pgSz w:w="11900" w:h="16838" w:orient="portrait"/>
          <w:cols w:equalWidth="0" w:num="1">
            <w:col w:w="11520"/>
          </w:cols>
          <w:pgMar w:left="240" w:top="719" w:right="139" w:bottom="55" w:gutter="0" w:footer="0" w:header="0"/>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Brian L. Roberts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Michael Armstrong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and Chief Executive Officer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Corp.</w:t>
      </w:r>
    </w:p>
    <w:p>
      <w:pPr>
        <w:sectPr>
          <w:pgSz w:w="11900" w:h="16838" w:orient="portrait"/>
          <w:cols w:equalWidth="0" w:num="2">
            <w:col w:w="6200" w:space="720"/>
            <w:col w:w="4600"/>
          </w:cols>
          <w:pgMar w:left="240" w:top="719" w:right="139" w:bottom="55" w:gutter="0" w:footer="0" w:header="0"/>
          <w:type w:val="continuous"/>
        </w:sectPr>
      </w:pPr>
    </w:p>
    <w:bookmarkStart w:id="2" w:name="page3"/>
    <w:bookmarkEnd w:id="2"/>
    <w:p>
      <w:pPr>
        <w:ind w:right="1839" w:firstLine="524"/>
        <w:spacing w:after="0" w:line="252" w:lineRule="auto"/>
        <w:rPr>
          <w:sz w:val="20"/>
          <w:szCs w:val="20"/>
          <w:color w:val="auto"/>
        </w:rPr>
      </w:pPr>
      <w:r>
        <w:rPr>
          <w:rFonts w:ascii="Courier New" w:cs="Courier New" w:eastAsia="Courier New" w:hAnsi="Courier New"/>
          <w:sz w:val="17"/>
          <w:szCs w:val="17"/>
          <w:color w:val="auto"/>
        </w:rPr>
        <w:t>NEITHER THE SECURITIES AND EXCHANGE COMMISSION NOR ANY STATE SECURITIES COMMISSION HAS APPROVED OR DISAPPROVED OF THE SECURITIES TO BE ISSUED IN CONNECTION WITH THE TRANSACTION OR DETERMINED IF THIS JOINT PROXY STATEMENT/PROSPECTUS IS ACCURATE OR COMPLETE. ANY REPRESENTATION TO THE CONTRARY IS A CRIMINAL OFFENSE.</w:t>
      </w:r>
    </w:p>
    <w:p>
      <w:pPr>
        <w:sectPr>
          <w:pgSz w:w="11900" w:h="16838" w:orient="portrait"/>
          <w:cols w:equalWidth="0" w:num="1">
            <w:col w:w="10219"/>
          </w:cols>
          <w:pgMar w:left="240" w:top="142" w:right="1440" w:bottom="1440" w:gutter="0" w:footer="0" w:header="0"/>
        </w:sectPr>
      </w:pPr>
    </w:p>
    <w:p>
      <w:pPr>
        <w:spacing w:after="0" w:line="197" w:lineRule="exact"/>
        <w:rPr>
          <w:sz w:val="20"/>
          <w:szCs w:val="20"/>
          <w:color w:val="auto"/>
        </w:rPr>
      </w:pPr>
    </w:p>
    <w:p>
      <w:pPr>
        <w:ind w:firstLine="524"/>
        <w:spacing w:after="0" w:line="258" w:lineRule="auto"/>
        <w:rPr>
          <w:sz w:val="20"/>
          <w:szCs w:val="20"/>
          <w:color w:val="auto"/>
        </w:rPr>
      </w:pPr>
      <w:r>
        <w:rPr>
          <w:rFonts w:ascii="Courier New" w:cs="Courier New" w:eastAsia="Courier New" w:hAnsi="Courier New"/>
          <w:sz w:val="17"/>
          <w:szCs w:val="17"/>
          <w:color w:val="auto"/>
        </w:rPr>
        <w:t>This joint proxy statement/prospectus is dated [ ], 2002, and is first being mailed to shareholders of Comcast and AT&amp;T on or about [ 2002.</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8180" w:space="0"/>
            <w:col w:w="2039"/>
          </w:cols>
          <w:pgMar w:left="240" w:top="142" w:right="1440" w:bottom="1440" w:gutter="0" w:footer="0" w:header="0"/>
          <w:type w:val="continuous"/>
        </w:sectPr>
      </w:pPr>
    </w:p>
    <w:bookmarkStart w:id="3" w:name="page4"/>
    <w:bookmarkEnd w:id="3"/>
    <w:p>
      <w:pPr>
        <w:ind w:left="3140"/>
        <w:spacing w:after="0"/>
        <w:rPr>
          <w:sz w:val="20"/>
          <w:szCs w:val="20"/>
          <w:color w:val="auto"/>
        </w:rPr>
      </w:pPr>
      <w:r>
        <w:rPr>
          <w:rFonts w:ascii="Courier New" w:cs="Courier New" w:eastAsia="Courier New" w:hAnsi="Courier New"/>
          <w:sz w:val="17"/>
          <w:szCs w:val="17"/>
          <w:color w:val="auto"/>
        </w:rPr>
        <w:t>COMCAST CORPORATION</w:t>
      </w:r>
    </w:p>
    <w:p>
      <w:pPr>
        <w:spacing w:after="0" w:line="9"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1500 MARKET STREET</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2520" w:right="4339" w:hanging="942"/>
        <w:spacing w:after="0"/>
        <w:rPr>
          <w:sz w:val="20"/>
          <w:szCs w:val="20"/>
          <w:color w:val="auto"/>
        </w:rPr>
      </w:pPr>
      <w:r>
        <w:rPr>
          <w:rFonts w:ascii="Courier New" w:cs="Courier New" w:eastAsia="Courier New" w:hAnsi="Courier New"/>
          <w:sz w:val="1"/>
          <w:szCs w:val="1"/>
          <w:color w:val="auto"/>
        </w:rPr>
        <w:t>NOTICE OF SPECIAL MEETING OF COMCAST SHAREHOLDERS TO BE HELD ON , 2002 ---------------------</w:t>
      </w:r>
    </w:p>
    <w:p>
      <w:pPr>
        <w:spacing w:after="0" w:line="200" w:lineRule="exact"/>
        <w:rPr>
          <w:sz w:val="20"/>
          <w:szCs w:val="20"/>
          <w:color w:val="auto"/>
        </w:rPr>
      </w:pPr>
    </w:p>
    <w:p>
      <w:pPr>
        <w:spacing w:after="0" w:line="203" w:lineRule="exact"/>
        <w:rPr>
          <w:sz w:val="20"/>
          <w:szCs w:val="20"/>
          <w:color w:val="auto"/>
        </w:rPr>
      </w:pPr>
    </w:p>
    <w:p>
      <w:pPr>
        <w:ind w:left="1580" w:right="1939" w:hanging="1046"/>
        <w:spacing w:after="0" w:line="251" w:lineRule="auto"/>
        <w:rPr>
          <w:sz w:val="20"/>
          <w:szCs w:val="20"/>
          <w:color w:val="auto"/>
        </w:rPr>
      </w:pPr>
      <w:r>
        <w:rPr>
          <w:rFonts w:ascii="Courier New" w:cs="Courier New" w:eastAsia="Courier New" w:hAnsi="Courier New"/>
          <w:sz w:val="17"/>
          <w:szCs w:val="17"/>
          <w:color w:val="auto"/>
        </w:rPr>
        <w:t>A special meeting of shareholders of Comcast Corporation will be held on , , 2002 at a.m. local time at [OUR OFFICES, 1500</w:t>
      </w:r>
    </w:p>
    <w:p>
      <w:pPr>
        <w:ind w:right="2459"/>
        <w:spacing w:after="0" w:line="257" w:lineRule="auto"/>
        <w:rPr>
          <w:sz w:val="20"/>
          <w:szCs w:val="20"/>
          <w:color w:val="auto"/>
        </w:rPr>
      </w:pPr>
      <w:r>
        <w:rPr>
          <w:rFonts w:ascii="Courier New" w:cs="Courier New" w:eastAsia="Courier New" w:hAnsi="Courier New"/>
          <w:sz w:val="17"/>
          <w:szCs w:val="17"/>
          <w:color w:val="auto"/>
        </w:rPr>
        <w:t>MARKET STREET, WEST TOWER, 9TH FLOOR, PHILADELPHIA, PENNSYLVANIA], for the following purposes:</w:t>
      </w:r>
    </w:p>
    <w:p>
      <w:pPr>
        <w:spacing w:after="0" w:line="192" w:lineRule="exact"/>
        <w:rPr>
          <w:sz w:val="20"/>
          <w:szCs w:val="20"/>
          <w:color w:val="auto"/>
        </w:rPr>
      </w:pPr>
    </w:p>
    <w:p>
      <w:pPr>
        <w:ind w:left="740" w:right="1839" w:hanging="209"/>
        <w:spacing w:after="0" w:line="252" w:lineRule="auto"/>
        <w:tabs>
          <w:tab w:leader="none" w:pos="7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and adopt the merger agreement among Comcast Corporation, AT&amp;T Corp. and the other parties thereto, whereby our company and a newly formed corporation containing AT&amp;T's broadband business will each merge with separate wholly owned subsidiaries of a newly formed corporation called AT&amp;T Comcast Corporation, and the transactions contemplated by the merger agreement,</w:t>
      </w:r>
    </w:p>
    <w:p>
      <w:pPr>
        <w:spacing w:after="0" w:line="196" w:lineRule="exact"/>
        <w:rPr>
          <w:rFonts w:ascii="Courier New" w:cs="Courier New" w:eastAsia="Courier New" w:hAnsi="Courier New"/>
          <w:sz w:val="17"/>
          <w:szCs w:val="17"/>
          <w:color w:val="auto"/>
        </w:rPr>
      </w:pPr>
    </w:p>
    <w:p>
      <w:pPr>
        <w:ind w:left="740" w:right="2039" w:hanging="209"/>
        <w:spacing w:after="0" w:line="253" w:lineRule="auto"/>
        <w:tabs>
          <w:tab w:leader="none" w:pos="7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and adopt an amendment to our articles of incorporation to permit the above-described transaction to be completed on the terms and conditions described as the "preferred structure" in the accompanying joint proxy statement/prospectus, and</w:t>
      </w:r>
    </w:p>
    <w:p>
      <w:pPr>
        <w:spacing w:after="0" w:line="195" w:lineRule="exact"/>
        <w:rPr>
          <w:rFonts w:ascii="Courier New" w:cs="Courier New" w:eastAsia="Courier New" w:hAnsi="Courier New"/>
          <w:sz w:val="17"/>
          <w:szCs w:val="17"/>
          <w:color w:val="auto"/>
        </w:rPr>
      </w:pPr>
    </w:p>
    <w:p>
      <w:pPr>
        <w:ind w:left="740" w:right="2039" w:hanging="209"/>
        <w:spacing w:after="0" w:line="257" w:lineRule="auto"/>
        <w:tabs>
          <w:tab w:leader="none" w:pos="7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or postponement thereof.</w:t>
      </w:r>
    </w:p>
    <w:p>
      <w:pPr>
        <w:spacing w:after="0" w:line="192"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We describe these items of business more fully in the accompanying joint proxy statement/prospectus.</w:t>
      </w:r>
    </w:p>
    <w:p>
      <w:pPr>
        <w:spacing w:after="0" w:line="19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close of business on , 2002 has been fixed as the record date for the meeting. All shareholders of record at that time are entitled to notice of, and all holders of our Class A common stock and Class B common stock are entitled to vote at, the meeting and any adjournment or postponement thereof.</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Approval and adoption of the merger agreement requires approval by a majority of all votes cast by holders of our Class A common stock and Class B common stock, voting together as a single class. Approval and adoption of the amendment to the articles of incorporation requires approval by a majority of all votes cast by the holders of our Class A common stock and Class B common stock, voting together as a single class, and by a majority of all votes cast by holders of our Class A common stock, voting as a single class. Sural LLC, which owns shares of our common stock entitled to cast approximately 86.7% of the votes on matters submitted for the approval of the holders of the Class A common stock and Class B common stock, voting together as a single class, has entered into an agreement pursuant to which it is obligated to vote in favor of, or otherwise indicated that it will vote in favor of, such matters. Consequently, the approval and adoption of the merger agreement is assured. Also, the approval and adoption of the amendment to our articles of incorporation by the holders of our Class A common stock and Class B common stock, voting together as a single class, is assured, but remains subject to approval by the holders of our Class A common stock, voting as a single class.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Because holders of our Class A Special common stock are not generally entitled to vote and no resolution is proposed for the meeting for which a vote of the Class A Special common stock is required by law, holders of Class A Special common stock are not entitled to vote at the meeting. The enclosed joint proxy statement/prospectus is being sent to holders of Class A Special common stock for informational purposes only.</w:t>
      </w:r>
    </w:p>
    <w:p>
      <w:pPr>
        <w:spacing w:after="0" w:line="19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 the event that the meeting is adjourned for fifteen days or more due to the absence of a quorum, those shareholders entitled to vote who attend the adjourned meeting, although otherwise less than a quorum, will constitute a quorum for the purpose of acting upon any matter set forth in this notice.</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All shareholders are cordially invited to attend the meeting. Our board of directors urges you to vote by telephone or via the Internet, or to date, sign and return promptly the enclosed proxy, with respect to your shares of Class A common stock. The proxies are solicited by our board of directors. The return of the proxy will not affect your right to vote in person if you do attend the meeting.</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STANLEY WANG</w:t>
      </w:r>
    </w:p>
    <w:p>
      <w:pPr>
        <w:spacing w:after="0" w:line="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Secretary</w:t>
      </w:r>
    </w:p>
    <w:p>
      <w:pPr>
        <w:spacing w:after="0" w:line="21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 2002</w:t>
      </w:r>
    </w:p>
    <w:p>
      <w:pPr>
        <w:sectPr>
          <w:pgSz w:w="11900" w:h="16838" w:orient="portrait"/>
          <w:cols w:equalWidth="0" w:num="1">
            <w:col w:w="10219"/>
          </w:cols>
          <w:pgMar w:left="240" w:top="719" w:right="1440" w:bottom="5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7"/>
        </w:trPr>
        <w:tc>
          <w:tcPr>
            <w:tcW w:w="5040" w:type="dxa"/>
            <w:vAlign w:val="bottom"/>
            <w:gridSpan w:val="2"/>
          </w:tcPr>
          <w:p>
            <w:pPr>
              <w:ind w:left="3260"/>
              <w:spacing w:after="0"/>
              <w:rPr>
                <w:sz w:val="20"/>
                <w:szCs w:val="20"/>
                <w:color w:val="auto"/>
              </w:rPr>
            </w:pPr>
            <w:r>
              <w:rPr>
                <w:rFonts w:ascii="Courier New" w:cs="Courier New" w:eastAsia="Courier New" w:hAnsi="Courier New"/>
                <w:sz w:val="17"/>
                <w:szCs w:val="17"/>
                <w:color w:val="auto"/>
              </w:rPr>
              <w:t>TABLE OF CONTENTS</w:t>
            </w:r>
          </w:p>
        </w:tc>
      </w:tr>
      <w:tr>
        <w:trPr>
          <w:trHeight w:val="806"/>
        </w:trPr>
        <w:tc>
          <w:tcPr>
            <w:tcW w:w="3780" w:type="dxa"/>
            <w:vAlign w:val="bottom"/>
          </w:tcPr>
          <w:p>
            <w:pPr>
              <w:spacing w:after="0"/>
              <w:rPr>
                <w:sz w:val="20"/>
                <w:szCs w:val="20"/>
                <w:color w:val="auto"/>
              </w:rPr>
            </w:pPr>
            <w:r>
              <w:rPr>
                <w:rFonts w:ascii="Courier New" w:cs="Courier New" w:eastAsia="Courier New" w:hAnsi="Courier New"/>
                <w:sz w:val="17"/>
                <w:szCs w:val="17"/>
                <w:color w:val="auto"/>
              </w:rPr>
              <w:t>CHAPTER ONE -- SUMMARY AND OVERVIEW</w:t>
            </w:r>
          </w:p>
        </w:tc>
        <w:tc>
          <w:tcPr>
            <w:tcW w:w="1260" w:type="dxa"/>
            <w:vAlign w:val="bottom"/>
          </w:tcPr>
          <w:p>
            <w:pPr>
              <w:spacing w:after="0"/>
              <w:rPr>
                <w:sz w:val="24"/>
                <w:szCs w:val="24"/>
                <w:color w:val="auto"/>
              </w:rPr>
            </w:pP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OF THE TRANSACTIONS..............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I-1</w:t>
            </w: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QUESTIONS AND ANSWERS ABOUT THE</w:t>
            </w:r>
          </w:p>
        </w:tc>
        <w:tc>
          <w:tcPr>
            <w:tcW w:w="1260" w:type="dxa"/>
            <w:vAlign w:val="bottom"/>
          </w:tcPr>
          <w:p>
            <w:pPr>
              <w:spacing w:after="0"/>
              <w:rPr>
                <w:sz w:val="17"/>
                <w:szCs w:val="17"/>
                <w:color w:val="auto"/>
              </w:rPr>
            </w:pPr>
          </w:p>
        </w:tc>
      </w:tr>
      <w:tr>
        <w:trPr>
          <w:trHeight w:val="201"/>
        </w:trPr>
        <w:tc>
          <w:tcPr>
            <w:tcW w:w="3780" w:type="dxa"/>
            <w:vAlign w:val="bottom"/>
          </w:tcPr>
          <w:p>
            <w:pPr>
              <w:ind w:left="540"/>
              <w:spacing w:after="0"/>
              <w:rPr>
                <w:sz w:val="20"/>
                <w:szCs w:val="20"/>
                <w:color w:val="auto"/>
              </w:rPr>
            </w:pPr>
            <w:r>
              <w:rPr>
                <w:rFonts w:ascii="Courier New" w:cs="Courier New" w:eastAsia="Courier New" w:hAnsi="Courier New"/>
                <w:sz w:val="17"/>
                <w:szCs w:val="17"/>
                <w:color w:val="auto"/>
              </w:rPr>
              <w:t>TRANSACTIONS..................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I-1</w:t>
            </w: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QUESTIONS AND ANSWERS ABOUT AT&amp;T</w:t>
            </w:r>
          </w:p>
        </w:tc>
        <w:tc>
          <w:tcPr>
            <w:tcW w:w="1260" w:type="dxa"/>
            <w:vAlign w:val="bottom"/>
          </w:tcPr>
          <w:p>
            <w:pPr>
              <w:spacing w:after="0"/>
              <w:rPr>
                <w:sz w:val="17"/>
                <w:szCs w:val="17"/>
                <w:color w:val="auto"/>
              </w:rPr>
            </w:pPr>
          </w:p>
        </w:tc>
      </w:tr>
      <w:tr>
        <w:trPr>
          <w:trHeight w:val="201"/>
        </w:trPr>
        <w:tc>
          <w:tcPr>
            <w:tcW w:w="3780" w:type="dxa"/>
            <w:vAlign w:val="bottom"/>
          </w:tcPr>
          <w:p>
            <w:pPr>
              <w:ind w:left="540"/>
              <w:spacing w:after="0"/>
              <w:rPr>
                <w:sz w:val="20"/>
                <w:szCs w:val="20"/>
                <w:color w:val="auto"/>
              </w:rPr>
            </w:pPr>
            <w:r>
              <w:rPr>
                <w:rFonts w:ascii="Courier New" w:cs="Courier New" w:eastAsia="Courier New" w:hAnsi="Courier New"/>
                <w:sz w:val="17"/>
                <w:szCs w:val="17"/>
                <w:color w:val="auto"/>
              </w:rPr>
              <w:t>CONSUMER SERVICES GROUP</w:t>
            </w:r>
          </w:p>
        </w:tc>
        <w:tc>
          <w:tcPr>
            <w:tcW w:w="1260" w:type="dxa"/>
            <w:vAlign w:val="bottom"/>
          </w:tcPr>
          <w:p>
            <w:pPr>
              <w:spacing w:after="0"/>
              <w:rPr>
                <w:sz w:val="17"/>
                <w:szCs w:val="17"/>
                <w:color w:val="auto"/>
              </w:rPr>
            </w:pPr>
          </w:p>
        </w:tc>
      </w:tr>
      <w:tr>
        <w:trPr>
          <w:trHeight w:val="201"/>
        </w:trPr>
        <w:tc>
          <w:tcPr>
            <w:tcW w:w="3780" w:type="dxa"/>
            <w:vAlign w:val="bottom"/>
          </w:tcPr>
          <w:p>
            <w:pPr>
              <w:ind w:left="540"/>
              <w:spacing w:after="0"/>
              <w:rPr>
                <w:sz w:val="20"/>
                <w:szCs w:val="20"/>
                <w:color w:val="auto"/>
              </w:rPr>
            </w:pPr>
            <w:r>
              <w:rPr>
                <w:rFonts w:ascii="Courier New" w:cs="Courier New" w:eastAsia="Courier New" w:hAnsi="Courier New"/>
                <w:sz w:val="17"/>
                <w:szCs w:val="17"/>
                <w:color w:val="auto"/>
              </w:rPr>
              <w:t>TRACKING STOCK................</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I-5</w:t>
            </w: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SUMMARY..........................</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I-7</w:t>
            </w: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THE AT&amp;T COMCAST TRANSACTION.....</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I-9</w:t>
            </w: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AT&amp;T CONSUMER SERVICES GROUP</w:t>
            </w:r>
          </w:p>
        </w:tc>
        <w:tc>
          <w:tcPr>
            <w:tcW w:w="1260" w:type="dxa"/>
            <w:vAlign w:val="bottom"/>
          </w:tcPr>
          <w:p>
            <w:pPr>
              <w:spacing w:after="0"/>
              <w:rPr>
                <w:sz w:val="17"/>
                <w:szCs w:val="17"/>
                <w:color w:val="auto"/>
              </w:rPr>
            </w:pPr>
          </w:p>
        </w:tc>
      </w:tr>
      <w:tr>
        <w:trPr>
          <w:trHeight w:val="201"/>
        </w:trPr>
        <w:tc>
          <w:tcPr>
            <w:tcW w:w="3780" w:type="dxa"/>
            <w:vAlign w:val="bottom"/>
          </w:tcPr>
          <w:p>
            <w:pPr>
              <w:ind w:left="540"/>
              <w:spacing w:after="0"/>
              <w:rPr>
                <w:sz w:val="20"/>
                <w:szCs w:val="20"/>
                <w:color w:val="auto"/>
              </w:rPr>
            </w:pPr>
            <w:r>
              <w:rPr>
                <w:rFonts w:ascii="Courier New" w:cs="Courier New" w:eastAsia="Courier New" w:hAnsi="Courier New"/>
                <w:sz w:val="17"/>
                <w:szCs w:val="17"/>
                <w:color w:val="auto"/>
              </w:rPr>
              <w:t>TRACKING STOCK................</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I-19</w:t>
            </w: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RISK FACTORS.....................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I-29</w:t>
            </w:r>
          </w:p>
        </w:tc>
      </w:tr>
      <w:tr>
        <w:trPr>
          <w:trHeight w:val="201"/>
        </w:trPr>
        <w:tc>
          <w:tcPr>
            <w:tcW w:w="3780" w:type="dxa"/>
            <w:vAlign w:val="bottom"/>
          </w:tcPr>
          <w:p>
            <w:pPr>
              <w:spacing w:after="0"/>
              <w:rPr>
                <w:sz w:val="20"/>
                <w:szCs w:val="20"/>
                <w:color w:val="auto"/>
              </w:rPr>
            </w:pPr>
            <w:r>
              <w:rPr>
                <w:rFonts w:ascii="Courier New" w:cs="Courier New" w:eastAsia="Courier New" w:hAnsi="Courier New"/>
                <w:sz w:val="17"/>
                <w:szCs w:val="17"/>
                <w:color w:val="auto"/>
              </w:rPr>
              <w:t>CHAPTER TWO -- THE AT&amp;T COMCAST</w:t>
            </w:r>
          </w:p>
        </w:tc>
        <w:tc>
          <w:tcPr>
            <w:tcW w:w="1260" w:type="dxa"/>
            <w:vAlign w:val="bottom"/>
          </w:tcPr>
          <w:p>
            <w:pPr>
              <w:spacing w:after="0"/>
              <w:rPr>
                <w:sz w:val="17"/>
                <w:szCs w:val="17"/>
                <w:color w:val="auto"/>
              </w:rPr>
            </w:pP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TRANSACTION......................</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II-1</w:t>
            </w:r>
          </w:p>
        </w:tc>
      </w:tr>
      <w:tr>
        <w:trPr>
          <w:trHeight w:val="201"/>
        </w:trPr>
        <w:tc>
          <w:tcPr>
            <w:tcW w:w="3780" w:type="dxa"/>
            <w:vAlign w:val="bottom"/>
          </w:tcPr>
          <w:p>
            <w:pPr>
              <w:ind w:left="540"/>
              <w:spacing w:after="0"/>
              <w:rPr>
                <w:sz w:val="20"/>
                <w:szCs w:val="20"/>
                <w:color w:val="auto"/>
              </w:rPr>
            </w:pPr>
            <w:r>
              <w:rPr>
                <w:rFonts w:ascii="Courier New" w:cs="Courier New" w:eastAsia="Courier New" w:hAnsi="Courier New"/>
                <w:sz w:val="17"/>
                <w:szCs w:val="17"/>
                <w:color w:val="auto"/>
              </w:rPr>
              <w:t>General.......................</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II-1</w:t>
            </w:r>
          </w:p>
        </w:tc>
      </w:tr>
      <w:tr>
        <w:trPr>
          <w:trHeight w:val="201"/>
        </w:trPr>
        <w:tc>
          <w:tcPr>
            <w:tcW w:w="3780" w:type="dxa"/>
            <w:vAlign w:val="bottom"/>
          </w:tcPr>
          <w:p>
            <w:pPr>
              <w:ind w:left="540"/>
              <w:spacing w:after="0"/>
              <w:rPr>
                <w:sz w:val="20"/>
                <w:szCs w:val="20"/>
                <w:color w:val="auto"/>
              </w:rPr>
            </w:pPr>
            <w:r>
              <w:rPr>
                <w:rFonts w:ascii="Courier New" w:cs="Courier New" w:eastAsia="Courier New" w:hAnsi="Courier New"/>
                <w:sz w:val="17"/>
                <w:szCs w:val="17"/>
                <w:color w:val="auto"/>
              </w:rPr>
              <w:t>Background of the AT&amp;T Comcast</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Transaction.................</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II-1</w:t>
            </w: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Comcast's Reasons for the AT&amp;T</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Comcast Transaction.........</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II-8</w:t>
            </w:r>
          </w:p>
        </w:tc>
      </w:tr>
      <w:tr>
        <w:trPr>
          <w:trHeight w:val="201"/>
        </w:trPr>
        <w:tc>
          <w:tcPr>
            <w:tcW w:w="3780" w:type="dxa"/>
            <w:vAlign w:val="bottom"/>
          </w:tcPr>
          <w:p>
            <w:pPr>
              <w:ind w:left="540"/>
              <w:spacing w:after="0"/>
              <w:rPr>
                <w:sz w:val="20"/>
                <w:szCs w:val="20"/>
                <w:color w:val="auto"/>
              </w:rPr>
            </w:pPr>
            <w:r>
              <w:rPr>
                <w:rFonts w:ascii="Courier New" w:cs="Courier New" w:eastAsia="Courier New" w:hAnsi="Courier New"/>
                <w:sz w:val="17"/>
                <w:szCs w:val="17"/>
                <w:color w:val="auto"/>
              </w:rPr>
              <w:t>Comcast's Preferred Structure</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Proposal....................</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II-10</w:t>
            </w:r>
          </w:p>
        </w:tc>
      </w:tr>
      <w:tr>
        <w:trPr>
          <w:trHeight w:val="201"/>
        </w:trPr>
        <w:tc>
          <w:tcPr>
            <w:tcW w:w="3780" w:type="dxa"/>
            <w:vAlign w:val="bottom"/>
          </w:tcPr>
          <w:p>
            <w:pPr>
              <w:ind w:left="540"/>
              <w:spacing w:after="0"/>
              <w:rPr>
                <w:sz w:val="20"/>
                <w:szCs w:val="20"/>
                <w:color w:val="auto"/>
              </w:rPr>
            </w:pPr>
            <w:r>
              <w:rPr>
                <w:rFonts w:ascii="Courier New" w:cs="Courier New" w:eastAsia="Courier New" w:hAnsi="Courier New"/>
                <w:sz w:val="17"/>
                <w:szCs w:val="17"/>
                <w:color w:val="auto"/>
              </w:rPr>
              <w:t>AT&amp;T's Reasons for the AT&amp;T</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Comcast Transaction.........</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II-11</w:t>
            </w:r>
          </w:p>
        </w:tc>
      </w:tr>
      <w:tr>
        <w:trPr>
          <w:trHeight w:val="201"/>
        </w:trPr>
        <w:tc>
          <w:tcPr>
            <w:tcW w:w="3780" w:type="dxa"/>
            <w:vAlign w:val="bottom"/>
          </w:tcPr>
          <w:p>
            <w:pPr>
              <w:ind w:left="540"/>
              <w:spacing w:after="0"/>
              <w:rPr>
                <w:sz w:val="20"/>
                <w:szCs w:val="20"/>
                <w:color w:val="auto"/>
              </w:rPr>
            </w:pPr>
            <w:r>
              <w:rPr>
                <w:rFonts w:ascii="Courier New" w:cs="Courier New" w:eastAsia="Courier New" w:hAnsi="Courier New"/>
                <w:sz w:val="17"/>
                <w:szCs w:val="17"/>
                <w:color w:val="auto"/>
              </w:rPr>
              <w:t>Material Federal Income Tax</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Consequences................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II-13</w:t>
            </w: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Regulatory Matters............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II-16</w:t>
            </w: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Appraisal Rights..............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II-18</w:t>
            </w:r>
          </w:p>
        </w:tc>
      </w:tr>
      <w:tr>
        <w:trPr>
          <w:trHeight w:val="201"/>
        </w:trPr>
        <w:tc>
          <w:tcPr>
            <w:tcW w:w="3780" w:type="dxa"/>
            <w:vAlign w:val="bottom"/>
          </w:tcPr>
          <w:p>
            <w:pPr>
              <w:ind w:left="540"/>
              <w:spacing w:after="0"/>
              <w:rPr>
                <w:sz w:val="20"/>
                <w:szCs w:val="20"/>
                <w:color w:val="auto"/>
              </w:rPr>
            </w:pPr>
            <w:r>
              <w:rPr>
                <w:rFonts w:ascii="Courier New" w:cs="Courier New" w:eastAsia="Courier New" w:hAnsi="Courier New"/>
                <w:sz w:val="17"/>
                <w:szCs w:val="17"/>
                <w:color w:val="auto"/>
              </w:rPr>
              <w:t>Federal Securities Laws</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Consequences; Stock Transfer</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Restriction Agreements......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II-18</w:t>
            </w: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Accounting Treatment..........</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II-18</w:t>
            </w:r>
          </w:p>
        </w:tc>
      </w:tr>
      <w:tr>
        <w:trPr>
          <w:trHeight w:val="201"/>
        </w:trPr>
        <w:tc>
          <w:tcPr>
            <w:tcW w:w="3780" w:type="dxa"/>
            <w:vAlign w:val="bottom"/>
          </w:tcPr>
          <w:p>
            <w:pPr>
              <w:spacing w:after="0"/>
              <w:rPr>
                <w:sz w:val="20"/>
                <w:szCs w:val="20"/>
                <w:color w:val="auto"/>
              </w:rPr>
            </w:pPr>
            <w:r>
              <w:rPr>
                <w:rFonts w:ascii="Courier New" w:cs="Courier New" w:eastAsia="Courier New" w:hAnsi="Courier New"/>
                <w:sz w:val="17"/>
                <w:szCs w:val="17"/>
                <w:color w:val="auto"/>
              </w:rPr>
              <w:t>CHAPTER THREE -- FINANCIAL</w:t>
            </w:r>
          </w:p>
        </w:tc>
        <w:tc>
          <w:tcPr>
            <w:tcW w:w="1260" w:type="dxa"/>
            <w:vAlign w:val="bottom"/>
          </w:tcPr>
          <w:p>
            <w:pPr>
              <w:spacing w:after="0"/>
              <w:rPr>
                <w:sz w:val="17"/>
                <w:szCs w:val="17"/>
                <w:color w:val="auto"/>
              </w:rPr>
            </w:pP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INFORMATION RELATING TO THE AT&amp;T</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COMCAST TRANSACTION..............</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III-1</w:t>
            </w:r>
          </w:p>
        </w:tc>
      </w:tr>
      <w:tr>
        <w:trPr>
          <w:trHeight w:val="201"/>
        </w:trPr>
        <w:tc>
          <w:tcPr>
            <w:tcW w:w="3780" w:type="dxa"/>
            <w:vAlign w:val="bottom"/>
          </w:tcPr>
          <w:p>
            <w:pPr>
              <w:spacing w:after="0"/>
              <w:rPr>
                <w:sz w:val="20"/>
                <w:szCs w:val="20"/>
                <w:color w:val="auto"/>
              </w:rPr>
            </w:pPr>
            <w:r>
              <w:rPr>
                <w:rFonts w:ascii="Courier New" w:cs="Courier New" w:eastAsia="Courier New" w:hAnsi="Courier New"/>
                <w:sz w:val="17"/>
                <w:szCs w:val="17"/>
                <w:color w:val="auto"/>
              </w:rPr>
              <w:t>CHAPTER FOUR -- OPINIONS OF</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FINANCIAL ADVISORS...............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IV-1</w:t>
            </w: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OPINIONS OF COMCAST'S FINANCIAL</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ADVISORS......................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IV-1</w:t>
            </w: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OPINIONS OF AT&amp;T'S FINANCIAL</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ADVISORS......................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IV-12</w:t>
            </w:r>
          </w:p>
        </w:tc>
      </w:tr>
      <w:tr>
        <w:trPr>
          <w:trHeight w:val="201"/>
        </w:trPr>
        <w:tc>
          <w:tcPr>
            <w:tcW w:w="3780" w:type="dxa"/>
            <w:vAlign w:val="bottom"/>
          </w:tcPr>
          <w:p>
            <w:pPr>
              <w:spacing w:after="0"/>
              <w:rPr>
                <w:sz w:val="20"/>
                <w:szCs w:val="20"/>
                <w:color w:val="auto"/>
              </w:rPr>
            </w:pPr>
            <w:r>
              <w:rPr>
                <w:rFonts w:ascii="Courier New" w:cs="Courier New" w:eastAsia="Courier New" w:hAnsi="Courier New"/>
                <w:sz w:val="17"/>
                <w:szCs w:val="17"/>
                <w:color w:val="auto"/>
              </w:rPr>
              <w:t>CHAPTER FIVE -- DESCRIPTION OF THE</w:t>
            </w:r>
          </w:p>
        </w:tc>
        <w:tc>
          <w:tcPr>
            <w:tcW w:w="1260" w:type="dxa"/>
            <w:vAlign w:val="bottom"/>
          </w:tcPr>
          <w:p>
            <w:pPr>
              <w:spacing w:after="0"/>
              <w:rPr>
                <w:sz w:val="17"/>
                <w:szCs w:val="17"/>
                <w:color w:val="auto"/>
              </w:rPr>
            </w:pP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AT&amp;T COMCAST TRANSACTION</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AGREEMENTS.......................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V-1</w:t>
            </w: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THE MERGER AGREEMENT.............</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V-1</w:t>
            </w: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THE SEPARATION AND DISTRIBUTION</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AGREEMENT.....................</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V-14</w:t>
            </w: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THE SUPPORT AGREEMENT............</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V-18</w:t>
            </w: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THE EXCHANGE AGREEMENT...........</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V-21</w:t>
            </w: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THE TAX SHARING AGREEMENT........</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V-23</w:t>
            </w: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THE ANCILLARY AGREEMENTS.........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V-24</w:t>
            </w:r>
          </w:p>
        </w:tc>
      </w:tr>
      <w:tr>
        <w:trPr>
          <w:trHeight w:val="201"/>
        </w:trPr>
        <w:tc>
          <w:tcPr>
            <w:tcW w:w="3780" w:type="dxa"/>
            <w:vAlign w:val="bottom"/>
          </w:tcPr>
          <w:p>
            <w:pPr>
              <w:spacing w:after="0"/>
              <w:rPr>
                <w:sz w:val="20"/>
                <w:szCs w:val="20"/>
                <w:color w:val="auto"/>
              </w:rPr>
            </w:pPr>
            <w:r>
              <w:rPr>
                <w:rFonts w:ascii="Courier New" w:cs="Courier New" w:eastAsia="Courier New" w:hAnsi="Courier New"/>
                <w:sz w:val="17"/>
                <w:szCs w:val="17"/>
                <w:color w:val="auto"/>
              </w:rPr>
              <w:t>CHAPTER SIX -- AT&amp;T CORP.</w:t>
            </w:r>
          </w:p>
        </w:tc>
        <w:tc>
          <w:tcPr>
            <w:tcW w:w="1260" w:type="dxa"/>
            <w:vAlign w:val="bottom"/>
          </w:tcPr>
          <w:p>
            <w:pPr>
              <w:spacing w:after="0"/>
              <w:rPr>
                <w:sz w:val="17"/>
                <w:szCs w:val="17"/>
                <w:color w:val="auto"/>
              </w:rPr>
            </w:pP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MANAGEMENT'S DISCUSSION AND</w:t>
            </w:r>
          </w:p>
        </w:tc>
        <w:tc>
          <w:tcPr>
            <w:tcW w:w="1260" w:type="dxa"/>
            <w:vAlign w:val="bottom"/>
          </w:tcPr>
          <w:p>
            <w:pPr>
              <w:spacing w:after="0"/>
              <w:rPr>
                <w:sz w:val="17"/>
                <w:szCs w:val="17"/>
                <w:color w:val="auto"/>
              </w:rPr>
            </w:pP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ANALYSIS OF FINANCIAL CONDITION</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AND RESULTS OF OPERATIONS........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VI-1</w:t>
            </w:r>
          </w:p>
        </w:tc>
      </w:tr>
      <w:tr>
        <w:trPr>
          <w:trHeight w:val="201"/>
        </w:trPr>
        <w:tc>
          <w:tcPr>
            <w:tcW w:w="3780" w:type="dxa"/>
            <w:vAlign w:val="bottom"/>
          </w:tcPr>
          <w:p>
            <w:pPr>
              <w:spacing w:after="0"/>
              <w:rPr>
                <w:sz w:val="20"/>
                <w:szCs w:val="20"/>
                <w:color w:val="auto"/>
              </w:rPr>
            </w:pPr>
            <w:r>
              <w:rPr>
                <w:rFonts w:ascii="Courier New" w:cs="Courier New" w:eastAsia="Courier New" w:hAnsi="Courier New"/>
                <w:sz w:val="17"/>
                <w:szCs w:val="17"/>
                <w:color w:val="auto"/>
              </w:rPr>
              <w:t>CHAPTER SEVEN -- AT&amp;T BROADBAND</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GROUP............................</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VII-1</w:t>
            </w: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DESCRIPTION OF AT&amp;T BROADBAND</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GROUP.........................</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VII-1</w:t>
            </w: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AT&amp;T BROADBAND GROUP MANAGEMENT'S</w:t>
            </w:r>
          </w:p>
        </w:tc>
        <w:tc>
          <w:tcPr>
            <w:tcW w:w="1260" w:type="dxa"/>
            <w:vAlign w:val="bottom"/>
          </w:tcPr>
          <w:p>
            <w:pPr>
              <w:spacing w:after="0"/>
              <w:rPr>
                <w:sz w:val="17"/>
                <w:szCs w:val="17"/>
                <w:color w:val="auto"/>
              </w:rPr>
            </w:pPr>
          </w:p>
        </w:tc>
      </w:tr>
      <w:tr>
        <w:trPr>
          <w:trHeight w:val="201"/>
        </w:trPr>
        <w:tc>
          <w:tcPr>
            <w:tcW w:w="3780" w:type="dxa"/>
            <w:vAlign w:val="bottom"/>
          </w:tcPr>
          <w:p>
            <w:pPr>
              <w:ind w:left="540"/>
              <w:spacing w:after="0"/>
              <w:rPr>
                <w:sz w:val="20"/>
                <w:szCs w:val="20"/>
                <w:color w:val="auto"/>
              </w:rPr>
            </w:pPr>
            <w:r>
              <w:rPr>
                <w:rFonts w:ascii="Courier New" w:cs="Courier New" w:eastAsia="Courier New" w:hAnsi="Courier New"/>
                <w:sz w:val="17"/>
                <w:szCs w:val="17"/>
                <w:color w:val="auto"/>
              </w:rPr>
              <w:t>DISCUSSION AND ANALYSIS OF</w:t>
            </w:r>
          </w:p>
        </w:tc>
        <w:tc>
          <w:tcPr>
            <w:tcW w:w="1260" w:type="dxa"/>
            <w:vAlign w:val="bottom"/>
          </w:tcPr>
          <w:p>
            <w:pPr>
              <w:spacing w:after="0"/>
              <w:rPr>
                <w:sz w:val="17"/>
                <w:szCs w:val="17"/>
                <w:color w:val="auto"/>
              </w:rPr>
            </w:pPr>
          </w:p>
        </w:tc>
      </w:tr>
      <w:tr>
        <w:trPr>
          <w:trHeight w:val="201"/>
        </w:trPr>
        <w:tc>
          <w:tcPr>
            <w:tcW w:w="3780" w:type="dxa"/>
            <w:vAlign w:val="bottom"/>
          </w:tcPr>
          <w:p>
            <w:pPr>
              <w:ind w:left="540"/>
              <w:spacing w:after="0"/>
              <w:rPr>
                <w:sz w:val="20"/>
                <w:szCs w:val="20"/>
                <w:color w:val="auto"/>
              </w:rPr>
            </w:pPr>
            <w:r>
              <w:rPr>
                <w:rFonts w:ascii="Courier New" w:cs="Courier New" w:eastAsia="Courier New" w:hAnsi="Courier New"/>
                <w:sz w:val="17"/>
                <w:szCs w:val="17"/>
                <w:color w:val="auto"/>
              </w:rPr>
              <w:t>FINANCIAL CONDITION AND</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RESULTS OF OPERATIONS.........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VII-23</w:t>
            </w:r>
          </w:p>
        </w:tc>
      </w:tr>
      <w:tr>
        <w:trPr>
          <w:trHeight w:val="201"/>
        </w:trPr>
        <w:tc>
          <w:tcPr>
            <w:tcW w:w="3780" w:type="dxa"/>
            <w:vAlign w:val="bottom"/>
          </w:tcPr>
          <w:p>
            <w:pPr>
              <w:spacing w:after="0"/>
              <w:rPr>
                <w:sz w:val="20"/>
                <w:szCs w:val="20"/>
                <w:color w:val="auto"/>
              </w:rPr>
            </w:pPr>
            <w:r>
              <w:rPr>
                <w:rFonts w:ascii="Courier New" w:cs="Courier New" w:eastAsia="Courier New" w:hAnsi="Courier New"/>
                <w:sz w:val="17"/>
                <w:szCs w:val="17"/>
                <w:color w:val="auto"/>
              </w:rPr>
              <w:t>CHAPTER EIGHT -- DESCRIPTION OF</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GOVERNANCE ARRANGEMENTS FOLLOWING</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THE AT&amp;T COMCAST TRANSACTION.....</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VIII-1</w:t>
            </w:r>
          </w:p>
        </w:tc>
      </w:tr>
      <w:tr>
        <w:trPr>
          <w:trHeight w:val="201"/>
        </w:trPr>
        <w:tc>
          <w:tcPr>
            <w:tcW w:w="3780" w:type="dxa"/>
            <w:vAlign w:val="bottom"/>
          </w:tcPr>
          <w:p>
            <w:pPr>
              <w:spacing w:after="0"/>
              <w:rPr>
                <w:sz w:val="20"/>
                <w:szCs w:val="20"/>
                <w:color w:val="auto"/>
              </w:rPr>
            </w:pPr>
            <w:r>
              <w:rPr>
                <w:rFonts w:ascii="Courier New" w:cs="Courier New" w:eastAsia="Courier New" w:hAnsi="Courier New"/>
                <w:sz w:val="17"/>
                <w:szCs w:val="17"/>
                <w:color w:val="auto"/>
              </w:rPr>
              <w:t>CHAPTER NINE -- EMPLOYEE BENEFITS</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MATTERS..........................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IX-1</w:t>
            </w: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INTERESTS OF DIRECTORS AND</w:t>
            </w:r>
          </w:p>
        </w:tc>
        <w:tc>
          <w:tcPr>
            <w:tcW w:w="1260" w:type="dxa"/>
            <w:vAlign w:val="bottom"/>
          </w:tcPr>
          <w:p>
            <w:pPr>
              <w:spacing w:after="0"/>
              <w:rPr>
                <w:sz w:val="17"/>
                <w:szCs w:val="17"/>
                <w:color w:val="auto"/>
              </w:rPr>
            </w:pPr>
          </w:p>
        </w:tc>
      </w:tr>
      <w:tr>
        <w:trPr>
          <w:trHeight w:val="201"/>
        </w:trPr>
        <w:tc>
          <w:tcPr>
            <w:tcW w:w="3780" w:type="dxa"/>
            <w:vAlign w:val="bottom"/>
          </w:tcPr>
          <w:p>
            <w:pPr>
              <w:ind w:left="540"/>
              <w:spacing w:after="0"/>
              <w:rPr>
                <w:sz w:val="20"/>
                <w:szCs w:val="20"/>
                <w:color w:val="auto"/>
              </w:rPr>
            </w:pPr>
            <w:r>
              <w:rPr>
                <w:rFonts w:ascii="Courier New" w:cs="Courier New" w:eastAsia="Courier New" w:hAnsi="Courier New"/>
                <w:sz w:val="17"/>
                <w:szCs w:val="17"/>
                <w:color w:val="auto"/>
              </w:rPr>
              <w:t>OFFICERS IN THE AT&amp;T COMCAST</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TRANSACTION...................</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IX-1</w:t>
            </w: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 BENEFITS MATTERS...........</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IX-6</w:t>
            </w:r>
          </w:p>
        </w:tc>
      </w:tr>
      <w:tr>
        <w:trPr>
          <w:trHeight w:val="201"/>
        </w:trPr>
        <w:tc>
          <w:tcPr>
            <w:tcW w:w="3780" w:type="dxa"/>
            <w:vAlign w:val="bottom"/>
          </w:tcPr>
          <w:p>
            <w:pPr>
              <w:spacing w:after="0"/>
              <w:rPr>
                <w:sz w:val="20"/>
                <w:szCs w:val="20"/>
                <w:color w:val="auto"/>
              </w:rPr>
            </w:pPr>
            <w:r>
              <w:rPr>
                <w:rFonts w:ascii="Courier New" w:cs="Courier New" w:eastAsia="Courier New" w:hAnsi="Courier New"/>
                <w:sz w:val="17"/>
                <w:szCs w:val="17"/>
                <w:color w:val="auto"/>
              </w:rPr>
              <w:t>CHAPTER TEN -- AT&amp;T CONSUMER</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SERVICES GROUP TRACKING STOCK....</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X-1</w:t>
            </w:r>
          </w:p>
        </w:tc>
      </w:tr>
      <w:tr>
        <w:trPr>
          <w:trHeight w:val="201"/>
        </w:trPr>
        <w:tc>
          <w:tcPr>
            <w:tcW w:w="3780" w:type="dxa"/>
            <w:vAlign w:val="bottom"/>
          </w:tcPr>
          <w:p>
            <w:pPr>
              <w:ind w:left="220"/>
              <w:spacing w:after="0"/>
              <w:rPr>
                <w:sz w:val="20"/>
                <w:szCs w:val="20"/>
                <w:color w:val="auto"/>
              </w:rPr>
            </w:pPr>
            <w:r>
              <w:rPr>
                <w:rFonts w:ascii="Courier New" w:cs="Courier New" w:eastAsia="Courier New" w:hAnsi="Courier New"/>
                <w:sz w:val="17"/>
                <w:szCs w:val="17"/>
                <w:color w:val="auto"/>
              </w:rPr>
              <w:t>THE CONSUMER SERVICES CHARTER</w:t>
            </w:r>
          </w:p>
        </w:tc>
        <w:tc>
          <w:tcPr>
            <w:tcW w:w="1260" w:type="dxa"/>
            <w:vAlign w:val="bottom"/>
          </w:tcPr>
          <w:p>
            <w:pPr>
              <w:spacing w:after="0"/>
              <w:rPr>
                <w:sz w:val="17"/>
                <w:szCs w:val="17"/>
                <w:color w:val="auto"/>
              </w:rPr>
            </w:pPr>
          </w:p>
        </w:tc>
      </w:tr>
      <w:tr>
        <w:trPr>
          <w:trHeight w:val="201"/>
        </w:trPr>
        <w:tc>
          <w:tcPr>
            <w:tcW w:w="3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AMENDMENT PROPOSAL............</w:t>
            </w:r>
          </w:p>
        </w:tc>
        <w:tc>
          <w:tcPr>
            <w:tcW w:w="1260" w:type="dxa"/>
            <w:vAlign w:val="bottom"/>
          </w:tcPr>
          <w:p>
            <w:pPr>
              <w:ind w:left="100"/>
              <w:spacing w:after="0"/>
              <w:rPr>
                <w:sz w:val="20"/>
                <w:szCs w:val="20"/>
                <w:color w:val="auto"/>
              </w:rPr>
            </w:pPr>
            <w:r>
              <w:rPr>
                <w:rFonts w:ascii="Courier New" w:cs="Courier New" w:eastAsia="Courier New" w:hAnsi="Courier New"/>
                <w:sz w:val="17"/>
                <w:szCs w:val="17"/>
                <w:color w:val="auto"/>
              </w:rPr>
              <w:t>X-1</w:t>
            </w:r>
          </w:p>
        </w:tc>
      </w:tr>
    </w:tbl>
    <w:p>
      <w:pPr>
        <w:sectPr>
          <w:pgSz w:w="11900" w:h="16838" w:orient="portrait"/>
          <w:cols w:equalWidth="0" w:num="1">
            <w:col w:w="10219"/>
          </w:cols>
          <w:pgMar w:left="240" w:top="719"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60" w:type="dxa"/>
            <w:vAlign w:val="bottom"/>
          </w:tcPr>
          <w:p>
            <w:pPr>
              <w:spacing w:after="0"/>
              <w:rPr>
                <w:sz w:val="20"/>
                <w:szCs w:val="20"/>
                <w:color w:val="auto"/>
              </w:rPr>
            </w:pPr>
            <w:r>
              <w:rPr>
                <w:rFonts w:ascii="Courier New" w:cs="Courier New" w:eastAsia="Courier New" w:hAnsi="Courier New"/>
                <w:sz w:val="17"/>
                <w:szCs w:val="17"/>
                <w:color w:val="auto"/>
              </w:rPr>
              <w:t>REASONS FOR AT&amp;T CONSUMER</w:t>
            </w:r>
          </w:p>
        </w:tc>
        <w:tc>
          <w:tcPr>
            <w:tcW w:w="520" w:type="dxa"/>
            <w:vAlign w:val="bottom"/>
          </w:tcPr>
          <w:p>
            <w:pPr>
              <w:spacing w:after="0"/>
              <w:rPr>
                <w:sz w:val="17"/>
                <w:szCs w:val="17"/>
                <w:color w:val="auto"/>
              </w:rPr>
            </w:pPr>
          </w:p>
        </w:tc>
      </w:tr>
      <w:tr>
        <w:trPr>
          <w:trHeight w:val="201"/>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SERVICES GROUP TRACKING</w:t>
            </w:r>
          </w:p>
        </w:tc>
        <w:tc>
          <w:tcPr>
            <w:tcW w:w="520" w:type="dxa"/>
            <w:vAlign w:val="bottom"/>
          </w:tcPr>
          <w:p>
            <w:pPr>
              <w:spacing w:after="0"/>
              <w:rPr>
                <w:sz w:val="17"/>
                <w:szCs w:val="17"/>
                <w:color w:val="auto"/>
              </w:rPr>
            </w:pPr>
          </w:p>
        </w:tc>
      </w:tr>
      <w:tr>
        <w:trPr>
          <w:trHeight w:val="201"/>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STOCK.........................</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w w:val="97"/>
              </w:rPr>
              <w:t>X-10</w:t>
            </w:r>
          </w:p>
        </w:tc>
      </w:tr>
      <w:tr>
        <w:trPr>
          <w:trHeight w:val="201"/>
        </w:trPr>
        <w:tc>
          <w:tcPr>
            <w:tcW w:w="3560" w:type="dxa"/>
            <w:vAlign w:val="bottom"/>
          </w:tcPr>
          <w:p>
            <w:pPr>
              <w:spacing w:after="0"/>
              <w:rPr>
                <w:sz w:val="20"/>
                <w:szCs w:val="20"/>
                <w:color w:val="auto"/>
              </w:rPr>
            </w:pPr>
            <w:r>
              <w:rPr>
                <w:rFonts w:ascii="Courier New" w:cs="Courier New" w:eastAsia="Courier New" w:hAnsi="Courier New"/>
                <w:sz w:val="17"/>
                <w:szCs w:val="17"/>
                <w:color w:val="auto"/>
              </w:rPr>
              <w:t>DESCRIPTION OF AT&amp;T CONSUMER</w:t>
            </w:r>
          </w:p>
        </w:tc>
        <w:tc>
          <w:tcPr>
            <w:tcW w:w="520" w:type="dxa"/>
            <w:vAlign w:val="bottom"/>
          </w:tcPr>
          <w:p>
            <w:pPr>
              <w:spacing w:after="0"/>
              <w:rPr>
                <w:sz w:val="17"/>
                <w:szCs w:val="17"/>
                <w:color w:val="auto"/>
              </w:rPr>
            </w:pPr>
          </w:p>
        </w:tc>
      </w:tr>
      <w:tr>
        <w:trPr>
          <w:trHeight w:val="201"/>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SERVICES GROUP................</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w w:val="97"/>
              </w:rPr>
              <w:t>X-12</w:t>
            </w:r>
          </w:p>
        </w:tc>
      </w:tr>
      <w:tr>
        <w:trPr>
          <w:trHeight w:val="201"/>
        </w:trPr>
        <w:tc>
          <w:tcPr>
            <w:tcW w:w="3560" w:type="dxa"/>
            <w:vAlign w:val="bottom"/>
          </w:tcPr>
          <w:p>
            <w:pPr>
              <w:spacing w:after="0"/>
              <w:rPr>
                <w:sz w:val="20"/>
                <w:szCs w:val="20"/>
                <w:color w:val="auto"/>
              </w:rPr>
            </w:pPr>
            <w:r>
              <w:rPr>
                <w:rFonts w:ascii="Courier New" w:cs="Courier New" w:eastAsia="Courier New" w:hAnsi="Courier New"/>
                <w:sz w:val="17"/>
                <w:szCs w:val="17"/>
                <w:color w:val="auto"/>
              </w:rPr>
              <w:t>AT&amp;T CONSUMER SERVICES GROUP.....</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w w:val="97"/>
              </w:rPr>
              <w:t>X-24</w:t>
            </w:r>
          </w:p>
        </w:tc>
      </w:tr>
      <w:tr>
        <w:trPr>
          <w:trHeight w:val="201"/>
        </w:trPr>
        <w:tc>
          <w:tcPr>
            <w:tcW w:w="3560" w:type="dxa"/>
            <w:vAlign w:val="bottom"/>
          </w:tcPr>
          <w:p>
            <w:pPr>
              <w:spacing w:after="0"/>
              <w:rPr>
                <w:sz w:val="20"/>
                <w:szCs w:val="20"/>
                <w:color w:val="auto"/>
              </w:rPr>
            </w:pPr>
            <w:r>
              <w:rPr>
                <w:rFonts w:ascii="Courier New" w:cs="Courier New" w:eastAsia="Courier New" w:hAnsi="Courier New"/>
                <w:sz w:val="17"/>
                <w:szCs w:val="17"/>
                <w:color w:val="auto"/>
              </w:rPr>
              <w:t>MANAGEMENT'S DISCUSSION AND</w:t>
            </w:r>
          </w:p>
        </w:tc>
        <w:tc>
          <w:tcPr>
            <w:tcW w:w="520" w:type="dxa"/>
            <w:vAlign w:val="bottom"/>
          </w:tcPr>
          <w:p>
            <w:pPr>
              <w:spacing w:after="0"/>
              <w:rPr>
                <w:sz w:val="17"/>
                <w:szCs w:val="17"/>
                <w:color w:val="auto"/>
              </w:rPr>
            </w:pPr>
          </w:p>
        </w:tc>
      </w:tr>
      <w:tr>
        <w:trPr>
          <w:trHeight w:val="201"/>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ANALYSIS OF FINANCIAL</w:t>
            </w:r>
          </w:p>
        </w:tc>
        <w:tc>
          <w:tcPr>
            <w:tcW w:w="520" w:type="dxa"/>
            <w:vAlign w:val="bottom"/>
          </w:tcPr>
          <w:p>
            <w:pPr>
              <w:spacing w:after="0"/>
              <w:rPr>
                <w:sz w:val="17"/>
                <w:szCs w:val="17"/>
                <w:color w:val="auto"/>
              </w:rPr>
            </w:pPr>
          </w:p>
        </w:tc>
      </w:tr>
      <w:tr>
        <w:trPr>
          <w:trHeight w:val="201"/>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CONDITION AND RESULTS OF</w:t>
            </w:r>
          </w:p>
        </w:tc>
        <w:tc>
          <w:tcPr>
            <w:tcW w:w="520" w:type="dxa"/>
            <w:vAlign w:val="bottom"/>
          </w:tcPr>
          <w:p>
            <w:pPr>
              <w:spacing w:after="0"/>
              <w:rPr>
                <w:sz w:val="17"/>
                <w:szCs w:val="17"/>
                <w:color w:val="auto"/>
              </w:rPr>
            </w:pPr>
          </w:p>
        </w:tc>
      </w:tr>
      <w:tr>
        <w:trPr>
          <w:trHeight w:val="201"/>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OPERATIONS....................</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w w:val="97"/>
              </w:rPr>
              <w:t>X-24</w:t>
            </w:r>
          </w:p>
        </w:tc>
      </w:tr>
      <w:tr>
        <w:trPr>
          <w:trHeight w:val="201"/>
        </w:trPr>
        <w:tc>
          <w:tcPr>
            <w:tcW w:w="3560" w:type="dxa"/>
            <w:vAlign w:val="bottom"/>
          </w:tcPr>
          <w:p>
            <w:pPr>
              <w:spacing w:after="0"/>
              <w:rPr>
                <w:sz w:val="20"/>
                <w:szCs w:val="20"/>
                <w:color w:val="auto"/>
              </w:rPr>
            </w:pPr>
            <w:r>
              <w:rPr>
                <w:rFonts w:ascii="Courier New" w:cs="Courier New" w:eastAsia="Courier New" w:hAnsi="Courier New"/>
                <w:sz w:val="17"/>
                <w:szCs w:val="17"/>
                <w:color w:val="auto"/>
              </w:rPr>
              <w:t>RELATIONSHIP BETWEEN THE AT&amp;T</w:t>
            </w:r>
          </w:p>
        </w:tc>
        <w:tc>
          <w:tcPr>
            <w:tcW w:w="520" w:type="dxa"/>
            <w:vAlign w:val="bottom"/>
          </w:tcPr>
          <w:p>
            <w:pPr>
              <w:spacing w:after="0"/>
              <w:rPr>
                <w:sz w:val="17"/>
                <w:szCs w:val="17"/>
                <w:color w:val="auto"/>
              </w:rPr>
            </w:pPr>
          </w:p>
        </w:tc>
      </w:tr>
      <w:tr>
        <w:trPr>
          <w:trHeight w:val="201"/>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GROUPS........................</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w w:val="97"/>
              </w:rPr>
              <w:t>X-35</w:t>
            </w:r>
          </w:p>
        </w:tc>
      </w:tr>
    </w:tbl>
    <w:p>
      <w:pPr>
        <w:spacing w:after="0" w:line="200" w:lineRule="exact"/>
        <w:rPr>
          <w:sz w:val="20"/>
          <w:szCs w:val="20"/>
          <w:color w:val="auto"/>
        </w:rPr>
      </w:pPr>
    </w:p>
    <w:p>
      <w:pPr>
        <w:spacing w:after="0" w:line="207"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9999"/>
          </w:cols>
          <w:pgMar w:left="460" w:top="14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7"/>
        </w:trPr>
        <w:tc>
          <w:tcPr>
            <w:tcW w:w="47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THE INCENTIVE PLAN PROPOSAL...............</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X-42</w:t>
            </w:r>
          </w:p>
        </w:tc>
      </w:tr>
      <w:tr>
        <w:trPr>
          <w:trHeight w:val="201"/>
        </w:trPr>
        <w:tc>
          <w:tcPr>
            <w:tcW w:w="47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THE EMPLOYEE STOCK PURCHASE PLAN</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PROPOSAL...............................</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X-46</w:t>
            </w:r>
          </w:p>
        </w:tc>
      </w:tr>
      <w:tr>
        <w:trPr>
          <w:trHeight w:val="201"/>
        </w:trPr>
        <w:tc>
          <w:tcPr>
            <w:tcW w:w="4720" w:type="dxa"/>
            <w:vAlign w:val="bottom"/>
            <w:gridSpan w:val="2"/>
          </w:tcPr>
          <w:p>
            <w:pPr>
              <w:spacing w:after="0"/>
              <w:rPr>
                <w:sz w:val="20"/>
                <w:szCs w:val="20"/>
                <w:color w:val="auto"/>
              </w:rPr>
            </w:pPr>
            <w:r>
              <w:rPr>
                <w:rFonts w:ascii="Courier New" w:cs="Courier New" w:eastAsia="Courier New" w:hAnsi="Courier New"/>
                <w:sz w:val="17"/>
                <w:szCs w:val="17"/>
                <w:color w:val="auto"/>
              </w:rPr>
              <w:t>CHAPTER ELEVEN -- DESCRIPTION OF AT&amp;T</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BUSINESS SERVICES GROUP...................</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XI-1</w:t>
            </w:r>
          </w:p>
        </w:tc>
      </w:tr>
      <w:tr>
        <w:trPr>
          <w:trHeight w:val="201"/>
        </w:trPr>
        <w:tc>
          <w:tcPr>
            <w:tcW w:w="4720" w:type="dxa"/>
            <w:vAlign w:val="bottom"/>
            <w:gridSpan w:val="2"/>
          </w:tcPr>
          <w:p>
            <w:pPr>
              <w:spacing w:after="0"/>
              <w:rPr>
                <w:sz w:val="20"/>
                <w:szCs w:val="20"/>
                <w:color w:val="auto"/>
              </w:rPr>
            </w:pPr>
            <w:r>
              <w:rPr>
                <w:rFonts w:ascii="Courier New" w:cs="Courier New" w:eastAsia="Courier New" w:hAnsi="Courier New"/>
                <w:sz w:val="17"/>
                <w:szCs w:val="17"/>
                <w:color w:val="auto"/>
              </w:rPr>
              <w:t>CHAPTER TWELVE -- INFORMATION ABOUT THE</w:t>
            </w:r>
          </w:p>
        </w:tc>
        <w:tc>
          <w:tcPr>
            <w:tcW w:w="740" w:type="dxa"/>
            <w:vAlign w:val="bottom"/>
          </w:tcPr>
          <w:p>
            <w:pPr>
              <w:spacing w:after="0"/>
              <w:rPr>
                <w:sz w:val="17"/>
                <w:szCs w:val="17"/>
                <w:color w:val="auto"/>
              </w:rPr>
            </w:pPr>
          </w:p>
        </w:tc>
      </w:tr>
      <w:tr>
        <w:trPr>
          <w:trHeight w:val="201"/>
        </w:trPr>
        <w:tc>
          <w:tcPr>
            <w:tcW w:w="1060" w:type="dxa"/>
            <w:vAlign w:val="bottom"/>
          </w:tcPr>
          <w:p>
            <w:pPr>
              <w:ind w:left="220"/>
              <w:spacing w:after="0"/>
              <w:rPr>
                <w:sz w:val="20"/>
                <w:szCs w:val="20"/>
                <w:color w:val="auto"/>
              </w:rPr>
            </w:pPr>
            <w:r>
              <w:rPr>
                <w:rFonts w:ascii="Courier New" w:cs="Courier New" w:eastAsia="Courier New" w:hAnsi="Courier New"/>
                <w:sz w:val="17"/>
                <w:szCs w:val="17"/>
                <w:color w:val="auto"/>
              </w:rPr>
              <w:t>COMCAST</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SPECIAL MEETING AND VOTING........</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XII-1</w:t>
            </w:r>
          </w:p>
        </w:tc>
      </w:tr>
      <w:tr>
        <w:trPr>
          <w:trHeight w:val="201"/>
        </w:trPr>
        <w:tc>
          <w:tcPr>
            <w:tcW w:w="4720" w:type="dxa"/>
            <w:vAlign w:val="bottom"/>
            <w:gridSpan w:val="2"/>
          </w:tcPr>
          <w:p>
            <w:pPr>
              <w:spacing w:after="0"/>
              <w:rPr>
                <w:sz w:val="20"/>
                <w:szCs w:val="20"/>
                <w:color w:val="auto"/>
              </w:rPr>
            </w:pPr>
            <w:r>
              <w:rPr>
                <w:rFonts w:ascii="Courier New" w:cs="Courier New" w:eastAsia="Courier New" w:hAnsi="Courier New"/>
                <w:sz w:val="17"/>
                <w:szCs w:val="17"/>
                <w:color w:val="auto"/>
              </w:rPr>
              <w:t>CHAPTER THIRTEEN -- INFORMATION ABOUT THE</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AT&amp;T ANNUAL MEETING AND VOTING............</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XIII-1</w:t>
            </w:r>
          </w:p>
        </w:tc>
      </w:tr>
      <w:tr>
        <w:trPr>
          <w:trHeight w:val="201"/>
        </w:trPr>
        <w:tc>
          <w:tcPr>
            <w:tcW w:w="4720" w:type="dxa"/>
            <w:vAlign w:val="bottom"/>
            <w:gridSpan w:val="2"/>
          </w:tcPr>
          <w:p>
            <w:pPr>
              <w:spacing w:after="0"/>
              <w:rPr>
                <w:sz w:val="20"/>
                <w:szCs w:val="20"/>
                <w:color w:val="auto"/>
              </w:rPr>
            </w:pPr>
            <w:r>
              <w:rPr>
                <w:rFonts w:ascii="Courier New" w:cs="Courier New" w:eastAsia="Courier New" w:hAnsi="Courier New"/>
                <w:sz w:val="17"/>
                <w:szCs w:val="17"/>
                <w:color w:val="auto"/>
              </w:rPr>
              <w:t>CHAPTER FOURTEEN -- CERTAIN LEGAL</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INFORMATION...............................</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w:t>
            </w:r>
          </w:p>
        </w:tc>
      </w:tr>
      <w:tr>
        <w:trPr>
          <w:trHeight w:val="201"/>
        </w:trPr>
        <w:tc>
          <w:tcPr>
            <w:tcW w:w="47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COMPARISON OF AT&amp;T, COMCAST AND AT&amp;T</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COMCAST SHAREHOLDER RIGHTS.............</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w:t>
            </w:r>
          </w:p>
        </w:tc>
      </w:tr>
      <w:tr>
        <w:trPr>
          <w:trHeight w:val="201"/>
        </w:trPr>
        <w:tc>
          <w:tcPr>
            <w:tcW w:w="472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Summary of Material Differences Between</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the Current Rights of AT&amp;T</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Shareholders and the Rights Those</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Shareholders Will Have as AT&amp;T</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Comcast Shareholders Following the</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Completion of the Transaction........</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w:t>
            </w:r>
          </w:p>
        </w:tc>
      </w:tr>
      <w:tr>
        <w:trPr>
          <w:trHeight w:val="201"/>
        </w:trPr>
        <w:tc>
          <w:tcPr>
            <w:tcW w:w="472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Summary of Material Differences Between</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the Current Rights of Comcast</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Shareholders and the Rights Those</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Shareholders Will Have as AT&amp;T</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Comcast Shareholders Following the</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Completion of the Transaction........</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XIV-6</w:t>
            </w:r>
          </w:p>
        </w:tc>
      </w:tr>
      <w:tr>
        <w:trPr>
          <w:trHeight w:val="201"/>
        </w:trPr>
        <w:tc>
          <w:tcPr>
            <w:tcW w:w="47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DESCRIPTION OF AT&amp;T COMCAST CAPITAL</w:t>
            </w:r>
          </w:p>
        </w:tc>
        <w:tc>
          <w:tcPr>
            <w:tcW w:w="740" w:type="dxa"/>
            <w:vAlign w:val="bottom"/>
          </w:tcPr>
          <w:p>
            <w:pPr>
              <w:spacing w:after="0"/>
              <w:rPr>
                <w:sz w:val="17"/>
                <w:szCs w:val="17"/>
                <w:color w:val="auto"/>
              </w:rPr>
            </w:pPr>
          </w:p>
        </w:tc>
      </w:tr>
      <w:tr>
        <w:trPr>
          <w:trHeight w:val="201"/>
        </w:trPr>
        <w:tc>
          <w:tcPr>
            <w:tcW w:w="1060" w:type="dxa"/>
            <w:vAlign w:val="bottom"/>
          </w:tcPr>
          <w:p>
            <w:pPr>
              <w:ind w:left="540"/>
              <w:spacing w:after="0"/>
              <w:rPr>
                <w:sz w:val="20"/>
                <w:szCs w:val="20"/>
                <w:color w:val="auto"/>
              </w:rPr>
            </w:pPr>
            <w:r>
              <w:rPr>
                <w:rFonts w:ascii="Courier New" w:cs="Courier New" w:eastAsia="Courier New" w:hAnsi="Courier New"/>
                <w:sz w:val="17"/>
                <w:szCs w:val="17"/>
                <w:color w:val="auto"/>
                <w:w w:val="97"/>
              </w:rPr>
              <w:t>STOCK</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XIV-10</w:t>
            </w:r>
          </w:p>
        </w:tc>
      </w:tr>
      <w:tr>
        <w:trPr>
          <w:trHeight w:val="201"/>
        </w:trPr>
        <w:tc>
          <w:tcPr>
            <w:tcW w:w="472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Authorized Capital Stock...............</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XIV-10</w:t>
            </w:r>
          </w:p>
        </w:tc>
      </w:tr>
      <w:tr>
        <w:trPr>
          <w:trHeight w:val="201"/>
        </w:trPr>
        <w:tc>
          <w:tcPr>
            <w:tcW w:w="1060" w:type="dxa"/>
            <w:vAlign w:val="bottom"/>
          </w:tcPr>
          <w:p>
            <w:pPr>
              <w:ind w:left="540"/>
              <w:spacing w:after="0"/>
              <w:rPr>
                <w:sz w:val="20"/>
                <w:szCs w:val="20"/>
                <w:color w:val="auto"/>
              </w:rPr>
            </w:pPr>
            <w:r>
              <w:rPr>
                <w:rFonts w:ascii="Courier New" w:cs="Courier New" w:eastAsia="Courier New" w:hAnsi="Courier New"/>
                <w:sz w:val="17"/>
                <w:szCs w:val="17"/>
                <w:color w:val="auto"/>
              </w:rPr>
              <w:t>AT&amp;T</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Comcast Class A Common Stock......</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XIV-10</w:t>
            </w:r>
          </w:p>
        </w:tc>
      </w:tr>
      <w:tr>
        <w:trPr>
          <w:trHeight w:val="201"/>
        </w:trPr>
        <w:tc>
          <w:tcPr>
            <w:tcW w:w="1060" w:type="dxa"/>
            <w:vAlign w:val="bottom"/>
          </w:tcPr>
          <w:p>
            <w:pPr>
              <w:ind w:left="540"/>
              <w:spacing w:after="0"/>
              <w:rPr>
                <w:sz w:val="20"/>
                <w:szCs w:val="20"/>
                <w:color w:val="auto"/>
              </w:rPr>
            </w:pPr>
            <w:r>
              <w:rPr>
                <w:rFonts w:ascii="Courier New" w:cs="Courier New" w:eastAsia="Courier New" w:hAnsi="Courier New"/>
                <w:sz w:val="17"/>
                <w:szCs w:val="17"/>
                <w:color w:val="auto"/>
              </w:rPr>
              <w:t>AT&amp;T</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Comcast Class B Common Stock......</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XIV-11</w:t>
            </w:r>
          </w:p>
        </w:tc>
      </w:tr>
      <w:tr>
        <w:trPr>
          <w:trHeight w:val="201"/>
        </w:trPr>
        <w:tc>
          <w:tcPr>
            <w:tcW w:w="1060" w:type="dxa"/>
            <w:vAlign w:val="bottom"/>
          </w:tcPr>
          <w:p>
            <w:pPr>
              <w:ind w:left="540"/>
              <w:spacing w:after="0"/>
              <w:rPr>
                <w:sz w:val="20"/>
                <w:szCs w:val="20"/>
                <w:color w:val="auto"/>
              </w:rPr>
            </w:pPr>
            <w:r>
              <w:rPr>
                <w:rFonts w:ascii="Courier New" w:cs="Courier New" w:eastAsia="Courier New" w:hAnsi="Courier New"/>
                <w:sz w:val="17"/>
                <w:szCs w:val="17"/>
                <w:color w:val="auto"/>
              </w:rPr>
              <w:t>AT&amp;T</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Comcast Class A Special Common</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Stock................................</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XIV-12</w:t>
            </w:r>
          </w:p>
        </w:tc>
      </w:tr>
      <w:tr>
        <w:trPr>
          <w:trHeight w:val="201"/>
        </w:trPr>
        <w:tc>
          <w:tcPr>
            <w:tcW w:w="1060" w:type="dxa"/>
            <w:vAlign w:val="bottom"/>
          </w:tcPr>
          <w:p>
            <w:pPr>
              <w:ind w:left="540"/>
              <w:spacing w:after="0"/>
              <w:rPr>
                <w:sz w:val="20"/>
                <w:szCs w:val="20"/>
                <w:color w:val="auto"/>
              </w:rPr>
            </w:pPr>
            <w:r>
              <w:rPr>
                <w:rFonts w:ascii="Courier New" w:cs="Courier New" w:eastAsia="Courier New" w:hAnsi="Courier New"/>
                <w:sz w:val="17"/>
                <w:szCs w:val="17"/>
                <w:color w:val="auto"/>
              </w:rPr>
              <w:t>AT&amp;T</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Comcast Class C Common Stock......</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XIV-13</w:t>
            </w:r>
          </w:p>
        </w:tc>
      </w:tr>
      <w:tr>
        <w:trPr>
          <w:trHeight w:val="201"/>
        </w:trPr>
        <w:tc>
          <w:tcPr>
            <w:tcW w:w="1060" w:type="dxa"/>
            <w:vAlign w:val="bottom"/>
          </w:tcPr>
          <w:p>
            <w:pPr>
              <w:ind w:left="540"/>
              <w:spacing w:after="0"/>
              <w:rPr>
                <w:sz w:val="20"/>
                <w:szCs w:val="20"/>
                <w:color w:val="auto"/>
              </w:rPr>
            </w:pPr>
            <w:r>
              <w:rPr>
                <w:rFonts w:ascii="Courier New" w:cs="Courier New" w:eastAsia="Courier New" w:hAnsi="Courier New"/>
                <w:sz w:val="17"/>
                <w:szCs w:val="17"/>
                <w:color w:val="auto"/>
              </w:rPr>
              <w:t>AT&amp;T</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Comcast Preferred Stock...........</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XIV-13</w:t>
            </w:r>
          </w:p>
        </w:tc>
      </w:tr>
      <w:tr>
        <w:trPr>
          <w:trHeight w:val="201"/>
        </w:trPr>
        <w:tc>
          <w:tcPr>
            <w:tcW w:w="472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Dividend Rights........................</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XIV-13</w:t>
            </w:r>
          </w:p>
        </w:tc>
      </w:tr>
      <w:tr>
        <w:trPr>
          <w:trHeight w:val="201"/>
        </w:trPr>
        <w:tc>
          <w:tcPr>
            <w:tcW w:w="472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Rights Upon Liquidation................</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XIV-14</w:t>
            </w:r>
          </w:p>
        </w:tc>
      </w:tr>
      <w:tr>
        <w:trPr>
          <w:trHeight w:val="201"/>
        </w:trPr>
        <w:tc>
          <w:tcPr>
            <w:tcW w:w="472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Transfer Agent and Registrar...........</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XIV-14</w:t>
            </w:r>
          </w:p>
        </w:tc>
      </w:tr>
      <w:tr>
        <w:trPr>
          <w:trHeight w:val="201"/>
        </w:trPr>
        <w:tc>
          <w:tcPr>
            <w:tcW w:w="472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Stock Exchange Listings................</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XIV-14</w:t>
            </w:r>
          </w:p>
        </w:tc>
      </w:tr>
      <w:tr>
        <w:trPr>
          <w:trHeight w:val="201"/>
        </w:trPr>
        <w:tc>
          <w:tcPr>
            <w:tcW w:w="47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DESCRIPTION OF AT&amp;T COMCAST SHAREHOLDER</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RIGHTS PLAN............................</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XIV-15</w:t>
            </w:r>
          </w:p>
        </w:tc>
      </w:tr>
      <w:tr>
        <w:trPr>
          <w:trHeight w:val="201"/>
        </w:trPr>
        <w:tc>
          <w:tcPr>
            <w:tcW w:w="47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INFORMATION REGARDING FORWARD-LOOKING</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STATEMENTS.............................</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XIV-17</w:t>
            </w:r>
          </w:p>
        </w:tc>
      </w:tr>
      <w:tr>
        <w:trPr>
          <w:trHeight w:val="201"/>
        </w:trPr>
        <w:tc>
          <w:tcPr>
            <w:tcW w:w="47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LEGAL MATTERS.............................</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XIV-17</w:t>
            </w:r>
          </w:p>
        </w:tc>
      </w:tr>
      <w:tr>
        <w:trPr>
          <w:trHeight w:val="201"/>
        </w:trPr>
        <w:tc>
          <w:tcPr>
            <w:tcW w:w="47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EXPERTS...................................</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XIV-17</w:t>
            </w:r>
          </w:p>
        </w:tc>
      </w:tr>
      <w:tr>
        <w:trPr>
          <w:trHeight w:val="201"/>
        </w:trPr>
        <w:tc>
          <w:tcPr>
            <w:tcW w:w="4720" w:type="dxa"/>
            <w:vAlign w:val="bottom"/>
            <w:gridSpan w:val="2"/>
          </w:tcPr>
          <w:p>
            <w:pPr>
              <w:spacing w:after="0"/>
              <w:rPr>
                <w:sz w:val="20"/>
                <w:szCs w:val="20"/>
                <w:color w:val="auto"/>
              </w:rPr>
            </w:pPr>
            <w:r>
              <w:rPr>
                <w:rFonts w:ascii="Courier New" w:cs="Courier New" w:eastAsia="Courier New" w:hAnsi="Courier New"/>
                <w:sz w:val="17"/>
                <w:szCs w:val="17"/>
                <w:color w:val="auto"/>
              </w:rPr>
              <w:t>CHAPTER FIFTEEN -- ADDITIONAL INFORMATION</w:t>
            </w:r>
          </w:p>
        </w:tc>
        <w:tc>
          <w:tcPr>
            <w:tcW w:w="740" w:type="dxa"/>
            <w:vAlign w:val="bottom"/>
          </w:tcPr>
          <w:p>
            <w:pPr>
              <w:spacing w:after="0"/>
              <w:rPr>
                <w:sz w:val="17"/>
                <w:szCs w:val="17"/>
                <w:color w:val="auto"/>
              </w:rPr>
            </w:pPr>
          </w:p>
        </w:tc>
      </w:tr>
      <w:tr>
        <w:trPr>
          <w:trHeight w:val="201"/>
        </w:trPr>
        <w:tc>
          <w:tcPr>
            <w:tcW w:w="47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FOR SHAREHOLDERS..........................</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XV-1</w:t>
            </w:r>
          </w:p>
        </w:tc>
      </w:tr>
      <w:tr>
        <w:trPr>
          <w:trHeight w:val="201"/>
        </w:trPr>
        <w:tc>
          <w:tcPr>
            <w:tcW w:w="47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FUTURE SHAREHOLDER PROPOSALS..............</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XV-1</w:t>
            </w:r>
          </w:p>
        </w:tc>
      </w:tr>
      <w:tr>
        <w:trPr>
          <w:trHeight w:val="201"/>
        </w:trPr>
        <w:tc>
          <w:tcPr>
            <w:tcW w:w="47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WHERE YOU CAN FIND MORE INFORMATION.......</w:t>
            </w:r>
          </w:p>
        </w:tc>
        <w:tc>
          <w:tcPr>
            <w:tcW w:w="740" w:type="dxa"/>
            <w:vAlign w:val="bottom"/>
          </w:tcPr>
          <w:p>
            <w:pPr>
              <w:ind w:left="100"/>
              <w:spacing w:after="0"/>
              <w:rPr>
                <w:sz w:val="20"/>
                <w:szCs w:val="20"/>
                <w:color w:val="auto"/>
              </w:rPr>
            </w:pPr>
            <w:r>
              <w:rPr>
                <w:rFonts w:ascii="Courier New" w:cs="Courier New" w:eastAsia="Courier New" w:hAnsi="Courier New"/>
                <w:sz w:val="17"/>
                <w:szCs w:val="17"/>
                <w:color w:val="auto"/>
              </w:rPr>
              <w:t>XV-1</w:t>
            </w:r>
          </w:p>
        </w:tc>
      </w:tr>
      <w:tr>
        <w:trPr>
          <w:trHeight w:val="604"/>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ANNEXES</w:t>
            </w:r>
          </w:p>
        </w:tc>
        <w:tc>
          <w:tcPr>
            <w:tcW w:w="3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06"/>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 A</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Agreement and Plan of Merger</w:t>
            </w:r>
          </w:p>
        </w:tc>
        <w:tc>
          <w:tcPr>
            <w:tcW w:w="740" w:type="dxa"/>
            <w:vAlign w:val="bottom"/>
          </w:tcPr>
          <w:p>
            <w:pPr>
              <w:spacing w:after="0"/>
              <w:rPr>
                <w:sz w:val="24"/>
                <w:szCs w:val="24"/>
                <w:color w:val="auto"/>
              </w:rPr>
            </w:pPr>
          </w:p>
        </w:tc>
      </w:tr>
      <w:tr>
        <w:trPr>
          <w:trHeight w:val="201"/>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 B</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Separation and Distribution</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Agreement</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 C</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Form of AT&amp;T Comcast Charter</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(Preferred Structure)</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 D</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Term Sheet for AT&amp;T Comcast</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Charter (Alternative Structure)</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 E</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Form of Comcast Charter Amendment</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 F</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Form of AT&amp;T Comcast Bylaws</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 G</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Opinion of Morgan Stanley &amp; Co.</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Incorporated</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 H</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Opinion of J.P. Morgan</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Securities, Inc.</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 I</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Opinion of Merrill Lynch, Pierce,</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Fenner &amp; Smith, Incorporated</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 J</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Opinion of Credit Suisse First</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Boston Corporation</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 K</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Opinion of Goldman, Sachs &amp; Co.</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 L</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Index to Financial Statements</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 M</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Form of Certificate of Amendment</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of the Certificate of</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Incorporation of AT&amp;T Corp.</w:t>
            </w:r>
          </w:p>
        </w:tc>
        <w:tc>
          <w:tcPr>
            <w:tcW w:w="740" w:type="dxa"/>
            <w:vAlign w:val="bottom"/>
          </w:tcPr>
          <w:p>
            <w:pPr>
              <w:spacing w:after="0"/>
              <w:rPr>
                <w:sz w:val="17"/>
                <w:szCs w:val="17"/>
                <w:color w:val="auto"/>
              </w:rPr>
            </w:pPr>
          </w:p>
        </w:tc>
      </w:tr>
      <w:tr>
        <w:trPr>
          <w:trHeight w:val="201"/>
        </w:trPr>
        <w:tc>
          <w:tcPr>
            <w:tcW w:w="1060" w:type="dxa"/>
            <w:vAlign w:val="bottom"/>
          </w:tcPr>
          <w:p>
            <w:pPr>
              <w:spacing w:after="0"/>
              <w:rPr>
                <w:sz w:val="20"/>
                <w:szCs w:val="20"/>
                <w:color w:val="auto"/>
              </w:rPr>
            </w:pPr>
            <w:r>
              <w:rPr>
                <w:rFonts w:ascii="Courier New" w:cs="Courier New" w:eastAsia="Courier New" w:hAnsi="Courier New"/>
                <w:sz w:val="17"/>
                <w:szCs w:val="17"/>
                <w:color w:val="auto"/>
              </w:rPr>
              <w:t>Annex N</w:t>
            </w:r>
          </w:p>
        </w:tc>
        <w:tc>
          <w:tcPr>
            <w:tcW w:w="3660" w:type="dxa"/>
            <w:vAlign w:val="bottom"/>
          </w:tcPr>
          <w:p>
            <w:pPr>
              <w:spacing w:after="0"/>
              <w:rPr>
                <w:sz w:val="20"/>
                <w:szCs w:val="20"/>
                <w:color w:val="auto"/>
              </w:rPr>
            </w:pPr>
            <w:r>
              <w:rPr>
                <w:rFonts w:ascii="Courier New" w:cs="Courier New" w:eastAsia="Courier New" w:hAnsi="Courier New"/>
                <w:sz w:val="17"/>
                <w:szCs w:val="17"/>
                <w:color w:val="auto"/>
              </w:rPr>
              <w:t>Form of Amendment of the Bylaws</w:t>
            </w:r>
          </w:p>
        </w:tc>
        <w:tc>
          <w:tcPr>
            <w:tcW w:w="740" w:type="dxa"/>
            <w:vAlign w:val="bottom"/>
          </w:tcPr>
          <w:p>
            <w:pPr>
              <w:spacing w:after="0"/>
              <w:rPr>
                <w:sz w:val="17"/>
                <w:szCs w:val="17"/>
                <w:color w:val="auto"/>
              </w:rPr>
            </w:pPr>
          </w:p>
        </w:tc>
      </w:tr>
    </w:tbl>
    <w:p>
      <w:pPr>
        <w:sectPr>
          <w:pgSz w:w="11900" w:h="16838" w:orient="portrait"/>
          <w:cols w:equalWidth="0" w:num="1">
            <w:col w:w="10219"/>
          </w:cols>
          <w:pgMar w:left="240" w:top="1122" w:right="1440" w:bottom="0" w:gutter="0" w:footer="0" w:header="0"/>
        </w:sectPr>
      </w:pPr>
    </w:p>
    <w:bookmarkStart w:id="7" w:name="page8"/>
    <w:bookmarkEnd w:id="7"/>
    <w:p>
      <w:pPr>
        <w:ind w:left="1060"/>
        <w:spacing w:after="0"/>
        <w:rPr>
          <w:sz w:val="20"/>
          <w:szCs w:val="20"/>
          <w:color w:val="auto"/>
        </w:rPr>
      </w:pPr>
      <w:r>
        <w:rPr>
          <w:rFonts w:ascii="Courier New" w:cs="Courier New" w:eastAsia="Courier New" w:hAnsi="Courier New"/>
          <w:sz w:val="17"/>
          <w:szCs w:val="17"/>
          <w:color w:val="auto"/>
        </w:rPr>
        <w:t>of AT&amp;T Corp.</w:t>
      </w:r>
    </w:p>
    <w:p>
      <w:pPr>
        <w:spacing w:after="0" w:line="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Annex O</w:t>
      </w:r>
      <w:r>
        <w:rPr>
          <w:sz w:val="20"/>
          <w:szCs w:val="20"/>
          <w:color w:val="auto"/>
        </w:rPr>
        <w:tab/>
      </w:r>
      <w:r>
        <w:rPr>
          <w:rFonts w:ascii="Courier New" w:cs="Courier New" w:eastAsia="Courier New" w:hAnsi="Courier New"/>
          <w:sz w:val="17"/>
          <w:szCs w:val="17"/>
          <w:color w:val="auto"/>
        </w:rPr>
        <w:t>AT&amp;T Corp. Board of Directors</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Policy Statement Regarding AT&amp;T</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Groups Tracking Stock Matters</w:t>
      </w:r>
    </w:p>
    <w:p>
      <w:pPr>
        <w:spacing w:after="0" w:line="200" w:lineRule="exact"/>
        <w:rPr>
          <w:sz w:val="20"/>
          <w:szCs w:val="20"/>
          <w:color w:val="auto"/>
        </w:rPr>
      </w:pPr>
    </w:p>
    <w:p>
      <w:pPr>
        <w:spacing w:after="0" w:line="212" w:lineRule="exact"/>
        <w:rPr>
          <w:sz w:val="20"/>
          <w:szCs w:val="20"/>
          <w:color w:val="auto"/>
        </w:rPr>
      </w:pPr>
    </w:p>
    <w:p>
      <w:pPr>
        <w:jc w:val="right"/>
        <w:ind w:right="5819"/>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219"/>
          </w:cols>
          <w:pgMar w:left="240" w:top="142" w:right="1440" w:bottom="1440" w:gutter="0" w:footer="0" w:header="0"/>
        </w:sectPr>
      </w:pPr>
    </w:p>
    <w:bookmarkStart w:id="8" w:name="page9"/>
    <w:bookmarkEnd w:id="8"/>
    <w:p>
      <w:pPr>
        <w:jc w:val="center"/>
        <w:ind w:right="1939"/>
        <w:spacing w:after="0"/>
        <w:rPr>
          <w:sz w:val="20"/>
          <w:szCs w:val="20"/>
          <w:color w:val="auto"/>
        </w:rPr>
      </w:pPr>
      <w:r>
        <w:rPr>
          <w:rFonts w:ascii="Courier New" w:cs="Courier New" w:eastAsia="Courier New" w:hAnsi="Courier New"/>
          <w:sz w:val="17"/>
          <w:szCs w:val="17"/>
          <w:color w:val="auto"/>
        </w:rPr>
        <w:t>CHAPTER ONE</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SUMMARY AND OVERVIEW OF THE TRANSACTIONS</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QUESTIONS AND ANSWERS ABOUT THE TRANSACTIONS</w:t>
      </w:r>
    </w:p>
    <w:p>
      <w:pPr>
        <w:spacing w:after="0" w:line="210" w:lineRule="exact"/>
        <w:rPr>
          <w:sz w:val="20"/>
          <w:szCs w:val="20"/>
          <w:color w:val="auto"/>
        </w:rPr>
      </w:pPr>
    </w:p>
    <w:p>
      <w:pPr>
        <w:ind w:left="420" w:hanging="413"/>
        <w:spacing w:after="0"/>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and where will the meetings of shareholders take place?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  The Comcast special meeting</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will take place</w:t>
            </w:r>
          </w:p>
        </w:tc>
        <w:tc>
          <w:tcPr>
            <w:tcW w:w="1100" w:type="dxa"/>
            <w:vAlign w:val="bottom"/>
          </w:tcPr>
          <w:p>
            <w:pPr>
              <w:ind w:left="60"/>
              <w:spacing w:after="0"/>
              <w:rPr>
                <w:sz w:val="20"/>
                <w:szCs w:val="20"/>
                <w:color w:val="auto"/>
              </w:rPr>
            </w:pPr>
            <w:r>
              <w:rPr>
                <w:rFonts w:ascii="Courier New" w:cs="Courier New" w:eastAsia="Courier New" w:hAnsi="Courier New"/>
                <w:sz w:val="17"/>
                <w:szCs w:val="17"/>
                <w:color w:val="auto"/>
              </w:rPr>
              <w:t>on [</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 2002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in</w:t>
            </w:r>
          </w:p>
        </w:tc>
      </w:tr>
      <w:tr>
        <w:trPr>
          <w:trHeight w:val="201"/>
        </w:trPr>
        <w:tc>
          <w:tcPr>
            <w:tcW w:w="33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Philadelphia, Pennsylvania.</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The AT&amp;T annual</w:t>
            </w:r>
          </w:p>
        </w:tc>
        <w:tc>
          <w:tcPr>
            <w:tcW w:w="27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meeting will take place on</w:t>
            </w:r>
          </w:p>
        </w:tc>
      </w:tr>
      <w:tr>
        <w:trPr>
          <w:trHeight w:val="201"/>
        </w:trPr>
        <w:tc>
          <w:tcPr>
            <w:tcW w:w="116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ind w:left="620"/>
              <w:spacing w:after="0"/>
              <w:rPr>
                <w:sz w:val="20"/>
                <w:szCs w:val="20"/>
                <w:color w:val="auto"/>
              </w:rPr>
            </w:pPr>
            <w:r>
              <w:rPr>
                <w:rFonts w:ascii="Courier New" w:cs="Courier New" w:eastAsia="Courier New" w:hAnsi="Courier New"/>
                <w:sz w:val="17"/>
                <w:szCs w:val="17"/>
                <w:color w:val="auto"/>
              </w:rPr>
              <w:t>], 2002 in</w:t>
            </w:r>
          </w:p>
        </w:tc>
        <w:tc>
          <w:tcPr>
            <w:tcW w:w="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ind w:left="1000"/>
              <w:spacing w:after="0"/>
              <w:rPr>
                <w:sz w:val="20"/>
                <w:szCs w:val="20"/>
                <w:color w:val="auto"/>
              </w:rPr>
            </w:pPr>
            <w:r>
              <w:rPr>
                <w:rFonts w:ascii="Courier New" w:cs="Courier New" w:eastAsia="Courier New" w:hAnsi="Courier New"/>
                <w:sz w:val="17"/>
                <w:szCs w:val="17"/>
                <w:color w:val="auto"/>
              </w:rPr>
              <w:t>]. The</w:t>
            </w:r>
          </w:p>
        </w:tc>
        <w:tc>
          <w:tcPr>
            <w:tcW w:w="2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address of your meeting</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is</w:t>
            </w:r>
          </w:p>
        </w:tc>
      </w:tr>
      <w:tr>
        <w:trPr>
          <w:trHeight w:val="201"/>
        </w:trPr>
        <w:tc>
          <w:tcPr>
            <w:tcW w:w="288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specified in the notice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for</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your meeting.</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5" w:lineRule="exact"/>
        <w:rPr>
          <w:sz w:val="20"/>
          <w:szCs w:val="20"/>
          <w:color w:val="auto"/>
        </w:rPr>
      </w:pPr>
    </w:p>
    <w:p>
      <w:pPr>
        <w:ind w:left="420" w:right="2139" w:hanging="413"/>
        <w:spacing w:after="0" w:line="257"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proposals am I being asked to vote upon and what vote is required to approve each proposal?</w:t>
      </w:r>
    </w:p>
    <w:p>
      <w:pPr>
        <w:spacing w:after="0" w:line="192" w:lineRule="exact"/>
        <w:rPr>
          <w:sz w:val="20"/>
          <w:szCs w:val="20"/>
          <w:color w:val="auto"/>
        </w:rPr>
      </w:pPr>
    </w:p>
    <w:p>
      <w:pPr>
        <w:ind w:left="420" w:right="2459" w:hanging="413"/>
        <w:spacing w:after="0" w:line="257"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are a Comcast shareholder, you are being asked to vote upon the following proposals:</w:t>
      </w:r>
    </w:p>
    <w:p>
      <w:pPr>
        <w:spacing w:after="0" w:line="191" w:lineRule="exact"/>
        <w:rPr>
          <w:rFonts w:ascii="Courier New" w:cs="Courier New" w:eastAsia="Courier New" w:hAnsi="Courier New"/>
          <w:sz w:val="17"/>
          <w:szCs w:val="17"/>
          <w:color w:val="auto"/>
        </w:rPr>
      </w:pPr>
    </w:p>
    <w:p>
      <w:pPr>
        <w:ind w:left="640" w:right="1839" w:hanging="214"/>
        <w:spacing w:after="0" w:line="251" w:lineRule="auto"/>
        <w:tabs>
          <w:tab w:leader="none" w:pos="64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and adoption of the merger agreement and the transactions contemplated by the merger agreement. This proposal, which is referred to in this document as the "Comcast transaction proposal," requires the affirmative vote of a majority of the votes cast by holders of shares of Comcast Class A common stock and Comcast Class B common stock, voting together as a single class. Each holder of Comcast Class B common stock is entitled to 15 votes per share, and each holder of Comcast Class A common stock is entitled to one vote per share. Approval of this proposal is assured because Sural LLC, which holds approximately 86.7% of the combined voting power of the Comcast stock, has agreed to vote its shares in favor of the AT&amp;T Comcast transaction. Any shares of Comcast Class A common stock not voted (whether by abstention, broker non-vote or otherwise) have no impact on the vote.</w:t>
      </w:r>
    </w:p>
    <w:p>
      <w:pPr>
        <w:spacing w:after="0" w:line="201" w:lineRule="exact"/>
        <w:rPr>
          <w:rFonts w:ascii="Courier New" w:cs="Courier New" w:eastAsia="Courier New" w:hAnsi="Courier New"/>
          <w:sz w:val="17"/>
          <w:szCs w:val="17"/>
          <w:color w:val="auto"/>
        </w:rPr>
      </w:pPr>
    </w:p>
    <w:p>
      <w:pPr>
        <w:ind w:left="640" w:right="1839" w:hanging="214"/>
        <w:spacing w:after="0" w:line="251" w:lineRule="auto"/>
        <w:tabs>
          <w:tab w:leader="none" w:pos="64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and adoption of an amendment to the Comcast charter to allow the implementation of the Preferred Structure. This proposal, which is referred to in this document as the "preferred structure proposal," requires the affirmative vote of a majority of the votes cast by holders of shares of Comcast Class A common stock, voting as a single class, and holders of shares of Comcast Class A common stock and Comcast Class B common stock, voting together as a single class. Each holder of Comcast Class B common stock is entitled to 15 votes per share, and each holder of Comcast Class A common stock is entitled to one vote per share. If holders of Comcast Class A common stock, voting as a single class, approve this proposal, implementation of the AT&amp;T Comcast capital structure referred to in this document as the "Preferred Structure" will be assured because Sural LLC has indicated that it will vote in favor of the proposal, thereby assuring approval by holders of Comcast Class A common stock and Comcast Class B common stock, voting together as a single class. Any shares of Comcast Class A common stock not voted (whether by abstention, broker non-vote or otherwise) have no impact on the vote.</w:t>
      </w:r>
    </w:p>
    <w:p>
      <w:pPr>
        <w:spacing w:after="0" w:line="201" w:lineRule="exact"/>
        <w:rPr>
          <w:rFonts w:ascii="Courier New" w:cs="Courier New" w:eastAsia="Courier New" w:hAnsi="Courier New"/>
          <w:sz w:val="17"/>
          <w:szCs w:val="17"/>
          <w:color w:val="auto"/>
        </w:rPr>
      </w:pPr>
    </w:p>
    <w:p>
      <w:pPr>
        <w:ind w:left="640" w:right="1839" w:hanging="214"/>
        <w:spacing w:after="0" w:line="251" w:lineRule="auto"/>
        <w:tabs>
          <w:tab w:leader="none" w:pos="64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proposals. Approval of any shareholder proposal requires the affirmative vote of a majority of the votes cast by holders of shares of Comcast Class A common stock and Comcast Class B common stock, voting together as a single class. Each holder of Comcast Class B common stock is entitled to 15 votes per share, and each holder of Comcast Class A common stock is entitled to one vote per share. Any shares of Comcast Class A common stock not voted (whether by abstention, broker non-vote or otherwise) have no impact on the vote. As of the date of this document, Comcast is not aware of any shareholder proposal to be voted on at the Comcast special meeting.</w:t>
      </w:r>
    </w:p>
    <w:p>
      <w:pPr>
        <w:spacing w:after="0" w:line="201" w:lineRule="exact"/>
        <w:rPr>
          <w:sz w:val="20"/>
          <w:szCs w:val="20"/>
          <w:color w:val="auto"/>
        </w:rPr>
      </w:pPr>
    </w:p>
    <w:p>
      <w:pPr>
        <w:ind w:left="420" w:right="2679"/>
        <w:spacing w:after="0" w:line="257" w:lineRule="auto"/>
        <w:rPr>
          <w:sz w:val="20"/>
          <w:szCs w:val="20"/>
          <w:color w:val="auto"/>
        </w:rPr>
      </w:pPr>
      <w:r>
        <w:rPr>
          <w:rFonts w:ascii="Courier New" w:cs="Courier New" w:eastAsia="Courier New" w:hAnsi="Courier New"/>
          <w:sz w:val="17"/>
          <w:szCs w:val="17"/>
          <w:color w:val="auto"/>
        </w:rPr>
        <w:t>If you are an AT&amp;T shareholder, you are being asked to vote upon the following proposals:</w:t>
      </w:r>
    </w:p>
    <w:p>
      <w:pPr>
        <w:spacing w:after="0" w:line="192" w:lineRule="exact"/>
        <w:rPr>
          <w:sz w:val="20"/>
          <w:szCs w:val="20"/>
          <w:color w:val="auto"/>
        </w:rPr>
      </w:pPr>
    </w:p>
    <w:p>
      <w:pPr>
        <w:ind w:left="640" w:right="2359" w:hanging="214"/>
        <w:spacing w:after="0" w:line="253" w:lineRule="auto"/>
        <w:tabs>
          <w:tab w:leader="none" w:pos="6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and adoption of the merger agreement and the transactions contemplated by the merger agreement, including the AT&amp;T Broadband spin-off. This proposal, which is referred to in this document as the "AT&amp;T transaction proposal," requires the affirmative vote of a</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I-1</w:t>
      </w:r>
    </w:p>
    <w:p>
      <w:pPr>
        <w:sectPr>
          <w:pgSz w:w="11900" w:h="16838" w:orient="portrait"/>
          <w:cols w:equalWidth="0" w:num="1">
            <w:col w:w="10219"/>
          </w:cols>
          <w:pgMar w:left="240" w:top="719" w:right="1440" w:bottom="1440" w:gutter="0" w:footer="0" w:header="0"/>
        </w:sectPr>
      </w:pPr>
    </w:p>
    <w:bookmarkStart w:id="9" w:name="page10"/>
    <w:bookmarkEnd w:id="9"/>
    <w:p>
      <w:pPr>
        <w:ind w:left="633" w:right="2139"/>
        <w:spacing w:after="0" w:line="253" w:lineRule="auto"/>
        <w:rPr>
          <w:sz w:val="20"/>
          <w:szCs w:val="20"/>
          <w:color w:val="auto"/>
        </w:rPr>
      </w:pPr>
      <w:r>
        <w:rPr>
          <w:rFonts w:ascii="Courier New" w:cs="Courier New" w:eastAsia="Courier New" w:hAnsi="Courier New"/>
          <w:sz w:val="17"/>
          <w:szCs w:val="17"/>
          <w:color w:val="auto"/>
        </w:rPr>
        <w:t>majority of outstanding shares of AT&amp;T common stock. Any shares of AT&amp;T common stock not voted (whether by abstention, broker non-vote or otherwise) have the effect of a vote against the AT&amp;T transaction proposal.</w:t>
      </w:r>
    </w:p>
    <w:p>
      <w:pPr>
        <w:spacing w:after="0" w:line="195" w:lineRule="exact"/>
        <w:rPr>
          <w:sz w:val="20"/>
          <w:szCs w:val="20"/>
          <w:color w:val="auto"/>
        </w:rPr>
      </w:pPr>
    </w:p>
    <w:p>
      <w:pPr>
        <w:ind w:left="633" w:right="1839" w:hanging="214"/>
        <w:spacing w:after="0" w:line="252" w:lineRule="auto"/>
        <w:tabs>
          <w:tab w:leader="none" w:pos="63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and adoption of an amendment to AT&amp;T's charter to authorize the creation of AT&amp;T Consumer Services Group tracking stock. This proposal, which is referred to in this document as the "Consumer Services charter amendment proposal," requires the affirmative vote of a majority of outstanding shares of AT&amp;T common stock. Any shares of AT&amp;T common stock not voted (whether by abstention, broker non-vote or otherwise) have the effect of a vote against the Consumer Services charter amendment proposal.</w:t>
      </w:r>
    </w:p>
    <w:p>
      <w:pPr>
        <w:spacing w:after="0" w:line="195" w:lineRule="exact"/>
        <w:rPr>
          <w:rFonts w:ascii="Courier New" w:cs="Courier New" w:eastAsia="Courier New" w:hAnsi="Courier New"/>
          <w:sz w:val="17"/>
          <w:szCs w:val="17"/>
          <w:color w:val="auto"/>
        </w:rPr>
      </w:pPr>
    </w:p>
    <w:p>
      <w:pPr>
        <w:ind w:left="633" w:right="1839" w:hanging="214"/>
        <w:spacing w:after="0" w:line="252" w:lineRule="auto"/>
        <w:tabs>
          <w:tab w:leader="none" w:pos="63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of a new incentive plan to enable AT&amp;T to grant incentive awards based on shares of AT&amp;T Consumer Services Group tracking stock. This proposal, which is referred to in this document as the "incentive plan proposal," requires the affirmative vote of a majority of the votes cast by holders of AT&amp;T common stock. Any shares of AT&amp;T common stock not voted (whether by abstention, broker non-vote or otherwise) have no impact on the vote.</w:t>
      </w:r>
    </w:p>
    <w:p>
      <w:pPr>
        <w:spacing w:after="0" w:line="195" w:lineRule="exact"/>
        <w:rPr>
          <w:rFonts w:ascii="Courier New" w:cs="Courier New" w:eastAsia="Courier New" w:hAnsi="Courier New"/>
          <w:sz w:val="17"/>
          <w:szCs w:val="17"/>
          <w:color w:val="auto"/>
        </w:rPr>
      </w:pPr>
    </w:p>
    <w:p>
      <w:pPr>
        <w:ind w:left="633" w:right="1939" w:hanging="214"/>
        <w:spacing w:after="0" w:line="252" w:lineRule="auto"/>
        <w:tabs>
          <w:tab w:leader="none" w:pos="63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of an amendment to AT&amp;T's employee stock purchase plan to permit the issuance of AT&amp;T Consumer Services Group tracking stock under the plan. This proposal, which is referred to in this document as the "employee stock purchase plan proposal," requires the affirmative vote of a majority of the votes cast by holders of AT&amp;T common stock. Any shares of AT&amp;T common stock not voted (whether by abstention, broker non-vote or otherwise) have no impact on the vote.</w:t>
      </w:r>
    </w:p>
    <w:p>
      <w:pPr>
        <w:spacing w:after="0" w:line="196" w:lineRule="exact"/>
        <w:rPr>
          <w:sz w:val="20"/>
          <w:szCs w:val="20"/>
          <w:color w:val="auto"/>
        </w:rPr>
      </w:pPr>
    </w:p>
    <w:p>
      <w:pPr>
        <w:ind w:left="633" w:right="1839" w:hanging="219"/>
        <w:spacing w:after="0" w:line="251" w:lineRule="auto"/>
        <w:tabs>
          <w:tab w:leader="none" w:pos="612" w:val="left"/>
        </w:tabs>
        <w:rPr>
          <w:sz w:val="20"/>
          <w:szCs w:val="20"/>
          <w:color w:val="auto"/>
        </w:rPr>
      </w:pPr>
      <w:r>
        <w:rPr>
          <w:rFonts w:ascii="Courier New" w:cs="Courier New" w:eastAsia="Courier New" w:hAnsi="Courier New"/>
          <w:sz w:val="17"/>
          <w:szCs w:val="17"/>
          <w:color w:val="auto"/>
        </w:rPr>
        <w:t>-</w:t>
        <w:tab/>
        <w:t>Election of directors. The nominees who receive the most votes of holders of AT&amp;T common stock will be elected. Any shares of AT&amp;T common stock not voted (whether by abstention or otherwise) have no impact on the</w:t>
      </w:r>
    </w:p>
    <w:p>
      <w:pPr>
        <w:ind w:left="633" w:right="1839"/>
        <w:spacing w:after="0" w:line="253" w:lineRule="auto"/>
        <w:rPr>
          <w:sz w:val="20"/>
          <w:szCs w:val="20"/>
          <w:color w:val="auto"/>
        </w:rPr>
      </w:pPr>
      <w:r>
        <w:rPr>
          <w:rFonts w:ascii="Courier New" w:cs="Courier New" w:eastAsia="Courier New" w:hAnsi="Courier New"/>
          <w:sz w:val="17"/>
          <w:szCs w:val="17"/>
          <w:color w:val="auto"/>
        </w:rPr>
        <w:t>vote. If you are an AT&amp;T shareholder and you do not wish your shares to be voted for a particular nominee, you may identify the exceptions in the designated space provided on the proxy card or, if you are voting by telephone or the Internet, follow the system instructions.</w:t>
      </w:r>
    </w:p>
    <w:p>
      <w:pPr>
        <w:spacing w:after="0" w:line="195" w:lineRule="exact"/>
        <w:rPr>
          <w:sz w:val="20"/>
          <w:szCs w:val="20"/>
          <w:color w:val="auto"/>
        </w:rPr>
      </w:pPr>
    </w:p>
    <w:p>
      <w:pPr>
        <w:ind w:left="633" w:right="1839" w:hanging="214"/>
        <w:spacing w:after="0" w:line="252" w:lineRule="auto"/>
        <w:tabs>
          <w:tab w:leader="none" w:pos="633"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Ratification of independent auditors. This proposal requires the affirmative vote of a majority of the votes cast by holders of AT&amp;T common stock. Any shares of AT&amp;T common stock not voted (whether by abstention or otherwise) have no impact on the vote. If the shareholders do not ratify this amendment, other independent auditors will be considered by the AT&amp;T Board upon recommendation of the AT&amp;T Audit Committee.</w:t>
      </w:r>
    </w:p>
    <w:p>
      <w:pPr>
        <w:spacing w:after="0" w:line="196" w:lineRule="exact"/>
        <w:rPr>
          <w:rFonts w:ascii="Courier New" w:cs="Courier New" w:eastAsia="Courier New" w:hAnsi="Courier New"/>
          <w:sz w:val="17"/>
          <w:szCs w:val="17"/>
          <w:color w:val="auto"/>
        </w:rPr>
      </w:pPr>
    </w:p>
    <w:p>
      <w:pPr>
        <w:ind w:left="633" w:right="1839" w:hanging="214"/>
        <w:spacing w:after="0" w:line="253" w:lineRule="auto"/>
        <w:tabs>
          <w:tab w:leader="none" w:pos="633"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proposals. Approval of any shareholder proposal requires the affirmative vote of a majority of the votes cast by holders of AT&amp;T common stock. Any shares of AT&amp;T common stock not voted (whether by abstention or otherwise) have no impact on the vote.</w:t>
      </w:r>
    </w:p>
    <w:p>
      <w:pPr>
        <w:spacing w:after="0" w:line="195" w:lineRule="exact"/>
        <w:rPr>
          <w:rFonts w:ascii="Courier New" w:cs="Courier New" w:eastAsia="Courier New" w:hAnsi="Courier New"/>
          <w:sz w:val="17"/>
          <w:szCs w:val="17"/>
          <w:color w:val="auto"/>
        </w:rPr>
      </w:pPr>
    </w:p>
    <w:p>
      <w:pPr>
        <w:ind w:left="413" w:hanging="413"/>
        <w:spacing w:after="0"/>
        <w:tabs>
          <w:tab w:leader="none" w:pos="413"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if I return my proxy but do not mark it to show how I am voting?</w:t>
      </w:r>
    </w:p>
    <w:p>
      <w:pPr>
        <w:spacing w:after="0" w:line="210" w:lineRule="exact"/>
        <w:rPr>
          <w:sz w:val="20"/>
          <w:szCs w:val="20"/>
          <w:color w:val="auto"/>
        </w:rPr>
      </w:pPr>
    </w:p>
    <w:p>
      <w:pPr>
        <w:ind w:left="413" w:right="2039" w:hanging="413"/>
        <w:spacing w:after="0" w:line="257" w:lineRule="auto"/>
        <w:tabs>
          <w:tab w:leader="none" w:pos="41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your proxy card is signed and returned without specifying your choices, the shares will be voted as recommended by your board of directors.</w:t>
      </w:r>
    </w:p>
    <w:p>
      <w:pPr>
        <w:spacing w:after="0" w:line="192" w:lineRule="exact"/>
        <w:rPr>
          <w:sz w:val="20"/>
          <w:szCs w:val="20"/>
          <w:color w:val="auto"/>
        </w:rPr>
      </w:pPr>
    </w:p>
    <w:p>
      <w:pPr>
        <w:ind w:left="413" w:hanging="413"/>
        <w:spacing w:after="0"/>
        <w:tabs>
          <w:tab w:leader="none" w:pos="41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do I need to do now?</w:t>
      </w:r>
    </w:p>
    <w:p>
      <w:pPr>
        <w:spacing w:after="0" w:line="210" w:lineRule="exact"/>
        <w:rPr>
          <w:sz w:val="20"/>
          <w:szCs w:val="20"/>
          <w:color w:val="auto"/>
        </w:rPr>
      </w:pPr>
    </w:p>
    <w:p>
      <w:pPr>
        <w:ind w:left="413" w:right="1939" w:hanging="413"/>
        <w:spacing w:after="0" w:line="252" w:lineRule="auto"/>
        <w:tabs>
          <w:tab w:leader="none" w:pos="41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carefully reading and considering the information contained in this document, please respond by completing, signing and dating your proxy card or voting instructions and returning it in the enclosed postage paid envelope, or, if available, by submitting your proxy or voting instructions by telephone or through the Internet, as soon as possible so that your shares may be represented at your meeting.</w:t>
      </w:r>
    </w:p>
    <w:p>
      <w:pPr>
        <w:spacing w:after="0" w:line="196" w:lineRule="exact"/>
        <w:rPr>
          <w:rFonts w:ascii="Courier New" w:cs="Courier New" w:eastAsia="Courier New" w:hAnsi="Courier New"/>
          <w:sz w:val="17"/>
          <w:szCs w:val="17"/>
          <w:color w:val="auto"/>
        </w:rPr>
      </w:pPr>
    </w:p>
    <w:p>
      <w:pPr>
        <w:ind w:left="413" w:right="18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Registered shareholders and most beneficial holders that hold shares through a bank or broker may vote by telephone or via the Internet. If one of the options of voting by telephone or via the Internet is available to you, we strongly encourage you to use it because it is faster and less costly.</w:t>
      </w:r>
    </w:p>
    <w:p>
      <w:pPr>
        <w:spacing w:after="0" w:line="195" w:lineRule="exact"/>
        <w:rPr>
          <w:sz w:val="20"/>
          <w:szCs w:val="20"/>
          <w:color w:val="auto"/>
        </w:rPr>
      </w:pPr>
    </w:p>
    <w:p>
      <w:pPr>
        <w:ind w:left="413" w:right="2779"/>
        <w:spacing w:after="0" w:line="257" w:lineRule="auto"/>
        <w:rPr>
          <w:sz w:val="20"/>
          <w:szCs w:val="20"/>
          <w:color w:val="auto"/>
        </w:rPr>
      </w:pPr>
      <w:r>
        <w:rPr>
          <w:rFonts w:ascii="Courier New" w:cs="Courier New" w:eastAsia="Courier New" w:hAnsi="Courier New"/>
          <w:sz w:val="17"/>
          <w:szCs w:val="17"/>
          <w:color w:val="auto"/>
        </w:rPr>
        <w:t>Registered shareholders of Comcast can vote by telephone by calling 1-800-[ ] or via the Internet at http://[ ].</w:t>
      </w:r>
    </w:p>
    <w:p>
      <w:pPr>
        <w:spacing w:after="0" w:line="192"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I-2</w:t>
      </w:r>
    </w:p>
    <w:p>
      <w:pPr>
        <w:sectPr>
          <w:pgSz w:w="11900" w:h="16838" w:orient="portrait"/>
          <w:cols w:equalWidth="0" w:num="1">
            <w:col w:w="10212"/>
          </w:cols>
          <w:pgMar w:left="247" w:top="719" w:right="1440" w:bottom="1062" w:gutter="0" w:footer="0" w:header="0"/>
        </w:sectPr>
      </w:pPr>
    </w:p>
    <w:bookmarkStart w:id="10" w:name="page11"/>
    <w:bookmarkEnd w:id="10"/>
    <w:p>
      <w:pPr>
        <w:ind w:left="413" w:right="1839"/>
        <w:spacing w:after="0" w:line="252" w:lineRule="auto"/>
        <w:rPr>
          <w:sz w:val="20"/>
          <w:szCs w:val="20"/>
          <w:color w:val="auto"/>
        </w:rPr>
      </w:pPr>
      <w:r>
        <w:rPr>
          <w:rFonts w:ascii="Courier New" w:cs="Courier New" w:eastAsia="Courier New" w:hAnsi="Courier New"/>
          <w:sz w:val="17"/>
          <w:szCs w:val="17"/>
          <w:color w:val="auto"/>
        </w:rPr>
        <w:t>Registered shareholders of AT&amp;T can vote by telephone by calling 1-800-273-1174 or via the Internet at http://att.proxyvoting.com. If you are a beneficial holder of Comcast common stock or AT&amp;T common stock that holds shares through a bank or broker, you will receive separate voting instructions on the form you receive from the bank or broker.</w:t>
      </w:r>
    </w:p>
    <w:p>
      <w:pPr>
        <w:spacing w:after="0" w:line="197" w:lineRule="exact"/>
        <w:rPr>
          <w:sz w:val="20"/>
          <w:szCs w:val="20"/>
          <w:color w:val="auto"/>
        </w:rPr>
      </w:pPr>
    </w:p>
    <w:p>
      <w:pPr>
        <w:ind w:left="413" w:right="2359" w:hanging="413"/>
        <w:spacing w:after="0" w:line="257" w:lineRule="auto"/>
        <w:tabs>
          <w:tab w:leader="none" w:pos="413"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 am a holder of Comcast Class A Special common stock, do I have the right to vote on the AT&amp;T Comcast transaction?</w:t>
      </w:r>
    </w:p>
    <w:p>
      <w:pPr>
        <w:spacing w:after="0" w:line="192" w:lineRule="exact"/>
        <w:rPr>
          <w:sz w:val="20"/>
          <w:szCs w:val="20"/>
          <w:color w:val="auto"/>
        </w:rPr>
      </w:pPr>
    </w:p>
    <w:p>
      <w:pPr>
        <w:ind w:left="413" w:right="1839" w:hanging="413"/>
        <w:spacing w:after="0" w:line="253" w:lineRule="auto"/>
        <w:tabs>
          <w:tab w:leader="none" w:pos="413"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Except as required by applicable law, holders of Comcast Class A Special common stock do not have any voting rights. As required by applicable law, Comcast has forwarded this document to you to notify you of the AT&amp;T Comcast transaction.</w:t>
      </w:r>
    </w:p>
    <w:p>
      <w:pPr>
        <w:spacing w:after="0" w:line="195" w:lineRule="exact"/>
        <w:rPr>
          <w:sz w:val="20"/>
          <w:szCs w:val="20"/>
          <w:color w:val="auto"/>
        </w:rPr>
      </w:pPr>
    </w:p>
    <w:p>
      <w:pPr>
        <w:ind w:left="413" w:hanging="413"/>
        <w:spacing w:after="0"/>
        <w:tabs>
          <w:tab w:leader="none" w:pos="413"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 I change my vote after I have delivered my proxy?</w:t>
      </w:r>
    </w:p>
    <w:p>
      <w:pPr>
        <w:spacing w:after="0" w:line="210" w:lineRule="exact"/>
        <w:rPr>
          <w:sz w:val="20"/>
          <w:szCs w:val="20"/>
          <w:color w:val="auto"/>
        </w:rPr>
      </w:pPr>
    </w:p>
    <w:p>
      <w:pPr>
        <w:ind w:left="413" w:right="1839" w:hanging="413"/>
        <w:spacing w:after="0" w:line="257" w:lineRule="auto"/>
        <w:tabs>
          <w:tab w:leader="none" w:pos="413"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Yes. You can change your vote at any time before your proxy is voted at your meeting. You can do this in one of three ways.</w:t>
      </w:r>
    </w:p>
    <w:p>
      <w:pPr>
        <w:spacing w:after="0" w:line="191" w:lineRule="exact"/>
        <w:rPr>
          <w:rFonts w:ascii="Courier New" w:cs="Courier New" w:eastAsia="Courier New" w:hAnsi="Courier New"/>
          <w:sz w:val="17"/>
          <w:szCs w:val="17"/>
          <w:color w:val="auto"/>
        </w:rPr>
      </w:pPr>
    </w:p>
    <w:p>
      <w:pPr>
        <w:ind w:left="633" w:hanging="214"/>
        <w:spacing w:after="0"/>
        <w:tabs>
          <w:tab w:leader="none" w:pos="633"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you can revoke your proxy.</w:t>
      </w:r>
    </w:p>
    <w:p>
      <w:pPr>
        <w:spacing w:after="0" w:line="210" w:lineRule="exact"/>
        <w:rPr>
          <w:rFonts w:ascii="Courier New" w:cs="Courier New" w:eastAsia="Courier New" w:hAnsi="Courier New"/>
          <w:sz w:val="17"/>
          <w:szCs w:val="17"/>
          <w:color w:val="auto"/>
        </w:rPr>
      </w:pPr>
    </w:p>
    <w:p>
      <w:pPr>
        <w:ind w:left="633" w:right="1839" w:hanging="214"/>
        <w:spacing w:after="0" w:line="252" w:lineRule="auto"/>
        <w:tabs>
          <w:tab w:leader="none" w:pos="633"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Second, you can submit a new proxy with a later date. If you choose either of these two methods, you must submit your notice of revocation or your new proxy to the secretary of Comcast or AT&amp;T, as appropriate, before your meeting. If your shares are held in an account at a brokerage firm or bank, you should contact your brokerage firm or bank to change your vote.</w:t>
      </w:r>
    </w:p>
    <w:p>
      <w:pPr>
        <w:spacing w:after="0" w:line="197" w:lineRule="exact"/>
        <w:rPr>
          <w:rFonts w:ascii="Courier New" w:cs="Courier New" w:eastAsia="Courier New" w:hAnsi="Courier New"/>
          <w:sz w:val="17"/>
          <w:szCs w:val="17"/>
          <w:color w:val="auto"/>
        </w:rPr>
      </w:pPr>
    </w:p>
    <w:p>
      <w:pPr>
        <w:ind w:left="633" w:hanging="214"/>
        <w:spacing w:after="0"/>
        <w:tabs>
          <w:tab w:leader="none" w:pos="633"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Third, you can attend your meeting and vote in person.</w:t>
      </w:r>
    </w:p>
    <w:p>
      <w:pPr>
        <w:spacing w:after="0" w:line="210" w:lineRule="exact"/>
        <w:rPr>
          <w:sz w:val="20"/>
          <w:szCs w:val="20"/>
          <w:color w:val="auto"/>
        </w:rPr>
      </w:pPr>
    </w:p>
    <w:p>
      <w:pPr>
        <w:ind w:left="413" w:right="2139"/>
        <w:spacing w:after="0" w:line="254" w:lineRule="auto"/>
        <w:rPr>
          <w:sz w:val="20"/>
          <w:szCs w:val="20"/>
          <w:color w:val="auto"/>
        </w:rPr>
      </w:pPr>
      <w:r>
        <w:rPr>
          <w:rFonts w:ascii="Courier New" w:cs="Courier New" w:eastAsia="Courier New" w:hAnsi="Courier New"/>
          <w:sz w:val="17"/>
          <w:szCs w:val="17"/>
          <w:color w:val="auto"/>
        </w:rPr>
        <w:t>You may change your vote by submitting a new vote by telephone or via the Internet regardless of whether you submitted your earlier proxy by mail, telephone or via the Internet.</w:t>
      </w:r>
    </w:p>
    <w:p>
      <w:pPr>
        <w:spacing w:after="0" w:line="194" w:lineRule="exact"/>
        <w:rPr>
          <w:sz w:val="20"/>
          <w:szCs w:val="20"/>
          <w:color w:val="auto"/>
        </w:rPr>
      </w:pPr>
    </w:p>
    <w:p>
      <w:pPr>
        <w:ind w:left="413" w:right="2259" w:hanging="413"/>
        <w:spacing w:after="0" w:line="257" w:lineRule="auto"/>
        <w:tabs>
          <w:tab w:leader="none" w:pos="41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my shares are held in an account in a brokerage firm or bank, will my broker vote my shares for me?</w:t>
      </w:r>
    </w:p>
    <w:p>
      <w:pPr>
        <w:spacing w:after="0" w:line="192" w:lineRule="exact"/>
        <w:rPr>
          <w:sz w:val="20"/>
          <w:szCs w:val="20"/>
          <w:color w:val="auto"/>
        </w:rPr>
      </w:pPr>
    </w:p>
    <w:p>
      <w:pPr>
        <w:ind w:left="413" w:right="1939" w:hanging="413"/>
        <w:spacing w:after="0" w:line="253" w:lineRule="auto"/>
        <w:tabs>
          <w:tab w:leader="none" w:pos="41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are a Comcast shareholder and you do not provide your broker with instructions on how to vote your brokerage account shares, your broker will not be permitted to vote them. You should therefore be sure to provide your broker with instructions on how to vote your shares.</w:t>
      </w:r>
    </w:p>
    <w:p>
      <w:pPr>
        <w:spacing w:after="0" w:line="195" w:lineRule="exact"/>
        <w:rPr>
          <w:rFonts w:ascii="Courier New" w:cs="Courier New" w:eastAsia="Courier New" w:hAnsi="Courier New"/>
          <w:sz w:val="17"/>
          <w:szCs w:val="17"/>
          <w:color w:val="auto"/>
        </w:rPr>
      </w:pPr>
    </w:p>
    <w:p>
      <w:pPr>
        <w:ind w:left="413"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you are an AT&amp;T shareholder and you do not provide your broker with instructions on how to vote your shares with respect to a specific proposal, your broker will not be permitted to vote them with respect to the AT&amp;T transaction proposal, the Consumer Services charter amendment proposal, the incentive plan proposal or the employee stock purchase plan proposal but will be permitted to vote them with respect to the election of directors, the ratification of auditors and other matters that may come before the AT&amp;T annual meeting.</w:t>
      </w:r>
    </w:p>
    <w:p>
      <w:pPr>
        <w:spacing w:after="0" w:line="201" w:lineRule="exact"/>
        <w:rPr>
          <w:rFonts w:ascii="Courier New" w:cs="Courier New" w:eastAsia="Courier New" w:hAnsi="Courier New"/>
          <w:sz w:val="17"/>
          <w:szCs w:val="17"/>
          <w:color w:val="auto"/>
        </w:rPr>
      </w:pPr>
    </w:p>
    <w:p>
      <w:pPr>
        <w:ind w:left="413" w:right="21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you are an AT&amp;T shareholder and you do not give voting instructions to your broker, you will, in effect, be voting against the AT&amp;T transaction proposal and the Consumer Services charter amendment proposal.</w:t>
      </w:r>
    </w:p>
    <w:p>
      <w:pPr>
        <w:spacing w:after="0" w:line="194" w:lineRule="exact"/>
        <w:rPr>
          <w:sz w:val="20"/>
          <w:szCs w:val="20"/>
          <w:color w:val="auto"/>
        </w:rPr>
      </w:pPr>
    </w:p>
    <w:p>
      <w:pPr>
        <w:ind w:left="413" w:right="2679"/>
        <w:spacing w:after="0" w:line="257" w:lineRule="auto"/>
        <w:rPr>
          <w:sz w:val="20"/>
          <w:szCs w:val="20"/>
          <w:color w:val="auto"/>
        </w:rPr>
      </w:pPr>
      <w:r>
        <w:rPr>
          <w:rFonts w:ascii="Courier New" w:cs="Courier New" w:eastAsia="Courier New" w:hAnsi="Courier New"/>
          <w:sz w:val="17"/>
          <w:szCs w:val="17"/>
          <w:color w:val="auto"/>
        </w:rPr>
        <w:t>PLEASE CHECK THE VOTING FORM USED BY YOUR BROKER TO SEE IF IT OFFERS TELEPHONE OR INTERNET VOTING.</w:t>
      </w:r>
    </w:p>
    <w:p>
      <w:pPr>
        <w:spacing w:after="0" w:line="192" w:lineRule="exact"/>
        <w:rPr>
          <w:sz w:val="20"/>
          <w:szCs w:val="20"/>
          <w:color w:val="auto"/>
        </w:rPr>
      </w:pPr>
    </w:p>
    <w:p>
      <w:pPr>
        <w:ind w:left="413" w:hanging="413"/>
        <w:spacing w:after="0"/>
        <w:tabs>
          <w:tab w:leader="none" w:pos="413"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I receive dividends on my AT&amp;T Comcast shares?</w:t>
      </w:r>
    </w:p>
    <w:p>
      <w:pPr>
        <w:spacing w:after="0" w:line="210" w:lineRule="exact"/>
        <w:rPr>
          <w:sz w:val="20"/>
          <w:szCs w:val="20"/>
          <w:color w:val="auto"/>
        </w:rPr>
      </w:pPr>
    </w:p>
    <w:p>
      <w:pPr>
        <w:ind w:left="413" w:hanging="413"/>
        <w:spacing w:after="0"/>
        <w:tabs>
          <w:tab w:leader="none" w:pos="41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Comcast does not currently intend to pay dividends on its common stock.</w:t>
      </w:r>
    </w:p>
    <w:p>
      <w:pPr>
        <w:spacing w:after="0" w:line="210" w:lineRule="exact"/>
        <w:rPr>
          <w:sz w:val="20"/>
          <w:szCs w:val="20"/>
          <w:color w:val="auto"/>
        </w:rPr>
      </w:pPr>
    </w:p>
    <w:p>
      <w:pPr>
        <w:ind w:left="413" w:hanging="413"/>
        <w:spacing w:after="0"/>
        <w:tabs>
          <w:tab w:leader="none" w:pos="41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Should I send in my stock certificates now?</w:t>
      </w:r>
    </w:p>
    <w:p>
      <w:pPr>
        <w:spacing w:after="0" w:line="210" w:lineRule="exact"/>
        <w:rPr>
          <w:sz w:val="20"/>
          <w:szCs w:val="20"/>
          <w:color w:val="auto"/>
        </w:rPr>
      </w:pPr>
    </w:p>
    <w:p>
      <w:pPr>
        <w:ind w:left="413" w:right="1939" w:hanging="413"/>
        <w:spacing w:after="0" w:line="253" w:lineRule="auto"/>
        <w:tabs>
          <w:tab w:leader="none" w:pos="41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If you are a Comcast shareholder, after the AT&amp;T Comcast transaction is completed you will receive written instructions from the exchange agent on how to exchange your Comcast stock certificates for AT&amp;T Comcast stock certificates.</w:t>
      </w:r>
    </w:p>
    <w:p>
      <w:pPr>
        <w:spacing w:after="0" w:line="195" w:lineRule="exact"/>
        <w:rPr>
          <w:rFonts w:ascii="Courier New" w:cs="Courier New" w:eastAsia="Courier New" w:hAnsi="Courier New"/>
          <w:sz w:val="17"/>
          <w:szCs w:val="17"/>
          <w:color w:val="auto"/>
        </w:rPr>
      </w:pPr>
    </w:p>
    <w:p>
      <w:pPr>
        <w:ind w:left="413" w:right="20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you are an AT&amp;T shareholder, after the AT&amp;T Comcast transaction is completed you will not need to exchange any stock certificates in order to receive your AT&amp;T Comcast shares. In addition, you will continue to hold your AT&amp;T shares in their current electronic or certificate form, which after the AT&amp;T Comcast transaction will represent an interest in AT&amp;T's communications businesses.</w:t>
      </w:r>
    </w:p>
    <w:p>
      <w:pPr>
        <w:spacing w:after="0" w:line="197" w:lineRule="exact"/>
        <w:rPr>
          <w:sz w:val="20"/>
          <w:szCs w:val="20"/>
          <w:color w:val="auto"/>
        </w:rPr>
      </w:pPr>
    </w:p>
    <w:p>
      <w:pPr>
        <w:ind w:left="413"/>
        <w:spacing w:after="0"/>
        <w:rPr>
          <w:sz w:val="20"/>
          <w:szCs w:val="20"/>
          <w:color w:val="auto"/>
        </w:rPr>
      </w:pPr>
      <w:r>
        <w:rPr>
          <w:rFonts w:ascii="Courier New" w:cs="Courier New" w:eastAsia="Courier New" w:hAnsi="Courier New"/>
          <w:sz w:val="17"/>
          <w:szCs w:val="17"/>
          <w:color w:val="auto"/>
        </w:rPr>
        <w:t>PLEASE DO NOT SEND IN YOUR STOCK CERTIFICATES WITH YOUR PROXY.</w:t>
      </w:r>
    </w:p>
    <w:p>
      <w:pPr>
        <w:spacing w:after="0" w:line="210"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I-3</w:t>
      </w:r>
    </w:p>
    <w:p>
      <w:pPr>
        <w:sectPr>
          <w:pgSz w:w="11900" w:h="16838" w:orient="portrait"/>
          <w:cols w:equalWidth="0" w:num="1">
            <w:col w:w="10212"/>
          </w:cols>
          <w:pgMar w:left="247" w:top="719" w:right="1440" w:bottom="0" w:gutter="0" w:footer="0" w:header="0"/>
        </w:sectPr>
      </w:pPr>
    </w:p>
    <w:bookmarkStart w:id="11" w:name="page12"/>
    <w:bookmarkEnd w:id="11"/>
    <w:p>
      <w:pPr>
        <w:ind w:left="413" w:hanging="413"/>
        <w:spacing w:after="0"/>
        <w:tabs>
          <w:tab w:leader="none" w:pos="41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do you expect to complete the AT&amp;T Comcast transaction?</w:t>
      </w:r>
    </w:p>
    <w:p>
      <w:pPr>
        <w:spacing w:after="0" w:line="210" w:lineRule="exact"/>
        <w:rPr>
          <w:sz w:val="20"/>
          <w:szCs w:val="20"/>
          <w:color w:val="auto"/>
        </w:rPr>
      </w:pPr>
    </w:p>
    <w:p>
      <w:pPr>
        <w:ind w:left="413" w:hanging="413"/>
        <w:spacing w:after="0"/>
        <w:tabs>
          <w:tab w:leader="none" w:pos="41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expect to complete the AT&amp;T Comcast transaction by the end of 2002.</w:t>
      </w:r>
    </w:p>
    <w:p>
      <w:pPr>
        <w:spacing w:after="0" w:line="210" w:lineRule="exact"/>
        <w:rPr>
          <w:sz w:val="20"/>
          <w:szCs w:val="20"/>
          <w:color w:val="auto"/>
        </w:rPr>
      </w:pPr>
    </w:p>
    <w:p>
      <w:pPr>
        <w:ind w:left="413" w:right="2139" w:hanging="413"/>
        <w:spacing w:after="0" w:line="257" w:lineRule="auto"/>
        <w:tabs>
          <w:tab w:leader="none" w:pos="41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approval of the Consumer Services charter amendment proposal linked to the AT&amp;T Comcast transaction?</w:t>
      </w:r>
    </w:p>
    <w:p>
      <w:pPr>
        <w:spacing w:after="0" w:line="192" w:lineRule="exact"/>
        <w:rPr>
          <w:sz w:val="20"/>
          <w:szCs w:val="20"/>
          <w:color w:val="auto"/>
        </w:rPr>
      </w:pPr>
    </w:p>
    <w:p>
      <w:pPr>
        <w:ind w:left="413" w:right="2039" w:hanging="413"/>
        <w:spacing w:after="0" w:line="254" w:lineRule="auto"/>
        <w:tabs>
          <w:tab w:leader="none" w:pos="413"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The AT&amp;T Comcast transaction is completely separate from the Consumer Services charter amendment proposal. Approval of one is not a prerequisite or a condition to the other.</w:t>
      </w:r>
    </w:p>
    <w:p>
      <w:pPr>
        <w:spacing w:after="0" w:line="194" w:lineRule="exact"/>
        <w:rPr>
          <w:sz w:val="20"/>
          <w:szCs w:val="20"/>
          <w:color w:val="auto"/>
        </w:rPr>
      </w:pPr>
    </w:p>
    <w:p>
      <w:pPr>
        <w:ind w:left="413" w:hanging="413"/>
        <w:spacing w:after="0"/>
        <w:tabs>
          <w:tab w:leader="none" w:pos="413"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Who can help answer my questions?</w:t>
      </w:r>
    </w:p>
    <w:p>
      <w:pPr>
        <w:spacing w:after="0" w:line="210" w:lineRule="exact"/>
        <w:rPr>
          <w:sz w:val="20"/>
          <w:szCs w:val="20"/>
          <w:color w:val="auto"/>
        </w:rPr>
      </w:pPr>
    </w:p>
    <w:p>
      <w:pPr>
        <w:ind w:left="413" w:right="2139" w:hanging="413"/>
        <w:spacing w:after="0" w:line="254" w:lineRule="auto"/>
        <w:tabs>
          <w:tab w:leader="none" w:pos="413"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have any questions about the AT&amp;T Comcast transaction or how to submit your proxy, or if you need additional copies of this document, the enclosed proxy card or voting instructions, you should contact:</w:t>
      </w:r>
    </w:p>
    <w:p>
      <w:pPr>
        <w:spacing w:after="0" w:line="194" w:lineRule="exact"/>
        <w:rPr>
          <w:rFonts w:ascii="Courier New" w:cs="Courier New" w:eastAsia="Courier New" w:hAnsi="Courier New"/>
          <w:sz w:val="17"/>
          <w:szCs w:val="17"/>
          <w:color w:val="auto"/>
        </w:rPr>
      </w:pPr>
    </w:p>
    <w:p>
      <w:pPr>
        <w:ind w:left="733" w:hanging="209"/>
        <w:spacing w:after="0"/>
        <w:tabs>
          <w:tab w:leader="none" w:pos="733"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are a Comcast shareholder:</w:t>
      </w:r>
    </w:p>
    <w:p>
      <w:pPr>
        <w:spacing w:after="0" w:line="210" w:lineRule="exact"/>
        <w:rPr>
          <w:rFonts w:ascii="Courier New" w:cs="Courier New" w:eastAsia="Courier New" w:hAnsi="Courier New"/>
          <w:sz w:val="17"/>
          <w:szCs w:val="17"/>
          <w:color w:val="auto"/>
        </w:rPr>
      </w:pPr>
    </w:p>
    <w:p>
      <w:pPr>
        <w:ind w:left="733" w:right="747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 Corporation Investor Relations 1500 Market Street</w:t>
      </w:r>
    </w:p>
    <w:p>
      <w:pPr>
        <w:ind w:left="733" w:right="55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Philadelphia, Pennsylvania 19102-2148 Telephone: 1-800-___-____</w:t>
      </w:r>
    </w:p>
    <w:p>
      <w:pPr>
        <w:ind w:left="73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e-mail:  _____________________________</w:t>
      </w:r>
    </w:p>
    <w:p>
      <w:pPr>
        <w:spacing w:after="0" w:line="210" w:lineRule="exact"/>
        <w:rPr>
          <w:rFonts w:ascii="Courier New" w:cs="Courier New" w:eastAsia="Courier New" w:hAnsi="Courier New"/>
          <w:sz w:val="17"/>
          <w:szCs w:val="17"/>
          <w:color w:val="auto"/>
        </w:rPr>
      </w:pPr>
    </w:p>
    <w:p>
      <w:pPr>
        <w:ind w:left="733" w:hanging="209"/>
        <w:spacing w:after="0"/>
        <w:tabs>
          <w:tab w:leader="none" w:pos="733"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are an AT&amp;T shareholder:</w:t>
      </w:r>
    </w:p>
    <w:p>
      <w:pPr>
        <w:spacing w:after="0" w:line="210" w:lineRule="exact"/>
        <w:rPr>
          <w:rFonts w:ascii="Courier New" w:cs="Courier New" w:eastAsia="Courier New" w:hAnsi="Courier New"/>
          <w:sz w:val="17"/>
          <w:szCs w:val="17"/>
          <w:color w:val="auto"/>
        </w:rPr>
      </w:pPr>
    </w:p>
    <w:p>
      <w:pPr>
        <w:ind w:left="73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Corp.</w:t>
      </w:r>
    </w:p>
    <w:p>
      <w:pPr>
        <w:spacing w:after="0" w:line="8" w:lineRule="exact"/>
        <w:rPr>
          <w:rFonts w:ascii="Courier New" w:cs="Courier New" w:eastAsia="Courier New" w:hAnsi="Courier New"/>
          <w:sz w:val="17"/>
          <w:szCs w:val="17"/>
          <w:color w:val="auto"/>
        </w:rPr>
      </w:pPr>
    </w:p>
    <w:p>
      <w:pPr>
        <w:ind w:left="73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Proxy Information Center</w:t>
      </w:r>
    </w:p>
    <w:p>
      <w:pPr>
        <w:spacing w:after="0" w:line="210" w:lineRule="exact"/>
        <w:rPr>
          <w:rFonts w:ascii="Courier New" w:cs="Courier New" w:eastAsia="Courier New" w:hAnsi="Courier New"/>
          <w:sz w:val="17"/>
          <w:szCs w:val="17"/>
          <w:color w:val="auto"/>
        </w:rPr>
      </w:pPr>
    </w:p>
    <w:p>
      <w:pPr>
        <w:ind w:left="73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____________________________________</w:t>
      </w:r>
    </w:p>
    <w:p>
      <w:pPr>
        <w:spacing w:after="0" w:line="210" w:lineRule="exact"/>
        <w:rPr>
          <w:rFonts w:ascii="Courier New" w:cs="Courier New" w:eastAsia="Courier New" w:hAnsi="Courier New"/>
          <w:sz w:val="17"/>
          <w:szCs w:val="17"/>
          <w:color w:val="auto"/>
        </w:rPr>
      </w:pPr>
    </w:p>
    <w:p>
      <w:pPr>
        <w:ind w:left="73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____________________________________</w:t>
      </w:r>
    </w:p>
    <w:p>
      <w:pPr>
        <w:spacing w:after="0" w:line="8" w:lineRule="exact"/>
        <w:rPr>
          <w:rFonts w:ascii="Courier New" w:cs="Courier New" w:eastAsia="Courier New" w:hAnsi="Courier New"/>
          <w:sz w:val="17"/>
          <w:szCs w:val="17"/>
          <w:color w:val="auto"/>
        </w:rPr>
      </w:pPr>
    </w:p>
    <w:p>
      <w:pPr>
        <w:ind w:left="73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Telephone: 1-800-___-____</w:t>
      </w:r>
    </w:p>
    <w:p>
      <w:pPr>
        <w:spacing w:after="0" w:line="8" w:lineRule="exact"/>
        <w:rPr>
          <w:rFonts w:ascii="Courier New" w:cs="Courier New" w:eastAsia="Courier New" w:hAnsi="Courier New"/>
          <w:sz w:val="17"/>
          <w:szCs w:val="17"/>
          <w:color w:val="auto"/>
        </w:rPr>
      </w:pPr>
    </w:p>
    <w:p>
      <w:pPr>
        <w:ind w:left="73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e-mail:  _____________________________</w:t>
      </w:r>
    </w:p>
    <w:p>
      <w:pPr>
        <w:spacing w:after="0" w:line="210"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I-4</w:t>
      </w:r>
    </w:p>
    <w:p>
      <w:pPr>
        <w:sectPr>
          <w:pgSz w:w="11900" w:h="16838" w:orient="portrait"/>
          <w:cols w:equalWidth="0" w:num="1">
            <w:col w:w="10212"/>
          </w:cols>
          <w:pgMar w:left="247" w:top="719" w:right="1440" w:bottom="1440" w:gutter="0" w:footer="0" w:header="0"/>
        </w:sectPr>
      </w:pPr>
    </w:p>
    <w:bookmarkStart w:id="12" w:name="page13"/>
    <w:bookmarkEnd w:id="12"/>
    <w:p>
      <w:pPr>
        <w:jc w:val="center"/>
        <w:ind w:right="1939"/>
        <w:spacing w:after="0"/>
        <w:rPr>
          <w:sz w:val="20"/>
          <w:szCs w:val="20"/>
          <w:color w:val="auto"/>
        </w:rPr>
      </w:pPr>
      <w:r>
        <w:rPr>
          <w:rFonts w:ascii="Courier New" w:cs="Courier New" w:eastAsia="Courier New" w:hAnsi="Courier New"/>
          <w:sz w:val="17"/>
          <w:szCs w:val="17"/>
          <w:color w:val="auto"/>
        </w:rPr>
        <w:t>QUESTIONS AND ANSWERS ABOUT</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AT&amp;T CONSUMER SERVICES GROUP TRACKING STOCK</w:t>
      </w:r>
    </w:p>
    <w:p>
      <w:pPr>
        <w:spacing w:after="0" w:line="210" w:lineRule="exact"/>
        <w:rPr>
          <w:sz w:val="20"/>
          <w:szCs w:val="20"/>
          <w:color w:val="auto"/>
        </w:rPr>
      </w:pPr>
    </w:p>
    <w:p>
      <w:pPr>
        <w:ind w:left="420" w:hanging="413"/>
        <w:spacing w:after="0"/>
        <w:tabs>
          <w:tab w:leader="none" w:pos="4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is the purpose of AT&amp;T Consumer Services Group tracking stock?</w:t>
      </w:r>
    </w:p>
    <w:p>
      <w:pPr>
        <w:spacing w:after="0" w:line="210" w:lineRule="exact"/>
        <w:rPr>
          <w:sz w:val="20"/>
          <w:szCs w:val="20"/>
          <w:color w:val="auto"/>
        </w:rPr>
      </w:pPr>
    </w:p>
    <w:p>
      <w:pPr>
        <w:ind w:left="420" w:right="1839" w:hanging="413"/>
        <w:spacing w:after="0" w:line="253" w:lineRule="auto"/>
        <w:tabs>
          <w:tab w:leader="none" w:pos="4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and issuance of AT&amp;T Consumer Services Group tracking stock will allow AT&amp;T to offer two separate investment vehicles within AT&amp;T -- existing AT&amp;T common stock plus a new tracking stock intended to track the performance of AT&amp;T's Consumer Services business.</w:t>
      </w:r>
    </w:p>
    <w:p>
      <w:pPr>
        <w:spacing w:after="0" w:line="195" w:lineRule="exact"/>
        <w:rPr>
          <w:sz w:val="20"/>
          <w:szCs w:val="20"/>
          <w:color w:val="auto"/>
        </w:rPr>
      </w:pPr>
    </w:p>
    <w:p>
      <w:pPr>
        <w:ind w:left="420" w:hanging="413"/>
        <w:spacing w:after="0"/>
        <w:tabs>
          <w:tab w:leader="none" w:pos="4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is a tracking stock and how does it work?</w:t>
      </w:r>
    </w:p>
    <w:p>
      <w:pPr>
        <w:spacing w:after="0" w:line="210" w:lineRule="exact"/>
        <w:rPr>
          <w:sz w:val="20"/>
          <w:szCs w:val="20"/>
          <w:color w:val="auto"/>
        </w:rPr>
      </w:pPr>
    </w:p>
    <w:p>
      <w:pPr>
        <w:ind w:left="420" w:right="1939" w:hanging="413"/>
        <w:spacing w:after="0" w:line="253" w:lineRule="auto"/>
        <w:tabs>
          <w:tab w:leader="none" w:pos="4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tracking stock is a separate class or series of a company's common stock that is intended to reflect the financial performance and economic value of a group of assets or a specific business unit, division, subsidiary or equity investment of the company. You should note that:</w:t>
      </w:r>
    </w:p>
    <w:p>
      <w:pPr>
        <w:spacing w:after="0" w:line="195"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a tracking stock of AT&amp;T are shareholders of AT&amp;T and not of the underlying business or subsidiary. Thus, holders of AT&amp;T Consumer Services Group tracking stock will have no direct interest in the assets, subsidiaries or businesses whose performance AT&amp;T Consumer Services Group tracking stock is intended to reflect.</w:t>
      </w:r>
    </w:p>
    <w:p>
      <w:pPr>
        <w:spacing w:after="0" w:line="197"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intends the terms of its tracking stock to link the economic value of the tracking stock to the performance of the tracked business rather than to the performance of AT&amp;T as a whole. However, there may not always be a linkage between the market value of tracking stock and the financial performance and economic value of the tracked business.</w:t>
      </w:r>
    </w:p>
    <w:p>
      <w:pPr>
        <w:spacing w:after="0" w:line="197"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market value of tracking stock may be adversely affected not only by factors that adversely affect the tracked business, but also by factors that adversely affect AT&amp;T generally.</w:t>
      </w:r>
    </w:p>
    <w:p>
      <w:pPr>
        <w:spacing w:after="0" w:line="194" w:lineRule="exact"/>
        <w:rPr>
          <w:sz w:val="20"/>
          <w:szCs w:val="20"/>
          <w:color w:val="auto"/>
        </w:rPr>
      </w:pPr>
    </w:p>
    <w:p>
      <w:pPr>
        <w:ind w:left="420" w:right="1839" w:hanging="413"/>
        <w:spacing w:after="0" w:line="257" w:lineRule="auto"/>
        <w:tabs>
          <w:tab w:leader="none" w:pos="4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AT&amp;T Consumer Services Group tracking stock be intended to reflect 100% of the value and performance of AT&amp;T's Consumer Services business?</w:t>
      </w:r>
    </w:p>
    <w:p>
      <w:pPr>
        <w:spacing w:after="0" w:line="192" w:lineRule="exact"/>
        <w:rPr>
          <w:sz w:val="20"/>
          <w:szCs w:val="20"/>
          <w:color w:val="auto"/>
        </w:rPr>
      </w:pPr>
    </w:p>
    <w:p>
      <w:pPr>
        <w:ind w:left="420" w:right="1839" w:hanging="413"/>
        <w:spacing w:after="0" w:line="252" w:lineRule="auto"/>
        <w:tabs>
          <w:tab w:leader="none" w:pos="4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currently intends to distribute all of the AT&amp;T Consumer Services Group tracking stock. However, if AT&amp;T determines to distribute less than all these shares, AT&amp;T intends the remaining portion of the value and performance of AT&amp;T Consumer Services Group to be reflected in AT&amp;T common stock. We refer to the portion that AT&amp;T intends to reflect in AT&amp;T common stock as AT&amp;T's "retained portion" of the value of AT&amp;T Consumer Services Group.</w:t>
      </w:r>
    </w:p>
    <w:p>
      <w:pPr>
        <w:spacing w:after="0" w:line="398" w:lineRule="exact"/>
        <w:rPr>
          <w:sz w:val="20"/>
          <w:szCs w:val="20"/>
          <w:color w:val="auto"/>
        </w:rPr>
      </w:pPr>
    </w:p>
    <w:p>
      <w:pPr>
        <w:ind w:left="420" w:right="2559" w:hanging="413"/>
        <w:spacing w:after="0" w:line="257" w:lineRule="auto"/>
        <w:tabs>
          <w:tab w:leader="none" w:pos="4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 continue to hold all my shares of AT&amp;T common stock, what will I receive as a result of all the transactions?</w:t>
      </w:r>
    </w:p>
    <w:p>
      <w:pPr>
        <w:spacing w:after="0" w:line="192" w:lineRule="exact"/>
        <w:rPr>
          <w:sz w:val="20"/>
          <w:szCs w:val="20"/>
          <w:color w:val="auto"/>
        </w:rPr>
      </w:pPr>
    </w:p>
    <w:p>
      <w:pPr>
        <w:ind w:left="420" w:right="1839" w:hanging="413"/>
        <w:spacing w:after="0" w:line="253" w:lineRule="auto"/>
        <w:tabs>
          <w:tab w:leader="none" w:pos="4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continue to hold your shares of AT&amp;T common stock and shares of AT&amp;T securities that you receive as dividends on your AT&amp;T common stock, and AT&amp;T completes the AT&amp;T Comcast transaction and the distribution of AT&amp;T Consumer Services Group tracking stock as it plans, you will end up with shares of:</w:t>
      </w:r>
    </w:p>
    <w:p>
      <w:pPr>
        <w:spacing w:after="0" w:line="195" w:lineRule="exact"/>
        <w:rPr>
          <w:rFonts w:ascii="Courier New" w:cs="Courier New" w:eastAsia="Courier New" w:hAnsi="Courier New"/>
          <w:sz w:val="17"/>
          <w:szCs w:val="17"/>
          <w:color w:val="auto"/>
        </w:rPr>
      </w:pPr>
    </w:p>
    <w:p>
      <w:pPr>
        <w:ind w:left="740" w:right="2139" w:hanging="209"/>
        <w:spacing w:after="0" w:line="257" w:lineRule="auto"/>
        <w:tabs>
          <w:tab w:leader="none" w:pos="740"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of AT&amp;T Corp. These will be your existing shares of AT&amp;T common stock.</w:t>
      </w:r>
    </w:p>
    <w:p>
      <w:pPr>
        <w:spacing w:after="0" w:line="191" w:lineRule="exact"/>
        <w:rPr>
          <w:rFonts w:ascii="Courier New" w:cs="Courier New" w:eastAsia="Courier New" w:hAnsi="Courier New"/>
          <w:sz w:val="17"/>
          <w:szCs w:val="17"/>
          <w:color w:val="auto"/>
        </w:rPr>
      </w:pPr>
    </w:p>
    <w:p>
      <w:pPr>
        <w:ind w:left="740" w:right="2459" w:hanging="209"/>
        <w:spacing w:after="0" w:line="254" w:lineRule="auto"/>
        <w:tabs>
          <w:tab w:leader="none" w:pos="740"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Consumer Services Group tracking stock of AT&amp;T Corp. You will receive shares of AT&amp;T Consumer Services Group tracking stock as a dividend on your existing shares of AT&amp;T common stock.</w:t>
      </w:r>
    </w:p>
    <w:p>
      <w:pPr>
        <w:spacing w:after="0" w:line="194"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of AT&amp;T Comcast Corporation. As part of the AT&amp;T Comcast transaction, AT&amp;T will declare a dividend on shares of AT&amp;T common stock, New York Stock Exchange, or NYSE, symbol "T," in the form of shares of AT&amp;T Broadband Corp. common stock. Since AT&amp;T Broadband Corp. immediately will be merged with a subsidiary of AT&amp;T Comcast, in the AT&amp;T Comcast transaction, you will not actually receive these shares but instead you will receive shares of AT&amp;T Comcast common stock.</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I-5</w:t>
      </w:r>
    </w:p>
    <w:p>
      <w:pPr>
        <w:sectPr>
          <w:pgSz w:w="11900" w:h="16838" w:orient="portrait"/>
          <w:cols w:equalWidth="0" w:num="1">
            <w:col w:w="10219"/>
          </w:cols>
          <w:pgMar w:left="240" w:top="719" w:right="1440" w:bottom="1440" w:gutter="0" w:footer="0" w:header="0"/>
        </w:sectPr>
      </w:pPr>
    </w:p>
    <w:bookmarkStart w:id="13" w:name="page14"/>
    <w:bookmarkEnd w:id="13"/>
    <w:p>
      <w:pPr>
        <w:ind w:left="733" w:right="1939"/>
        <w:spacing w:after="0" w:line="257" w:lineRule="auto"/>
        <w:rPr>
          <w:sz w:val="20"/>
          <w:szCs w:val="20"/>
          <w:color w:val="auto"/>
        </w:rPr>
      </w:pPr>
      <w:r>
        <w:rPr>
          <w:rFonts w:ascii="Courier New" w:cs="Courier New" w:eastAsia="Courier New" w:hAnsi="Courier New"/>
          <w:sz w:val="17"/>
          <w:szCs w:val="17"/>
          <w:color w:val="auto"/>
        </w:rPr>
        <w:t>You will not receive a dividend of shares of AT&amp;T Broadband Corp. common stock on shares of AT&amp;T Consumer Services Group tracking stock.</w:t>
      </w:r>
    </w:p>
    <w:p>
      <w:pPr>
        <w:spacing w:after="0" w:line="192" w:lineRule="exact"/>
        <w:rPr>
          <w:sz w:val="20"/>
          <w:szCs w:val="20"/>
          <w:color w:val="auto"/>
        </w:rPr>
      </w:pPr>
    </w:p>
    <w:p>
      <w:pPr>
        <w:ind w:left="413" w:right="2359" w:hanging="413"/>
        <w:spacing w:after="0" w:line="257" w:lineRule="auto"/>
        <w:tabs>
          <w:tab w:leader="none" w:pos="413"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Why is AT&amp;T proposing a tracking stock rather than splitting off AT&amp;T's Consumer Services business into a separate company?</w:t>
      </w:r>
    </w:p>
    <w:p>
      <w:pPr>
        <w:spacing w:after="0" w:line="192" w:lineRule="exact"/>
        <w:rPr>
          <w:sz w:val="20"/>
          <w:szCs w:val="20"/>
          <w:color w:val="auto"/>
        </w:rPr>
      </w:pPr>
    </w:p>
    <w:p>
      <w:pPr>
        <w:ind w:left="413" w:right="1839" w:hanging="413"/>
        <w:spacing w:after="0" w:line="251" w:lineRule="auto"/>
        <w:tabs>
          <w:tab w:leader="none" w:pos="41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is proposing a tracking stock to allow AT&amp;T to offer a more specific, targeted investment vehicle for investors while at the same time maintaining the benefits of keeping both AT&amp;T's Business Services business and AT&amp;T's Consumer Services businesses together in a larger, integrated company. Following the issuance of AT&amp;T Consumer Services Group tracking stock, if the AT&amp;T Comcast transaction is completed, AT&amp;T common stock will effectively act as tracking stock for AT&amp;T Business Services Group plus any retained portion of the AT&amp;T Consumer Services Group.</w:t>
      </w:r>
    </w:p>
    <w:p>
      <w:pPr>
        <w:spacing w:after="0" w:line="201" w:lineRule="exact"/>
        <w:rPr>
          <w:sz w:val="20"/>
          <w:szCs w:val="20"/>
          <w:color w:val="auto"/>
        </w:rPr>
      </w:pPr>
    </w:p>
    <w:p>
      <w:pPr>
        <w:ind w:left="413" w:right="2039" w:hanging="413"/>
        <w:spacing w:after="0" w:line="257" w:lineRule="auto"/>
        <w:tabs>
          <w:tab w:leader="none" w:pos="413"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AT&amp;T issue fractional shares of AT&amp;T Consumer Services Group tracking stock?</w:t>
      </w:r>
    </w:p>
    <w:p>
      <w:pPr>
        <w:spacing w:after="0" w:line="192" w:lineRule="exact"/>
        <w:rPr>
          <w:sz w:val="20"/>
          <w:szCs w:val="20"/>
          <w:color w:val="auto"/>
        </w:rPr>
      </w:pPr>
    </w:p>
    <w:p>
      <w:pPr>
        <w:ind w:left="413" w:right="1839" w:hanging="413"/>
        <w:spacing w:after="0" w:line="254" w:lineRule="auto"/>
        <w:tabs>
          <w:tab w:leader="none" w:pos="413"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AT&amp;T expects that it will issue cash in lieu of any fractional shares of AT&amp;T Consumer Services Group tracking stock, including with respect to shares held in AT&amp;T's Dividend Reinvestment Plan.</w:t>
      </w:r>
    </w:p>
    <w:p>
      <w:pPr>
        <w:spacing w:after="0" w:line="194" w:lineRule="exact"/>
        <w:rPr>
          <w:sz w:val="20"/>
          <w:szCs w:val="20"/>
          <w:color w:val="auto"/>
        </w:rPr>
      </w:pPr>
    </w:p>
    <w:p>
      <w:pPr>
        <w:ind w:left="413" w:right="2259" w:hanging="413"/>
        <w:spacing w:after="0" w:line="257" w:lineRule="auto"/>
        <w:tabs>
          <w:tab w:leader="none" w:pos="413"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approval or completion of any AT&amp;T proposal a condition to any of the other AT&amp;T proposals?</w:t>
      </w:r>
    </w:p>
    <w:p>
      <w:pPr>
        <w:spacing w:after="0" w:line="192" w:lineRule="exact"/>
        <w:rPr>
          <w:sz w:val="20"/>
          <w:szCs w:val="20"/>
          <w:color w:val="auto"/>
        </w:rPr>
      </w:pPr>
    </w:p>
    <w:p>
      <w:pPr>
        <w:ind w:left="413" w:right="1839" w:hanging="413"/>
        <w:spacing w:after="0" w:line="252" w:lineRule="auto"/>
        <w:tabs>
          <w:tab w:leader="none" w:pos="413"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may vote on each AT&amp;T proposal separately, and AT&amp;T may implement any AT&amp;T proposal that receives AT&amp;T shareholder approval, whether or not it receives approval for or implements any other AT&amp;T proposal. However, AT&amp;T will not implement the Incentive Plan proposal or the Employee Stock Purchase Plan proposal if AT&amp;T Consumer Services Group tracking stock is not issued.</w:t>
      </w:r>
    </w:p>
    <w:p>
      <w:pPr>
        <w:spacing w:after="0" w:line="399" w:lineRule="exact"/>
        <w:rPr>
          <w:sz w:val="20"/>
          <w:szCs w:val="20"/>
          <w:color w:val="auto"/>
        </w:rPr>
      </w:pPr>
    </w:p>
    <w:p>
      <w:pPr>
        <w:ind w:left="413" w:right="2139" w:hanging="413"/>
        <w:spacing w:after="0" w:line="257" w:lineRule="auto"/>
        <w:tabs>
          <w:tab w:leader="none" w:pos="413"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AT&amp;T shareholders approve all the AT&amp;T proposals, will AT&amp;T definitely implement them all?</w:t>
      </w:r>
    </w:p>
    <w:p>
      <w:pPr>
        <w:spacing w:after="0" w:line="192" w:lineRule="exact"/>
        <w:rPr>
          <w:sz w:val="20"/>
          <w:szCs w:val="20"/>
          <w:color w:val="auto"/>
        </w:rPr>
      </w:pPr>
    </w:p>
    <w:p>
      <w:pPr>
        <w:ind w:left="413" w:right="1939" w:hanging="413"/>
        <w:spacing w:after="0" w:line="251" w:lineRule="auto"/>
        <w:tabs>
          <w:tab w:leader="none" w:pos="413"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There are a number of conditions to the AT&amp;T Comcast transaction other than AT&amp;T shareholder approval, including regulatory approvals. Similarly, there are a number of factors that could cause the AT&amp;T Board to decide not to proceed with the distribution of AT&amp;T Consumer Services Group tracking stock as well, such as future market conditions, financial performance or superior alternatives that may arise. Other events or circumstances, including litigation, could occur that affect the timing or terms of the proposed transactions or AT&amp;T's ability to complete the proposed transactions.</w:t>
      </w:r>
    </w:p>
    <w:p>
      <w:pPr>
        <w:spacing w:after="0" w:line="201" w:lineRule="exact"/>
        <w:rPr>
          <w:rFonts w:ascii="Courier New" w:cs="Courier New" w:eastAsia="Courier New" w:hAnsi="Courier New"/>
          <w:sz w:val="17"/>
          <w:szCs w:val="17"/>
          <w:color w:val="auto"/>
        </w:rPr>
      </w:pPr>
    </w:p>
    <w:p>
      <w:pPr>
        <w:ind w:left="413"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Consumer Services charter amendment proposal gives the AT&amp;T Board the authority to amend AT&amp;T's charter to create AT&amp;T Consumer Services Group tracking stock. The proposed Consumer Services charter amendment, however, does not mandate that the AT&amp;T Board use this power or specify the manner in which AT&amp;T may issue AT&amp;T Consumer Services Group tracking stock. Rather, AT&amp;T Consumer Services Group tracking stock will be a new class of AT&amp;T common stock that the AT&amp;T Board may issue from time to time as it determines appropriate, up to the total number of authorized shares and subject to stock exchange rules with respect to shareholder approval of share issuances.</w:t>
      </w:r>
    </w:p>
    <w:p>
      <w:pPr>
        <w:spacing w:after="0" w:line="200" w:lineRule="exact"/>
        <w:rPr>
          <w:sz w:val="20"/>
          <w:szCs w:val="20"/>
          <w:color w:val="auto"/>
        </w:rPr>
      </w:pPr>
    </w:p>
    <w:p>
      <w:pPr>
        <w:spacing w:after="0" w:line="203" w:lineRule="exact"/>
        <w:rPr>
          <w:sz w:val="20"/>
          <w:szCs w:val="20"/>
          <w:color w:val="auto"/>
        </w:rPr>
      </w:pPr>
    </w:p>
    <w:p>
      <w:pPr>
        <w:ind w:left="413" w:right="1939"/>
        <w:spacing w:after="0" w:line="254" w:lineRule="auto"/>
        <w:rPr>
          <w:sz w:val="20"/>
          <w:szCs w:val="20"/>
          <w:color w:val="auto"/>
        </w:rPr>
      </w:pPr>
      <w:r>
        <w:rPr>
          <w:rFonts w:ascii="Courier New" w:cs="Courier New" w:eastAsia="Courier New" w:hAnsi="Courier New"/>
          <w:sz w:val="17"/>
          <w:szCs w:val="17"/>
          <w:color w:val="auto"/>
        </w:rPr>
        <w:t>AT&amp;T does not plan to seek new shareholder approval for any change that the AT&amp;T Board may approve in the timing or manner of issuing AT&amp;T Consumer Services Group tracking stock.</w:t>
      </w:r>
    </w:p>
    <w:p>
      <w:pPr>
        <w:spacing w:after="0" w:line="194"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I-6</w:t>
      </w:r>
    </w:p>
    <w:p>
      <w:pPr>
        <w:sectPr>
          <w:pgSz w:w="11900" w:h="16838" w:orient="portrait"/>
          <w:cols w:equalWidth="0" w:num="1">
            <w:col w:w="10212"/>
          </w:cols>
          <w:pgMar w:left="247" w:top="719" w:right="1440" w:bottom="1440" w:gutter="0" w:footer="0" w:header="0"/>
        </w:sectPr>
      </w:pPr>
    </w:p>
    <w:bookmarkStart w:id="14" w:name="page15"/>
    <w:bookmarkEnd w:id="14"/>
    <w:p>
      <w:pPr>
        <w:ind w:left="3780"/>
        <w:spacing w:after="0"/>
        <w:rPr>
          <w:sz w:val="20"/>
          <w:szCs w:val="20"/>
          <w:color w:val="auto"/>
        </w:rPr>
      </w:pPr>
      <w:r>
        <w:rPr>
          <w:rFonts w:ascii="Courier New" w:cs="Courier New" w:eastAsia="Courier New" w:hAnsi="Courier New"/>
          <w:sz w:val="17"/>
          <w:szCs w:val="17"/>
          <w:color w:val="auto"/>
        </w:rPr>
        <w:t>SUMMARY</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This summary highlights selected information from this document and may not contain all of the information that is important to you. To better understand the AT&amp;T Comcast transaction, you should read this entire document carefully, as well as those additional documents to which we refer you. See "Additional Information for Shareholders -- Where You Can Find More Information."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 Market Street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9" w:lineRule="exact"/>
        <w:rPr>
          <w:sz w:val="20"/>
          <w:szCs w:val="20"/>
          <w:color w:val="auto"/>
        </w:rPr>
      </w:pPr>
    </w:p>
    <w:p>
      <w:pPr>
        <w:ind w:right="7899" w:firstLine="7"/>
        <w:spacing w:after="0" w:line="257" w:lineRule="auto"/>
        <w:tabs>
          <w:tab w:leader="none" w:pos="628"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665-1700 http://www.comcast.com</w:t>
      </w:r>
    </w:p>
    <w:p>
      <w:pPr>
        <w:spacing w:after="0" w:line="192"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Comcast is a Pennsylvania corporation incorporated in 1969. Comcast is involved in three principal lines of business:</w:t>
      </w:r>
    </w:p>
    <w:p>
      <w:pPr>
        <w:spacing w:after="0" w:line="192" w:lineRule="exact"/>
        <w:rPr>
          <w:sz w:val="20"/>
          <w:szCs w:val="20"/>
          <w:color w:val="auto"/>
        </w:rPr>
      </w:pPr>
    </w:p>
    <w:p>
      <w:pPr>
        <w:ind w:left="740" w:right="2039" w:hanging="209"/>
        <w:spacing w:after="0" w:line="257" w:lineRule="auto"/>
        <w:tabs>
          <w:tab w:leader="none" w:pos="74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Cable -- through the development, management and operation of broadband communications networks,</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Commerce -- through QVC, its electronic retailing subsidiary, and</w:t>
      </w:r>
    </w:p>
    <w:p>
      <w:pPr>
        <w:spacing w:after="0" w:line="210"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Content -- through its consolidated subsidiaries Comcast Spectacor, Comcast SportsNet, Comcast SportsNet Mid-Atlantic, Comcast Sports Southeast, E! Entertainment Television, The Golf Channel and Outdoor Life Network, and through its other programming investments.</w:t>
      </w:r>
    </w:p>
    <w:p>
      <w:pPr>
        <w:spacing w:after="0" w:line="195"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Comcast currently is the third largest cable operator in the United States, and has deployed digital cable applications and high-speed Internet service to the vast majority of its cable communications systems to expand the products available on its broadband communications networks.</w:t>
      </w:r>
    </w:p>
    <w:p>
      <w:pPr>
        <w:spacing w:after="0" w:line="195"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Comcast's consolidated cable operations served approximately 8.5 million subscribers and passed approximately 13.9 million homes as of December 31, 2001.</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Through QVC, Comcast markets a wide variety of products directly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consumers, primarily on merchandise-focused television programs. As of December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 2001, QVC was available, on a full and part-time basis, to approximately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82.1 million homes in the United States, approximately 9.5 million homes in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Kingdom, approximately 23.6 million homes in Germany and approximately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3.6 million homes in Japan.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32 Avenue of the Americas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 10013-2412</w:t>
      </w:r>
    </w:p>
    <w:p>
      <w:pPr>
        <w:spacing w:after="0" w:line="9" w:lineRule="exact"/>
        <w:rPr>
          <w:sz w:val="20"/>
          <w:szCs w:val="20"/>
          <w:color w:val="auto"/>
        </w:rPr>
      </w:pPr>
    </w:p>
    <w:p>
      <w:pPr>
        <w:ind w:right="8319" w:firstLine="7"/>
        <w:spacing w:after="0" w:line="257" w:lineRule="auto"/>
        <w:tabs>
          <w:tab w:leader="none" w:pos="628"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387-5400 http://www.att.com</w:t>
      </w:r>
    </w:p>
    <w:p>
      <w:pPr>
        <w:spacing w:after="0" w:line="19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AT&amp;T is a New York corporation incorporated in 1885. AT&amp;T currently consists primarily of AT&amp;T Broadband Group, AT&amp;T Consumer Services Group and AT&amp;T Business Services Group. These AT&amp;T groups are not separate companies, but, rather, are parts of AT&amp;T. The transactions proposed in this document would:</w:t>
      </w:r>
    </w:p>
    <w:p>
      <w:pPr>
        <w:spacing w:after="0" w:line="195" w:lineRule="exact"/>
        <w:rPr>
          <w:sz w:val="20"/>
          <w:szCs w:val="20"/>
          <w:color w:val="auto"/>
        </w:rPr>
      </w:pPr>
    </w:p>
    <w:p>
      <w:pPr>
        <w:ind w:left="740" w:right="2039" w:hanging="209"/>
        <w:spacing w:after="0" w:line="257" w:lineRule="auto"/>
        <w:tabs>
          <w:tab w:leader="none" w:pos="74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separate and spin off AT&amp;T Broadband into a separate company that immediately would be merged into and become a part of AT&amp;T Comcast, and</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establish a tracking stock for the AT&amp;T Consumer Services Group.</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AT&amp;T BROADBAND GROUP</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AT&amp;T Broadband Group is one of the nation's largest broadband communications businesses, providing cable television, high-speed cable Internet services and communications services over one of the most extensive broadband networks in the country. At or for the nine months ended September 30, 2001, AT&amp;T Broadband Group:</w:t>
      </w:r>
    </w:p>
    <w:p>
      <w:pPr>
        <w:spacing w:after="0" w:line="396" w:lineRule="exact"/>
        <w:rPr>
          <w:sz w:val="20"/>
          <w:szCs w:val="20"/>
          <w:color w:val="auto"/>
        </w:rPr>
      </w:pPr>
    </w:p>
    <w:p>
      <w:pPr>
        <w:ind w:left="740" w:right="1939" w:hanging="209"/>
        <w:spacing w:after="0" w:line="257" w:lineRule="auto"/>
        <w:tabs>
          <w:tab w:leader="none" w:pos="74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owned and operated cable systems aggregating approximately 13.75 million analog video subscribers;</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had approximately $7.8 billion in combined revenue;</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had approximately $2.8 billion in net loss;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had debt of approximately $23.3 billion; and</w:t>
      </w:r>
    </w:p>
    <w:p>
      <w:pPr>
        <w:spacing w:after="0" w:line="210" w:lineRule="exact"/>
        <w:rPr>
          <w:rFonts w:ascii="Courier New" w:cs="Courier New" w:eastAsia="Courier New" w:hAnsi="Courier New"/>
          <w:sz w:val="17"/>
          <w:szCs w:val="17"/>
          <w:color w:val="auto"/>
        </w:rPr>
      </w:pPr>
    </w:p>
    <w:p>
      <w:pPr>
        <w:jc w:val="both"/>
        <w:ind w:left="740" w:right="1939" w:hanging="209"/>
        <w:spacing w:after="0" w:line="254" w:lineRule="auto"/>
        <w:tabs>
          <w:tab w:leader="none" w:pos="74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had investments in companies, joint ventures and partnerships, including Time Warner Entertainment Company, L.P., Insight Midwest, L.P. and Texas Cable Partners, L.P.</w:t>
      </w:r>
    </w:p>
    <w:p>
      <w:pPr>
        <w:sectPr>
          <w:pgSz w:w="11900" w:h="16838" w:orient="portrait"/>
          <w:cols w:equalWidth="0" w:num="1">
            <w:col w:w="10219"/>
          </w:cols>
          <w:pgMar w:left="240" w:top="719" w:right="1440" w:bottom="0" w:gutter="0" w:footer="0" w:header="0"/>
        </w:sectPr>
      </w:pPr>
    </w:p>
    <w:bookmarkStart w:id="15" w:name="page16"/>
    <w:bookmarkEnd w:id="15"/>
    <w:p>
      <w:pPr>
        <w:ind w:left="2900"/>
        <w:spacing w:after="0"/>
        <w:rPr>
          <w:sz w:val="20"/>
          <w:szCs w:val="20"/>
          <w:color w:val="auto"/>
        </w:rPr>
      </w:pPr>
      <w:r>
        <w:rPr>
          <w:rFonts w:ascii="Courier New" w:cs="Courier New" w:eastAsia="Courier New" w:hAnsi="Courier New"/>
          <w:sz w:val="16"/>
          <w:szCs w:val="16"/>
          <w:color w:val="auto"/>
        </w:rPr>
        <w:t>I-7</w:t>
      </w:r>
    </w:p>
    <w:p>
      <w:pPr>
        <w:sectPr>
          <w:pgSz w:w="11900" w:h="16838" w:orient="portrait"/>
          <w:cols w:equalWidth="0" w:num="1">
            <w:col w:w="9019"/>
          </w:cols>
          <w:pgMar w:left="1440" w:top="343" w:right="1440" w:bottom="1440" w:gutter="0" w:footer="0" w:header="0"/>
        </w:sectPr>
      </w:pPr>
    </w:p>
    <w:bookmarkStart w:id="16" w:name="page17"/>
    <w:bookmarkEnd w:id="16"/>
    <w:p>
      <w:pPr>
        <w:ind w:left="220"/>
        <w:spacing w:after="0"/>
        <w:rPr>
          <w:sz w:val="20"/>
          <w:szCs w:val="20"/>
          <w:color w:val="auto"/>
        </w:rPr>
      </w:pPr>
      <w:r>
        <w:rPr>
          <w:rFonts w:ascii="Courier New" w:cs="Courier New" w:eastAsia="Courier New" w:hAnsi="Courier New"/>
          <w:sz w:val="17"/>
          <w:szCs w:val="17"/>
          <w:color w:val="auto"/>
        </w:rPr>
        <w:t>AT&amp;T CONSUMER SERVICES GROUP</w:t>
      </w:r>
    </w:p>
    <w:p>
      <w:pPr>
        <w:spacing w:after="0" w:line="210"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AT&amp;T Consumer Services Group is the leading provider of domestic and international long distance service to residential consumers in the United States. AT&amp;T Consumer Services Group provides a broad range of communications services to consumers, including:</w:t>
      </w:r>
    </w:p>
    <w:p>
      <w:pPr>
        <w:spacing w:after="0" w:line="195" w:lineRule="exact"/>
        <w:rPr>
          <w:sz w:val="20"/>
          <w:szCs w:val="20"/>
          <w:color w:val="auto"/>
        </w:rPr>
      </w:pPr>
    </w:p>
    <w:p>
      <w:pPr>
        <w:ind w:left="740" w:hanging="209"/>
        <w:spacing w:after="0"/>
        <w:tabs>
          <w:tab w:leader="none" w:pos="74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inbound and outbound domestic and international long distance;</w:t>
      </w:r>
    </w:p>
    <w:p>
      <w:pPr>
        <w:spacing w:after="0" w:line="210" w:lineRule="exact"/>
        <w:rPr>
          <w:rFonts w:ascii="Courier New" w:cs="Courier New" w:eastAsia="Courier New" w:hAnsi="Courier New"/>
          <w:sz w:val="17"/>
          <w:szCs w:val="17"/>
          <w:color w:val="auto"/>
        </w:rPr>
      </w:pPr>
    </w:p>
    <w:p>
      <w:pPr>
        <w:ind w:left="740" w:right="2459" w:hanging="209"/>
        <w:spacing w:after="0" w:line="257" w:lineRule="auto"/>
        <w:tabs>
          <w:tab w:leader="none" w:pos="74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transaction-based long distance services, such as operator-assisted calling services and prepaid phone cards;</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local calling offers through an unbundled network elements platform; and</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dial-up Internet service through AT&amp;T WorldNet Service.</w:t>
      </w:r>
    </w:p>
    <w:p>
      <w:pPr>
        <w:spacing w:after="0" w:line="210"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AT&amp;T Consumer Services Group provides these services individually and in combination with other services. At or for the nine months ended September 30, 2001, the AT&amp;T Consumer Services Group had:</w:t>
      </w:r>
    </w:p>
    <w:p>
      <w:pPr>
        <w:spacing w:after="0" w:line="194" w:lineRule="exact"/>
        <w:rPr>
          <w:sz w:val="20"/>
          <w:szCs w:val="20"/>
          <w:color w:val="auto"/>
        </w:rPr>
      </w:pPr>
    </w:p>
    <w:p>
      <w:pPr>
        <w:ind w:left="740" w:hanging="209"/>
        <w:spacing w:after="0"/>
        <w:tabs>
          <w:tab w:leader="none" w:pos="74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approximately 60 million customer relationships;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approximately $11.6 billion in combined revenue;</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approximately $2.2 billion in combined net income; and</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debt of approximately $1.5 billion.</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AT&amp;T BUSINESS SERVICES GROUP</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Business Services Group is one of the nation's largest business services communications providers, providing a variety of global communications services to over 4 million customers, including large domestic and multinational businesses, small- and medium-sized businesses, and government agencies. AT&amp;T Business Services Group operates one of the largest telecommunications networks in the United States and, through AT&amp;T Global Network Services and other investments and affiliates, provides an array of services and customized solutions in 60 countries and 850 cities worldwide.</w:t>
      </w:r>
    </w:p>
    <w:p>
      <w:pPr>
        <w:spacing w:after="0" w:line="201"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AT&amp;T Business Services Group provides a broad range of communications services and customized solutions, including:</w:t>
      </w:r>
    </w:p>
    <w:p>
      <w:pPr>
        <w:spacing w:after="0" w:line="192" w:lineRule="exact"/>
        <w:rPr>
          <w:sz w:val="20"/>
          <w:szCs w:val="20"/>
          <w:color w:val="auto"/>
        </w:rPr>
      </w:pPr>
    </w:p>
    <w:p>
      <w:pPr>
        <w:ind w:left="740" w:hanging="209"/>
        <w:spacing w:after="0"/>
        <w:tabs>
          <w:tab w:leader="none" w:pos="74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 distance, international and toll-free voice services;</w:t>
      </w:r>
    </w:p>
    <w:p>
      <w:pPr>
        <w:spacing w:after="0" w:line="210" w:lineRule="exact"/>
        <w:rPr>
          <w:rFonts w:ascii="Courier New" w:cs="Courier New" w:eastAsia="Courier New" w:hAnsi="Courier New"/>
          <w:sz w:val="17"/>
          <w:szCs w:val="17"/>
          <w:color w:val="auto"/>
        </w:rPr>
      </w:pPr>
    </w:p>
    <w:p>
      <w:pPr>
        <w:ind w:left="740" w:right="2259" w:hanging="209"/>
        <w:spacing w:after="0" w:line="257" w:lineRule="auto"/>
        <w:tabs>
          <w:tab w:leader="none" w:pos="74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local services, including private line, local data and special access services;</w:t>
      </w:r>
    </w:p>
    <w:p>
      <w:pPr>
        <w:spacing w:after="0" w:line="191" w:lineRule="exact"/>
        <w:rPr>
          <w:rFonts w:ascii="Courier New" w:cs="Courier New" w:eastAsia="Courier New" w:hAnsi="Courier New"/>
          <w:sz w:val="17"/>
          <w:szCs w:val="17"/>
          <w:color w:val="auto"/>
        </w:rPr>
      </w:pPr>
    </w:p>
    <w:p>
      <w:pPr>
        <w:ind w:left="740" w:right="2139" w:hanging="209"/>
        <w:spacing w:after="0" w:line="257" w:lineRule="auto"/>
        <w:tabs>
          <w:tab w:leader="none" w:pos="74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data and internet protocol, or IP, services, including frame relay and asynchronous transfer mode, or ATM;</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managed networking services and outsourcing solutions; and</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wholesale transport services.</w:t>
      </w:r>
    </w:p>
    <w:p>
      <w:pPr>
        <w:spacing w:after="0" w:line="210"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AT&amp;T Business Services Group also includes a number of joint ventures and investments, including AT&amp;T Latin America Corp. and AT&amp;T Canada Inc.</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table below sets forth the approximate percentage of consolidated revenue, net income, assets and indebtedness of AT&amp;T, giving effect to the split-offs of the AT&amp;T Wireless Group and the Liberty Media Group, that were attributable to each of AT&amp;T Broadband Group, AT&amp;T Consumer Services Group and AT&amp;T excluding AT&amp;T Broadband Group at or for the year ended December 31, 2000 and at or for the nine months ended September 30, 2001. In the future, these percentages will vary with the relative performance of the different AT&amp;T groups. In addition, the actual debt levels of each of the AT&amp;T groups in the future will depend on a variety of other factors, including the progress AT&amp;T makes on its various debt reduction activities. The table also should be read in the context of the financial and other information set forth in this document.</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I-8</w:t>
      </w:r>
    </w:p>
    <w:p>
      <w:pPr>
        <w:sectPr>
          <w:pgSz w:w="11900" w:h="16838" w:orient="portrait"/>
          <w:cols w:equalWidth="0" w:num="1">
            <w:col w:w="10219"/>
          </w:cols>
          <w:pgMar w:left="240" w:top="719" w:right="1440" w:bottom="1440" w:gutter="0" w:footer="0" w:header="0"/>
        </w:sectPr>
      </w:pPr>
    </w:p>
    <w:bookmarkStart w:id="17" w:name="page18"/>
    <w:bookmarkEnd w:id="17"/>
    <w:p>
      <w:pPr>
        <w:jc w:val="center"/>
        <w:ind w:right="8219"/>
        <w:spacing w:after="0"/>
        <w:rPr>
          <w:sz w:val="20"/>
          <w:szCs w:val="20"/>
          <w:color w:val="auto"/>
        </w:rPr>
      </w:pPr>
      <w:r>
        <w:rPr>
          <w:rFonts w:ascii="Courier New" w:cs="Courier New" w:eastAsia="Courier New" w:hAnsi="Courier New"/>
          <w:sz w:val="17"/>
          <w:szCs w:val="17"/>
          <w:color w:val="auto"/>
        </w:rPr>
        <w:t>AT OR FOR NINE</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MONTHS ENDED AT OR</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FOR YEAR ENDED</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DECEMBER 31, 2000</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SEPTEMBER 30,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OF %</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OF NET % OF % OF %</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OF % OF NET % OF %</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OF AT&amp;T AT&amp;T AT&amp;T</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AT&amp;T AT&amp;T AT&amp;T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AT&amp;T AT&amp;T REVENUE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INCOME* ASSETS**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DEBT REVENUE LOSS*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ASSETS DEBT ------</w:t>
      </w:r>
    </w:p>
    <w:p>
      <w:pPr>
        <w:spacing w:after="0" w:line="9" w:lineRule="exact"/>
        <w:rPr>
          <w:sz w:val="20"/>
          <w:szCs w:val="20"/>
          <w:color w:val="auto"/>
        </w:rPr>
      </w:pPr>
    </w:p>
    <w:p>
      <w:pPr>
        <w:ind w:left="380" w:hanging="322"/>
        <w:spacing w:after="0"/>
        <w:tabs>
          <w:tab w:leader="none" w:pos="380"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jc w:val="both"/>
        <w:ind w:left="160" w:right="8319" w:hanging="49"/>
        <w:spacing w:after="0" w:line="251" w:lineRule="auto"/>
        <w:tabs>
          <w:tab w:leader="none" w:pos="422" w:val="left"/>
        </w:tabs>
        <w:numPr>
          <w:ilvl w:val="2"/>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Group...........</w:t>
      </w: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15.2% (129.9)%</w:t>
      </w:r>
    </w:p>
    <w:p>
      <w:pPr>
        <w:spacing w:after="0" w:line="8" w:lineRule="exact"/>
        <w:rPr>
          <w:rFonts w:ascii="Courier New" w:cs="Courier New" w:eastAsia="Courier New" w:hAnsi="Courier New"/>
          <w:sz w:val="17"/>
          <w:szCs w:val="17"/>
          <w:color w:val="auto"/>
        </w:rPr>
      </w:pPr>
    </w:p>
    <w:p>
      <w:pPr>
        <w:ind w:left="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56.7% 43.8% 19.4%</w:t>
      </w:r>
    </w:p>
    <w:p>
      <w:pPr>
        <w:spacing w:after="0" w:line="8" w:lineRule="exact"/>
        <w:rPr>
          <w:rFonts w:ascii="Courier New" w:cs="Courier New" w:eastAsia="Courier New" w:hAnsi="Courier New"/>
          <w:sz w:val="17"/>
          <w:szCs w:val="17"/>
          <w:color w:val="auto"/>
        </w:rPr>
      </w:pPr>
    </w:p>
    <w:p>
      <w:pPr>
        <w:ind w:left="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54.8% 65.1% 48.0%</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Consumer</w:t>
      </w:r>
    </w:p>
    <w:p>
      <w:pPr>
        <w:spacing w:after="0" w:line="8" w:lineRule="exact"/>
        <w:rPr>
          <w:rFonts w:ascii="Courier New" w:cs="Courier New" w:eastAsia="Courier New" w:hAnsi="Courier New"/>
          <w:sz w:val="17"/>
          <w:szCs w:val="17"/>
          <w:color w:val="auto"/>
        </w:rPr>
      </w:pPr>
    </w:p>
    <w:p>
      <w:pPr>
        <w:ind w:left="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Services Group...</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34.0% 99.5% 1.7%</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6.2% 29.1% (41.1)%</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 3.1% AT&amp;T</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Corp. (excluding</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Group)***..........</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85.0% 193.9% 26.7%</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56.2% 81.1% (6.0)%</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34.9% 52.0%</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420" w:right="2359" w:hanging="210"/>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Based on net income/(loss) from continuing operations before cumulative effect of accounting change.</w:t>
      </w:r>
    </w:p>
    <w:p>
      <w:pPr>
        <w:spacing w:after="0" w:line="191" w:lineRule="exact"/>
        <w:rPr>
          <w:rFonts w:ascii="Courier New" w:cs="Courier New" w:eastAsia="Courier New" w:hAnsi="Courier New"/>
          <w:sz w:val="17"/>
          <w:szCs w:val="17"/>
          <w:color w:val="auto"/>
        </w:rPr>
      </w:pPr>
    </w:p>
    <w:p>
      <w:pPr>
        <w:ind w:left="420" w:hanging="308"/>
        <w:spacing w:after="0"/>
        <w:tabs>
          <w:tab w:leader="none" w:pos="420" w:val="left"/>
        </w:tabs>
        <w:numPr>
          <w:ilvl w:val="3"/>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assets from continuing operations.</w:t>
      </w:r>
    </w:p>
    <w:p>
      <w:pPr>
        <w:spacing w:after="0" w:line="210" w:lineRule="exact"/>
        <w:rPr>
          <w:rFonts w:ascii="Courier New" w:cs="Courier New" w:eastAsia="Courier New" w:hAnsi="Courier New"/>
          <w:sz w:val="17"/>
          <w:szCs w:val="17"/>
          <w:color w:val="auto"/>
        </w:rPr>
      </w:pPr>
    </w:p>
    <w:p>
      <w:pPr>
        <w:ind w:left="420" w:right="2039" w:hanging="413"/>
        <w:spacing w:after="0" w:line="257" w:lineRule="auto"/>
        <w:tabs>
          <w:tab w:leader="none" w:pos="420" w:val="left"/>
        </w:tabs>
        <w:numPr>
          <w:ilvl w:val="3"/>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AT&amp;T Business Services Group and AT&amp;T Consumer Services Group and excludes Liberty Media Group and AT&amp;T Wireless Services Group.</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 Market Street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 19102-2148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(215) 665-1700</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Comcast is a newly formed Pennsylvania corporation that has not, to date, conducted any activities other than those incident to its formation, the matters contemplated by the merger agreement and the preparation of this document. Upon completion of the AT&amp;T Comcast transaction, Comcast and AT&amp;T Broadband will each become a wholly owned subsidiary of AT&amp;T Comcast. The business of AT&amp;T Comcast will be the combined businesses currently conducted by Comcast and the AT&amp;T Broadband Group.</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STATEMENTS MAY PROVE INACCURATE (SEE PAGE [XIV-17])</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This document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AT&amp;T and AT&amp;T Comcast wish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those described on page [XIV-17], including risks and uncertainties, many of which are beyond our control.</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THE AT&amp;T COMCAST TRANSACTION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REASONS FOR THE AT&amp;T COMCAST TRANSACTION (SEE PAGE [II-8])</w:t>
      </w:r>
    </w:p>
    <w:p>
      <w:pPr>
        <w:sectPr>
          <w:pgSz w:w="11900" w:h="16838" w:orient="portrait"/>
          <w:cols w:equalWidth="0" w:num="1">
            <w:col w:w="10219"/>
          </w:cols>
          <w:pgMar w:left="240" w:top="719" w:right="1440" w:bottom="0" w:gutter="0" w:footer="0" w:header="0"/>
        </w:sectPr>
      </w:pPr>
    </w:p>
    <w:bookmarkStart w:id="18" w:name="page19"/>
    <w:bookmarkEnd w:id="18"/>
    <w:p>
      <w:pPr>
        <w:ind w:right="1839" w:firstLine="524"/>
        <w:spacing w:after="0" w:line="251" w:lineRule="auto"/>
        <w:rPr>
          <w:sz w:val="20"/>
          <w:szCs w:val="20"/>
          <w:color w:val="auto"/>
        </w:rPr>
      </w:pPr>
      <w:r>
        <w:rPr>
          <w:rFonts w:ascii="Courier New" w:cs="Courier New" w:eastAsia="Courier New" w:hAnsi="Courier New"/>
          <w:sz w:val="17"/>
          <w:szCs w:val="17"/>
          <w:color w:val="auto"/>
        </w:rPr>
        <w:t>Comcast and AT&amp;T believe that the combined strengths of Comcast and AT&amp;T's broadband business will enable them to create the world's premier broadband communications company. The transaction will combine the companies' extensive broadband communications networks, technologically advanced broadband delivery systems and managerial expertise to build a business that Comcast and AT&amp;T expect will create substantial long-term value for the shareholders of both companies. Comcast and AT&amp;T believe that AT&amp;T Comcast will grow the broadband business with more efficiency to create stronger operating and financial results than either company could achieve on its own.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RECOMMENDATIONS OF THE BOARDS OF DIRECTORS (SEE PAGE [II-8])</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To Comcast Shareholders: The Comcast Board believes that the AT&amp;T Comcast transaction, including the Comcast merger (as described below in this summary under "The Structure of the AT&amp;T Comcast Transaction"), is fair to you and in your best interest, and unanimously voted to approve the merger agreement and the transactions contemplated by the merger agreement, and unanimously recommends that you vote FOR the approval and</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I-9</w:t>
      </w:r>
    </w:p>
    <w:p>
      <w:pPr>
        <w:sectPr>
          <w:pgSz w:w="11900" w:h="16838" w:orient="portrait"/>
          <w:cols w:equalWidth="0" w:num="1">
            <w:col w:w="10219"/>
          </w:cols>
          <w:pgMar w:left="240" w:top="343" w:right="1440" w:bottom="1440" w:gutter="0" w:footer="0" w:header="0"/>
        </w:sectPr>
      </w:pPr>
    </w:p>
    <w:bookmarkStart w:id="19" w:name="page20"/>
    <w:bookmarkEnd w:id="19"/>
    <w:p>
      <w:pPr>
        <w:ind w:right="1839"/>
        <w:spacing w:after="0" w:line="257" w:lineRule="auto"/>
        <w:rPr>
          <w:sz w:val="20"/>
          <w:szCs w:val="20"/>
          <w:color w:val="auto"/>
        </w:rPr>
      </w:pPr>
      <w:r>
        <w:rPr>
          <w:rFonts w:ascii="Courier New" w:cs="Courier New" w:eastAsia="Courier New" w:hAnsi="Courier New"/>
          <w:sz w:val="17"/>
          <w:szCs w:val="17"/>
          <w:color w:val="auto"/>
        </w:rPr>
        <w:t>adoption of the merger agreement and the transactions contemplated by the merger agreement.</w:t>
      </w:r>
    </w:p>
    <w:p>
      <w:pPr>
        <w:spacing w:after="0" w:line="19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Comcast Board believes that the preferred structure proposal (as described below in this summary under "Preferred Structure Proposal") is in your best interest and unanimously recommends that you vote FOR the preferred structure proposal.</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To AT&amp;T Shareholders: The AT&amp;T Board believes that the AT&amp;T Comcast transaction, including the separation, the AT&amp;T Broadband spin-off and the AT&amp;T Broadband merger (in each case, as described below in this summary under "The Structure of the AT&amp;T Comcast Transaction"), is fair to you and in your best interest and unanimously voted to approve the merger agreement and the transactions contemplated by the merger agreement and unanimously recommends that you vote FOR the approval and adoption of the merger agreement and the transactions contemplated by the merger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OPINIONS OF FINANCIAL ADVISORS (SEE PAGE [IV-1])</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Opinions of Comcast's Financial Advisors. In deciding to approve the transaction, the Comcast Board considered opinions of three of its financial advisors, Morgan Stanley &amp; Co. Incorporated, J.P. Morgan Securities Inc. and Merrill Lynch, Pierce, Fenner &amp; Smith, Incorporated, each dated December 19, 2001, to the effect that as of that date, the conversion ratios in the Comcast merger applicable to the holders of Comcast common stock, in the aggregate, were fair, from a financial point of view, to the Comcast shareholders, taken together. The full text of these opinions are attached as Annexes G, H and I to this document. Comcast urges its shareholders to read each of these opinions in its entirety for a description of the procedures followed, assumptions made, matters considered and limitations on the review undertaken. THESE OPINIONS ARE ADDRESSED TO THE COMCAST BOARD AND DO NOT CONSTITUTE A RECOMMENDATION TO ANY SHAREHOLDER AS TO ANY MATTER RELATING TO THE MERGERS OR ANY RELATED TRANSACTIONS.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Opinions of AT&amp;T's Financial Advisors. In connection with the proposed mergers, AT&amp;T's financial advisors, Credit Suisse First Boston Corporation and Goldman, Sachs &amp; Co., each has delivered a written opinion to the AT&amp;T Board as to the fairness as of the date of the opinion, from a financial point of view, of the AT&amp;T Broadband exchange ratio provided for in the AT&amp;T Broadband merger to the holders of AT&amp;T Broadband common stock immediately prior to the mergers, other than Comcast and its affiliates. The full text of the separate written opinions of Credit Suisse First Boston Corporation and Goldman, Sachs &amp; Co., each dated December 19, 2001, are attached to this document as Annexes J and K, respectively. AT&amp;T urges its shareholders to read each opinion carefully in its entirety for a description of the procedures followed, assumptions made, matters considered and limitations on the review undertaken. THESE OPINIONS ARE ADDRESSED TO THE AT&amp;T BOARD AND DO NOT CONSTITUTE A RECOMMENDATION TO ANY SHAREHOLDER AS TO ANY MATTER RELATING TO THE MERGERS OR ANY RELATED TRANSACTIONS.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STRUCTURE OF THE AT&amp;T COMCAST TRANSACTION</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The AT&amp;T Comcast transaction will occur in several steps and will be subject to the satisfaction or (to the extent permissible) waiver of the conditions specified below in this summary under "Conditions to the Completion of the AT&amp;T Comcast Transaction." It is expected that all of these steps will occur on the closing date for the mergers. With the consent of Comcast, which will not be unreasonably withheld, AT&amp;T may effect the separation and spin-off described below prior to the closing date for the mergers.</w:t>
      </w:r>
    </w:p>
    <w:p>
      <w:pPr>
        <w:spacing w:after="0" w:line="19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SEPARATION</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AT&amp;T will assign and transfer to AT&amp;T Broadband, a newly formed holding company for AT&amp;T's broadband business, all of the assets of AT&amp;T's broadband business (as reflected in the AT&amp;T Broadband Group balance sheet dated as of December 31, 2000 or as otherwise specified in the separation and distribution agreement between AT&amp;T and AT&amp;T Broadband) that are not at such time assets of AT&amp;T Broadband or an AT&amp;T Broadband subsidiary.</w:t>
      </w:r>
    </w:p>
    <w:p>
      <w:pPr>
        <w:spacing w:after="0" w:line="197" w:lineRule="exact"/>
        <w:rPr>
          <w:sz w:val="20"/>
          <w:szCs w:val="20"/>
          <w:color w:val="auto"/>
        </w:rPr>
      </w:pPr>
    </w:p>
    <w:p>
      <w:pPr>
        <w:jc w:val="center"/>
        <w:ind w:right="1939"/>
        <w:spacing w:after="0" w:line="254" w:lineRule="auto"/>
        <w:rPr>
          <w:sz w:val="20"/>
          <w:szCs w:val="20"/>
          <w:color w:val="auto"/>
        </w:rPr>
      </w:pPr>
      <w:r>
        <w:rPr>
          <w:rFonts w:ascii="Courier New" w:cs="Courier New" w:eastAsia="Courier New" w:hAnsi="Courier New"/>
          <w:sz w:val="17"/>
          <w:szCs w:val="17"/>
          <w:color w:val="auto"/>
        </w:rPr>
        <w:t>At the same time, AT&amp;T Broadband will assume all of the liabilities of AT&amp;T's broadband business (as reflected in the AT&amp;T Broadband Group balance sheet dated as of December 31, 2000 or as otherwise specified in the separation I-10</w:t>
      </w:r>
    </w:p>
    <w:p>
      <w:pPr>
        <w:sectPr>
          <w:pgSz w:w="11900" w:h="16838" w:orient="portrait"/>
          <w:cols w:equalWidth="0" w:num="1">
            <w:col w:w="10219"/>
          </w:cols>
          <w:pgMar w:left="240" w:top="719" w:right="1440" w:bottom="1046" w:gutter="0" w:footer="0" w:header="0"/>
        </w:sectPr>
      </w:pPr>
    </w:p>
    <w:bookmarkStart w:id="20" w:name="page21"/>
    <w:bookmarkEnd w:id="20"/>
    <w:p>
      <w:pPr>
        <w:ind w:right="1839"/>
        <w:spacing w:after="0" w:line="257" w:lineRule="auto"/>
        <w:rPr>
          <w:sz w:val="20"/>
          <w:szCs w:val="20"/>
          <w:color w:val="auto"/>
        </w:rPr>
      </w:pPr>
      <w:r>
        <w:rPr>
          <w:rFonts w:ascii="Courier New" w:cs="Courier New" w:eastAsia="Courier New" w:hAnsi="Courier New"/>
          <w:sz w:val="17"/>
          <w:szCs w:val="17"/>
          <w:color w:val="auto"/>
        </w:rPr>
        <w:t>and distribution agreement between AT&amp;T and AT&amp;T Broadband) that are not at such time liabilities of AT&amp;T Broadband or an AT&amp;T Broadband subsidiary.</w:t>
      </w:r>
    </w:p>
    <w:p>
      <w:pPr>
        <w:spacing w:after="0" w:line="19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SPIN-OFF</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Following the separation, AT&amp;T will spin off AT&amp;T Broadband to its shareholders by distributing one share of AT&amp;T Broadband common stock to each holder of record of a share of AT&amp;T common stock as of the close of business on the record date for the AT&amp;T Broadband spin-off, which we refer to as the "AT&amp;T Broadband spin-off."</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MERGERS</w:t>
      </w:r>
    </w:p>
    <w:p>
      <w:pPr>
        <w:spacing w:after="0" w:line="210" w:lineRule="exact"/>
        <w:rPr>
          <w:sz w:val="20"/>
          <w:szCs w:val="20"/>
          <w:color w:val="auto"/>
        </w:rPr>
      </w:pPr>
    </w:p>
    <w:p>
      <w:pPr>
        <w:ind w:right="2359" w:firstLine="524"/>
        <w:spacing w:after="0" w:line="253" w:lineRule="auto"/>
        <w:rPr>
          <w:sz w:val="20"/>
          <w:szCs w:val="20"/>
          <w:color w:val="auto"/>
        </w:rPr>
      </w:pPr>
      <w:r>
        <w:rPr>
          <w:rFonts w:ascii="Courier New" w:cs="Courier New" w:eastAsia="Courier New" w:hAnsi="Courier New"/>
          <w:sz w:val="17"/>
          <w:szCs w:val="17"/>
          <w:color w:val="auto"/>
        </w:rPr>
        <w:t>Immediately following the AT&amp;T Broadband spin-off, AT&amp;T Broadband will merge with AT&amp;T Broadband Acquisition Corp., a newly formed, wholly owned subsidiary of AT&amp;T Comcast, with AT&amp;T Broadband continuing as the surviving corporation.</w:t>
      </w:r>
    </w:p>
    <w:p>
      <w:pPr>
        <w:spacing w:after="0" w:line="195"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In the AT&amp;T Broadband merger, AT&amp;T Broadband shareholders will receive the merger consideration described below in this summary under "What AT&amp;T Broadband Shareholders Will Receive in the AT&amp;T Broadband Merger."</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At approximately the same time as the AT&amp;T Broadband merger, Comcast will merge with Comcast Acquisition Corp., a newly formed, wholly owned subsidiary of AT&amp;T Comcast, with Comcast continuing as the surviving corporation.</w:t>
      </w:r>
    </w:p>
    <w:p>
      <w:pPr>
        <w:spacing w:after="0" w:line="194"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In the Comcast merger, Comcast shareholders will receive the merger consideration described below in this summary under "What Comcast Shareholders Will Receive in the Comcast Merger."</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AT&amp;T COMCAST</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After the mergers, Comcast and AT&amp;T Broadband will each be a wholly owned subsidiary of AT&amp;T Comcast and the former shareholders of Comcast and AT&amp;T Broadband will be shareholders of AT&amp;T Comcast. After completion of the AT&amp;T Comcast transaction, AT&amp;T Comcast will have one of the two capital structures described below in this summary under "Capital Structures."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STRUCTURES (SEE PAGE [V-1])</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Comcast will have one of two capital structures upon completion of the AT&amp;T Comcast transaction: one that is referred to in this document as the "Preferred Structure" that will be implemented if holders of Comcast Class A common stock, voting as a single class, and holders of Comcast Class A common stock and Comcast Class B common stock, voting together as a single class, approve the preferred structure proposal described below in this summary under "Preferred Structure Proposal" or another that is referred to in this document as the "Alternative Structure" that will be implemented if they do not.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PREFERRED STRUCTURE</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If holders of Comcast Class A common stock, voting as a single class, and holders of Comcast Class A common stock and Comcast Class B common stock, voting together as a single class, approve the preferred structure proposal, AT&amp;T Comcast's capital structure upon completion of the AT&amp;T Comcast transaction will be as follows:</w:t>
      </w:r>
    </w:p>
    <w:p>
      <w:pPr>
        <w:spacing w:after="0" w:line="197" w:lineRule="exact"/>
        <w:rPr>
          <w:sz w:val="20"/>
          <w:szCs w:val="20"/>
          <w:color w:val="auto"/>
        </w:rPr>
      </w:pPr>
    </w:p>
    <w:p>
      <w:pPr>
        <w:ind w:left="740" w:right="1839" w:hanging="209"/>
        <w:spacing w:after="0" w:line="253" w:lineRule="auto"/>
        <w:tabs>
          <w:tab w:leader="none" w:pos="74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B common stock -- will in the aggregate have 33 1/3% of the combined voting power of the AT&amp;T Comcast stock (regardless of the number of shares of any other class of AT&amp;T Comcast stock that may be outstanding at any time),</w:t>
      </w:r>
    </w:p>
    <w:p>
      <w:pPr>
        <w:spacing w:after="0" w:line="195" w:lineRule="exact"/>
        <w:rPr>
          <w:rFonts w:ascii="Courier New" w:cs="Courier New" w:eastAsia="Courier New" w:hAnsi="Courier New"/>
          <w:sz w:val="17"/>
          <w:szCs w:val="17"/>
          <w:color w:val="auto"/>
        </w:rPr>
      </w:pPr>
    </w:p>
    <w:p>
      <w:pPr>
        <w:ind w:left="740" w:right="2039" w:hanging="209"/>
        <w:spacing w:after="0" w:line="257" w:lineRule="auto"/>
        <w:tabs>
          <w:tab w:leader="none" w:pos="74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A common stock -- initially will in the aggregate have 66 2/3% of the combined voting power of the AT&amp;T Comcast stock, and</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A Special common stock -- will be non-voting.</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If the number of outstanding shares of AT&amp;T Comcast Class B common stock outstanding upon completion of the AT&amp;T Comcast transaction is reduced for any reason (e.g., by repurchase or conversion) below the number of shares outstanding at the completion of the AT&amp;T Comcast transaction, the aggregate voting power of AT&amp;T Comcast Class B common stock will be proportionately reduced and, unless another class of AT&amp;T Comcast voting stock exists at the time, the aggregate voting power of AT&amp;T Comcast Class A common stock will be proportionately increased.</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I-11</w:t>
      </w:r>
    </w:p>
    <w:p>
      <w:pPr>
        <w:sectPr>
          <w:pgSz w:w="11900" w:h="16838" w:orient="portrait"/>
          <w:cols w:equalWidth="0" w:num="1">
            <w:col w:w="10219"/>
          </w:cols>
          <w:pgMar w:left="240" w:top="719" w:right="1440" w:bottom="55" w:gutter="0" w:footer="0" w:header="0"/>
        </w:sectPr>
      </w:pPr>
    </w:p>
    <w:bookmarkStart w:id="21" w:name="page22"/>
    <w:bookmarkEnd w:id="21"/>
    <w:p>
      <w:pPr>
        <w:ind w:right="1939" w:firstLine="524"/>
        <w:spacing w:after="0" w:line="252" w:lineRule="auto"/>
        <w:rPr>
          <w:sz w:val="20"/>
          <w:szCs w:val="20"/>
          <w:color w:val="auto"/>
        </w:rPr>
      </w:pPr>
      <w:r>
        <w:rPr>
          <w:rFonts w:ascii="Courier New" w:cs="Courier New" w:eastAsia="Courier New" w:hAnsi="Courier New"/>
          <w:sz w:val="17"/>
          <w:szCs w:val="17"/>
          <w:color w:val="auto"/>
        </w:rPr>
        <w:t>Unlike AT&amp;T Comcast Class B common stock which, except as described in the preceding paragraph, has a nondilutable voting interest, the percentage of the combined voting power of AT&amp;T Comcast stock held by AT&amp;T Comcast Class A common stock upon completion of the AT&amp;T Comcast transaction could be diluted by the issuance of a new class of AT&amp;T Comcast voting stock.</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ALTERNATIVE STRUCTURE</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If holders of Comcast Class A common stock, voting as a single class, or holders of Comcast Class A common stock and Comcast Class B common stock, voting together as a single class, do not approve the preferred structure proposal, AT&amp;T Comcast's capital structure upon completion of the AT&amp;T Comcast transaction will be as follows:</w:t>
      </w:r>
    </w:p>
    <w:p>
      <w:pPr>
        <w:spacing w:after="0" w:line="197" w:lineRule="exact"/>
        <w:rPr>
          <w:sz w:val="20"/>
          <w:szCs w:val="20"/>
          <w:color w:val="auto"/>
        </w:rPr>
      </w:pPr>
    </w:p>
    <w:p>
      <w:pPr>
        <w:ind w:left="740" w:right="1939" w:hanging="209"/>
        <w:spacing w:after="0" w:line="253" w:lineRule="auto"/>
        <w:tabs>
          <w:tab w:leader="none" w:pos="74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B common stock -- will in the aggregate have 33 1/3% of the combined voting power of AT&amp;T Comcast stock (regardless of the number of shares of any other class of AT&amp;T Comcast stock other than AT&amp;T Comcast Class A common stock that may be outstanding at any time),</w:t>
      </w:r>
    </w:p>
    <w:p>
      <w:pPr>
        <w:spacing w:after="0" w:line="195"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A common stock -- will in the aggregate have 5.14% of the combined voting power of AT&amp;T Comcast stock (regardless of the number of shares of any other class of AT&amp;T Comcast stock other than AT&amp;T Comcast Class B common stock that may be outstanding at any time),</w:t>
      </w:r>
    </w:p>
    <w:p>
      <w:pPr>
        <w:spacing w:after="0" w:line="195"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A Special common stock -- will be non-voting, and</w:t>
      </w:r>
    </w:p>
    <w:p>
      <w:pPr>
        <w:spacing w:after="0" w:line="210" w:lineRule="exact"/>
        <w:rPr>
          <w:rFonts w:ascii="Courier New" w:cs="Courier New" w:eastAsia="Courier New" w:hAnsi="Courier New"/>
          <w:sz w:val="17"/>
          <w:szCs w:val="17"/>
          <w:color w:val="auto"/>
        </w:rPr>
      </w:pPr>
    </w:p>
    <w:p>
      <w:pPr>
        <w:ind w:left="740" w:right="2259" w:hanging="209"/>
        <w:spacing w:after="0" w:line="254" w:lineRule="auto"/>
        <w:tabs>
          <w:tab w:leader="none" w:pos="74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C common stock -- initially will in the aggregate have approximately 61 53/100% of the combined voting power of AT&amp;T Comcast stock.</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If the number of outstanding shares of AT&amp;T Comcast Class A common stock or AT&amp;T Comcast Class B common stock outstanding upon completion of the AT&amp;T Comcast transaction is reduced for any reason (e.g., by repurchase, or in the case of AT&amp;T Comcast Class B common stock only, conversion) below the number of shares outstanding at the completion of the AT&amp;T Comcast transaction, the aggregate voting power of the applicable class of AT&amp;T Comcast common stock will be proportionately reduced and, unless another class of AT&amp;T Comcast voting stock exists at the time, the aggregate voting power of AT&amp;T Comcast Class C common stock will be proportionately increased. If additional shares of AT&amp;T Comcast Class A common stock or AT&amp;T Comcast Class B common stock are issued in disproportionate amounts after the completion of the AT&amp;T Comcast transaction, the relative voting percentages of those two classes of AT&amp;T Comcast common stock will change (based on the principle that each share of AT&amp;T Comcast Class B common stock will be entitled to 15 times the vote of each share of AT&amp;T Comcast Class A common stock) but the combined voting percentage of those two classes of stock will remain constant at approximately 38 47/100% (except to the extent there has been a reduction in the voting power of either class of AT&amp;T Comcast common stock as described in the preceding sentence).</w:t>
      </w:r>
    </w:p>
    <w:p>
      <w:pPr>
        <w:spacing w:after="0" w:line="20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Unlike AT&amp;T Comcast Class A common stock and AT&amp;T Comcast Class B common stock, which, except as described in the preceding paragraph, have a nondilutable voting interest, the percentage of the combined voting power of AT&amp;T Comcast stock held by AT&amp;T Comcast Class C common stock upon completion of the AT&amp;T Comcast transaction could be diluted by the issuance of a new class of AT&amp;T Comcast voting stock.</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COMCAST SHAREHOLDERS WILL RECEIVE IN THE COMCAST MERGER (SEE PAGE [V-1])</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Comcast shareholders will receive one share of the corresponding class of AT&amp;T Comcast common stock in exchange for each of their shares of Comcast common stock.</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Upon completion of the AT&amp;T Comcast transaction, assuming no shares of AT&amp;T Comcast common stock are issued as described in this summary under "Potential Additional Payments," Comcast shareholders will own</w:t>
      </w:r>
    </w:p>
    <w:p>
      <w:pPr>
        <w:spacing w:after="0" w:line="194"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ind w:left="260"/>
              <w:spacing w:after="0"/>
              <w:rPr>
                <w:sz w:val="20"/>
                <w:szCs w:val="20"/>
                <w:color w:val="auto"/>
              </w:rPr>
            </w:pPr>
            <w:r>
              <w:rPr>
                <w:rFonts w:ascii="Courier New" w:cs="Courier New" w:eastAsia="Courier New" w:hAnsi="Courier New"/>
                <w:sz w:val="17"/>
                <w:szCs w:val="17"/>
                <w:color w:val="auto"/>
              </w:rPr>
              <w:t>]% of AT&amp;T</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Comcast's</w:t>
            </w:r>
          </w:p>
        </w:tc>
        <w:tc>
          <w:tcPr>
            <w:tcW w:w="1000" w:type="dxa"/>
            <w:vAlign w:val="bottom"/>
          </w:tcPr>
          <w:p>
            <w:pPr>
              <w:ind w:left="40"/>
              <w:spacing w:after="0"/>
              <w:rPr>
                <w:sz w:val="20"/>
                <w:szCs w:val="20"/>
                <w:color w:val="auto"/>
              </w:rPr>
            </w:pPr>
            <w:r>
              <w:rPr>
                <w:rFonts w:ascii="Courier New" w:cs="Courier New" w:eastAsia="Courier New" w:hAnsi="Courier New"/>
                <w:sz w:val="17"/>
                <w:szCs w:val="17"/>
                <w:color w:val="auto"/>
              </w:rPr>
              <w:t>economic</w:t>
            </w:r>
          </w:p>
        </w:tc>
        <w:tc>
          <w:tcPr>
            <w:tcW w:w="1360" w:type="dxa"/>
            <w:vAlign w:val="bottom"/>
          </w:tcPr>
          <w:p>
            <w:pPr>
              <w:spacing w:after="0"/>
              <w:rPr>
                <w:sz w:val="20"/>
                <w:szCs w:val="20"/>
                <w:color w:val="auto"/>
              </w:rPr>
            </w:pPr>
            <w:r>
              <w:rPr>
                <w:rFonts w:ascii="Courier New" w:cs="Courier New" w:eastAsia="Courier New" w:hAnsi="Courier New"/>
                <w:sz w:val="17"/>
                <w:szCs w:val="17"/>
                <w:color w:val="auto"/>
              </w:rPr>
              <w:t>interest; and</w:t>
            </w:r>
          </w:p>
        </w:tc>
        <w:tc>
          <w:tcPr>
            <w:tcW w:w="2080" w:type="dxa"/>
            <w:vAlign w:val="bottom"/>
          </w:tcPr>
          <w:p>
            <w:pPr>
              <w:spacing w:after="0"/>
              <w:rPr>
                <w:sz w:val="17"/>
                <w:szCs w:val="17"/>
                <w:color w:val="auto"/>
              </w:rPr>
            </w:pPr>
          </w:p>
        </w:tc>
      </w:tr>
      <w:tr>
        <w:trPr>
          <w:trHeight w:val="403"/>
        </w:trPr>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if the Preferred</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Structure</w:t>
            </w:r>
          </w:p>
        </w:tc>
        <w:tc>
          <w:tcPr>
            <w:tcW w:w="23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is implemented, [</w:t>
            </w:r>
          </w:p>
        </w:tc>
        <w:tc>
          <w:tcPr>
            <w:tcW w:w="2080" w:type="dxa"/>
            <w:vAlign w:val="bottom"/>
          </w:tcPr>
          <w:p>
            <w:pPr>
              <w:spacing w:after="0"/>
              <w:rPr>
                <w:sz w:val="20"/>
                <w:szCs w:val="20"/>
                <w:color w:val="auto"/>
              </w:rPr>
            </w:pPr>
            <w:r>
              <w:rPr>
                <w:rFonts w:ascii="Courier New" w:cs="Courier New" w:eastAsia="Courier New" w:hAnsi="Courier New"/>
                <w:sz w:val="17"/>
                <w:szCs w:val="17"/>
                <w:color w:val="auto"/>
              </w:rPr>
              <w:t>]% of AT&amp;T Comcast's</w:t>
            </w:r>
          </w:p>
        </w:tc>
      </w:tr>
      <w:tr>
        <w:trPr>
          <w:trHeight w:val="201"/>
        </w:trPr>
        <w:tc>
          <w:tcPr>
            <w:tcW w:w="140" w:type="dxa"/>
            <w:vAlign w:val="bottom"/>
          </w:tcPr>
          <w:p>
            <w:pPr>
              <w:spacing w:after="0"/>
              <w:rPr>
                <w:sz w:val="17"/>
                <w:szCs w:val="17"/>
                <w:color w:val="auto"/>
              </w:rPr>
            </w:pPr>
          </w:p>
        </w:tc>
        <w:tc>
          <w:tcPr>
            <w:tcW w:w="1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voting power or,</w:t>
            </w:r>
          </w:p>
        </w:tc>
        <w:tc>
          <w:tcPr>
            <w:tcW w:w="20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if the Alternative</w:t>
            </w:r>
          </w:p>
        </w:tc>
        <w:tc>
          <w:tcPr>
            <w:tcW w:w="1360" w:type="dxa"/>
            <w:vAlign w:val="bottom"/>
          </w:tcPr>
          <w:p>
            <w:pPr>
              <w:spacing w:after="0"/>
              <w:rPr>
                <w:sz w:val="20"/>
                <w:szCs w:val="20"/>
                <w:color w:val="auto"/>
              </w:rPr>
            </w:pPr>
            <w:r>
              <w:rPr>
                <w:rFonts w:ascii="Courier New" w:cs="Courier New" w:eastAsia="Courier New" w:hAnsi="Courier New"/>
                <w:sz w:val="17"/>
                <w:szCs w:val="17"/>
                <w:color w:val="auto"/>
              </w:rPr>
              <w:t>Structure is</w:t>
            </w:r>
          </w:p>
        </w:tc>
        <w:tc>
          <w:tcPr>
            <w:tcW w:w="2080" w:type="dxa"/>
            <w:vAlign w:val="bottom"/>
          </w:tcPr>
          <w:p>
            <w:pPr>
              <w:spacing w:after="0"/>
              <w:rPr>
                <w:sz w:val="17"/>
                <w:szCs w:val="17"/>
                <w:color w:val="auto"/>
              </w:rPr>
            </w:pPr>
          </w:p>
        </w:tc>
      </w:tr>
      <w:tr>
        <w:trPr>
          <w:trHeight w:val="201"/>
        </w:trPr>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7"/>
                <w:szCs w:val="17"/>
                <w:color w:val="auto"/>
                <w:w w:val="97"/>
              </w:rPr>
              <w:t>I-12</w:t>
            </w:r>
          </w:p>
        </w:tc>
        <w:tc>
          <w:tcPr>
            <w:tcW w:w="1360" w:type="dxa"/>
            <w:vAlign w:val="bottom"/>
          </w:tcPr>
          <w:p>
            <w:pPr>
              <w:spacing w:after="0"/>
              <w:rPr>
                <w:sz w:val="17"/>
                <w:szCs w:val="17"/>
                <w:color w:val="auto"/>
              </w:rPr>
            </w:pPr>
          </w:p>
        </w:tc>
        <w:tc>
          <w:tcPr>
            <w:tcW w:w="2080" w:type="dxa"/>
            <w:vAlign w:val="bottom"/>
          </w:tcPr>
          <w:p>
            <w:pPr>
              <w:spacing w:after="0"/>
              <w:rPr>
                <w:sz w:val="17"/>
                <w:szCs w:val="17"/>
                <w:color w:val="auto"/>
              </w:rPr>
            </w:pPr>
          </w:p>
        </w:tc>
      </w:tr>
    </w:tbl>
    <w:p>
      <w:pPr>
        <w:sectPr>
          <w:pgSz w:w="11900" w:h="16838" w:orient="portrait"/>
          <w:cols w:equalWidth="0" w:num="1">
            <w:col w:w="10219"/>
          </w:cols>
          <w:pgMar w:left="240" w:top="719" w:right="1440" w:bottom="1440" w:gutter="0" w:footer="0" w:header="0"/>
        </w:sectPr>
      </w:pPr>
    </w:p>
    <w:bookmarkStart w:id="22" w:name="page23"/>
    <w:bookmarkEnd w:id="22"/>
    <w:p>
      <w:pPr>
        <w:ind w:left="740"/>
        <w:spacing w:after="0"/>
        <w:tabs>
          <w:tab w:leader="none" w:pos="2720" w:val="left"/>
        </w:tabs>
        <w:rPr>
          <w:sz w:val="20"/>
          <w:szCs w:val="20"/>
          <w:color w:val="auto"/>
        </w:rPr>
      </w:pPr>
      <w:r>
        <w:rPr>
          <w:rFonts w:ascii="Courier New" w:cs="Courier New" w:eastAsia="Courier New" w:hAnsi="Courier New"/>
          <w:sz w:val="17"/>
          <w:szCs w:val="17"/>
          <w:color w:val="auto"/>
        </w:rPr>
        <w:t>implemented, [</w:t>
      </w:r>
      <w:r>
        <w:rPr>
          <w:sz w:val="20"/>
          <w:szCs w:val="20"/>
          <w:color w:val="auto"/>
        </w:rPr>
        <w:tab/>
      </w:r>
      <w:r>
        <w:rPr>
          <w:rFonts w:ascii="Courier New" w:cs="Courier New" w:eastAsia="Courier New" w:hAnsi="Courier New"/>
          <w:sz w:val="17"/>
          <w:szCs w:val="17"/>
          <w:color w:val="auto"/>
        </w:rPr>
        <w:t>]% of AT&amp;T Comcast's voting power.</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Upon completion of the AT&amp;T Comcast transaction, regardless of which capital structure is implemented and whether or not any shares of AT&amp;T Comcast common stock are issued as described below in this summary under "Potential Additional Payments," Sural LLC, which is controlled by Brian L. Roberts, President of Comcast, and currently holds approximately 86.7% of Comcast's voting power, will hold approximately 33 1/3% of AT&amp;T Comcast's voting power, including all of the outstanding AT&amp;T Comcast Class B common stock.</w:t>
      </w:r>
    </w:p>
    <w:p>
      <w:pPr>
        <w:spacing w:after="0" w:line="196"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WHAT AT&amp;T BROADBAND SHAREHOLDERS WILL RECEIVE IN THE AT&amp;T BROADBAND MERGER (SEE PAGE [V-3])</w:t>
      </w:r>
    </w:p>
    <w:p>
      <w:pPr>
        <w:spacing w:after="0" w:line="192"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In the AT&amp;T Broadband spin-off, each holder of AT&amp;T common stock, NYSE symbol "T," will receive one share of AT&amp;T Broadband common stock for each of such holder's shares of such AT&amp;T common stock. AT&amp;T Consumer Services Group tracking stock will not entitle holders thereof to receive any shares of AT&amp;T Broadband common stock in the AT&amp;T Broadband spin-off.</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precise number of shares of AT&amp;T Comcast common stock that each holder of AT&amp;T Broadband common stock will receive in the AT&amp;T Broadband merger will depend upon the number of shares of AT&amp;T Broadband common stock outstanding (not including any shares issued in the QUIPS exchange transaction) and the value of the employee stock options and stock appreciation rights held by current AT&amp;T Broadband employees and former AT&amp;T employees, in each case at the time the AT&amp;T Comcast transaction is completed.</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If the AT&amp;T Broadband exchange ratio were determined as of the date of this joint proxy statement/prospectus, assuming no shares of AT&amp;T Comcast common stock are issued as described in this summary under "Potential Additional Payments," AT&amp;T Broadband shareholders would receive for each of their shares of AT&amp;T Broadband common stock:</w:t>
      </w:r>
    </w:p>
    <w:p>
      <w:pPr>
        <w:sectPr>
          <w:pgSz w:w="11900" w:h="16838" w:orient="portrait"/>
          <w:cols w:equalWidth="0" w:num="1">
            <w:col w:w="10219"/>
          </w:cols>
          <w:pgMar w:left="240" w:top="719" w:right="1440" w:bottom="457" w:gutter="0" w:footer="0" w:header="0"/>
        </w:sectPr>
      </w:pPr>
    </w:p>
    <w:p>
      <w:pPr>
        <w:spacing w:after="0" w:line="197" w:lineRule="exact"/>
        <w:rPr>
          <w:sz w:val="20"/>
          <w:szCs w:val="20"/>
          <w:color w:val="auto"/>
        </w:rPr>
      </w:pPr>
    </w:p>
    <w:p>
      <w:pPr>
        <w:ind w:left="740" w:hanging="199"/>
        <w:spacing w:after="0" w:line="257" w:lineRule="auto"/>
        <w:tabs>
          <w:tab w:leader="none" w:pos="720" w:val="left"/>
        </w:tabs>
        <w:rPr>
          <w:sz w:val="20"/>
          <w:szCs w:val="20"/>
          <w:color w:val="auto"/>
        </w:rPr>
      </w:pPr>
      <w:r>
        <w:rPr>
          <w:rFonts w:ascii="Courier New" w:cs="Courier New" w:eastAsia="Courier New" w:hAnsi="Courier New"/>
          <w:sz w:val="17"/>
          <w:szCs w:val="17"/>
          <w:color w:val="auto"/>
        </w:rPr>
        <w:t>-</w:t>
        <w:tab/>
        <w:t>if the Preferred Structure is implemented, approximately of AT&amp;T Comcast Class A common stock 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 share</w:t>
      </w:r>
    </w:p>
    <w:p>
      <w:pPr>
        <w:spacing w:after="0" w:line="411" w:lineRule="exact"/>
        <w:rPr>
          <w:sz w:val="20"/>
          <w:szCs w:val="20"/>
          <w:color w:val="auto"/>
        </w:rPr>
      </w:pPr>
    </w:p>
    <w:p>
      <w:pPr>
        <w:sectPr>
          <w:pgSz w:w="11900" w:h="16838" w:orient="portrait"/>
          <w:cols w:equalWidth="0" w:num="2">
            <w:col w:w="6600" w:space="640"/>
            <w:col w:w="2979"/>
          </w:cols>
          <w:pgMar w:left="240" w:top="719" w:right="1440" w:bottom="457" w:gutter="0" w:footer="0" w:header="0"/>
          <w:type w:val="continuous"/>
        </w:sectPr>
      </w:pPr>
    </w:p>
    <w:p>
      <w:pPr>
        <w:ind w:left="740" w:hanging="199"/>
        <w:spacing w:after="0" w:line="257" w:lineRule="auto"/>
        <w:tabs>
          <w:tab w:leader="none" w:pos="720" w:val="left"/>
        </w:tabs>
        <w:rPr>
          <w:sz w:val="20"/>
          <w:szCs w:val="20"/>
          <w:color w:val="auto"/>
        </w:rPr>
      </w:pPr>
      <w:r>
        <w:rPr>
          <w:rFonts w:ascii="Courier New" w:cs="Courier New" w:eastAsia="Courier New" w:hAnsi="Courier New"/>
          <w:sz w:val="17"/>
          <w:szCs w:val="17"/>
          <w:color w:val="auto"/>
        </w:rPr>
        <w:t>-</w:t>
        <w:tab/>
        <w:t>if the Alternative Structure is implemented, approximately share of AT&amp;T Comcast Class C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of a</w:t>
      </w:r>
    </w:p>
    <w:p>
      <w:pPr>
        <w:spacing w:after="0" w:line="411" w:lineRule="exact"/>
        <w:rPr>
          <w:sz w:val="20"/>
          <w:szCs w:val="20"/>
          <w:color w:val="auto"/>
        </w:rPr>
      </w:pPr>
    </w:p>
    <w:p>
      <w:pPr>
        <w:sectPr>
          <w:pgSz w:w="11900" w:h="16838" w:orient="portrait"/>
          <w:cols w:equalWidth="0" w:num="2">
            <w:col w:w="6820" w:space="620"/>
            <w:col w:w="2779"/>
          </w:cols>
          <w:pgMar w:left="240" w:top="719" w:right="1440" w:bottom="457" w:gutter="0" w:footer="0" w:header="0"/>
          <w:type w:val="continuous"/>
        </w:sectPr>
      </w:pPr>
    </w:p>
    <w:p>
      <w:pPr>
        <w:ind w:right="1839" w:firstLine="524"/>
        <w:spacing w:after="0" w:line="254" w:lineRule="auto"/>
        <w:rPr>
          <w:sz w:val="20"/>
          <w:szCs w:val="20"/>
          <w:color w:val="auto"/>
        </w:rPr>
      </w:pPr>
      <w:r>
        <w:rPr>
          <w:rFonts w:ascii="Courier New" w:cs="Courier New" w:eastAsia="Courier New" w:hAnsi="Courier New"/>
          <w:sz w:val="17"/>
          <w:szCs w:val="17"/>
          <w:color w:val="auto"/>
        </w:rPr>
        <w:t>Upon completion of the AT&amp;T Comcast transaction, assuming no shares of AT&amp;T Comcast common stock are issued as described in this summary under "Potential Additional Payments," AT&amp;T shareholders will own approximately</w:t>
      </w:r>
    </w:p>
    <w:p>
      <w:pPr>
        <w:spacing w:after="0" w:line="194"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ind w:left="260"/>
              <w:spacing w:after="0"/>
              <w:rPr>
                <w:sz w:val="20"/>
                <w:szCs w:val="20"/>
                <w:color w:val="auto"/>
              </w:rPr>
            </w:pPr>
            <w:r>
              <w:rPr>
                <w:rFonts w:ascii="Courier New" w:cs="Courier New" w:eastAsia="Courier New" w:hAnsi="Courier New"/>
                <w:sz w:val="17"/>
                <w:szCs w:val="17"/>
                <w:color w:val="auto"/>
              </w:rPr>
              <w:t>]% of AT&amp;T</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Comcast's</w:t>
            </w:r>
          </w:p>
        </w:tc>
        <w:tc>
          <w:tcPr>
            <w:tcW w:w="940" w:type="dxa"/>
            <w:vAlign w:val="bottom"/>
          </w:tcPr>
          <w:p>
            <w:pPr>
              <w:ind w:left="40"/>
              <w:spacing w:after="0"/>
              <w:rPr>
                <w:sz w:val="20"/>
                <w:szCs w:val="20"/>
                <w:color w:val="auto"/>
              </w:rPr>
            </w:pPr>
            <w:r>
              <w:rPr>
                <w:rFonts w:ascii="Courier New" w:cs="Courier New" w:eastAsia="Courier New" w:hAnsi="Courier New"/>
                <w:sz w:val="17"/>
                <w:szCs w:val="17"/>
                <w:color w:val="auto"/>
              </w:rPr>
              <w:t>economic</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interest; and</w:t>
            </w: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3"/>
        </w:trPr>
        <w:tc>
          <w:tcPr>
            <w:tcW w:w="1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if the Preferred</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Structure</w:t>
            </w:r>
          </w:p>
        </w:tc>
        <w:tc>
          <w:tcPr>
            <w:tcW w:w="23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is implemented, [</w:t>
            </w:r>
          </w:p>
        </w:tc>
        <w:tc>
          <w:tcPr>
            <w:tcW w:w="2500" w:type="dxa"/>
            <w:vAlign w:val="bottom"/>
            <w:gridSpan w:val="2"/>
          </w:tcPr>
          <w:p>
            <w:pPr>
              <w:spacing w:after="0"/>
              <w:rPr>
                <w:sz w:val="20"/>
                <w:szCs w:val="20"/>
                <w:color w:val="auto"/>
              </w:rPr>
            </w:pPr>
            <w:r>
              <w:rPr>
                <w:rFonts w:ascii="Courier New" w:cs="Courier New" w:eastAsia="Courier New" w:hAnsi="Courier New"/>
                <w:sz w:val="17"/>
                <w:szCs w:val="17"/>
                <w:color w:val="auto"/>
              </w:rPr>
              <w:t>]% of AT&amp;T Comcast's</w:t>
            </w:r>
          </w:p>
        </w:tc>
      </w:tr>
      <w:tr>
        <w:trPr>
          <w:trHeight w:val="201"/>
        </w:trPr>
        <w:tc>
          <w:tcPr>
            <w:tcW w:w="140" w:type="dxa"/>
            <w:vAlign w:val="bottom"/>
          </w:tcPr>
          <w:p>
            <w:pPr>
              <w:spacing w:after="0"/>
              <w:rPr>
                <w:sz w:val="17"/>
                <w:szCs w:val="17"/>
                <w:color w:val="auto"/>
              </w:rPr>
            </w:pPr>
          </w:p>
        </w:tc>
        <w:tc>
          <w:tcPr>
            <w:tcW w:w="1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voting power or,</w:t>
            </w:r>
          </w:p>
        </w:tc>
        <w:tc>
          <w:tcPr>
            <w:tcW w:w="2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if the Alternative</w:t>
            </w:r>
          </w:p>
        </w:tc>
        <w:tc>
          <w:tcPr>
            <w:tcW w:w="3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Structure is implemented, [</w:t>
            </w:r>
          </w:p>
        </w:tc>
        <w:tc>
          <w:tcPr>
            <w:tcW w:w="780" w:type="dxa"/>
            <w:vAlign w:val="bottom"/>
          </w:tcPr>
          <w:p>
            <w:pPr>
              <w:ind w:left="260"/>
              <w:spacing w:after="0"/>
              <w:rPr>
                <w:sz w:val="20"/>
                <w:szCs w:val="20"/>
                <w:color w:val="auto"/>
              </w:rPr>
            </w:pPr>
            <w:r>
              <w:rPr>
                <w:rFonts w:ascii="Courier New" w:cs="Courier New" w:eastAsia="Courier New" w:hAnsi="Courier New"/>
                <w:sz w:val="17"/>
                <w:szCs w:val="17"/>
                <w:color w:val="auto"/>
                <w:w w:val="97"/>
              </w:rPr>
              <w:t>]% of</w:t>
            </w:r>
          </w:p>
        </w:tc>
      </w:tr>
      <w:tr>
        <w:trPr>
          <w:trHeight w:val="201"/>
        </w:trPr>
        <w:tc>
          <w:tcPr>
            <w:tcW w:w="140" w:type="dxa"/>
            <w:vAlign w:val="bottom"/>
          </w:tcPr>
          <w:p>
            <w:pPr>
              <w:spacing w:after="0"/>
              <w:rPr>
                <w:sz w:val="17"/>
                <w:szCs w:val="17"/>
                <w:color w:val="auto"/>
              </w:rPr>
            </w:pPr>
          </w:p>
        </w:tc>
        <w:tc>
          <w:tcPr>
            <w:tcW w:w="378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AT&amp;T Comcast's voting power.</w:t>
            </w: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05"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AT&amp;T Comcast will not issue any fractional shares in the AT&amp;T Broadband merger. AT&amp;T Broadband shareholders will receive a check in the amount of the net proceeds from the sale of their fractional shares in the market.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POTENTIAL ADDITIONAL PAYMENTS (SEE PAGE [V-2])</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Comcast may be required to issue additional shares of AT&amp;T Comcast common stock to AT&amp;T Broadband shareholders if the per share value of AT&amp;T Comcast common stock issued to AT&amp;T Broadband shareholders in the AT&amp;T Broadband merger is less than the per share value of the AT&amp;T Comcast Class A Special common stock at or shortly after completion of the AT&amp;T Comcast transaction.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STRUCTURE PROPOSAL (SEE PAGE [II-10])</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to the Comcast transaction proposal, Comcast is also seeking the approval by its shareholders of an amendment to the Comcast charter that will allow the implementation of the Preferred Structure. The preferred structure proposal will be approved if holders of a majority of the votes cast by the holders of Comcast Class A common stock, voting as a single class, and holders of Comcast Class A common stock and Comcast Class B common stock, voting together as a single class, vote in favor of adoption of the Comcast charter amendment. Each holder of Comcast Class B common stock is entitled to 15 votes per share, and each holder of Comcast Class A common stock is entitled to one vote per share. As of the record date, (1) Comcast</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I-13</w:t>
      </w:r>
    </w:p>
    <w:p>
      <w:pPr>
        <w:sectPr>
          <w:pgSz w:w="11900" w:h="16838" w:orient="portrait"/>
          <w:cols w:equalWidth="0" w:num="1">
            <w:col w:w="10219"/>
          </w:cols>
          <w:pgMar w:left="240" w:top="719" w:right="1440" w:bottom="457"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directors and executive officers and their affiliates owned approximately</w:t>
      </w:r>
    </w:p>
    <w:p>
      <w:pPr>
        <w:spacing w:after="0" w:line="9" w:lineRule="exact"/>
        <w:rPr>
          <w:sz w:val="20"/>
          <w:szCs w:val="20"/>
          <w:color w:val="auto"/>
        </w:rPr>
      </w:pPr>
    </w:p>
    <w:p>
      <w:pPr>
        <w:ind w:left="640" w:hanging="633"/>
        <w:spacing w:after="0"/>
        <w:tabs>
          <w:tab w:leader="none" w:pos="64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of the outstanding shares of Comcast Class A common stock, representing</w:t>
      </w:r>
    </w:p>
    <w:p>
      <w:pPr>
        <w:spacing w:after="0" w:line="8" w:lineRule="exact"/>
        <w:rPr>
          <w:rFonts w:ascii="Courier New" w:cs="Courier New" w:eastAsia="Courier New" w:hAnsi="Courier New"/>
          <w:sz w:val="17"/>
          <w:szCs w:val="17"/>
          <w:color w:val="auto"/>
        </w:rPr>
      </w:pPr>
    </w:p>
    <w:p>
      <w:pPr>
        <w:ind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approximately [ ]% of the combined voting power of Comcast stock, and (2) Sural LLC, which is controlled by Brian L. Roberts, President of Comcast, owned all outstanding shares of Comcast Class B common stock, representing approximately 86.6% of the combined voting power of Comcast stock. If holders of the Comcast Class A common stock, voting as a single class, approve the preferred structure proposal, the Preferred Structure will be implemented upon completion of the AT&amp;T Comcast transaction because Sural LLC has indicated that it will vote in favor of the preferred structure proposal, thereby assuring approval of the proposal by holders of Comcast Class A common stock and Comcast Class B common stock, voting together as a single class.</w:t>
      </w:r>
    </w:p>
    <w:p>
      <w:pPr>
        <w:spacing w:after="0" w:line="201"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APPROVAL OF THE COMCAST TRANSACTION PROPOSAL IS NOT CONDITIONED ON APPROVAL OF THE PREFERRED STRUCTURE PROPOSAL.</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SUPPORT AGREEMENT (SEE PAGE [V-18])</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Sural LLC, which is controlled by Brian L. Roberts, President of Comcast, and as of the record date owned approximately 86.7% of the combined voting power of Comcast common stock, has entered into a support agreement with, among others, AT&amp;T pursuant to which it has agreed to vote its shares of Comcast common stock in favor of the AT&amp;T Comcast transaction. Sural's vote in favor of the AT&amp;T Comcast transaction will be sufficient to approve the AT&amp;T Comcast transaction without the vote of any other Comcast shareholder.</w:t>
      </w:r>
    </w:p>
    <w:p>
      <w:pPr>
        <w:spacing w:after="0" w:line="196"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Sural has also agreed in the support agreement to restrictions on its ability to transfer its shares of AT&amp;T Comcast common stock that survive until the tenth anniversary of the completion of the AT&amp;T Comcast transaction.</w:t>
      </w:r>
    </w:p>
    <w:p>
      <w:pPr>
        <w:spacing w:after="0" w:line="194"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AT&amp;T COMCAST BOARD AND MANAGEMENT FOLLOWING THE AT&amp;T COMCAST TRANSACTION (SEE PAGE [VIII-1])</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Upon completion of the AT&amp;T Comcast transaction, the AT&amp;T Comcast Board will consist of 12 members, at least seven of whom will be independent directors. Comcast and AT&amp;T will each designate five of the initial members of the AT&amp;T Comcast Board from among its existing Board members and will jointly designate the two remaining initial members of the AT&amp;T Comcast Board, each of whom will be an independent director. Except for certain pre-approved designees, the individuals designated by Comcast and AT&amp;T will be mutually agreed by Comcast and AT&amp;T. If the AT&amp;T Comcast Board decides to establish an executive committee, Ralph J. Roberts, Chairman of the Board of Comcast, will be its chairman.</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Upon completion of the transaction, C. Michael Armstrong, Chairman of the Board and Chief Executive Officer of AT&amp;T, will become Chairman of the Board of AT&amp;T Comcast and Brian L. Roberts, President of Comcast, will become Chief Executive Officer and President of AT&amp;T Comcast. The other members of senior management of AT&amp;T Comcast upon completion of the AT&amp;T Comcast transaction will be selected by Brian L. Roberts in consultation with C. Michael Armstrong.</w:t>
      </w:r>
    </w:p>
    <w:p>
      <w:pPr>
        <w:spacing w:after="0" w:line="197"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TREATMENT OF AT&amp;T BROADBAND STOCK OPTIONS AND OTHER AT&amp;T BROADBAND EQUITY-BASED AWARDS IN THE AT&amp;T COMCAST TRANSACTION(SEE PAGE [V-5])</w:t>
      </w:r>
    </w:p>
    <w:p>
      <w:pPr>
        <w:spacing w:after="0" w:line="192"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 the AT&amp;T Broadband spin-off, AT&amp;T stock options and other AT&amp;T equity-based awards will be converted to AT&amp;T Broadband stock options and AT&amp;T Broadband equity-based awards, adjusted AT&amp;T stock options and adjusted AT&amp;T equity-based awards, or a combination of both, depending on the holder of the award. For a description of the conversion of AT&amp;T stock options and AT&amp;T equity-based awards in the AT&amp;T Broadband spin-off see page [IX-3].</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Upon completion of the AT&amp;T Comcast transaction, each outstanding AT&amp;T Broadband stock option will be converted into an option to acquire shares of the class of AT&amp;T Comcast common stock that is included in the Standard &amp; Poor's 500 Index. This class of stock is referred to in this document as the "AT&amp;T Comcast Indexed Stock." The number of shares subject to the option and the exercise price will be subject to customary adjustments necessary to maintain the intrinsic value of the awards immediately before and after the AT&amp;T Comcast transaction (with</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I-14</w:t>
      </w:r>
    </w:p>
    <w:p>
      <w:pPr>
        <w:sectPr>
          <w:pgSz w:w="11900" w:h="16838" w:orient="portrait"/>
          <w:cols w:equalWidth="0" w:num="1">
            <w:col w:w="10219"/>
          </w:cols>
          <w:pgMar w:left="240" w:top="719"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appropriate adjustments in the case of former employees).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As of completion of the AT&amp;T Comcast transaction, each AT&amp;T Broadband stock option held by current AT&amp;T Broadband employees (including AT&amp;T employees who become AT&amp;T Broadband employees in the AT&amp;T Broadband spin-off) will have vested and will remain exercisable for the remainder of its original term (except for AT&amp;T Broadband stock options held by any AT&amp;T executive officer who has waived rights to vesting of certain equity awards as a result of the AT&amp;T Comcast transaction).</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Shares of AT&amp;T Broadband restricted stock will also vest (except for awards held by any AT&amp;T executive officer who has waived rights to vesting of certain equity awards as a result of the AT&amp;T Comcast transaction) and be converted into the right to receive AT&amp;T Comcast common stock on the terms and conditions applicable to AT&amp;T Broadband shareholders described above in this summary under "What AT&amp;T Broadband Shareholders Will Receive in the AT&amp;T Broadband Merger." All other awards based on shares of AT&amp;T Broadband common stock will be converted into equivalent awards based on shares of AT&amp;T Comcast Indexed Stock, subject to customary adjustments necessary to maintain the fair market value of the awards immediately before and after the AT&amp;T Comcast transaction.</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As of completion of the AT&amp;T Comcast transaction, each other equity-based award (based on AT&amp;T or AT&amp;T Broadband common stock) held by current and former AT&amp;T Broadband employees (including AT&amp;T employees who become AT&amp;T Broadband employees in the AT&amp;T Broadband spin-off) will have vested (except for awards held by any AT&amp;T executive officer who has waived rights to vesting of certain equity awards as a result of the AT&amp;T Comcast transaction).</w:t>
      </w:r>
    </w:p>
    <w:p>
      <w:pPr>
        <w:spacing w:after="0" w:line="197"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TREATMENT OF COMCAST STOCK OPTIONS AND OTHER COMCAST EQUITY-BASED AWARDS (SEE PAGE [V-6])</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Upon completion of the AT&amp;T Comcast transaction, each outstanding Comcast stock option will be converted into an option to acquire shares of AT&amp;T Comcast Indexed Stock. The number of shares subject to the option and the exercise price will be subject to customary adjustments necessary to maintain the intrinsic value of the awards immediately before and after the AT&amp;T Comcast transaction.</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Shares of Comcast restricted stock will be converted into the right to receive AT&amp;T Comcast common stock on the terms and conditions applicable to Comcast shareholders described above in this summary under "What Comcast Shareholders Will Receive in the Comcast Merger." All other awards based on shares of Comcast Class A Special common stock will be converted into equivalent awards based on AT&amp;T Comcast Indexed Stock, subject to customary adjustments necessary to maintain the fair market value of the awards immediately before and after the AT&amp;T Comcast transaction.</w:t>
      </w:r>
    </w:p>
    <w:p>
      <w:pPr>
        <w:spacing w:after="0" w:line="201"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INTERESTS OF DIRECTORS AND OFFICERS IN THE AT&amp;T COMCAST TRANSACTION (SEE PAGE [IX-1])</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When considering our Boards' recommendations that you vote in favor of the AT&amp;T Comcast transaction, you should be aware that a number of our directors and officers have interests in the AT&amp;T Comcast transaction that are different from, or in addition to, yours. These interests include the potential for positions as directors or executive officers of AT&amp;T Comcast, funding of benefits in trust, employment agreements with AT&amp;T Comcast, acceleration of vesting of AT&amp;T Broadband stock options and other equity-based awards as a result of the AT&amp;T Comcast transaction (except for awards held by any AT&amp;T executive officer who has waived rights to vesting of certain equity awards as a result of the AT&amp;T Comcast transaction), and the right to continued indemnification and insurance coverage by AT&amp;T Comcast for acts or omissions occurring prior to the AT&amp;T Comcast transaction.</w:t>
      </w:r>
    </w:p>
    <w:p>
      <w:pPr>
        <w:spacing w:after="0" w:line="201"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CONDITIONS TO THE COMPLETION OF THE AT&amp;T COMCAST TRANSACTION (SEE PAGE [V-10] AND PAGE [V-16])</w:t>
      </w:r>
    </w:p>
    <w:p>
      <w:pPr>
        <w:spacing w:after="0" w:line="192" w:lineRule="exact"/>
        <w:rPr>
          <w:sz w:val="20"/>
          <w:szCs w:val="20"/>
          <w:color w:val="auto"/>
        </w:rPr>
      </w:pPr>
    </w:p>
    <w:p>
      <w:pPr>
        <w:ind w:right="2559" w:firstLine="524"/>
        <w:spacing w:after="0" w:line="254" w:lineRule="auto"/>
        <w:rPr>
          <w:sz w:val="20"/>
          <w:szCs w:val="20"/>
          <w:color w:val="auto"/>
        </w:rPr>
      </w:pPr>
      <w:r>
        <w:rPr>
          <w:rFonts w:ascii="Courier New" w:cs="Courier New" w:eastAsia="Courier New" w:hAnsi="Courier New"/>
          <w:sz w:val="17"/>
          <w:szCs w:val="17"/>
          <w:color w:val="auto"/>
        </w:rPr>
        <w:t>The completion of the AT&amp;T Comcast transaction is subject to the satisfaction or waiver (to the extent permissible) of several conditions, including:</w:t>
      </w:r>
    </w:p>
    <w:p>
      <w:pPr>
        <w:spacing w:after="0" w:line="194" w:lineRule="exact"/>
        <w:rPr>
          <w:sz w:val="20"/>
          <w:szCs w:val="20"/>
          <w:color w:val="auto"/>
        </w:rPr>
      </w:pPr>
    </w:p>
    <w:p>
      <w:pPr>
        <w:ind w:left="740" w:hanging="209"/>
        <w:spacing w:after="0"/>
        <w:tabs>
          <w:tab w:leader="none" w:pos="74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by AT&amp;T shareholders and Comcast shareholders;</w:t>
      </w:r>
    </w:p>
    <w:p>
      <w:pPr>
        <w:spacing w:after="0" w:line="210" w:lineRule="exact"/>
        <w:rPr>
          <w:rFonts w:ascii="Courier New" w:cs="Courier New" w:eastAsia="Courier New" w:hAnsi="Courier New"/>
          <w:sz w:val="17"/>
          <w:szCs w:val="17"/>
          <w:color w:val="auto"/>
        </w:rPr>
      </w:pPr>
    </w:p>
    <w:p>
      <w:pPr>
        <w:ind w:left="740" w:right="2359" w:hanging="209"/>
        <w:spacing w:after="0" w:line="251" w:lineRule="auto"/>
        <w:tabs>
          <w:tab w:leader="none" w:pos="74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expiration or termination of the applicable waiting period under the Hart-Scott-</w:t>
      </w:r>
    </w:p>
    <w:p>
      <w:pPr>
        <w:ind w:left="4100"/>
        <w:spacing w:after="0"/>
        <w:rPr>
          <w:sz w:val="20"/>
          <w:szCs w:val="20"/>
          <w:color w:val="auto"/>
        </w:rPr>
      </w:pPr>
      <w:r>
        <w:rPr>
          <w:rFonts w:ascii="Courier New" w:cs="Courier New" w:eastAsia="Courier New" w:hAnsi="Courier New"/>
          <w:sz w:val="17"/>
          <w:szCs w:val="17"/>
          <w:color w:val="auto"/>
        </w:rPr>
        <w:t>I-15</w:t>
      </w:r>
    </w:p>
    <w:p>
      <w:pPr>
        <w:sectPr>
          <w:pgSz w:w="11900" w:h="16838" w:orient="portrait"/>
          <w:cols w:equalWidth="0" w:num="1">
            <w:col w:w="10219"/>
          </w:cols>
          <w:pgMar w:left="240" w:top="719" w:right="1440" w:bottom="659" w:gutter="0" w:footer="0" w:header="0"/>
        </w:sectPr>
      </w:pPr>
    </w:p>
    <w:bookmarkStart w:id="25" w:name="page26"/>
    <w:bookmarkEnd w:id="25"/>
    <w:p>
      <w:pPr>
        <w:spacing w:after="0" w:line="19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Rodino Antitrust Improvements Act of 1976, as amended;</w:t>
      </w:r>
    </w:p>
    <w:p>
      <w:pPr>
        <w:spacing w:after="0" w:line="210" w:lineRule="exact"/>
        <w:rPr>
          <w:sz w:val="20"/>
          <w:szCs w:val="20"/>
          <w:color w:val="auto"/>
        </w:rPr>
      </w:pPr>
    </w:p>
    <w:p>
      <w:pPr>
        <w:ind w:left="740" w:right="1839" w:hanging="209"/>
        <w:spacing w:after="0" w:line="257" w:lineRule="auto"/>
        <w:tabs>
          <w:tab w:leader="none" w:pos="74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absence of any law, regulation or order prohibiting the completion of the transaction;</w:t>
      </w:r>
    </w:p>
    <w:p>
      <w:pPr>
        <w:spacing w:after="0" w:line="191"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of all required regulatory approvals other than those the failure of which to be obtained would not reasonably be expected to have a material adverse effect on either Comcast or AT&amp;T Broadband Group;</w:t>
      </w:r>
    </w:p>
    <w:p>
      <w:pPr>
        <w:spacing w:after="0" w:line="194" w:lineRule="exact"/>
        <w:rPr>
          <w:rFonts w:ascii="Courier New" w:cs="Courier New" w:eastAsia="Courier New" w:hAnsi="Courier New"/>
          <w:sz w:val="17"/>
          <w:szCs w:val="17"/>
          <w:color w:val="auto"/>
        </w:rPr>
      </w:pPr>
    </w:p>
    <w:p>
      <w:pPr>
        <w:ind w:left="740" w:right="2459" w:hanging="209"/>
        <w:spacing w:after="0" w:line="257" w:lineRule="auto"/>
        <w:tabs>
          <w:tab w:leader="none" w:pos="74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accuracy of the representations and warranties of the other party, including with respect to the absence of a material adverse effect;</w:t>
      </w:r>
    </w:p>
    <w:p>
      <w:pPr>
        <w:spacing w:after="0" w:line="191"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and continuing effectiveness of an Internal Revenue Service ruling or rulings (or an opinion from tax counsel acceptable to Comcast and AT&amp;T) to the effect that, for U.S. federal income tax purposes, the AT&amp;T Broadband spin-off will be tax-free to AT&amp;T and its shareholders, the mergers will not cause the AT&amp;T Broadband spin-off to fail to be qualified as a tax-free transaction, and the AT&amp;T Broadband spin-off will not cause the distribution by AT&amp;T of the common stock of AT&amp;T Wireless Services, Inc. or of Liberty Media Corporation to fail to qualify as tax-free transactions;</w:t>
      </w:r>
    </w:p>
    <w:p>
      <w:pPr>
        <w:spacing w:after="0" w:line="201"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by each party of an opinion of its counsel to the effect that the combination of AT&amp;T Broadband and Comcast will qualify as a tax-free transaction for U.S. federal income tax purposes;</w:t>
      </w:r>
    </w:p>
    <w:p>
      <w:pPr>
        <w:spacing w:after="0" w:line="194" w:lineRule="exact"/>
        <w:rPr>
          <w:rFonts w:ascii="Courier New" w:cs="Courier New" w:eastAsia="Courier New" w:hAnsi="Courier New"/>
          <w:sz w:val="17"/>
          <w:szCs w:val="17"/>
          <w:color w:val="auto"/>
        </w:rPr>
      </w:pPr>
    </w:p>
    <w:p>
      <w:pPr>
        <w:ind w:left="740" w:right="2359" w:hanging="209"/>
        <w:spacing w:after="0" w:line="257" w:lineRule="auto"/>
        <w:tabs>
          <w:tab w:leader="none" w:pos="74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by Sural LLC in all material respects of its obligations under the support agreement; and</w:t>
      </w:r>
    </w:p>
    <w:p>
      <w:pPr>
        <w:spacing w:after="0" w:line="191"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of appropriate note consents, or the defeasance, purchase or acquisition of indebtedness, in respect of at least 90% in aggregate principal amount of the securities issued under the AT&amp;T indenture, dated as of September 7, 1990, and outstanding as of December 19, 2001.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RIGHTS (SEE PAGE [V-12])</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merger agreement may be terminated by mutual agreement of Comcast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merger agreement may be terminated by Comcast or AT&amp;T if:</w:t>
      </w:r>
    </w:p>
    <w:p>
      <w:pPr>
        <w:spacing w:after="0" w:line="210" w:lineRule="exact"/>
        <w:rPr>
          <w:sz w:val="20"/>
          <w:szCs w:val="20"/>
          <w:color w:val="auto"/>
        </w:rPr>
      </w:pPr>
    </w:p>
    <w:p>
      <w:pPr>
        <w:ind w:left="740" w:hanging="209"/>
        <w:spacing w:after="0"/>
        <w:tabs>
          <w:tab w:leader="none" w:pos="74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or Comcast shareholders fail to approve the transaction;</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Comcast transaction is not completed by March 1, 2003;</w:t>
      </w:r>
    </w:p>
    <w:p>
      <w:pPr>
        <w:spacing w:after="0" w:line="210" w:lineRule="exact"/>
        <w:rPr>
          <w:rFonts w:ascii="Courier New" w:cs="Courier New" w:eastAsia="Courier New" w:hAnsi="Courier New"/>
          <w:sz w:val="17"/>
          <w:szCs w:val="17"/>
          <w:color w:val="auto"/>
        </w:rPr>
      </w:pPr>
    </w:p>
    <w:p>
      <w:pPr>
        <w:ind w:left="740" w:right="2459" w:hanging="209"/>
        <w:spacing w:after="0" w:line="257" w:lineRule="auto"/>
        <w:tabs>
          <w:tab w:leader="none" w:pos="74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other party breaches the merger agreement such that the related closing conditions cannot be satisfied by March 1, 2003; or</w:t>
      </w:r>
    </w:p>
    <w:p>
      <w:pPr>
        <w:spacing w:after="0" w:line="191"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law or regulation makes completion of the AT&amp;T Comcast transaction illegal or a permanent injunction prohibiting completion of the AT&amp;T Comcast transaction is entered.</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AT&amp;T may terminate the merger agreement if, as permitted by the merger agreement, the closing date for the AT&amp;T Comcast transaction is delayed because the QUIPS exchange transaction described below in this summary under "Microsoft Arrangement" does not occur; provided that AT&amp;T may terminate the merger agreement pursuant to this provision only (1) on two business days' notice delivered to Comcast between 30 and 45 days after the commencement of the delay; and (2) if prior to the effectiveness of the termination Comcast does not agree to close the AT&amp;T Comcast transaction within 60 days of the commencement of the delay.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 addition, Comcast may terminate the merger agreement if:</w:t>
      </w:r>
    </w:p>
    <w:p>
      <w:pPr>
        <w:spacing w:after="0" w:line="210" w:lineRule="exact"/>
        <w:rPr>
          <w:sz w:val="20"/>
          <w:szCs w:val="20"/>
          <w:color w:val="auto"/>
        </w:rPr>
      </w:pPr>
    </w:p>
    <w:p>
      <w:pPr>
        <w:ind w:left="740" w:right="1839" w:hanging="209"/>
        <w:spacing w:after="0" w:line="257" w:lineRule="auto"/>
        <w:tabs>
          <w:tab w:leader="none" w:pos="74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withdraws or modifies, in a manner adverse to Comcast, its recommendation of the AT&amp;T Comcast transaction; or</w:t>
      </w:r>
    </w:p>
    <w:p>
      <w:pPr>
        <w:spacing w:after="0" w:line="191"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willfully and materially breaches its obligations described below in this summary under "Duty to Recommend the AT&amp;T Comcast Transaction" or "No Solicitation of Competing Transactions."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FEES (SEE PAGE [V-12])</w:t>
      </w:r>
    </w:p>
    <w:p>
      <w:pPr>
        <w:spacing w:after="0" w:line="210"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AT&amp;T will pay Comcast a termination fee in the amount of $1.5 billion in cash if the merger agreement is terminated because:</w:t>
      </w:r>
    </w:p>
    <w:p>
      <w:pPr>
        <w:spacing w:after="0" w:line="192" w:lineRule="exact"/>
        <w:rPr>
          <w:sz w:val="20"/>
          <w:szCs w:val="20"/>
          <w:color w:val="auto"/>
        </w:rPr>
      </w:pPr>
    </w:p>
    <w:p>
      <w:pPr>
        <w:ind w:left="4100" w:right="1839" w:hanging="3569"/>
        <w:spacing w:after="0" w:line="505" w:lineRule="auto"/>
        <w:tabs>
          <w:tab w:leader="none" w:pos="749"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withdraws or modifies, in a manner adverse to Comcast, its I-16</w:t>
      </w:r>
    </w:p>
    <w:p>
      <w:pPr>
        <w:sectPr>
          <w:pgSz w:w="11900" w:h="17037" w:orient="portrait"/>
          <w:cols w:equalWidth="0" w:num="1">
            <w:col w:w="10219"/>
          </w:cols>
          <w:pgMar w:left="240" w:top="719" w:right="1440" w:bottom="0" w:gutter="0" w:footer="0" w:header="0"/>
        </w:sectPr>
      </w:pPr>
    </w:p>
    <w:bookmarkStart w:id="26" w:name="page27"/>
    <w:bookmarkEnd w:id="26"/>
    <w:p>
      <w:pPr>
        <w:ind w:left="740"/>
        <w:spacing w:after="0"/>
        <w:rPr>
          <w:sz w:val="20"/>
          <w:szCs w:val="20"/>
          <w:color w:val="auto"/>
        </w:rPr>
      </w:pPr>
      <w:r>
        <w:rPr>
          <w:rFonts w:ascii="Courier New" w:cs="Courier New" w:eastAsia="Courier New" w:hAnsi="Courier New"/>
          <w:sz w:val="17"/>
          <w:szCs w:val="17"/>
          <w:color w:val="auto"/>
        </w:rPr>
        <w:t>recommendation of the AT&amp;T Comcast transaction; or</w:t>
      </w:r>
    </w:p>
    <w:p>
      <w:pPr>
        <w:spacing w:after="0" w:line="210" w:lineRule="exact"/>
        <w:rPr>
          <w:sz w:val="20"/>
          <w:szCs w:val="20"/>
          <w:color w:val="auto"/>
        </w:rPr>
      </w:pPr>
    </w:p>
    <w:p>
      <w:pPr>
        <w:ind w:left="740" w:right="1839" w:hanging="209"/>
        <w:spacing w:after="0" w:line="254" w:lineRule="auto"/>
        <w:tabs>
          <w:tab w:leader="none" w:pos="74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willfully and materially breaches its obligations described below in this summary under "Duty to Recommend the AT&amp;T Comcast Transaction" or "No Solicitation of Competing Transactions."</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addition, if a competing acquisition proposal made by a third party was pending at the time of the AT&amp;T meeting, within one year of the AT&amp;T meeting, AT&amp;T enters into an agreement relating to an alternative material transaction, and the merger agreement is terminated because the AT&amp;T shareholders fail to approve the AT&amp;T Comcast transaction at the AT&amp;T meeting, AT&amp;T will pay Comcast a $1.5 billion termination fee in cash.</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Comcast will pay AT&amp;T a $1.5 billion termination fee in cash if the merger agreement is terminated because the Comcast Board withdraws or modifies, in a manner adverse to AT&amp;T, its recommendation of the AT&amp;T Comcast transaction or if Comcast shareholders fail to approve the AT&amp;T Comcast transaction. See "Support Agreement" above in this summary.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DUTY TO RECOMMEND THE AT&amp;T COMCAST TRANSACTION (SEE PAGE [V-7])</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AT&amp;T Board has recommended that the AT&amp;T shareholders approve the AT&amp;T Comcast transaction. The AT&amp;T Board is permitted to withdraw or modify, in a manner adverse to Comcast, its recommendation of the AT&amp;T Comcast transaction if the AT&amp;T Board determines in good faith that it must take such action to comply with its fiduciary duties under applicable law and provides Comcast with two business days' prior written notice. AT&amp;T does not have the right to terminate the merger agreement to accept a superior acquisition proposal for its broadband business and subject to applicable law must submit the AT&amp;T Comcast transaction to AT&amp;T shareholders at the AT&amp;T annual meeting.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SOLICITATION OF COMPETING TRANSACTIONS (SEE PAGE [V-7])</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is generally prohibited from soliciting or encouraging, among other specific acquisition proposals, acquisition proposals from third parties that would reasonably be expected to be inconsistent in any material respect with the AT&amp;T Comcast transaction or materially delay, impede or adversely affect the AT&amp;T Comcast transaction. AT&amp;T is also prohibited from providing nonpublic information to or engaging in negotiations with any third party that has made or is known by AT&amp;T to be considering making an acquisition proposal of the type described in the previous sentence.</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However, AT&amp;T may furnish nonpublic information and engage in negotiations with a third party that has made an unsolicited acquisition proposal if the AT&amp;T Board determines in good faith that such acquisition proposal would reasonably be expected to lead to a proposal that would be more favorable to AT&amp;T shareholders than the AT&amp;T Comcast transaction and that it must take such action to comply with its fiduciary duties under applicable law.</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ARRANGEMENT (SEE PAGE [V-21])</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Comcast, AT&amp;T and AT&amp;T Comcast have entered into an exchange agreement with Microsoft Corporation pursuant to which at the time of the AT&amp;T Broadband spin-off Microsoft will exchange $5 billion of quarterly income preferred securities, or QUIPS, issued by AT&amp;T Finance Trust I, an AT&amp;T subsidiary, for a number of shares of AT&amp;T Broadband common stock that will be converted into 115 million shares of AT&amp;T Comcast common stock in the AT&amp;T Broadband merger. Based on the number of shares of Comcast and AT&amp;T common stock outstanding as of the date of this document, upon completion of the transaction, an affiliate of Microsoft will hold approximately [ ]% of the combined voting power of AT&amp;T Comcast stock.</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If the QUIPS exchange transaction is completed, AT&amp;T Comcast has agreed in the exchange agreement that it will not discriminate against Microsoft with respect to the provision of high-speed Internet services over AT&amp;T Comcast cable systems.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REGULATORY MATTERS (SEE PAGE [II-16])</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Under U.S. antitrust laws, Comcast and AT&amp;T may not complete the AT&amp;T Comcast transaction until Comcast and AT&amp;T notify the Antitrust Division of the United States Department of Justice and the Federal Trade</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I-17</w:t>
      </w:r>
    </w:p>
    <w:p>
      <w:pPr>
        <w:sectPr>
          <w:pgSz w:w="11900" w:h="16838" w:orient="portrait"/>
          <w:cols w:equalWidth="0" w:num="1">
            <w:col w:w="10219"/>
          </w:cols>
          <w:pgMar w:left="240" w:top="719" w:right="1440" w:bottom="659" w:gutter="0" w:footer="0" w:header="0"/>
        </w:sectPr>
      </w:pPr>
    </w:p>
    <w:bookmarkStart w:id="27" w:name="page28"/>
    <w:bookmarkEnd w:id="27"/>
    <w:p>
      <w:pPr>
        <w:jc w:val="both"/>
        <w:ind w:right="1939"/>
        <w:spacing w:after="0" w:line="253" w:lineRule="auto"/>
        <w:rPr>
          <w:sz w:val="20"/>
          <w:szCs w:val="20"/>
          <w:color w:val="auto"/>
        </w:rPr>
      </w:pPr>
      <w:r>
        <w:rPr>
          <w:rFonts w:ascii="Courier New" w:cs="Courier New" w:eastAsia="Courier New" w:hAnsi="Courier New"/>
          <w:sz w:val="17"/>
          <w:szCs w:val="17"/>
          <w:color w:val="auto"/>
        </w:rPr>
        <w:t>Commission of the AT&amp;T Comcast transaction by filing the necessary report forms and until a required waiting period has ended. Comcast and AT&amp;T have filed the required information and materials to notify the U.S. Department of Justice and the Federal Trade Commission of the transaction.</w:t>
      </w:r>
    </w:p>
    <w:p>
      <w:pPr>
        <w:spacing w:after="0" w:line="195"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Under federal communications law and local franchise requirements, Comcast and AT&amp;T must also obtain the approval of the Federal Communications Commission, or FCC, and a number of state and local authorities in connection with the AT&amp;T Comcast transaction.</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There can be no assurances that Comcast and AT&amp;T will obtain all regulatory approvals necessary to complete the AT&amp;T Comcast transaction or that the granting of these approvals will not involve the imposition of conditions on the completion of the AT&amp;T Comcast transaction or require changes to the terms of the AT&amp;T Comcast transaction.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 FEDERAL INCOME TAX CONSEQUENCES (SEE PAGE [II-13])</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Comcast and AT&amp;T have structured the AT&amp;T Broadband spin-off so that AT&amp;T, AT&amp;T Broadband and the holders of AT&amp;T common stock who receive shares of AT&amp;T Broadband common stock in the AT&amp;T Broadband spin-off will not recognize gain or loss for U.S. federal income tax purposes in connection with the AT&amp;T Broadband spin-off. Comcast and AT&amp;T have structured the mergers so that AT&amp;T Broadband, Comcast and their respective shareholders who exchange their shares for shares of AT&amp;T Comcast common stock in the mergers will not recognize gain or loss for U.S. federal income tax purposes in connection with the mergers, except for gain or loss with respect to cash received instead of fractional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PRICE INFORMATION (SEE PAGE [I-28])</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Comcast Class A common stock and Comcast Class A Special common stock are listed on The Nasdaq Stock Market under the symbols "CMCSA" and "CMCSK," respectively. AT&amp;T common stock is primarily listed on the New York Stock Exchange under the symbol "T."</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July 6, 2001, the last full trading day before Comcast publicly announced its proposal to AT&amp;T to acquire AT&amp;T's broadband business, Comcast Class A common stock and Comcast Class A Special common stock closed at $41.85 and $42.08, respectively, and AT&amp;T common stock closed at $16.65 (as adjusted to reflect the AT&amp;T Wireless Services spin-off). On December 19, 2001, the last full trading day before the public announcement of the AT&amp;T Comcast transaction, Comcast Class A common stock and Comcast Class A Special common stock closed at $38.09 and $38.07, respectively, and AT&amp;T common stock closed at $16.80. On</w:t>
      </w:r>
    </w:p>
    <w:p>
      <w:pPr>
        <w:ind w:right="1939" w:firstLine="7"/>
        <w:spacing w:after="0" w:line="254" w:lineRule="auto"/>
        <w:tabs>
          <w:tab w:leader="none" w:pos="314"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2002, the last full trading day before the date of this document, Comcast Class A common stock and Comcast Class A Special common stock closed at $[ ] and $[ ], respectively, and AT&amp;T common stock closed at $[ ].</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EXCHANGE LISTINGS (SEE PAGE [XIV-14])</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shares of AT&amp;T Comcast Class A common stock, AT&amp;T Comcast Class A Special common stock and, if the Alternative Structure is implemented, the shares of AT&amp;T Comcast Class C common stock, issued in the mergers will be quoted on The Nasdaq Stock Market under the ticker symbols "CMCSA," "CMCSK" and, if applicable, "CMCSJ," respectively.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APPRAISAL RIGHTS (SEE PAGE [II-18])</w:t>
      </w:r>
    </w:p>
    <w:p>
      <w:pPr>
        <w:spacing w:after="0" w:line="210" w:lineRule="exact"/>
        <w:rPr>
          <w:sz w:val="20"/>
          <w:szCs w:val="20"/>
          <w:color w:val="auto"/>
        </w:rPr>
      </w:pPr>
    </w:p>
    <w:p>
      <w:pPr>
        <w:jc w:val="both"/>
        <w:ind w:right="1939" w:firstLine="524"/>
        <w:spacing w:after="0" w:line="253" w:lineRule="auto"/>
        <w:rPr>
          <w:sz w:val="20"/>
          <w:szCs w:val="20"/>
          <w:color w:val="auto"/>
        </w:rPr>
      </w:pPr>
      <w:r>
        <w:rPr>
          <w:rFonts w:ascii="Courier New" w:cs="Courier New" w:eastAsia="Courier New" w:hAnsi="Courier New"/>
          <w:sz w:val="17"/>
          <w:szCs w:val="17"/>
          <w:color w:val="auto"/>
        </w:rPr>
        <w:t>Holders of Comcast Class A common stock and Comcast Class A Special common stock are not entitled to appraisal rights in connection with the AT&amp;T Comcast transaction. Holders of AT&amp;T common stock are not entitled to appraisal rights in connection with the AT&amp;T Comcast transaction.</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I-18</w:t>
      </w:r>
    </w:p>
    <w:p>
      <w:pPr>
        <w:sectPr>
          <w:pgSz w:w="11900" w:h="16838" w:orient="portrait"/>
          <w:cols w:equalWidth="0" w:num="1">
            <w:col w:w="10219"/>
          </w:cols>
          <w:pgMar w:left="240" w:top="719" w:right="1440" w:bottom="1440" w:gutter="0" w:footer="0" w:header="0"/>
        </w:sectPr>
      </w:pPr>
    </w:p>
    <w:bookmarkStart w:id="28" w:name="page29"/>
    <w:bookmarkEnd w:id="28"/>
    <w:p>
      <w:pPr>
        <w:ind w:left="1900"/>
        <w:spacing w:after="0"/>
        <w:rPr>
          <w:sz w:val="20"/>
          <w:szCs w:val="20"/>
          <w:color w:val="auto"/>
        </w:rPr>
      </w:pPr>
      <w:r>
        <w:rPr>
          <w:rFonts w:ascii="Courier New" w:cs="Courier New" w:eastAsia="Courier New" w:hAnsi="Courier New"/>
          <w:sz w:val="17"/>
          <w:szCs w:val="17"/>
          <w:color w:val="auto"/>
        </w:rPr>
        <w:t>AT&amp;T CONSUMER SERVICES GROUP TRACKING STOCK</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CONSUMER SERVICES CHARTER AMENDMENT PROPOSAL</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shareholders are being asked to approve an amendment to the AT&amp;T charter to authorize AT&amp;T to create a new class of AT&amp;T common stock -- AT&amp;T Consumer Services Group tracking stock -- and certain related benefit plan proposals. The Consumer Services charter amendment proposal requires the affirmative vote of the holders of a majority of the outstanding shares of AT&amp;T common stock.</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Consumer Services Group tracking stock is intended to reflect the separate performance of AT&amp;T Consumer Services Group, which includes the assets and liabilities shown in the combined balance sheets of AT&amp;T Consumer Services Group. AT&amp;T will include within AT&amp;T Consumer Services Group all net income or net losses generated by the assets that comprise AT&amp;T Consumer Services Group and all net proceeds from any disposition of these assets.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 OF AT&amp;T CONSUMER SERVICES GROUP TRACKING STOCK</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proposed Consumer Services charter amendment would authorize AT&amp;T to</w:t>
      </w:r>
    </w:p>
    <w:p>
      <w:pPr>
        <w:spacing w:after="0" w:line="9"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issue up to [ ] shares of AT&amp;T Consumer Services Group tracking stock. We describe some of the most significant terms of AT&amp;T Consumer Services Group tracking stock below, but we include a more detailed description of AT&amp;T Consumer Services Group tracking stock later in this document.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220" w:type="dxa"/>
            <w:vAlign w:val="bottom"/>
          </w:tcPr>
          <w:p>
            <w:pPr>
              <w:ind w:left="540"/>
              <w:spacing w:after="0"/>
              <w:rPr>
                <w:sz w:val="20"/>
                <w:szCs w:val="20"/>
                <w:color w:val="auto"/>
              </w:rPr>
            </w:pPr>
            <w:r>
              <w:rPr>
                <w:rFonts w:ascii="Courier New" w:cs="Courier New" w:eastAsia="Courier New" w:hAnsi="Courier New"/>
                <w:sz w:val="17"/>
                <w:szCs w:val="17"/>
                <w:color w:val="auto"/>
              </w:rPr>
              <w:t>Voting</w:t>
            </w:r>
          </w:p>
        </w:tc>
        <w:tc>
          <w:tcPr>
            <w:tcW w:w="45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Rights.  Holders of AT&amp;T Consumer Services</w:t>
            </w:r>
          </w:p>
        </w:tc>
        <w:tc>
          <w:tcPr>
            <w:tcW w:w="2660" w:type="dxa"/>
            <w:vAlign w:val="bottom"/>
          </w:tcPr>
          <w:p>
            <w:pPr>
              <w:ind w:left="40"/>
              <w:spacing w:after="0"/>
              <w:rPr>
                <w:sz w:val="20"/>
                <w:szCs w:val="20"/>
                <w:color w:val="auto"/>
              </w:rPr>
            </w:pPr>
            <w:r>
              <w:rPr>
                <w:rFonts w:ascii="Courier New" w:cs="Courier New" w:eastAsia="Courier New" w:hAnsi="Courier New"/>
                <w:sz w:val="17"/>
                <w:szCs w:val="17"/>
                <w:color w:val="auto"/>
              </w:rPr>
              <w:t>Group tracking stock</w:t>
            </w:r>
          </w:p>
        </w:tc>
      </w:tr>
      <w:tr>
        <w:trPr>
          <w:trHeight w:val="201"/>
        </w:trPr>
        <w:tc>
          <w:tcPr>
            <w:tcW w:w="3780" w:type="dxa"/>
            <w:vAlign w:val="bottom"/>
            <w:gridSpan w:val="2"/>
          </w:tcPr>
          <w:p>
            <w:pPr>
              <w:spacing w:after="0"/>
              <w:rPr>
                <w:sz w:val="20"/>
                <w:szCs w:val="20"/>
                <w:color w:val="auto"/>
              </w:rPr>
            </w:pPr>
            <w:r>
              <w:rPr>
                <w:rFonts w:ascii="Courier New" w:cs="Courier New" w:eastAsia="Courier New" w:hAnsi="Courier New"/>
                <w:sz w:val="17"/>
                <w:szCs w:val="17"/>
                <w:color w:val="auto"/>
              </w:rPr>
              <w:t>initially will be entitled to [</w:t>
            </w:r>
          </w:p>
        </w:tc>
        <w:tc>
          <w:tcPr>
            <w:tcW w:w="460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 of a vote per share. Except as</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required by</w:t>
            </w:r>
          </w:p>
        </w:tc>
        <w:tc>
          <w:tcPr>
            <w:tcW w:w="45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law or by any special voting rights of any</w:t>
            </w:r>
          </w:p>
        </w:tc>
        <w:tc>
          <w:tcPr>
            <w:tcW w:w="2660" w:type="dxa"/>
            <w:vAlign w:val="bottom"/>
          </w:tcPr>
          <w:p>
            <w:pPr>
              <w:ind w:left="40"/>
              <w:spacing w:after="0"/>
              <w:rPr>
                <w:sz w:val="20"/>
                <w:szCs w:val="20"/>
                <w:color w:val="auto"/>
              </w:rPr>
            </w:pPr>
            <w:r>
              <w:rPr>
                <w:rFonts w:ascii="Courier New" w:cs="Courier New" w:eastAsia="Courier New" w:hAnsi="Courier New"/>
                <w:sz w:val="17"/>
                <w:szCs w:val="17"/>
                <w:color w:val="auto"/>
              </w:rPr>
              <w:t>other class or series of</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AT&amp;T stock,</w:t>
            </w:r>
          </w:p>
        </w:tc>
        <w:tc>
          <w:tcPr>
            <w:tcW w:w="71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holders of shares of AT&amp;T Consumer Services Group tracking stock</w:t>
            </w:r>
          </w:p>
        </w:tc>
      </w:tr>
      <w:tr>
        <w:trPr>
          <w:trHeight w:val="201"/>
        </w:trPr>
        <w:tc>
          <w:tcPr>
            <w:tcW w:w="5720" w:type="dxa"/>
            <w:vAlign w:val="bottom"/>
            <w:gridSpan w:val="3"/>
          </w:tcPr>
          <w:p>
            <w:pPr>
              <w:spacing w:after="0"/>
              <w:rPr>
                <w:sz w:val="20"/>
                <w:szCs w:val="20"/>
                <w:color w:val="auto"/>
              </w:rPr>
            </w:pPr>
            <w:r>
              <w:rPr>
                <w:rFonts w:ascii="Courier New" w:cs="Courier New" w:eastAsia="Courier New" w:hAnsi="Courier New"/>
                <w:sz w:val="17"/>
                <w:szCs w:val="17"/>
                <w:color w:val="auto"/>
              </w:rPr>
              <w:t>will vote together with all other AT&amp;T shareholders on</w:t>
            </w:r>
          </w:p>
        </w:tc>
        <w:tc>
          <w:tcPr>
            <w:tcW w:w="2660" w:type="dxa"/>
            <w:vAlign w:val="bottom"/>
          </w:tcPr>
          <w:p>
            <w:pPr>
              <w:ind w:left="40"/>
              <w:spacing w:after="0"/>
              <w:rPr>
                <w:sz w:val="20"/>
                <w:szCs w:val="20"/>
                <w:color w:val="auto"/>
              </w:rPr>
            </w:pPr>
            <w:r>
              <w:rPr>
                <w:rFonts w:ascii="Courier New" w:cs="Courier New" w:eastAsia="Courier New" w:hAnsi="Courier New"/>
                <w:sz w:val="17"/>
                <w:szCs w:val="17"/>
                <w:color w:val="auto"/>
              </w:rPr>
              <w:t>matters presented to AT&amp;T</w:t>
            </w:r>
          </w:p>
        </w:tc>
      </w:tr>
      <w:tr>
        <w:trPr>
          <w:trHeight w:val="201"/>
        </w:trPr>
        <w:tc>
          <w:tcPr>
            <w:tcW w:w="3780" w:type="dxa"/>
            <w:vAlign w:val="bottom"/>
            <w:gridSpan w:val="2"/>
          </w:tcPr>
          <w:p>
            <w:pPr>
              <w:spacing w:after="0"/>
              <w:rPr>
                <w:sz w:val="20"/>
                <w:szCs w:val="20"/>
                <w:color w:val="auto"/>
              </w:rPr>
            </w:pPr>
            <w:r>
              <w:rPr>
                <w:rFonts w:ascii="Courier New" w:cs="Courier New" w:eastAsia="Courier New" w:hAnsi="Courier New"/>
                <w:sz w:val="17"/>
                <w:szCs w:val="17"/>
                <w:color w:val="auto"/>
              </w:rPr>
              <w:t>shareholders.</w:t>
            </w:r>
          </w:p>
        </w:tc>
        <w:tc>
          <w:tcPr>
            <w:tcW w:w="1940" w:type="dxa"/>
            <w:vAlign w:val="bottom"/>
          </w:tcPr>
          <w:p>
            <w:pPr>
              <w:spacing w:after="0"/>
              <w:rPr>
                <w:sz w:val="17"/>
                <w:szCs w:val="17"/>
                <w:color w:val="auto"/>
              </w:rPr>
            </w:pPr>
          </w:p>
        </w:tc>
        <w:tc>
          <w:tcPr>
            <w:tcW w:w="2660" w:type="dxa"/>
            <w:vAlign w:val="bottom"/>
          </w:tcPr>
          <w:p>
            <w:pPr>
              <w:spacing w:after="0"/>
              <w:rPr>
                <w:sz w:val="17"/>
                <w:szCs w:val="17"/>
                <w:color w:val="auto"/>
              </w:rPr>
            </w:pPr>
          </w:p>
        </w:tc>
      </w:tr>
    </w:tbl>
    <w:p>
      <w:pPr>
        <w:spacing w:after="0" w:line="20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Dividends. Holders of AT&amp;T Consumer Services Group tracking stock will be entitled to dividends only to the extent declared by the AT&amp;T Board. AT&amp;T's charter will define an available dividend amount with respect to AT&amp;T Consumer Services Group tracking stock. The available dividend amount is designed to be equivalent to the amount that would legally be available for the payment of dividends by AT&amp;T Consumer Services Group if it were a separate legal entity.</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Dividends on AT&amp;T Consumer Services Group tracking stock may only be paid up to the applicable available dividend amount and also will be subject to the legal capacity of AT&amp;T as a whole to pay dividends. Subject to these limitations, and to the discretion of the AT&amp;T Board, AT&amp;T currently expects to pay dividends on AT&amp;T Consumer Services Group tracking stock equal in the aggregate to two-thirds of the aggregate annual dividend AT&amp;T currently pays on AT&amp;T common stock, and to pay dividends on AT&amp;T common stock equal to one-third of the aggregate annual current dividend.</w:t>
      </w:r>
    </w:p>
    <w:p>
      <w:pPr>
        <w:spacing w:after="0" w:line="201"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7"/>
          <w:szCs w:val="17"/>
          <w:color w:val="auto"/>
        </w:rPr>
        <w:t>Redemption.</w:t>
        <w:tab/>
        <w:t>AT&amp;T may (or, in some cases, is required to) redeem shares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Consumer Services Group tracking stock under a number of circumstances:</w:t>
      </w:r>
    </w:p>
    <w:p>
      <w:pPr>
        <w:spacing w:after="0" w:line="210" w:lineRule="exact"/>
        <w:rPr>
          <w:sz w:val="20"/>
          <w:szCs w:val="20"/>
          <w:color w:val="auto"/>
        </w:rPr>
      </w:pPr>
    </w:p>
    <w:p>
      <w:pPr>
        <w:ind w:left="740" w:right="2039" w:hanging="209"/>
        <w:spacing w:after="0" w:line="253" w:lineRule="auto"/>
        <w:tabs>
          <w:tab w:leader="none" w:pos="74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AT&amp;T may redeem shares of AT&amp;T Consumer Services Group tracking stock for a comparable tracking stock of any company that owns substantially all the assets and liabilities allocated to AT&amp;T Consumer Services Group at that time without the payment of any premium.</w:t>
      </w:r>
    </w:p>
    <w:p>
      <w:pPr>
        <w:spacing w:after="0" w:line="195" w:lineRule="exact"/>
        <w:rPr>
          <w:rFonts w:ascii="Courier New" w:cs="Courier New" w:eastAsia="Courier New" w:hAnsi="Courier New"/>
          <w:sz w:val="17"/>
          <w:szCs w:val="17"/>
          <w:color w:val="auto"/>
        </w:rPr>
      </w:pPr>
    </w:p>
    <w:p>
      <w:pPr>
        <w:ind w:left="740" w:right="2039" w:hanging="209"/>
        <w:spacing w:after="0" w:line="251" w:lineRule="auto"/>
        <w:tabs>
          <w:tab w:leader="none" w:pos="74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AT&amp;T may redeem the shares of AT&amp;T Consumer Services Group tracking stock for shares of AT&amp;T common stock having a market value</w:t>
      </w:r>
    </w:p>
    <w:p>
      <w:pPr>
        <w:ind w:left="740" w:right="23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equal to [ ]% of the market value of AT&amp;T Consumer Services Group tracking stock.</w:t>
      </w:r>
    </w:p>
    <w:p>
      <w:pPr>
        <w:spacing w:after="0" w:line="191" w:lineRule="exact"/>
        <w:rPr>
          <w:rFonts w:ascii="Courier New" w:cs="Courier New" w:eastAsia="Courier New" w:hAnsi="Courier New"/>
          <w:sz w:val="17"/>
          <w:szCs w:val="17"/>
          <w:color w:val="auto"/>
        </w:rPr>
      </w:pPr>
    </w:p>
    <w:p>
      <w:pPr>
        <w:ind w:left="740" w:right="1939" w:hanging="209"/>
        <w:spacing w:after="0" w:line="252" w:lineRule="auto"/>
        <w:tabs>
          <w:tab w:leader="none" w:pos="74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AT&amp;T may redeem shares of AT&amp;T Consumer Services Group tracking stock for shares of one or more subsidiaries that hold all material assets and liabilities allocated to AT&amp;T Consumer Services Group, so long as the redemption is tax free to shareholders. This would result in a split-off of AT&amp;T Consumer Services Group.</w:t>
      </w:r>
    </w:p>
    <w:p>
      <w:pPr>
        <w:spacing w:after="0" w:line="197" w:lineRule="exact"/>
        <w:rPr>
          <w:rFonts w:ascii="Courier New" w:cs="Courier New" w:eastAsia="Courier New" w:hAnsi="Courier New"/>
          <w:sz w:val="17"/>
          <w:szCs w:val="17"/>
          <w:color w:val="auto"/>
        </w:rPr>
      </w:pPr>
    </w:p>
    <w:p>
      <w:pPr>
        <w:ind w:left="740" w:right="2359" w:hanging="209"/>
        <w:spacing w:after="0" w:line="257" w:lineRule="auto"/>
        <w:tabs>
          <w:tab w:leader="none" w:pos="74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some exceptions, in the event of certain dispositions of all or substantially all the assets of AT&amp;T Consumer</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I-19</w:t>
      </w:r>
    </w:p>
    <w:p>
      <w:pPr>
        <w:sectPr>
          <w:pgSz w:w="11900" w:h="16838" w:orient="portrait"/>
          <w:cols w:equalWidth="0" w:num="1">
            <w:col w:w="10219"/>
          </w:cols>
          <w:pgMar w:left="240" w:top="719" w:right="1440" w:bottom="1062" w:gutter="0" w:footer="0" w:header="0"/>
        </w:sectPr>
      </w:pPr>
    </w:p>
    <w:bookmarkStart w:id="29" w:name="page30"/>
    <w:bookmarkEnd w:id="29"/>
    <w:p>
      <w:pPr>
        <w:ind w:left="740" w:right="1939"/>
        <w:spacing w:after="0" w:line="252" w:lineRule="auto"/>
        <w:rPr>
          <w:sz w:val="20"/>
          <w:szCs w:val="20"/>
          <w:color w:val="auto"/>
        </w:rPr>
      </w:pPr>
      <w:r>
        <w:rPr>
          <w:rFonts w:ascii="Courier New" w:cs="Courier New" w:eastAsia="Courier New" w:hAnsi="Courier New"/>
          <w:sz w:val="17"/>
          <w:szCs w:val="17"/>
          <w:color w:val="auto"/>
        </w:rPr>
        <w:t>Services Group, AT&amp;T is generally required to redeem shares of AT&amp;T Consumer Services Group tracking stock for (1) shares of AT&amp;T common stock or (2) cash and/or property in an amount equal to the net proceeds of the disposition that are allocable to AT&amp;T Consumer Services Group tracking stock.</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Liquidation. In the event of a liquidation of AT&amp;T, holders of AT&amp;T Consumer Services Group tracking stock and AT&amp;T common stock will be entitled to share in the funds available for distribution to AT&amp;T common shareholders in proportion to the relative market capitalization of the outstanding shares of each class of AT&amp;T stock.</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ISSUANCE OF AT&amp;T CONSUMER SERVICES GROUP TRACKING STOCK</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If AT&amp;T shareholders approve the creation of AT&amp;T Consumer Services Group tracking stock, AT&amp;T currently intends to distribute shares of AT&amp;T Consumer Services Group tracking stock as a dividend to holders of AT&amp;T common stock later this year. AT&amp;T currently expects that the shares of AT&amp;T Consumer Services Group tracking stock AT&amp;T issues as a dividend to existing AT&amp;T shareholders will be intended to reflect all of the financial performance and economic value of AT&amp;T Consumer Services Group. However, if these shares of AT&amp;T Consumer Services Group tracking stock only reflect a portion, the remaining portion will be AT&amp;T's retained portion of the financial performance and economic value of AT&amp;T Consumer Services Group, which would be reflected in AT&amp;T common stock. NOTWITHSTANDING AT&amp;T'S CURRENT PLANS, THE AT&amp;T BOARD COULD DECIDE TO ISSUE THESE SHARES OF AT&amp;T CONSUMER SERVICES GROUP TRACKING STOCK IN A DIFFERENT MANNER OR AT A DIFFERENT TIME, OR COULD DECIDE NOT TO CREATE OR ISSUE SHARES OF AT&amp;T CONSUMER SERVICES GROUP TRACKING STOCK AT ALL, IF THE AT&amp;T BOARD DECIDES THAT A CHANGE IN AT&amp;T'S PLANS IS APPROPRIATE. Approval of the Consumer Services charter amendment proposal will give the AT&amp;T Board wide discretion on how to implement the Consumer Services charter amendment proposal. If you do not want to give the AT&amp;T Board this authority with respect to implementing the Consumer Services charter amendment proposal, you should not vote for that proposal.</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Following the issuance of AT&amp;T Consumer Services Group tracking stock, if the AT&amp;T Comcast transaction is completed, AT&amp;T common stock will be intended to reflect only the financial performance and economic value of AT&amp;T Business Services Group, together with AT&amp;T's retained portion, if any, of the value of AT&amp;T Consumer Services Group.</w:t>
      </w:r>
    </w:p>
    <w:p>
      <w:pPr>
        <w:spacing w:after="0" w:line="197"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AT&amp;T expects to list AT&amp;T Consumer Services Group tracking stock on a national securities exchange or quotation system.</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REASONS FOR AT&amp;T CONSUMER SERVICES GROUP TRACKING STOCK</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AT&amp;T believes that issuance of AT&amp;T Consumer Services Group tracking stock will improve shareholder value by creating separate investment vehicles. AT&amp;T believes that AT&amp;T Consumer Services Group tracking stock will:</w:t>
      </w:r>
    </w:p>
    <w:p>
      <w:pPr>
        <w:spacing w:after="0" w:line="194" w:lineRule="exact"/>
        <w:rPr>
          <w:sz w:val="20"/>
          <w:szCs w:val="20"/>
          <w:color w:val="auto"/>
        </w:rPr>
      </w:pPr>
    </w:p>
    <w:p>
      <w:pPr>
        <w:ind w:left="740" w:right="2039" w:hanging="209"/>
        <w:spacing w:after="0" w:line="253" w:lineRule="auto"/>
        <w:tabs>
          <w:tab w:leader="none" w:pos="74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allow AT&amp;T shareholders to view more clearly the performance of each of AT&amp;T Consumer Services Group and AT&amp;T Business Services Group, and to evaluate each of AT&amp;T Consumer Services Group's and AT&amp;T Business Services Group's results against those of its competitors, and</w:t>
      </w:r>
    </w:p>
    <w:p>
      <w:pPr>
        <w:spacing w:after="0" w:line="195"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enable AT&amp;T shareholders and other investors to invest in the securities that fit their needs and investment profiles without the requirement of simultaneously investing in other businesses, and permit the creation of more effective management incentive and retention programs.</w:t>
      </w:r>
    </w:p>
    <w:p>
      <w:pPr>
        <w:spacing w:after="0" w:line="195"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For additional reasons for, and more detail on the reasons for, AT&amp;T Consumer Services Group tracking stock, see "AT&amp;T Consumer Services Group Tracking Stock -- Reasons for AT&amp;T Consumer Services Group Tracking Stock" on page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 FEDERAL INCOME TAX CONSIDERATIONS</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AT&amp;T expects the distribution of AT&amp;T Consumer Services Group tracking stock to holders of AT&amp;T common stock to be tax free to AT&amp;T and to the holders of AT&amp;T common stock.</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I-20</w:t>
      </w:r>
    </w:p>
    <w:p>
      <w:pPr>
        <w:sectPr>
          <w:pgSz w:w="11900" w:h="16838" w:orient="portrait"/>
          <w:cols w:equalWidth="0" w:num="1">
            <w:col w:w="10219"/>
          </w:cols>
          <w:pgMar w:left="240" w:top="719" w:right="1440" w:bottom="1440" w:gutter="0" w:footer="0" w:header="0"/>
        </w:sectPr>
      </w:pPr>
    </w:p>
    <w:bookmarkStart w:id="30" w:name="page31"/>
    <w:bookmarkEnd w:id="30"/>
    <w:p>
      <w:pPr>
        <w:ind w:left="1780"/>
        <w:spacing w:after="0"/>
        <w:rPr>
          <w:sz w:val="20"/>
          <w:szCs w:val="20"/>
          <w:color w:val="auto"/>
        </w:rPr>
      </w:pPr>
      <w:r>
        <w:rPr>
          <w:rFonts w:ascii="Courier New" w:cs="Courier New" w:eastAsia="Courier New" w:hAnsi="Courier New"/>
          <w:sz w:val="17"/>
          <w:szCs w:val="17"/>
          <w:color w:val="auto"/>
        </w:rPr>
        <w:t>SELECTED FINANCIAL DATA OF COMCAST CORPORATION</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following summary consolidated financial data is derived from Comcast's audited consolidated financial statements and Comcast's unaudited interim consolidated financial statements. You should read the financial data presented below in conjunction with the consolidated financial statements, accompanying notes and management's discussion and analysis of results of operations and financial condition of Comcast, which are incorporated by reference into this prospectus.</w:t>
      </w:r>
    </w:p>
    <w:p>
      <w:pPr>
        <w:spacing w:after="0" w:line="196"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FOR THE NINE MONTHS ENDED</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SEPTEMBER 30, YEAR ENDED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DECEMBER 31, -------------------</w:t>
      </w:r>
    </w:p>
    <w:p>
      <w:pPr>
        <w:spacing w:after="0" w:line="9" w:lineRule="exact"/>
        <w:rPr>
          <w:sz w:val="20"/>
          <w:szCs w:val="20"/>
          <w:color w:val="auto"/>
        </w:rPr>
      </w:pPr>
    </w:p>
    <w:p>
      <w:pPr>
        <w:ind w:left="380" w:hanging="323"/>
        <w:spacing w:after="0"/>
        <w:tabs>
          <w:tab w:leader="none" w:pos="38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2001</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7"/>
              </w:rPr>
              <w:t>2000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2000 1999</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6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1997</w:t>
            </w:r>
          </w:p>
        </w:tc>
      </w:tr>
      <w:tr>
        <w:trPr>
          <w:trHeight w:val="201"/>
        </w:trPr>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1996 ---------</w:t>
            </w:r>
          </w:p>
        </w:tc>
        <w:tc>
          <w:tcPr>
            <w:tcW w:w="22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w:t>
            </w:r>
          </w:p>
        </w:tc>
      </w:tr>
    </w:tbl>
    <w:p>
      <w:pPr>
        <w:spacing w:after="0" w:line="4" w:lineRule="exact"/>
        <w:rPr>
          <w:sz w:val="20"/>
          <w:szCs w:val="20"/>
          <w:color w:val="auto"/>
        </w:rPr>
      </w:pPr>
    </w:p>
    <w:p>
      <w:pPr>
        <w:ind w:left="380" w:hanging="323"/>
        <w:spacing w:after="0"/>
        <w:tabs>
          <w:tab w:leader="none" w:pos="38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OF OPERATIONS</w:t>
            </w:r>
          </w:p>
        </w:tc>
        <w:tc>
          <w:tcPr>
            <w:tcW w:w="680" w:type="dxa"/>
            <w:vAlign w:val="bottom"/>
          </w:tcPr>
          <w:p>
            <w:pPr>
              <w:ind w:left="100"/>
              <w:spacing w:after="0"/>
              <w:rPr>
                <w:sz w:val="20"/>
                <w:szCs w:val="20"/>
                <w:color w:val="auto"/>
              </w:rPr>
            </w:pPr>
            <w:r>
              <w:rPr>
                <w:rFonts w:ascii="Courier New" w:cs="Courier New" w:eastAsia="Courier New" w:hAnsi="Courier New"/>
                <w:sz w:val="17"/>
                <w:szCs w:val="17"/>
                <w:color w:val="auto"/>
              </w:rPr>
              <w:t>DATA:</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1"/>
        </w:trPr>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Revenues.........................</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1"/>
        </w:trPr>
        <w:tc>
          <w:tcPr>
            <w:tcW w:w="2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$ 6,850.1 $ 5,811.0</w:t>
            </w:r>
          </w:p>
        </w:tc>
        <w:tc>
          <w:tcPr>
            <w:tcW w:w="1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$ 8,218.6</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w w:val="97"/>
              </w:rPr>
              <w:t>6,529.2</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$ 5,419.0</w:t>
            </w:r>
          </w:p>
        </w:tc>
        <w:tc>
          <w:tcPr>
            <w:tcW w:w="1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$ 4,700.4</w:t>
            </w:r>
          </w:p>
        </w:tc>
        <w:tc>
          <w:tcPr>
            <w:tcW w:w="2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w:t>
            </w:r>
          </w:p>
        </w:tc>
      </w:tr>
      <w:tr>
        <w:trPr>
          <w:trHeight w:val="201"/>
        </w:trPr>
        <w:tc>
          <w:tcPr>
            <w:tcW w:w="3140" w:type="dxa"/>
            <w:vAlign w:val="bottom"/>
            <w:gridSpan w:val="4"/>
          </w:tcPr>
          <w:p>
            <w:pPr>
              <w:ind w:left="480"/>
              <w:spacing w:after="0"/>
              <w:rPr>
                <w:sz w:val="20"/>
                <w:szCs w:val="20"/>
                <w:color w:val="auto"/>
              </w:rPr>
            </w:pPr>
            <w:r>
              <w:rPr>
                <w:rFonts w:ascii="Courier New" w:cs="Courier New" w:eastAsia="Courier New" w:hAnsi="Courier New"/>
                <w:sz w:val="17"/>
                <w:szCs w:val="17"/>
                <w:color w:val="auto"/>
              </w:rPr>
              <w:t>3,813.8 Operating income</w:t>
            </w:r>
          </w:p>
        </w:tc>
        <w:tc>
          <w:tcPr>
            <w:tcW w:w="220" w:type="dxa"/>
            <w:vAlign w:val="bottom"/>
          </w:tcPr>
          <w:p>
            <w:pPr>
              <w:spacing w:after="0"/>
              <w:rPr>
                <w:sz w:val="17"/>
                <w:szCs w:val="17"/>
                <w:color w:val="auto"/>
              </w:rPr>
            </w:pPr>
          </w:p>
        </w:tc>
      </w:tr>
      <w:tr>
        <w:trPr>
          <w:trHeight w:val="201"/>
        </w:trPr>
        <w:tc>
          <w:tcPr>
            <w:tcW w:w="940" w:type="dxa"/>
            <w:vAlign w:val="bottom"/>
          </w:tcPr>
          <w:p>
            <w:pPr>
              <w:ind w:left="100"/>
              <w:spacing w:after="0"/>
              <w:rPr>
                <w:sz w:val="20"/>
                <w:szCs w:val="20"/>
                <w:color w:val="auto"/>
              </w:rPr>
            </w:pPr>
            <w:r>
              <w:rPr>
                <w:rFonts w:ascii="Courier New" w:cs="Courier New" w:eastAsia="Courier New" w:hAnsi="Courier New"/>
                <w:sz w:val="12"/>
                <w:szCs w:val="12"/>
                <w:color w:val="auto"/>
                <w:w w:val="71"/>
              </w:rPr>
              <w:t>(loss)..........</w:t>
            </w:r>
          </w:p>
        </w:tc>
        <w:tc>
          <w:tcPr>
            <w:tcW w:w="24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(412.0) (46.8)</w:t>
            </w:r>
          </w:p>
        </w:tc>
      </w:tr>
      <w:tr>
        <w:trPr>
          <w:trHeight w:val="201"/>
        </w:trPr>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(161.0)</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664.0 557.1</w:t>
            </w:r>
          </w:p>
        </w:tc>
        <w:tc>
          <w:tcPr>
            <w:tcW w:w="680" w:type="dxa"/>
            <w:vAlign w:val="bottom"/>
          </w:tcPr>
          <w:p>
            <w:pPr>
              <w:ind w:left="100"/>
              <w:spacing w:after="0"/>
              <w:rPr>
                <w:sz w:val="20"/>
                <w:szCs w:val="20"/>
                <w:color w:val="auto"/>
              </w:rPr>
            </w:pPr>
            <w:r>
              <w:rPr>
                <w:rFonts w:ascii="Courier New" w:cs="Courier New" w:eastAsia="Courier New" w:hAnsi="Courier New"/>
                <w:sz w:val="17"/>
                <w:szCs w:val="17"/>
                <w:color w:val="auto"/>
              </w:rPr>
              <w:t>466.6</w:t>
            </w:r>
          </w:p>
        </w:tc>
        <w:tc>
          <w:tcPr>
            <w:tcW w:w="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465.9</w:t>
            </w:r>
          </w:p>
        </w:tc>
      </w:tr>
      <w:tr>
        <w:trPr>
          <w:trHeight w:val="201"/>
        </w:trPr>
        <w:tc>
          <w:tcPr>
            <w:tcW w:w="940" w:type="dxa"/>
            <w:vAlign w:val="bottom"/>
          </w:tcPr>
          <w:p>
            <w:pPr>
              <w:ind w:left="220"/>
              <w:spacing w:after="0"/>
              <w:rPr>
                <w:sz w:val="20"/>
                <w:szCs w:val="20"/>
                <w:color w:val="auto"/>
              </w:rPr>
            </w:pPr>
            <w:r>
              <w:rPr>
                <w:rFonts w:ascii="Courier New" w:cs="Courier New" w:eastAsia="Courier New" w:hAnsi="Courier New"/>
                <w:sz w:val="17"/>
                <w:szCs w:val="17"/>
                <w:color w:val="auto"/>
              </w:rPr>
              <w:t>Income</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(loss) from</w:t>
            </w:r>
          </w:p>
        </w:tc>
        <w:tc>
          <w:tcPr>
            <w:tcW w:w="126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continuing</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 before extraordinary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items and cumulative effect of</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304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5"/>
              </w:rPr>
              <w:t>accounting change..............</w:t>
            </w:r>
          </w:p>
        </w:tc>
      </w:tr>
      <w:tr>
        <w:trPr>
          <w:trHeight w:val="201"/>
        </w:trPr>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546.6</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1,261.5</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2,045.1</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780.9</w:t>
            </w:r>
          </w:p>
        </w:tc>
      </w:tr>
    </w:tbl>
    <w:p>
      <w:pPr>
        <w:spacing w:after="0" w:line="4"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1,007.7 (182.9) (6.4) Gain</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(loss) from discontinued</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operations(1)..................</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335.8 (31.4) (25.6) (46.1)</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Cumulative effect of accounting</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change.........................</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384.5 Extraordinary</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items.............. (1.5) (18.5)</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(23.6) (51.0) (4.2) (30.2) (1.0)</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Net income</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(loss)................ 929.6</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1,243.0 2,021.5 1,065.7 972.1</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(238.7) (53.5) BASIC EARNINGS</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(LOSS) FOR COMMON STOCKHOLDERS</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PER COMMON SHARE(2): Income</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(loss) from continuing</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 before extraordinary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items and cumulative effect of</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33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accounting change..............</w:t>
            </w:r>
          </w:p>
        </w:tc>
      </w:tr>
      <w:tr>
        <w:trPr>
          <w:trHeight w:val="201"/>
        </w:trPr>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 .58</w:t>
            </w: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$ 1.40 $ 2.27 $ 1.00</w:t>
            </w:r>
          </w:p>
        </w:tc>
        <w:tc>
          <w:tcPr>
            <w:tcW w:w="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33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1.34 $ (.29) $ (.01) Gain (loss)</w:t>
            </w:r>
          </w:p>
        </w:tc>
      </w:tr>
      <w:tr>
        <w:trPr>
          <w:trHeight w:val="201"/>
        </w:trPr>
        <w:tc>
          <w:tcPr>
            <w:tcW w:w="780" w:type="dxa"/>
            <w:vAlign w:val="bottom"/>
          </w:tcPr>
          <w:p>
            <w:pPr>
              <w:spacing w:after="0"/>
              <w:rPr>
                <w:sz w:val="17"/>
                <w:szCs w:val="17"/>
                <w:color w:val="auto"/>
              </w:rPr>
            </w:pPr>
          </w:p>
        </w:tc>
        <w:tc>
          <w:tcPr>
            <w:tcW w:w="2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from discontinued</w:t>
            </w:r>
          </w:p>
        </w:tc>
        <w:tc>
          <w:tcPr>
            <w:tcW w:w="420" w:type="dxa"/>
            <w:vAlign w:val="bottom"/>
          </w:tcPr>
          <w:p>
            <w:pPr>
              <w:spacing w:after="0"/>
              <w:rPr>
                <w:sz w:val="17"/>
                <w:szCs w:val="17"/>
                <w:color w:val="auto"/>
              </w:rPr>
            </w:pPr>
          </w:p>
        </w:tc>
      </w:tr>
      <w:tr>
        <w:trPr>
          <w:trHeight w:val="201"/>
        </w:trPr>
        <w:tc>
          <w:tcPr>
            <w:tcW w:w="33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operations(1)..................</w:t>
            </w:r>
          </w:p>
        </w:tc>
      </w:tr>
      <w:tr>
        <w:trPr>
          <w:trHeight w:val="201"/>
        </w:trPr>
        <w:tc>
          <w:tcPr>
            <w:tcW w:w="33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.45 (.04) (.04) (.10) Cumulative</w:t>
            </w:r>
          </w:p>
        </w:tc>
      </w:tr>
      <w:tr>
        <w:trPr>
          <w:trHeight w:val="201"/>
        </w:trPr>
        <w:tc>
          <w:tcPr>
            <w:tcW w:w="2920" w:type="dxa"/>
            <w:vAlign w:val="bottom"/>
            <w:gridSpan w:val="2"/>
          </w:tcPr>
          <w:p>
            <w:pPr>
              <w:jc w:val="center"/>
              <w:ind w:left="338"/>
              <w:spacing w:after="0"/>
              <w:rPr>
                <w:sz w:val="20"/>
                <w:szCs w:val="20"/>
                <w:color w:val="auto"/>
              </w:rPr>
            </w:pPr>
            <w:r>
              <w:rPr>
                <w:rFonts w:ascii="Courier New" w:cs="Courier New" w:eastAsia="Courier New" w:hAnsi="Courier New"/>
                <w:sz w:val="17"/>
                <w:szCs w:val="17"/>
                <w:color w:val="auto"/>
              </w:rPr>
              <w:t>effect of accounting</w:t>
            </w:r>
          </w:p>
        </w:tc>
        <w:tc>
          <w:tcPr>
            <w:tcW w:w="420" w:type="dxa"/>
            <w:vAlign w:val="bottom"/>
          </w:tcPr>
          <w:p>
            <w:pPr>
              <w:spacing w:after="0"/>
              <w:rPr>
                <w:sz w:val="17"/>
                <w:szCs w:val="17"/>
                <w:color w:val="auto"/>
              </w:rPr>
            </w:pPr>
          </w:p>
        </w:tc>
      </w:tr>
      <w:tr>
        <w:trPr>
          <w:trHeight w:val="201"/>
        </w:trPr>
        <w:tc>
          <w:tcPr>
            <w:tcW w:w="292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0"/>
              </w:rPr>
              <w:t>change.........................</w:t>
            </w:r>
          </w:p>
        </w:tc>
        <w:tc>
          <w:tcPr>
            <w:tcW w:w="420" w:type="dxa"/>
            <w:vAlign w:val="bottom"/>
          </w:tcPr>
          <w:p>
            <w:pPr>
              <w:spacing w:after="0"/>
              <w:rPr>
                <w:sz w:val="17"/>
                <w:szCs w:val="17"/>
                <w:color w:val="auto"/>
              </w:rPr>
            </w:pPr>
          </w:p>
        </w:tc>
      </w:tr>
      <w:tr>
        <w:trPr>
          <w:trHeight w:val="201"/>
        </w:trPr>
        <w:tc>
          <w:tcPr>
            <w:tcW w:w="780" w:type="dxa"/>
            <w:vAlign w:val="bottom"/>
          </w:tcPr>
          <w:p>
            <w:pPr>
              <w:spacing w:after="0"/>
              <w:rPr>
                <w:sz w:val="17"/>
                <w:szCs w:val="17"/>
                <w:color w:val="auto"/>
              </w:rPr>
            </w:pPr>
          </w:p>
        </w:tc>
        <w:tc>
          <w:tcPr>
            <w:tcW w:w="2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.40 Extraordinary</w:t>
            </w:r>
          </w:p>
        </w:tc>
        <w:tc>
          <w:tcPr>
            <w:tcW w:w="420" w:type="dxa"/>
            <w:vAlign w:val="bottom"/>
          </w:tcPr>
          <w:p>
            <w:pPr>
              <w:spacing w:after="0"/>
              <w:rPr>
                <w:sz w:val="17"/>
                <w:szCs w:val="17"/>
                <w:color w:val="auto"/>
              </w:rPr>
            </w:pPr>
          </w:p>
        </w:tc>
      </w:tr>
      <w:tr>
        <w:trPr>
          <w:trHeight w:val="201"/>
        </w:trPr>
        <w:tc>
          <w:tcPr>
            <w:tcW w:w="780" w:type="dxa"/>
            <w:vAlign w:val="bottom"/>
          </w:tcPr>
          <w:p>
            <w:pPr>
              <w:ind w:left="40"/>
              <w:spacing w:after="0"/>
              <w:rPr>
                <w:sz w:val="20"/>
                <w:szCs w:val="20"/>
                <w:color w:val="auto"/>
              </w:rPr>
            </w:pPr>
            <w:r>
              <w:rPr>
                <w:rFonts w:ascii="Courier New" w:cs="Courier New" w:eastAsia="Courier New" w:hAnsi="Courier New"/>
                <w:sz w:val="9"/>
                <w:szCs w:val="9"/>
                <w:color w:val="auto"/>
                <w:w w:val="70"/>
              </w:rPr>
              <w:t>items..............</w:t>
            </w:r>
          </w:p>
        </w:tc>
        <w:tc>
          <w:tcPr>
            <w:tcW w:w="2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(.02) (.03)</w:t>
            </w:r>
          </w:p>
        </w:tc>
      </w:tr>
      <w:tr>
        <w:trPr>
          <w:trHeight w:val="201"/>
        </w:trPr>
        <w:tc>
          <w:tcPr>
            <w:tcW w:w="29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(.07) (.01) (.04) ---------</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bl>
    <w:p>
      <w:pPr>
        <w:spacing w:after="0" w:line="4" w:lineRule="exact"/>
        <w:rPr>
          <w:sz w:val="20"/>
          <w:szCs w:val="20"/>
          <w:color w:val="auto"/>
        </w:rPr>
      </w:pPr>
    </w:p>
    <w:p>
      <w:pPr>
        <w:ind w:left="680" w:hanging="623"/>
        <w:spacing w:after="0"/>
        <w:tabs>
          <w:tab w:leader="none" w:pos="68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740" w:hanging="421"/>
        <w:spacing w:after="0"/>
        <w:tabs>
          <w:tab w:leader="none" w:pos="740" w:val="left"/>
        </w:tabs>
        <w:numPr>
          <w:ilvl w:val="1"/>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Net</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w w:val="86"/>
              </w:rPr>
              <w:t>income (loss)................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.98 $ 1.38 $ 2.24</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$ 1.38</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$ 1.29</w:t>
            </w:r>
          </w:p>
        </w:tc>
      </w:tr>
    </w:tbl>
    <w:p>
      <w:pPr>
        <w:spacing w:after="0" w:line="4" w:lineRule="exact"/>
        <w:rPr>
          <w:sz w:val="20"/>
          <w:szCs w:val="20"/>
          <w:color w:val="auto"/>
        </w:rPr>
      </w:pPr>
    </w:p>
    <w:p>
      <w:pPr>
        <w:ind w:left="640" w:hanging="216"/>
        <w:spacing w:after="0"/>
        <w:tabs>
          <w:tab w:leader="none" w:pos="64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(.37) $ (.11) =========</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DILUTED EARNINGS (LOSS) FOR</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COMMON STOCKHOLDERS PER COMMON</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SHARE(2): Income (loss) from</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continuing operations before</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extraordinary items and</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cumulative effect of accounting</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change.............. $ .56 $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1.34 $ 2.16 $ .95 $ 1.25 $ (.29)</w:t>
      </w:r>
    </w:p>
    <w:p>
      <w:pPr>
        <w:spacing w:after="0" w:line="9" w:lineRule="exact"/>
        <w:rPr>
          <w:sz w:val="20"/>
          <w:szCs w:val="20"/>
          <w:color w:val="auto"/>
        </w:rPr>
      </w:pPr>
    </w:p>
    <w:p>
      <w:pPr>
        <w:ind w:left="1100" w:right="7239" w:hanging="624"/>
        <w:spacing w:after="0" w:line="251" w:lineRule="auto"/>
        <w:tabs>
          <w:tab w:leader="none" w:pos="681"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(.01) Gain (loss) from discontinued</w:t>
      </w:r>
    </w:p>
    <w:p>
      <w:pPr>
        <w:ind w:left="100"/>
        <w:spacing w:after="0"/>
        <w:rPr>
          <w:sz w:val="20"/>
          <w:szCs w:val="20"/>
          <w:color w:val="auto"/>
        </w:rPr>
      </w:pPr>
      <w:r>
        <w:rPr>
          <w:rFonts w:ascii="Courier New" w:cs="Courier New" w:eastAsia="Courier New" w:hAnsi="Courier New"/>
          <w:sz w:val="17"/>
          <w:szCs w:val="17"/>
          <w:color w:val="auto"/>
        </w:rPr>
        <w:t>operations(1)..................</w:t>
      </w:r>
    </w:p>
    <w:p>
      <w:pPr>
        <w:sectPr>
          <w:pgSz w:w="11900" w:h="16838" w:orient="portrait"/>
          <w:cols w:equalWidth="0" w:num="1">
            <w:col w:w="10219"/>
          </w:cols>
          <w:pgMar w:left="240" w:top="719" w:right="1440" w:bottom="0" w:gutter="0" w:footer="0" w:header="0"/>
        </w:sectPr>
      </w:pPr>
    </w:p>
    <w:bookmarkStart w:id="31" w:name="page32"/>
    <w:bookmarkEnd w:id="31"/>
    <w:p>
      <w:pPr>
        <w:jc w:val="center"/>
        <w:ind w:right="6816"/>
        <w:spacing w:after="0"/>
        <w:rPr>
          <w:sz w:val="20"/>
          <w:szCs w:val="20"/>
          <w:color w:val="auto"/>
        </w:rPr>
      </w:pPr>
      <w:r>
        <w:rPr>
          <w:rFonts w:ascii="Courier New" w:cs="Courier New" w:eastAsia="Courier New" w:hAnsi="Courier New"/>
          <w:sz w:val="17"/>
          <w:szCs w:val="17"/>
          <w:color w:val="auto"/>
        </w:rPr>
        <w:t>.41 (.03) (.04) (.10) Cumulative</w:t>
      </w:r>
    </w:p>
    <w:p>
      <w:pPr>
        <w:spacing w:after="0" w:line="9" w:lineRule="exact"/>
        <w:rPr>
          <w:sz w:val="20"/>
          <w:szCs w:val="20"/>
          <w:color w:val="auto"/>
        </w:rPr>
      </w:pPr>
    </w:p>
    <w:p>
      <w:pPr>
        <w:jc w:val="center"/>
        <w:ind w:right="6816"/>
        <w:spacing w:after="0"/>
        <w:rPr>
          <w:sz w:val="20"/>
          <w:szCs w:val="20"/>
          <w:color w:val="auto"/>
        </w:rPr>
      </w:pPr>
      <w:r>
        <w:rPr>
          <w:rFonts w:ascii="Courier New" w:cs="Courier New" w:eastAsia="Courier New" w:hAnsi="Courier New"/>
          <w:sz w:val="17"/>
          <w:szCs w:val="17"/>
          <w:color w:val="auto"/>
        </w:rPr>
        <w:t>effect of accounting</w:t>
      </w:r>
    </w:p>
    <w:p>
      <w:pPr>
        <w:spacing w:after="0" w:line="9" w:lineRule="exact"/>
        <w:rPr>
          <w:sz w:val="20"/>
          <w:szCs w:val="20"/>
          <w:color w:val="auto"/>
        </w:rPr>
      </w:pPr>
    </w:p>
    <w:p>
      <w:pPr>
        <w:ind w:left="43"/>
        <w:spacing w:after="0"/>
        <w:rPr>
          <w:sz w:val="20"/>
          <w:szCs w:val="20"/>
          <w:color w:val="auto"/>
        </w:rPr>
      </w:pPr>
      <w:r>
        <w:rPr>
          <w:rFonts w:ascii="Courier New" w:cs="Courier New" w:eastAsia="Courier New" w:hAnsi="Courier New"/>
          <w:sz w:val="17"/>
          <w:szCs w:val="17"/>
          <w:color w:val="auto"/>
        </w:rPr>
        <w:t>change.........................</w:t>
      </w:r>
    </w:p>
    <w:p>
      <w:pPr>
        <w:spacing w:after="0" w:line="9" w:lineRule="exact"/>
        <w:rPr>
          <w:sz w:val="20"/>
          <w:szCs w:val="20"/>
          <w:color w:val="auto"/>
        </w:rPr>
      </w:pPr>
    </w:p>
    <w:p>
      <w:pPr>
        <w:jc w:val="center"/>
        <w:ind w:right="6816"/>
        <w:spacing w:after="0"/>
        <w:rPr>
          <w:sz w:val="20"/>
          <w:szCs w:val="20"/>
          <w:color w:val="auto"/>
        </w:rPr>
      </w:pPr>
      <w:r>
        <w:rPr>
          <w:rFonts w:ascii="Courier New" w:cs="Courier New" w:eastAsia="Courier New" w:hAnsi="Courier New"/>
          <w:sz w:val="17"/>
          <w:szCs w:val="17"/>
          <w:color w:val="auto"/>
        </w:rPr>
        <w:t>.40 Extraordinary</w:t>
      </w:r>
    </w:p>
    <w:p>
      <w:pPr>
        <w:spacing w:after="0" w:line="9" w:lineRule="exact"/>
        <w:rPr>
          <w:sz w:val="20"/>
          <w:szCs w:val="20"/>
          <w:color w:val="auto"/>
        </w:rPr>
      </w:pPr>
    </w:p>
    <w:p>
      <w:pPr>
        <w:ind w:left="43"/>
        <w:spacing w:after="0"/>
        <w:rPr>
          <w:sz w:val="20"/>
          <w:szCs w:val="20"/>
          <w:color w:val="auto"/>
        </w:rPr>
      </w:pPr>
      <w:r>
        <w:rPr>
          <w:rFonts w:ascii="Courier New" w:cs="Courier New" w:eastAsia="Courier New" w:hAnsi="Courier New"/>
          <w:sz w:val="17"/>
          <w:szCs w:val="17"/>
          <w:color w:val="auto"/>
        </w:rPr>
        <w:t>items.............. (.02) (.03)</w:t>
      </w:r>
    </w:p>
    <w:p>
      <w:pPr>
        <w:spacing w:after="0" w:line="9" w:lineRule="exact"/>
        <w:rPr>
          <w:sz w:val="20"/>
          <w:szCs w:val="20"/>
          <w:color w:val="auto"/>
        </w:rPr>
      </w:pPr>
    </w:p>
    <w:p>
      <w:pPr>
        <w:ind w:left="3"/>
        <w:spacing w:after="0"/>
        <w:rPr>
          <w:sz w:val="20"/>
          <w:szCs w:val="20"/>
          <w:color w:val="auto"/>
        </w:rPr>
      </w:pPr>
      <w:r>
        <w:rPr>
          <w:rFonts w:ascii="Courier New" w:cs="Courier New" w:eastAsia="Courier New" w:hAnsi="Courier New"/>
          <w:sz w:val="17"/>
          <w:szCs w:val="17"/>
          <w:color w:val="auto"/>
        </w:rPr>
        <w:t>(.06) (.01) (.04) --------- ----</w:t>
      </w:r>
    </w:p>
    <w:p>
      <w:pPr>
        <w:spacing w:after="0" w:line="9" w:lineRule="exact"/>
        <w:rPr>
          <w:sz w:val="20"/>
          <w:szCs w:val="20"/>
          <w:color w:val="auto"/>
        </w:rPr>
      </w:pPr>
    </w:p>
    <w:p>
      <w:pPr>
        <w:ind w:left="623" w:hanging="623"/>
        <w:spacing w:after="0"/>
        <w:tabs>
          <w:tab w:leader="none" w:pos="623"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683" w:hanging="421"/>
        <w:spacing w:after="0"/>
        <w:tabs>
          <w:tab w:leader="none" w:pos="683" w:val="left"/>
        </w:tabs>
        <w:numPr>
          <w:ilvl w:val="1"/>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Net</w:t>
      </w:r>
    </w:p>
    <w:p>
      <w:pPr>
        <w:spacing w:after="0" w:line="9" w:lineRule="exact"/>
        <w:rPr>
          <w:sz w:val="20"/>
          <w:szCs w:val="20"/>
          <w:color w:val="auto"/>
        </w:rPr>
      </w:pPr>
    </w:p>
    <w:tbl>
      <w:tblPr>
        <w:tblLayout w:type="fixed"/>
        <w:tblInd w:w="43" w:type="dxa"/>
        <w:tblCellMar>
          <w:top w:w="0" w:type="dxa"/>
          <w:left w:w="0" w:type="dxa"/>
          <w:bottom w:w="0" w:type="dxa"/>
          <w:right w:w="0" w:type="dxa"/>
        </w:tblCellMar>
      </w:tblPr>
      <w:tr>
        <w:trPr>
          <w:trHeight w:val="197"/>
        </w:trPr>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w w:val="86"/>
              </w:rPr>
              <w:t>income (loss)................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.96 $ 1.32 $ 2.13</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$ 1.30</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$ 1.21</w:t>
            </w:r>
          </w:p>
        </w:tc>
      </w:tr>
    </w:tbl>
    <w:p>
      <w:pPr>
        <w:spacing w:after="0" w:line="4" w:lineRule="exact"/>
        <w:rPr>
          <w:sz w:val="20"/>
          <w:szCs w:val="20"/>
          <w:color w:val="auto"/>
        </w:rPr>
      </w:pPr>
    </w:p>
    <w:p>
      <w:pPr>
        <w:ind w:left="583" w:hanging="216"/>
        <w:spacing w:after="0"/>
        <w:tabs>
          <w:tab w:leader="none" w:pos="583"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(.37) $ (.11) =========</w:t>
      </w:r>
    </w:p>
    <w:p>
      <w:pPr>
        <w:spacing w:after="0" w:line="8" w:lineRule="exact"/>
        <w:rPr>
          <w:rFonts w:ascii="Courier New" w:cs="Courier New" w:eastAsia="Courier New" w:hAnsi="Courier New"/>
          <w:sz w:val="17"/>
          <w:szCs w:val="17"/>
          <w:color w:val="auto"/>
        </w:rPr>
      </w:pPr>
    </w:p>
    <w:p>
      <w:pPr>
        <w:ind w:left="16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16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26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dividends declared per</w:t>
      </w:r>
    </w:p>
    <w:p>
      <w:pPr>
        <w:spacing w:after="0" w:line="9" w:lineRule="exact"/>
        <w:rPr>
          <w:sz w:val="20"/>
          <w:szCs w:val="20"/>
          <w:color w:val="auto"/>
        </w:rPr>
      </w:pPr>
    </w:p>
    <w:p>
      <w:pPr>
        <w:ind w:left="43"/>
        <w:spacing w:after="0"/>
        <w:rPr>
          <w:sz w:val="20"/>
          <w:szCs w:val="20"/>
          <w:color w:val="auto"/>
        </w:rPr>
      </w:pPr>
      <w:r>
        <w:rPr>
          <w:rFonts w:ascii="Courier New" w:cs="Courier New" w:eastAsia="Courier New" w:hAnsi="Courier New"/>
          <w:sz w:val="17"/>
          <w:szCs w:val="17"/>
          <w:color w:val="auto"/>
        </w:rPr>
        <w:t>common share(2)................</w:t>
      </w:r>
    </w:p>
    <w:p>
      <w:pPr>
        <w:spacing w:after="0" w:line="9" w:lineRule="exact"/>
        <w:rPr>
          <w:sz w:val="20"/>
          <w:szCs w:val="20"/>
          <w:color w:val="auto"/>
        </w:rPr>
      </w:pPr>
    </w:p>
    <w:p>
      <w:pPr>
        <w:ind w:left="463"/>
        <w:spacing w:after="0"/>
        <w:rPr>
          <w:sz w:val="20"/>
          <w:szCs w:val="20"/>
          <w:color w:val="auto"/>
        </w:rPr>
      </w:pPr>
      <w:r>
        <w:rPr>
          <w:rFonts w:ascii="Courier New" w:cs="Courier New" w:eastAsia="Courier New" w:hAnsi="Courier New"/>
          <w:sz w:val="17"/>
          <w:szCs w:val="17"/>
          <w:color w:val="auto"/>
        </w:rPr>
        <w:t>$ .0467 $ .0467 $ .0467</w:t>
      </w:r>
    </w:p>
    <w:p>
      <w:pPr>
        <w:spacing w:after="0" w:line="200" w:lineRule="exact"/>
        <w:rPr>
          <w:sz w:val="20"/>
          <w:szCs w:val="20"/>
          <w:color w:val="auto"/>
        </w:rPr>
      </w:pPr>
    </w:p>
    <w:p>
      <w:pPr>
        <w:spacing w:after="0" w:line="212"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I-21</w:t>
      </w:r>
    </w:p>
    <w:p>
      <w:pPr>
        <w:sectPr>
          <w:pgSz w:w="11900" w:h="16838" w:orient="portrait"/>
          <w:cols w:equalWidth="0" w:num="1">
            <w:col w:w="10162"/>
          </w:cols>
          <w:pgMar w:left="297" w:top="14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7"/>
          <w:szCs w:val="17"/>
          <w:color w:val="auto"/>
        </w:rPr>
        <w:t>FOR THE NINE MONTHS ENDED</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SEPTEMBER 30, YEAR ENDED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DECEMBER 31, -----------------</w:t>
      </w:r>
    </w:p>
    <w:p>
      <w:pPr>
        <w:spacing w:after="0" w:line="9" w:lineRule="exact"/>
        <w:rPr>
          <w:sz w:val="20"/>
          <w:szCs w:val="20"/>
          <w:color w:val="auto"/>
        </w:rPr>
      </w:pPr>
    </w:p>
    <w:p>
      <w:pPr>
        <w:ind w:left="580" w:hanging="526"/>
        <w:spacing w:after="0"/>
        <w:tabs>
          <w:tab w:leader="none" w:pos="580"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jc w:val="center"/>
        <w:ind w:left="100" w:right="7079" w:firstLine="105"/>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-- 2001 2000 2000 1999 1998 1997 1996 --------- ---------</w:t>
      </w: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jc w:val="center"/>
        <w:ind w:left="100" w:right="7079" w:firstLine="5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(DOLLARS IN MILLIONS, EXCEPT PER SHARE DATA) BALANCE SHEET DATA (AT END OF PERIOD): Total assets.....................</w:t>
      </w:r>
    </w:p>
    <w:p>
      <w:pPr>
        <w:jc w:val="center"/>
        <w:ind w:left="100" w:right="707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$38,781.4 $35,031.6 $35,744.5 $28,685.6 $14,710.5 $11,234.3 $10,660.4 Working capital (deficit)........ (804.7) 133.3 1,102.2 4,226.3 2,497.0 13.6 (12.6) Long-term debt(3)................</w:t>
      </w: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11,494.8 8,611.4 10,517.4</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8,707.2 5,464.2 5,334.1</w:t>
      </w:r>
    </w:p>
    <w:p>
      <w:pPr>
        <w:spacing w:after="0" w:line="8"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5,998.3 Total</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debt(3)....................</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12,049.2 9,923.9 10,811.3</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9,224.7 5,577.7 5,466.4</w:t>
      </w:r>
    </w:p>
    <w:p>
      <w:pPr>
        <w:spacing w:after="0" w:line="8"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6,225.9 Stockholders'</w:t>
      </w:r>
    </w:p>
    <w:p>
      <w:pPr>
        <w:spacing w:after="0" w:line="8" w:lineRule="exact"/>
        <w:rPr>
          <w:rFonts w:ascii="Courier New" w:cs="Courier New" w:eastAsia="Courier New" w:hAnsi="Courier New"/>
          <w:sz w:val="17"/>
          <w:szCs w:val="17"/>
          <w:color w:val="auto"/>
        </w:rPr>
      </w:pPr>
    </w:p>
    <w:p>
      <w:pPr>
        <w:jc w:val="center"/>
        <w:ind w:left="160" w:right="71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equity............. 14,838.8 14,622.3 14,086.4 10,341.3 3,815.3 1,646.5 551.6 Debt ratio(4)....................</w:t>
      </w: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44.8% 40.4% 43.4% 47.1% 59.4%</w:t>
      </w:r>
    </w:p>
    <w:p>
      <w:pPr>
        <w:spacing w:after="0" w:line="8" w:lineRule="exact"/>
        <w:rPr>
          <w:rFonts w:ascii="Courier New" w:cs="Courier New" w:eastAsia="Courier New" w:hAnsi="Courier New"/>
          <w:sz w:val="17"/>
          <w:szCs w:val="17"/>
          <w:color w:val="auto"/>
        </w:rPr>
      </w:pPr>
    </w:p>
    <w:p>
      <w:pPr>
        <w:jc w:val="center"/>
        <w:ind w:right="6959" w:firstLine="30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76.9% 91.9% SUPPLEMENTARY FINANCIAL DATA: Operating income before depreciation and amortization(5)................</w:t>
      </w:r>
    </w:p>
    <w:p>
      <w:pPr>
        <w:jc w:val="center"/>
        <w:ind w:left="60" w:right="7019" w:firstLine="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$ 2,047.1 $ 1,795.4 $ 2,470.3 $ 1,880.0 $ 1,496.7 $ 1,293.1 $ 1,047.0 Net cash provided by (used in)(6) Operating activities........... 1,254.7 814.7 1,219.3 1,249.4 1,067.7 844.6 644.5 Financing activities........... 1,213.4 (1,103.2) (271.4) 1,341.4 809.2 283.9 (88.0) Investing activities...........</w:t>
      </w: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(2,461.2) (57.8) (1,218.6)</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(2,539.3) (1,415.3) (1,045.8)</w:t>
      </w:r>
    </w:p>
    <w:p>
      <w:pPr>
        <w:spacing w:after="0" w:line="8"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(749.5) Capital</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expenditures.............</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1,691.2 1,056.0 1,636.8 893.8</w:t>
      </w:r>
    </w:p>
    <w:p>
      <w:pPr>
        <w:spacing w:after="0" w:line="8" w:lineRule="exact"/>
        <w:rPr>
          <w:rFonts w:ascii="Courier New" w:cs="Courier New" w:eastAsia="Courier New" w:hAnsi="Courier New"/>
          <w:sz w:val="17"/>
          <w:szCs w:val="17"/>
          <w:color w:val="auto"/>
        </w:rPr>
      </w:pP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898.9 795.5 554.4</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20" w:right="2679" w:hanging="413"/>
        <w:spacing w:after="0" w:line="251" w:lineRule="auto"/>
        <w:tabs>
          <w:tab w:leader="none" w:pos="42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July 1999, Comcast sold Comcast Cellular Corporation to SBC Communications, Inc. Comcast Cellular is presented as a discontinued operation for all periods presented.</w:t>
      </w:r>
    </w:p>
    <w:p>
      <w:pPr>
        <w:ind w:left="420" w:right="2039" w:hanging="413"/>
        <w:spacing w:after="0" w:line="251" w:lineRule="auto"/>
        <w:tabs>
          <w:tab w:leader="none" w:pos="42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Adjusted for Comcast's two-for-one stock split in the form of a 100% stock dividend in May 1999.</w:t>
      </w:r>
    </w:p>
    <w:p>
      <w:pPr>
        <w:ind w:left="420" w:hanging="413"/>
        <w:spacing w:after="0"/>
        <w:tabs>
          <w:tab w:leader="none" w:pos="42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 $666.0 million adjustment to carrying value at December 31, 1999.</w:t>
      </w:r>
    </w:p>
    <w:p>
      <w:pPr>
        <w:spacing w:after="0" w:line="8" w:lineRule="exact"/>
        <w:rPr>
          <w:rFonts w:ascii="Courier New" w:cs="Courier New" w:eastAsia="Courier New" w:hAnsi="Courier New"/>
          <w:sz w:val="17"/>
          <w:szCs w:val="17"/>
          <w:color w:val="auto"/>
        </w:rPr>
      </w:pPr>
    </w:p>
    <w:p>
      <w:pPr>
        <w:ind w:left="420" w:right="1939" w:hanging="413"/>
        <w:spacing w:after="0" w:line="251" w:lineRule="auto"/>
        <w:tabs>
          <w:tab w:leader="none" w:pos="42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Debt ratio reflects debt from continuing operations as a percent of capital (debt plus stockholders' equity).</w:t>
      </w:r>
    </w:p>
    <w:p>
      <w:pPr>
        <w:ind w:left="420" w:right="1839" w:hanging="413"/>
        <w:spacing w:after="0" w:line="251" w:lineRule="auto"/>
        <w:tabs>
          <w:tab w:leader="none" w:pos="42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income before depreciation and amortization is commonly referred to in Comcast's business as "operating cash flow." Operating cash flow is a measure of a company's ability to generate cash to service its obligations, including debt service obligations, and to finance capital and other expenditures. In part due to the capital intensive nature of Comcast's businesses and the resulting significant level of non-cash depreciation and amortization expense, operating cash flow is frequently used as one of the bases for comparing businesses in Comcast's industries, although Comcast's measure of operating cash flow may not be comparable to similarly titled measures of other companies. Operating cash flow is the primary basis used by Comcast's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w:t>
      </w:r>
    </w:p>
    <w:p>
      <w:pPr>
        <w:sectPr>
          <w:pgSz w:w="11900" w:h="16838" w:orient="portrait"/>
          <w:cols w:equalWidth="0" w:num="1">
            <w:col w:w="10219"/>
          </w:cols>
          <w:pgMar w:left="240" w:top="719" w:right="1440" w:bottom="0" w:gutter="0" w:footer="0" w:header="0"/>
        </w:sectPr>
      </w:pPr>
    </w:p>
    <w:bookmarkStart w:id="33" w:name="page34"/>
    <w:bookmarkEnd w:id="33"/>
    <w:p>
      <w:pPr>
        <w:ind w:left="413"/>
        <w:spacing w:after="0"/>
        <w:rPr>
          <w:sz w:val="20"/>
          <w:szCs w:val="20"/>
          <w:color w:val="auto"/>
        </w:rPr>
      </w:pPr>
      <w:r>
        <w:rPr>
          <w:rFonts w:ascii="Courier New" w:cs="Courier New" w:eastAsia="Courier New" w:hAnsi="Courier New"/>
          <w:sz w:val="17"/>
          <w:szCs w:val="17"/>
          <w:color w:val="auto"/>
        </w:rPr>
        <w:t>alternative to those measurements as an indicator of Comcast's performance.</w:t>
      </w:r>
    </w:p>
    <w:p>
      <w:pPr>
        <w:spacing w:after="0" w:line="9" w:lineRule="exact"/>
        <w:rPr>
          <w:sz w:val="20"/>
          <w:szCs w:val="20"/>
          <w:color w:val="auto"/>
        </w:rPr>
      </w:pPr>
    </w:p>
    <w:p>
      <w:pPr>
        <w:ind w:left="413" w:right="2359" w:hanging="413"/>
        <w:spacing w:after="0" w:line="254" w:lineRule="auto"/>
        <w:tabs>
          <w:tab w:leader="none" w:pos="413"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represents net cash provided by (used in) operating activities, financing activities and investing activities as presented in Comcast's consolidated statement of cash flows.</w:t>
      </w:r>
    </w:p>
    <w:p>
      <w:pPr>
        <w:spacing w:after="0" w:line="194"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I-22</w:t>
      </w:r>
    </w:p>
    <w:p>
      <w:pPr>
        <w:sectPr>
          <w:pgSz w:w="11900" w:h="16838" w:orient="portrait"/>
          <w:cols w:equalWidth="0" w:num="1">
            <w:col w:w="10212"/>
          </w:cols>
          <w:pgMar w:left="247" w:top="142" w:right="1440" w:bottom="1440" w:gutter="0" w:footer="0" w:header="0"/>
        </w:sectPr>
      </w:pPr>
    </w:p>
    <w:bookmarkStart w:id="34" w:name="page35"/>
    <w:bookmarkEnd w:id="34"/>
    <w:p>
      <w:pPr>
        <w:jc w:val="center"/>
        <w:ind w:right="1819"/>
        <w:spacing w:after="0"/>
        <w:rPr>
          <w:sz w:val="20"/>
          <w:szCs w:val="20"/>
          <w:color w:val="auto"/>
        </w:rPr>
      </w:pPr>
      <w:r>
        <w:rPr>
          <w:rFonts w:ascii="Courier New" w:cs="Courier New" w:eastAsia="Courier New" w:hAnsi="Courier New"/>
          <w:sz w:val="17"/>
          <w:szCs w:val="17"/>
          <w:color w:val="auto"/>
        </w:rPr>
        <w:t>SELECTED FINANCIAL DATA OF AT&amp;T CORP. AND SUBSIDIARIES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consolidated income statement data below for the three years ended December 31, 2000, and the consolidated balance sheet data at December 31, 2000 and 1999, were derived from audited consolidated financial statements. The remaining data was derived from AT&amp;T's unaudited consolidated financial statements.</w:t>
      </w:r>
    </w:p>
    <w:p>
      <w:pPr>
        <w:spacing w:after="0" w:line="197"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FOR THE NINE MONTHS ENDED SEPT.</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30, FOR THE YEARS ENDED DECEMBER</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31,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460" w:type="dxa"/>
            <w:vAlign w:val="bottom"/>
          </w:tcPr>
          <w:p>
            <w:pPr>
              <w:spacing w:after="0"/>
              <w:rPr>
                <w:sz w:val="20"/>
                <w:szCs w:val="20"/>
                <w:color w:val="auto"/>
              </w:rPr>
            </w:pPr>
            <w:r>
              <w:rPr>
                <w:rFonts w:ascii="Courier New" w:cs="Courier New" w:eastAsia="Courier New" w:hAnsi="Courier New"/>
                <w:sz w:val="17"/>
                <w:szCs w:val="17"/>
                <w:color w:val="auto"/>
              </w:rPr>
              <w:t>-------- 2001</w:t>
            </w:r>
          </w:p>
        </w:tc>
        <w:tc>
          <w:tcPr>
            <w:tcW w:w="520" w:type="dxa"/>
            <w:vAlign w:val="bottom"/>
          </w:tcPr>
          <w:p>
            <w:pPr>
              <w:jc w:val="right"/>
              <w:ind w:right="21"/>
              <w:spacing w:after="0"/>
              <w:rPr>
                <w:sz w:val="20"/>
                <w:szCs w:val="20"/>
                <w:color w:val="auto"/>
              </w:rPr>
            </w:pPr>
            <w:r>
              <w:rPr>
                <w:rFonts w:ascii="Courier New" w:cs="Courier New" w:eastAsia="Courier New" w:hAnsi="Courier New"/>
                <w:sz w:val="17"/>
                <w:szCs w:val="17"/>
                <w:color w:val="auto"/>
                <w:w w:val="97"/>
              </w:rPr>
              <w:t>2000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2000(1)</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1999(2)</w:t>
            </w:r>
          </w:p>
        </w:tc>
      </w:tr>
      <w:tr>
        <w:trPr>
          <w:trHeight w:val="201"/>
        </w:trPr>
        <w:tc>
          <w:tcPr>
            <w:tcW w:w="1460" w:type="dxa"/>
            <w:vAlign w:val="bottom"/>
          </w:tcPr>
          <w:p>
            <w:pPr>
              <w:spacing w:after="0"/>
              <w:rPr>
                <w:sz w:val="20"/>
                <w:szCs w:val="20"/>
                <w:color w:val="auto"/>
              </w:rPr>
            </w:pPr>
            <w:r>
              <w:rPr>
                <w:rFonts w:ascii="Courier New" w:cs="Courier New" w:eastAsia="Courier New" w:hAnsi="Courier New"/>
                <w:sz w:val="17"/>
                <w:szCs w:val="17"/>
                <w:color w:val="auto"/>
              </w:rPr>
              <w:t>1998 1997 1996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74"/>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(UNAUDITED) (DOLLARS IN</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MILLIONS, EXCEPT PER SHARE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AMOUNTS) RESULTS OF OPERATIONS AND</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EARNINGS PER 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$ 39,964 $ 41,623 $ 55,533 $</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54,973</w:t>
            </w:r>
          </w:p>
        </w:tc>
        <w:tc>
          <w:tcPr>
            <w:tcW w:w="2720" w:type="dxa"/>
            <w:vAlign w:val="bottom"/>
            <w:gridSpan w:val="3"/>
          </w:tcPr>
          <w:p>
            <w:pPr>
              <w:spacing w:after="0"/>
              <w:rPr>
                <w:sz w:val="20"/>
                <w:szCs w:val="20"/>
                <w:color w:val="auto"/>
              </w:rPr>
            </w:pPr>
            <w:r>
              <w:rPr>
                <w:rFonts w:ascii="Courier New" w:cs="Courier New" w:eastAsia="Courier New" w:hAnsi="Courier New"/>
                <w:sz w:val="17"/>
                <w:szCs w:val="17"/>
                <w:color w:val="auto"/>
              </w:rPr>
              <w:t>$ 47,817 $ 46,910 $ 46,442</w:t>
            </w:r>
          </w:p>
        </w:tc>
      </w:tr>
      <w:tr>
        <w:trPr>
          <w:trHeight w:val="201"/>
        </w:trPr>
        <w:tc>
          <w:tcPr>
            <w:tcW w:w="720" w:type="dxa"/>
            <w:vAlign w:val="bottom"/>
          </w:tcPr>
          <w:p>
            <w:pPr>
              <w:spacing w:after="0"/>
              <w:rPr>
                <w:sz w:val="17"/>
                <w:szCs w:val="17"/>
                <w:color w:val="auto"/>
              </w:rPr>
            </w:pPr>
          </w:p>
        </w:tc>
        <w:tc>
          <w:tcPr>
            <w:tcW w:w="20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Operating</w:t>
            </w:r>
          </w:p>
        </w:tc>
        <w:tc>
          <w:tcPr>
            <w:tcW w:w="720" w:type="dxa"/>
            <w:vAlign w:val="bottom"/>
          </w:tcPr>
          <w:p>
            <w:pPr>
              <w:spacing w:after="0"/>
              <w:rPr>
                <w:sz w:val="17"/>
                <w:szCs w:val="17"/>
                <w:color w:val="auto"/>
              </w:rPr>
            </w:pPr>
          </w:p>
        </w:tc>
      </w:tr>
      <w:tr>
        <w:trPr>
          <w:trHeight w:val="201"/>
        </w:trPr>
        <w:tc>
          <w:tcPr>
            <w:tcW w:w="7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income</w:t>
            </w:r>
          </w:p>
        </w:tc>
        <w:tc>
          <w:tcPr>
            <w:tcW w:w="200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3,543</w:t>
            </w:r>
          </w:p>
        </w:tc>
      </w:tr>
      <w:tr>
        <w:trPr>
          <w:trHeight w:val="201"/>
        </w:trPr>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8,394</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4,228</w:t>
            </w:r>
          </w:p>
        </w:tc>
        <w:tc>
          <w:tcPr>
            <w:tcW w:w="1320" w:type="dxa"/>
            <w:vAlign w:val="bottom"/>
          </w:tcPr>
          <w:p>
            <w:pPr>
              <w:spacing w:after="0"/>
              <w:rPr>
                <w:sz w:val="20"/>
                <w:szCs w:val="20"/>
                <w:color w:val="auto"/>
              </w:rPr>
            </w:pPr>
            <w:r>
              <w:rPr>
                <w:rFonts w:ascii="Courier New" w:cs="Courier New" w:eastAsia="Courier New" w:hAnsi="Courier New"/>
                <w:sz w:val="17"/>
                <w:szCs w:val="17"/>
                <w:color w:val="auto"/>
              </w:rPr>
              <w:t>11,458 7,632</w:t>
            </w:r>
          </w:p>
        </w:tc>
        <w:tc>
          <w:tcPr>
            <w:tcW w:w="7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6,835</w:t>
            </w:r>
          </w:p>
        </w:tc>
      </w:tr>
      <w:tr>
        <w:trPr>
          <w:trHeight w:val="201"/>
        </w:trPr>
        <w:tc>
          <w:tcPr>
            <w:tcW w:w="34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8,341 (Loss) income from</w:t>
            </w:r>
          </w:p>
        </w:tc>
      </w:tr>
      <w:tr>
        <w:trPr>
          <w:trHeight w:val="201"/>
        </w:trPr>
        <w:tc>
          <w:tcPr>
            <w:tcW w:w="14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continuing</w:t>
            </w:r>
          </w:p>
        </w:tc>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operations before</w:t>
            </w:r>
          </w:p>
        </w:tc>
      </w:tr>
      <w:tr>
        <w:trPr>
          <w:trHeight w:val="201"/>
        </w:trPr>
        <w:tc>
          <w:tcPr>
            <w:tcW w:w="34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cumulative effect of accounting</w:t>
            </w:r>
          </w:p>
        </w:tc>
      </w:tr>
      <w:tr>
        <w:trPr>
          <w:trHeight w:val="201"/>
        </w:trPr>
        <w:tc>
          <w:tcPr>
            <w:tcW w:w="14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change......</w:t>
            </w:r>
          </w:p>
        </w:tc>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(5,451) 7,581 4,133</w:t>
            </w:r>
          </w:p>
        </w:tc>
      </w:tr>
    </w:tbl>
    <w:p>
      <w:pPr>
        <w:spacing w:after="0" w:line="4"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3,861 5,052 4,088 5,064 (LOSS)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INCOME FROM CONTINUING OPERATIONS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BEFORE CUMULATIVE EFFECT OF</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ACCOUNTING CHANGE: AT&amp;T Common</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Stock Group: (Loss)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4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income....................</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(2,740)</w:t>
            </w:r>
          </w:p>
        </w:tc>
      </w:tr>
      <w:tr>
        <w:trPr>
          <w:trHeight w:val="201"/>
        </w:trPr>
        <w:tc>
          <w:tcPr>
            <w:tcW w:w="2120" w:type="dxa"/>
            <w:vAlign w:val="bottom"/>
            <w:gridSpan w:val="4"/>
          </w:tcPr>
          <w:p>
            <w:pPr>
              <w:ind w:left="260"/>
              <w:spacing w:after="0"/>
              <w:rPr>
                <w:sz w:val="20"/>
                <w:szCs w:val="20"/>
                <w:color w:val="auto"/>
              </w:rPr>
            </w:pPr>
            <w:r>
              <w:rPr>
                <w:rFonts w:ascii="Courier New" w:cs="Courier New" w:eastAsia="Courier New" w:hAnsi="Courier New"/>
                <w:sz w:val="17"/>
                <w:szCs w:val="17"/>
                <w:color w:val="auto"/>
              </w:rPr>
              <w:t>4,616 2,645 5,883</w:t>
            </w:r>
          </w:p>
        </w:tc>
        <w:tc>
          <w:tcPr>
            <w:tcW w:w="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5,052</w:t>
            </w:r>
          </w:p>
        </w:tc>
        <w:tc>
          <w:tcPr>
            <w:tcW w:w="860" w:type="dxa"/>
            <w:vAlign w:val="bottom"/>
          </w:tcPr>
          <w:p>
            <w:pPr>
              <w:jc w:val="center"/>
              <w:ind w:right="93"/>
              <w:spacing w:after="0"/>
              <w:rPr>
                <w:sz w:val="20"/>
                <w:szCs w:val="20"/>
                <w:color w:val="auto"/>
              </w:rPr>
            </w:pPr>
            <w:r>
              <w:rPr>
                <w:rFonts w:ascii="Courier New" w:cs="Courier New" w:eastAsia="Courier New" w:hAnsi="Courier New"/>
                <w:sz w:val="17"/>
                <w:szCs w:val="17"/>
                <w:color w:val="auto"/>
              </w:rPr>
              <w:t>4,088</w:t>
            </w:r>
          </w:p>
        </w:tc>
      </w:tr>
      <w:tr>
        <w:trPr>
          <w:trHeight w:val="201"/>
        </w:trPr>
        <w:tc>
          <w:tcPr>
            <w:tcW w:w="3560" w:type="dxa"/>
            <w:vAlign w:val="bottom"/>
            <w:gridSpan w:val="7"/>
          </w:tcPr>
          <w:p>
            <w:pPr>
              <w:ind w:left="160"/>
              <w:spacing w:after="0"/>
              <w:rPr>
                <w:sz w:val="20"/>
                <w:szCs w:val="20"/>
                <w:color w:val="auto"/>
              </w:rPr>
            </w:pPr>
            <w:r>
              <w:rPr>
                <w:rFonts w:ascii="Courier New" w:cs="Courier New" w:eastAsia="Courier New" w:hAnsi="Courier New"/>
                <w:sz w:val="17"/>
                <w:szCs w:val="17"/>
                <w:color w:val="auto"/>
              </w:rPr>
              <w:t>5,064 (Loss) earnings per basic</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share..........................</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1"/>
        </w:trPr>
        <w:tc>
          <w:tcPr>
            <w:tcW w:w="14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(0.94) 1.35</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7"/>
              </w:rPr>
              <w:t>0.76</w:t>
            </w:r>
          </w:p>
        </w:tc>
        <w:tc>
          <w:tcPr>
            <w:tcW w:w="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1.91</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1.89 1.53</w:t>
            </w:r>
          </w:p>
        </w:tc>
      </w:tr>
      <w:tr>
        <w:trPr>
          <w:trHeight w:val="201"/>
        </w:trPr>
        <w:tc>
          <w:tcPr>
            <w:tcW w:w="3560" w:type="dxa"/>
            <w:vAlign w:val="bottom"/>
            <w:gridSpan w:val="7"/>
          </w:tcPr>
          <w:p>
            <w:pPr>
              <w:jc w:val="center"/>
              <w:spacing w:after="0"/>
              <w:rPr>
                <w:sz w:val="20"/>
                <w:szCs w:val="20"/>
                <w:color w:val="auto"/>
              </w:rPr>
            </w:pPr>
            <w:r>
              <w:rPr>
                <w:rFonts w:ascii="Courier New" w:cs="Courier New" w:eastAsia="Courier New" w:hAnsi="Courier New"/>
                <w:sz w:val="17"/>
                <w:szCs w:val="17"/>
                <w:color w:val="auto"/>
              </w:rPr>
              <w:t>1.92 (Loss) earnings per diluted</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share..........................</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1"/>
        </w:trPr>
        <w:tc>
          <w:tcPr>
            <w:tcW w:w="14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(0.94) 1.34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7"/>
              </w:rPr>
              <w:t>0.75</w:t>
            </w:r>
          </w:p>
        </w:tc>
        <w:tc>
          <w:tcPr>
            <w:tcW w:w="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1.87</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1.87 1.53</w:t>
            </w:r>
          </w:p>
        </w:tc>
      </w:tr>
      <w:tr>
        <w:trPr>
          <w:trHeight w:val="201"/>
        </w:trPr>
        <w:tc>
          <w:tcPr>
            <w:tcW w:w="3560" w:type="dxa"/>
            <w:vAlign w:val="bottom"/>
            <w:gridSpan w:val="7"/>
          </w:tcPr>
          <w:p>
            <w:pPr>
              <w:jc w:val="center"/>
              <w:spacing w:after="0"/>
              <w:rPr>
                <w:sz w:val="20"/>
                <w:szCs w:val="20"/>
                <w:color w:val="auto"/>
              </w:rPr>
            </w:pPr>
            <w:r>
              <w:rPr>
                <w:rFonts w:ascii="Courier New" w:cs="Courier New" w:eastAsia="Courier New" w:hAnsi="Courier New"/>
                <w:sz w:val="17"/>
                <w:szCs w:val="17"/>
                <w:color w:val="auto"/>
              </w:rPr>
              <w:t>1.92 Dividends declared per</w:t>
            </w:r>
          </w:p>
        </w:tc>
      </w:tr>
      <w:tr>
        <w:trPr>
          <w:trHeight w:val="201"/>
        </w:trPr>
        <w:tc>
          <w:tcPr>
            <w:tcW w:w="940" w:type="dxa"/>
            <w:vAlign w:val="bottom"/>
          </w:tcPr>
          <w:p>
            <w:pPr>
              <w:spacing w:after="0"/>
              <w:rPr>
                <w:sz w:val="20"/>
                <w:szCs w:val="20"/>
                <w:color w:val="auto"/>
              </w:rPr>
            </w:pPr>
            <w:r>
              <w:rPr>
                <w:rFonts w:ascii="Courier New" w:cs="Courier New" w:eastAsia="Courier New" w:hAnsi="Courier New"/>
                <w:sz w:val="17"/>
                <w:szCs w:val="17"/>
                <w:color w:val="auto"/>
                <w:w w:val="90"/>
              </w:rPr>
              <w:t>share.....</w:t>
            </w:r>
          </w:p>
        </w:tc>
        <w:tc>
          <w:tcPr>
            <w:tcW w:w="262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0.1125 0.66 0.6975 0.88</w:t>
            </w:r>
          </w:p>
        </w:tc>
      </w:tr>
      <w:tr>
        <w:trPr>
          <w:trHeight w:val="201"/>
        </w:trPr>
        <w:tc>
          <w:tcPr>
            <w:tcW w:w="3560" w:type="dxa"/>
            <w:vAlign w:val="bottom"/>
            <w:gridSpan w:val="7"/>
          </w:tcPr>
          <w:p>
            <w:pPr>
              <w:jc w:val="center"/>
              <w:spacing w:after="0"/>
              <w:rPr>
                <w:sz w:val="20"/>
                <w:szCs w:val="20"/>
                <w:color w:val="auto"/>
              </w:rPr>
            </w:pPr>
            <w:r>
              <w:rPr>
                <w:rFonts w:ascii="Courier New" w:cs="Courier New" w:eastAsia="Courier New" w:hAnsi="Courier New"/>
                <w:sz w:val="17"/>
                <w:szCs w:val="17"/>
                <w:color w:val="auto"/>
              </w:rPr>
              <w:t>0.88 0.88 0.88 Liberty Media</w:t>
            </w:r>
          </w:p>
        </w:tc>
      </w:tr>
      <w:tr>
        <w:trPr>
          <w:trHeight w:val="201"/>
        </w:trPr>
        <w:tc>
          <w:tcPr>
            <w:tcW w:w="940" w:type="dxa"/>
            <w:vAlign w:val="bottom"/>
          </w:tcPr>
          <w:p>
            <w:pPr>
              <w:spacing w:after="0"/>
              <w:rPr>
                <w:sz w:val="17"/>
                <w:szCs w:val="17"/>
                <w:color w:val="auto"/>
              </w:rPr>
            </w:pPr>
          </w:p>
        </w:tc>
        <w:tc>
          <w:tcPr>
            <w:tcW w:w="176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Group(3): (Loss)</w:t>
            </w:r>
          </w:p>
        </w:tc>
        <w:tc>
          <w:tcPr>
            <w:tcW w:w="860" w:type="dxa"/>
            <w:vAlign w:val="bottom"/>
          </w:tcPr>
          <w:p>
            <w:pPr>
              <w:spacing w:after="0"/>
              <w:rPr>
                <w:sz w:val="17"/>
                <w:szCs w:val="17"/>
                <w:color w:val="auto"/>
              </w:rPr>
            </w:pP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income....................</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(2,711)</w:t>
            </w:r>
          </w:p>
        </w:tc>
      </w:tr>
      <w:tr>
        <w:trPr>
          <w:trHeight w:val="201"/>
        </w:trPr>
        <w:tc>
          <w:tcPr>
            <w:tcW w:w="3560" w:type="dxa"/>
            <w:vAlign w:val="bottom"/>
            <w:gridSpan w:val="7"/>
          </w:tcPr>
          <w:p>
            <w:pPr>
              <w:jc w:val="right"/>
              <w:ind w:right="233"/>
              <w:spacing w:after="0"/>
              <w:rPr>
                <w:sz w:val="20"/>
                <w:szCs w:val="20"/>
                <w:color w:val="auto"/>
              </w:rPr>
            </w:pPr>
            <w:r>
              <w:rPr>
                <w:rFonts w:ascii="Courier New" w:cs="Courier New" w:eastAsia="Courier New" w:hAnsi="Courier New"/>
                <w:sz w:val="17"/>
                <w:szCs w:val="17"/>
                <w:color w:val="auto"/>
              </w:rPr>
              <w:t>2,965 1,488 (2,022) -- -- --</w:t>
            </w:r>
          </w:p>
        </w:tc>
      </w:tr>
      <w:tr>
        <w:trPr>
          <w:trHeight w:val="201"/>
        </w:trPr>
        <w:tc>
          <w:tcPr>
            <w:tcW w:w="3560" w:type="dxa"/>
            <w:vAlign w:val="bottom"/>
            <w:gridSpan w:val="7"/>
          </w:tcPr>
          <w:p>
            <w:pPr>
              <w:jc w:val="center"/>
              <w:spacing w:after="0"/>
              <w:rPr>
                <w:sz w:val="20"/>
                <w:szCs w:val="20"/>
                <w:color w:val="auto"/>
              </w:rPr>
            </w:pPr>
            <w:r>
              <w:rPr>
                <w:rFonts w:ascii="Courier New" w:cs="Courier New" w:eastAsia="Courier New" w:hAnsi="Courier New"/>
                <w:sz w:val="17"/>
                <w:szCs w:val="17"/>
                <w:color w:val="auto"/>
              </w:rPr>
              <w:t>(Loss) earnings per basic and</w:t>
            </w:r>
          </w:p>
        </w:tc>
      </w:tr>
      <w:tr>
        <w:trPr>
          <w:trHeight w:val="201"/>
        </w:trPr>
        <w:tc>
          <w:tcPr>
            <w:tcW w:w="2120" w:type="dxa"/>
            <w:vAlign w:val="bottom"/>
            <w:gridSpan w:val="4"/>
          </w:tcPr>
          <w:p>
            <w:pPr>
              <w:ind w:left="160"/>
              <w:spacing w:after="0"/>
              <w:rPr>
                <w:sz w:val="20"/>
                <w:szCs w:val="20"/>
                <w:color w:val="auto"/>
              </w:rPr>
            </w:pPr>
            <w:r>
              <w:rPr>
                <w:rFonts w:ascii="Courier New" w:cs="Courier New" w:eastAsia="Courier New" w:hAnsi="Courier New"/>
                <w:sz w:val="14"/>
                <w:szCs w:val="14"/>
                <w:color w:val="auto"/>
                <w:w w:val="74"/>
              </w:rPr>
              <w:t>diluted share..................</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1"/>
        </w:trPr>
        <w:tc>
          <w:tcPr>
            <w:tcW w:w="3560" w:type="dxa"/>
            <w:vAlign w:val="bottom"/>
            <w:gridSpan w:val="7"/>
          </w:tcPr>
          <w:p>
            <w:pPr>
              <w:jc w:val="right"/>
              <w:ind w:right="13"/>
              <w:spacing w:after="0"/>
              <w:rPr>
                <w:sz w:val="20"/>
                <w:szCs w:val="20"/>
                <w:color w:val="auto"/>
              </w:rPr>
            </w:pPr>
            <w:r>
              <w:rPr>
                <w:rFonts w:ascii="Courier New" w:cs="Courier New" w:eastAsia="Courier New" w:hAnsi="Courier New"/>
                <w:sz w:val="17"/>
                <w:szCs w:val="17"/>
                <w:color w:val="auto"/>
              </w:rPr>
              <w:t>(1.05) 1.15 0.58 (0.80) -- -- --</w:t>
            </w:r>
          </w:p>
        </w:tc>
      </w:tr>
      <w:tr>
        <w:trPr>
          <w:trHeight w:val="201"/>
        </w:trPr>
        <w:tc>
          <w:tcPr>
            <w:tcW w:w="3560" w:type="dxa"/>
            <w:vAlign w:val="bottom"/>
            <w:gridSpan w:val="7"/>
          </w:tcPr>
          <w:p>
            <w:pPr>
              <w:jc w:val="center"/>
              <w:spacing w:after="0"/>
              <w:rPr>
                <w:sz w:val="20"/>
                <w:szCs w:val="20"/>
                <w:color w:val="auto"/>
              </w:rPr>
            </w:pPr>
            <w:r>
              <w:rPr>
                <w:rFonts w:ascii="Courier New" w:cs="Courier New" w:eastAsia="Courier New" w:hAnsi="Courier New"/>
                <w:sz w:val="17"/>
                <w:szCs w:val="17"/>
                <w:color w:val="auto"/>
              </w:rPr>
              <w:t>ASSETS AND CAPITAL: Property,</w:t>
            </w:r>
          </w:p>
        </w:tc>
      </w:tr>
      <w:tr>
        <w:trPr>
          <w:trHeight w:val="201"/>
        </w:trPr>
        <w:tc>
          <w:tcPr>
            <w:tcW w:w="3560" w:type="dxa"/>
            <w:vAlign w:val="bottom"/>
            <w:gridSpan w:val="7"/>
          </w:tcPr>
          <w:p>
            <w:pPr>
              <w:jc w:val="center"/>
              <w:spacing w:after="0"/>
              <w:rPr>
                <w:sz w:val="20"/>
                <w:szCs w:val="20"/>
                <w:color w:val="auto"/>
              </w:rPr>
            </w:pPr>
            <w:r>
              <w:rPr>
                <w:rFonts w:ascii="Courier New" w:cs="Courier New" w:eastAsia="Courier New" w:hAnsi="Courier New"/>
                <w:sz w:val="17"/>
                <w:szCs w:val="17"/>
                <w:color w:val="auto"/>
              </w:rPr>
              <w:t>plant and equipment,</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net..............................</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1"/>
        </w:trPr>
        <w:tc>
          <w:tcPr>
            <w:tcW w:w="2120" w:type="dxa"/>
            <w:vAlign w:val="bottom"/>
            <w:gridSpan w:val="4"/>
          </w:tcPr>
          <w:p>
            <w:pPr>
              <w:ind w:left="320"/>
              <w:spacing w:after="0"/>
              <w:rPr>
                <w:sz w:val="20"/>
                <w:szCs w:val="20"/>
                <w:color w:val="auto"/>
              </w:rPr>
            </w:pPr>
            <w:r>
              <w:rPr>
                <w:rFonts w:ascii="Courier New" w:cs="Courier New" w:eastAsia="Courier New" w:hAnsi="Courier New"/>
                <w:sz w:val="17"/>
                <w:szCs w:val="17"/>
                <w:color w:val="auto"/>
              </w:rPr>
              <w:t>$ 40,748 $ 41,269</w:t>
            </w:r>
          </w:p>
        </w:tc>
        <w:tc>
          <w:tcPr>
            <w:tcW w:w="1440" w:type="dxa"/>
            <w:vAlign w:val="bottom"/>
            <w:gridSpan w:val="3"/>
          </w:tcPr>
          <w:p>
            <w:pPr>
              <w:jc w:val="right"/>
              <w:ind w:right="233"/>
              <w:spacing w:after="0"/>
              <w:rPr>
                <w:sz w:val="20"/>
                <w:szCs w:val="20"/>
                <w:color w:val="auto"/>
              </w:rPr>
            </w:pPr>
            <w:r>
              <w:rPr>
                <w:rFonts w:ascii="Courier New" w:cs="Courier New" w:eastAsia="Courier New" w:hAnsi="Courier New"/>
                <w:sz w:val="17"/>
                <w:szCs w:val="17"/>
                <w:color w:val="auto"/>
              </w:rPr>
              <w:t>$ 33,366 $</w:t>
            </w:r>
          </w:p>
        </w:tc>
      </w:tr>
      <w:tr>
        <w:trPr>
          <w:trHeight w:val="201"/>
        </w:trPr>
        <w:tc>
          <w:tcPr>
            <w:tcW w:w="940" w:type="dxa"/>
            <w:vAlign w:val="bottom"/>
          </w:tcPr>
          <w:p>
            <w:pPr>
              <w:ind w:left="200"/>
              <w:spacing w:after="0"/>
              <w:rPr>
                <w:sz w:val="20"/>
                <w:szCs w:val="20"/>
                <w:color w:val="auto"/>
              </w:rPr>
            </w:pPr>
            <w:r>
              <w:rPr>
                <w:rFonts w:ascii="Courier New" w:cs="Courier New" w:eastAsia="Courier New" w:hAnsi="Courier New"/>
                <w:sz w:val="17"/>
                <w:szCs w:val="17"/>
                <w:color w:val="auto"/>
              </w:rPr>
              <w:t>21,780</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$ 19,177</w:t>
            </w:r>
          </w:p>
        </w:tc>
        <w:tc>
          <w:tcPr>
            <w:tcW w:w="1680" w:type="dxa"/>
            <w:vAlign w:val="bottom"/>
            <w:gridSpan w:val="4"/>
          </w:tcPr>
          <w:p>
            <w:pPr>
              <w:spacing w:after="0"/>
              <w:rPr>
                <w:sz w:val="20"/>
                <w:szCs w:val="20"/>
                <w:color w:val="auto"/>
              </w:rPr>
            </w:pPr>
            <w:r>
              <w:rPr>
                <w:rFonts w:ascii="Courier New" w:cs="Courier New" w:eastAsia="Courier New" w:hAnsi="Courier New"/>
                <w:sz w:val="17"/>
                <w:szCs w:val="17"/>
                <w:color w:val="auto"/>
              </w:rPr>
              <w:t>$ 16,871 Total</w:t>
            </w:r>
          </w:p>
        </w:tc>
      </w:tr>
      <w:tr>
        <w:trPr>
          <w:trHeight w:val="201"/>
        </w:trPr>
        <w:tc>
          <w:tcPr>
            <w:tcW w:w="3560" w:type="dxa"/>
            <w:vAlign w:val="bottom"/>
            <w:gridSpan w:val="7"/>
          </w:tcPr>
          <w:p>
            <w:pPr>
              <w:jc w:val="center"/>
              <w:spacing w:after="0"/>
              <w:rPr>
                <w:sz w:val="20"/>
                <w:szCs w:val="20"/>
                <w:color w:val="auto"/>
              </w:rPr>
            </w:pPr>
            <w:r>
              <w:rPr>
                <w:rFonts w:ascii="Courier New" w:cs="Courier New" w:eastAsia="Courier New" w:hAnsi="Courier New"/>
                <w:sz w:val="17"/>
                <w:szCs w:val="17"/>
                <w:color w:val="auto"/>
              </w:rPr>
              <w:t>assets -- continuing</w:t>
            </w:r>
          </w:p>
        </w:tc>
      </w:tr>
      <w:tr>
        <w:trPr>
          <w:trHeight w:val="201"/>
        </w:trPr>
        <w:tc>
          <w:tcPr>
            <w:tcW w:w="1880" w:type="dxa"/>
            <w:vAlign w:val="bottom"/>
            <w:gridSpan w:val="3"/>
          </w:tcPr>
          <w:p>
            <w:pPr>
              <w:ind w:left="60"/>
              <w:spacing w:after="0"/>
              <w:rPr>
                <w:sz w:val="20"/>
                <w:szCs w:val="20"/>
                <w:color w:val="auto"/>
              </w:rPr>
            </w:pPr>
            <w:r>
              <w:rPr>
                <w:rFonts w:ascii="Courier New" w:cs="Courier New" w:eastAsia="Courier New" w:hAnsi="Courier New"/>
                <w:sz w:val="12"/>
                <w:szCs w:val="12"/>
                <w:color w:val="auto"/>
                <w:w w:val="75"/>
              </w:rPr>
              <w:t>operations.......................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1"/>
        </w:trPr>
        <w:tc>
          <w:tcPr>
            <w:tcW w:w="940" w:type="dxa"/>
            <w:vAlign w:val="bottom"/>
          </w:tcPr>
          <w:p>
            <w:pPr>
              <w:ind w:left="200"/>
              <w:spacing w:after="0"/>
              <w:rPr>
                <w:sz w:val="20"/>
                <w:szCs w:val="20"/>
                <w:color w:val="auto"/>
              </w:rPr>
            </w:pPr>
            <w:r>
              <w:rPr>
                <w:rFonts w:ascii="Courier New" w:cs="Courier New" w:eastAsia="Courier New" w:hAnsi="Courier New"/>
                <w:sz w:val="17"/>
                <w:szCs w:val="17"/>
                <w:color w:val="auto"/>
              </w:rPr>
              <w:t>160,049</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207,136</w:t>
            </w:r>
          </w:p>
        </w:tc>
        <w:tc>
          <w:tcPr>
            <w:tcW w:w="820" w:type="dxa"/>
            <w:vAlign w:val="bottom"/>
            <w:gridSpan w:val="3"/>
          </w:tcPr>
          <w:p>
            <w:pPr>
              <w:spacing w:after="0"/>
              <w:rPr>
                <w:sz w:val="20"/>
                <w:szCs w:val="20"/>
                <w:color w:val="auto"/>
              </w:rPr>
            </w:pPr>
            <w:r>
              <w:rPr>
                <w:rFonts w:ascii="Courier New" w:cs="Courier New" w:eastAsia="Courier New" w:hAnsi="Courier New"/>
                <w:sz w:val="17"/>
                <w:szCs w:val="17"/>
                <w:color w:val="auto"/>
              </w:rPr>
              <w:t>146,094</w:t>
            </w:r>
          </w:p>
        </w:tc>
        <w:tc>
          <w:tcPr>
            <w:tcW w:w="860" w:type="dxa"/>
            <w:vAlign w:val="bottom"/>
          </w:tcPr>
          <w:p>
            <w:pPr>
              <w:jc w:val="center"/>
              <w:ind w:right="93"/>
              <w:spacing w:after="0"/>
              <w:rPr>
                <w:sz w:val="20"/>
                <w:szCs w:val="20"/>
                <w:color w:val="auto"/>
              </w:rPr>
            </w:pPr>
            <w:r>
              <w:rPr>
                <w:rFonts w:ascii="Courier New" w:cs="Courier New" w:eastAsia="Courier New" w:hAnsi="Courier New"/>
                <w:sz w:val="17"/>
                <w:szCs w:val="17"/>
                <w:color w:val="auto"/>
              </w:rPr>
              <w:t>40,134</w:t>
            </w:r>
          </w:p>
        </w:tc>
      </w:tr>
      <w:tr>
        <w:trPr>
          <w:trHeight w:val="201"/>
        </w:trPr>
        <w:tc>
          <w:tcPr>
            <w:tcW w:w="3560" w:type="dxa"/>
            <w:vAlign w:val="bottom"/>
            <w:gridSpan w:val="7"/>
          </w:tcPr>
          <w:p>
            <w:pPr>
              <w:jc w:val="center"/>
              <w:spacing w:after="0"/>
              <w:rPr>
                <w:sz w:val="20"/>
                <w:szCs w:val="20"/>
                <w:color w:val="auto"/>
              </w:rPr>
            </w:pPr>
            <w:r>
              <w:rPr>
                <w:rFonts w:ascii="Courier New" w:cs="Courier New" w:eastAsia="Courier New" w:hAnsi="Courier New"/>
                <w:sz w:val="17"/>
                <w:szCs w:val="17"/>
                <w:color w:val="auto"/>
              </w:rPr>
              <w:t>41,029 38,229 Total</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assets.......................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1"/>
        </w:trPr>
        <w:tc>
          <w:tcPr>
            <w:tcW w:w="940" w:type="dxa"/>
            <w:vAlign w:val="bottom"/>
          </w:tcPr>
          <w:p>
            <w:pPr>
              <w:ind w:left="200"/>
              <w:spacing w:after="0"/>
              <w:rPr>
                <w:sz w:val="20"/>
                <w:szCs w:val="20"/>
                <w:color w:val="auto"/>
              </w:rPr>
            </w:pPr>
            <w:r>
              <w:rPr>
                <w:rFonts w:ascii="Courier New" w:cs="Courier New" w:eastAsia="Courier New" w:hAnsi="Courier New"/>
                <w:sz w:val="17"/>
                <w:szCs w:val="17"/>
                <w:color w:val="auto"/>
              </w:rPr>
              <w:t>160,049</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234,360</w:t>
            </w:r>
          </w:p>
        </w:tc>
        <w:tc>
          <w:tcPr>
            <w:tcW w:w="820" w:type="dxa"/>
            <w:vAlign w:val="bottom"/>
            <w:gridSpan w:val="3"/>
          </w:tcPr>
          <w:p>
            <w:pPr>
              <w:spacing w:after="0"/>
              <w:rPr>
                <w:sz w:val="20"/>
                <w:szCs w:val="20"/>
                <w:color w:val="auto"/>
              </w:rPr>
            </w:pPr>
            <w:r>
              <w:rPr>
                <w:rFonts w:ascii="Courier New" w:cs="Courier New" w:eastAsia="Courier New" w:hAnsi="Courier New"/>
                <w:sz w:val="17"/>
                <w:szCs w:val="17"/>
                <w:color w:val="auto"/>
              </w:rPr>
              <w:t>163,457</w:t>
            </w:r>
          </w:p>
        </w:tc>
        <w:tc>
          <w:tcPr>
            <w:tcW w:w="860" w:type="dxa"/>
            <w:vAlign w:val="bottom"/>
          </w:tcPr>
          <w:p>
            <w:pPr>
              <w:jc w:val="center"/>
              <w:ind w:right="93"/>
              <w:spacing w:after="0"/>
              <w:rPr>
                <w:sz w:val="20"/>
                <w:szCs w:val="20"/>
                <w:color w:val="auto"/>
              </w:rPr>
            </w:pPr>
            <w:r>
              <w:rPr>
                <w:rFonts w:ascii="Courier New" w:cs="Courier New" w:eastAsia="Courier New" w:hAnsi="Courier New"/>
                <w:sz w:val="17"/>
                <w:szCs w:val="17"/>
                <w:color w:val="auto"/>
              </w:rPr>
              <w:t>54,185</w:t>
            </w:r>
          </w:p>
        </w:tc>
      </w:tr>
      <w:tr>
        <w:trPr>
          <w:trHeight w:val="201"/>
        </w:trPr>
        <w:tc>
          <w:tcPr>
            <w:tcW w:w="3560" w:type="dxa"/>
            <w:vAlign w:val="bottom"/>
            <w:gridSpan w:val="7"/>
          </w:tcPr>
          <w:p>
            <w:pPr>
              <w:jc w:val="center"/>
              <w:spacing w:after="0"/>
              <w:rPr>
                <w:sz w:val="20"/>
                <w:szCs w:val="20"/>
                <w:color w:val="auto"/>
              </w:rPr>
            </w:pPr>
            <w:r>
              <w:rPr>
                <w:rFonts w:ascii="Courier New" w:cs="Courier New" w:eastAsia="Courier New" w:hAnsi="Courier New"/>
                <w:sz w:val="17"/>
                <w:szCs w:val="17"/>
                <w:color w:val="auto"/>
              </w:rPr>
              <w:t>55,797 52,265 Long-term</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debt.....................</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30,007</w:t>
            </w:r>
          </w:p>
        </w:tc>
      </w:tr>
      <w:tr>
        <w:trPr>
          <w:trHeight w:val="201"/>
        </w:trPr>
        <w:tc>
          <w:tcPr>
            <w:tcW w:w="3560" w:type="dxa"/>
            <w:vAlign w:val="bottom"/>
            <w:gridSpan w:val="7"/>
          </w:tcPr>
          <w:p>
            <w:pPr>
              <w:jc w:val="right"/>
              <w:ind w:right="73"/>
              <w:spacing w:after="0"/>
              <w:rPr>
                <w:sz w:val="20"/>
                <w:szCs w:val="20"/>
                <w:color w:val="auto"/>
              </w:rPr>
            </w:pPr>
            <w:r>
              <w:rPr>
                <w:rFonts w:ascii="Courier New" w:cs="Courier New" w:eastAsia="Courier New" w:hAnsi="Courier New"/>
                <w:sz w:val="17"/>
                <w:szCs w:val="17"/>
                <w:color w:val="auto"/>
              </w:rPr>
              <w:t>33,089 23,214 5,555 7,840 8,861</w:t>
            </w:r>
          </w:p>
        </w:tc>
      </w:tr>
    </w:tbl>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Total</w:t>
            </w: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14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debt.........................</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48,456 64,927</w:t>
            </w:r>
          </w:p>
        </w:tc>
        <w:tc>
          <w:tcPr>
            <w:tcW w:w="204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35,694 6,638 11,895</w:t>
            </w:r>
          </w:p>
        </w:tc>
      </w:tr>
      <w:tr>
        <w:trPr>
          <w:trHeight w:val="201"/>
        </w:trPr>
        <w:tc>
          <w:tcPr>
            <w:tcW w:w="3440" w:type="dxa"/>
            <w:vAlign w:val="bottom"/>
            <w:gridSpan w:val="6"/>
          </w:tcPr>
          <w:p>
            <w:pPr>
              <w:jc w:val="center"/>
              <w:spacing w:after="0"/>
              <w:rPr>
                <w:sz w:val="20"/>
                <w:szCs w:val="20"/>
                <w:color w:val="auto"/>
              </w:rPr>
            </w:pPr>
            <w:r>
              <w:rPr>
                <w:rFonts w:ascii="Courier New" w:cs="Courier New" w:eastAsia="Courier New" w:hAnsi="Courier New"/>
                <w:sz w:val="17"/>
                <w:szCs w:val="17"/>
                <w:color w:val="auto"/>
              </w:rPr>
              <w:t>11,334 Mandatorily redeemable</w:t>
            </w:r>
          </w:p>
        </w:tc>
      </w:tr>
      <w:tr>
        <w:trPr>
          <w:trHeight w:val="201"/>
        </w:trPr>
        <w:tc>
          <w:tcPr>
            <w:tcW w:w="1100" w:type="dxa"/>
            <w:vAlign w:val="bottom"/>
          </w:tcPr>
          <w:p>
            <w:pPr>
              <w:spacing w:after="0"/>
              <w:rPr>
                <w:sz w:val="17"/>
                <w:szCs w:val="17"/>
                <w:color w:val="auto"/>
              </w:rPr>
            </w:pPr>
          </w:p>
        </w:tc>
        <w:tc>
          <w:tcPr>
            <w:tcW w:w="1520" w:type="dxa"/>
            <w:vAlign w:val="bottom"/>
            <w:gridSpan w:val="4"/>
          </w:tcPr>
          <w:p>
            <w:pPr>
              <w:jc w:val="center"/>
              <w:ind w:right="193"/>
              <w:spacing w:after="0"/>
              <w:rPr>
                <w:sz w:val="20"/>
                <w:szCs w:val="20"/>
                <w:color w:val="auto"/>
              </w:rPr>
            </w:pPr>
            <w:r>
              <w:rPr>
                <w:rFonts w:ascii="Courier New" w:cs="Courier New" w:eastAsia="Courier New" w:hAnsi="Courier New"/>
                <w:sz w:val="17"/>
                <w:szCs w:val="17"/>
                <w:color w:val="auto"/>
              </w:rPr>
              <w:t>preferred</w:t>
            </w:r>
          </w:p>
        </w:tc>
        <w:tc>
          <w:tcPr>
            <w:tcW w:w="820" w:type="dxa"/>
            <w:vAlign w:val="bottom"/>
          </w:tcPr>
          <w:p>
            <w:pPr>
              <w:spacing w:after="0"/>
              <w:rPr>
                <w:sz w:val="17"/>
                <w:szCs w:val="17"/>
                <w:color w:val="auto"/>
              </w:rPr>
            </w:pPr>
          </w:p>
        </w:tc>
      </w:tr>
      <w:tr>
        <w:trPr>
          <w:trHeight w:val="201"/>
        </w:trPr>
        <w:tc>
          <w:tcPr>
            <w:tcW w:w="14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securities.......................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3440" w:type="dxa"/>
            <w:vAlign w:val="bottom"/>
            <w:gridSpan w:val="6"/>
          </w:tcPr>
          <w:p>
            <w:pPr>
              <w:jc w:val="center"/>
              <w:spacing w:after="0"/>
              <w:rPr>
                <w:sz w:val="20"/>
                <w:szCs w:val="20"/>
                <w:color w:val="auto"/>
              </w:rPr>
            </w:pPr>
            <w:r>
              <w:rPr>
                <w:rFonts w:ascii="Courier New" w:cs="Courier New" w:eastAsia="Courier New" w:hAnsi="Courier New"/>
                <w:sz w:val="17"/>
                <w:szCs w:val="17"/>
                <w:color w:val="auto"/>
              </w:rPr>
              <w:t>2,376 2,380 1,626 -- -- --</w:t>
            </w:r>
          </w:p>
        </w:tc>
      </w:tr>
      <w:tr>
        <w:trPr>
          <w:trHeight w:val="201"/>
        </w:trPr>
        <w:tc>
          <w:tcPr>
            <w:tcW w:w="1100" w:type="dxa"/>
            <w:vAlign w:val="bottom"/>
          </w:tcPr>
          <w:p>
            <w:pPr>
              <w:spacing w:after="0"/>
              <w:rPr>
                <w:sz w:val="17"/>
                <w:szCs w:val="17"/>
                <w:color w:val="auto"/>
              </w:rPr>
            </w:pPr>
          </w:p>
        </w:tc>
        <w:tc>
          <w:tcPr>
            <w:tcW w:w="1520" w:type="dxa"/>
            <w:vAlign w:val="bottom"/>
            <w:gridSpan w:val="4"/>
          </w:tcPr>
          <w:p>
            <w:pPr>
              <w:jc w:val="center"/>
              <w:ind w:right="193"/>
              <w:spacing w:after="0"/>
              <w:rPr>
                <w:sz w:val="20"/>
                <w:szCs w:val="20"/>
                <w:color w:val="auto"/>
              </w:rPr>
            </w:pPr>
            <w:r>
              <w:rPr>
                <w:rFonts w:ascii="Courier New" w:cs="Courier New" w:eastAsia="Courier New" w:hAnsi="Courier New"/>
                <w:sz w:val="17"/>
                <w:szCs w:val="17"/>
                <w:color w:val="auto"/>
              </w:rPr>
              <w:t>Shareowners'</w:t>
            </w:r>
          </w:p>
        </w:tc>
        <w:tc>
          <w:tcPr>
            <w:tcW w:w="820" w:type="dxa"/>
            <w:vAlign w:val="bottom"/>
          </w:tcPr>
          <w:p>
            <w:pPr>
              <w:spacing w:after="0"/>
              <w:rPr>
                <w:sz w:val="17"/>
                <w:szCs w:val="17"/>
                <w:color w:val="auto"/>
              </w:rPr>
            </w:pPr>
          </w:p>
        </w:tc>
      </w:tr>
      <w:tr>
        <w:trPr>
          <w:trHeight w:val="201"/>
        </w:trPr>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equity................</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52,198</w:t>
            </w:r>
          </w:p>
        </w:tc>
      </w:tr>
      <w:tr>
        <w:trPr>
          <w:trHeight w:val="201"/>
        </w:trPr>
        <w:tc>
          <w:tcPr>
            <w:tcW w:w="1100" w:type="dxa"/>
            <w:vAlign w:val="bottom"/>
          </w:tcPr>
          <w:p>
            <w:pPr>
              <w:jc w:val="right"/>
              <w:ind w:right="47"/>
              <w:spacing w:after="0"/>
              <w:rPr>
                <w:sz w:val="20"/>
                <w:szCs w:val="20"/>
                <w:color w:val="auto"/>
              </w:rPr>
            </w:pPr>
            <w:r>
              <w:rPr>
                <w:rFonts w:ascii="Courier New" w:cs="Courier New" w:eastAsia="Courier New" w:hAnsi="Courier New"/>
                <w:sz w:val="17"/>
                <w:szCs w:val="17"/>
                <w:color w:val="auto"/>
              </w:rPr>
              <w:t>103,198</w:t>
            </w:r>
          </w:p>
        </w:tc>
        <w:tc>
          <w:tcPr>
            <w:tcW w:w="6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78,927</w:t>
            </w:r>
          </w:p>
        </w:tc>
        <w:tc>
          <w:tcPr>
            <w:tcW w:w="1660" w:type="dxa"/>
            <w:vAlign w:val="bottom"/>
            <w:gridSpan w:val="3"/>
          </w:tcPr>
          <w:p>
            <w:pPr>
              <w:jc w:val="right"/>
              <w:ind w:right="173"/>
              <w:spacing w:after="0"/>
              <w:rPr>
                <w:sz w:val="20"/>
                <w:szCs w:val="20"/>
                <w:color w:val="auto"/>
              </w:rPr>
            </w:pPr>
            <w:r>
              <w:rPr>
                <w:rFonts w:ascii="Courier New" w:cs="Courier New" w:eastAsia="Courier New" w:hAnsi="Courier New"/>
                <w:sz w:val="17"/>
                <w:szCs w:val="17"/>
                <w:color w:val="auto"/>
              </w:rPr>
              <w:t>25,522 23,678</w:t>
            </w:r>
          </w:p>
        </w:tc>
      </w:tr>
      <w:tr>
        <w:trPr>
          <w:trHeight w:val="201"/>
        </w:trPr>
        <w:tc>
          <w:tcPr>
            <w:tcW w:w="1100" w:type="dxa"/>
            <w:vAlign w:val="bottom"/>
          </w:tcPr>
          <w:p>
            <w:pPr>
              <w:spacing w:after="0"/>
              <w:rPr>
                <w:sz w:val="17"/>
                <w:szCs w:val="17"/>
                <w:color w:val="auto"/>
              </w:rPr>
            </w:pPr>
          </w:p>
        </w:tc>
        <w:tc>
          <w:tcPr>
            <w:tcW w:w="1520" w:type="dxa"/>
            <w:vAlign w:val="bottom"/>
            <w:gridSpan w:val="4"/>
          </w:tcPr>
          <w:p>
            <w:pPr>
              <w:jc w:val="center"/>
              <w:ind w:right="193"/>
              <w:spacing w:after="0"/>
              <w:rPr>
                <w:sz w:val="20"/>
                <w:szCs w:val="20"/>
                <w:color w:val="auto"/>
              </w:rPr>
            </w:pPr>
            <w:r>
              <w:rPr>
                <w:rFonts w:ascii="Courier New" w:cs="Courier New" w:eastAsia="Courier New" w:hAnsi="Courier New"/>
                <w:sz w:val="17"/>
                <w:szCs w:val="17"/>
                <w:color w:val="auto"/>
              </w:rPr>
              <w:t>21,092 Debt</w:t>
            </w:r>
          </w:p>
        </w:tc>
        <w:tc>
          <w:tcPr>
            <w:tcW w:w="820" w:type="dxa"/>
            <w:vAlign w:val="bottom"/>
          </w:tcPr>
          <w:p>
            <w:pPr>
              <w:spacing w:after="0"/>
              <w:rPr>
                <w:sz w:val="17"/>
                <w:szCs w:val="17"/>
                <w:color w:val="auto"/>
              </w:rPr>
            </w:pPr>
          </w:p>
        </w:tc>
      </w:tr>
      <w:tr>
        <w:trPr>
          <w:trHeight w:val="201"/>
        </w:trPr>
        <w:tc>
          <w:tcPr>
            <w:tcW w:w="14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ratio(4)......................</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45.1% 57.2%</w:t>
            </w:r>
          </w:p>
        </w:tc>
        <w:tc>
          <w:tcPr>
            <w:tcW w:w="6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54.3%</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36.7%</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57.2%</w:t>
            </w:r>
          </w:p>
        </w:tc>
      </w:tr>
    </w:tbl>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61.6% Gross capital</w:t>
      </w:r>
    </w:p>
    <w:p>
      <w:pPr>
        <w:sectPr>
          <w:pgSz w:w="11900" w:h="16838" w:orient="portrait"/>
          <w:cols w:equalWidth="0" w:num="1">
            <w:col w:w="10219"/>
          </w:cols>
          <w:pgMar w:left="240" w:top="719" w:right="1440" w:bottom="0" w:gutter="0" w:footer="0" w:header="0"/>
        </w:sectPr>
      </w:pPr>
    </w:p>
    <w:bookmarkStart w:id="35" w:name="page36"/>
    <w:bookmarkEnd w:id="35"/>
    <w:tbl>
      <w:tblPr>
        <w:tblLayout w:type="fixed"/>
        <w:tblInd w:w="53" w:type="dxa"/>
        <w:tblCellMar>
          <w:top w:w="0" w:type="dxa"/>
          <w:left w:w="0" w:type="dxa"/>
          <w:bottom w:w="0" w:type="dxa"/>
          <w:right w:w="0" w:type="dxa"/>
        </w:tblCellMar>
      </w:tblPr>
      <w:tr>
        <w:trPr>
          <w:trHeight w:val="197"/>
        </w:trPr>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w w:val="86"/>
              </w:rPr>
              <w:t>expenditures.........</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5,993 10,462</w:t>
            </w:r>
          </w:p>
        </w:tc>
      </w:tr>
      <w:tr>
        <w:trPr>
          <w:trHeight w:val="201"/>
        </w:trPr>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11,194 6,871</w:t>
            </w:r>
          </w:p>
        </w:tc>
        <w:tc>
          <w:tcPr>
            <w:tcW w:w="16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6,065 5,263</w:t>
            </w:r>
          </w:p>
        </w:tc>
      </w:tr>
    </w:tbl>
    <w:p>
      <w:pPr>
        <w:spacing w:after="0" w:line="200" w:lineRule="exact"/>
        <w:rPr>
          <w:sz w:val="20"/>
          <w:szCs w:val="20"/>
          <w:color w:val="auto"/>
        </w:rPr>
      </w:pPr>
    </w:p>
    <w:p>
      <w:pPr>
        <w:spacing w:after="0" w:line="207" w:lineRule="exact"/>
        <w:rPr>
          <w:sz w:val="20"/>
          <w:szCs w:val="20"/>
          <w:color w:val="auto"/>
        </w:rPr>
      </w:pPr>
    </w:p>
    <w:p>
      <w:pPr>
        <w:ind w:left="213" w:hanging="213"/>
        <w:spacing w:after="0"/>
        <w:tabs>
          <w:tab w:leader="none" w:pos="213"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533" w:right="1839" w:hanging="428"/>
        <w:spacing w:after="0" w:line="254" w:lineRule="auto"/>
        <w:tabs>
          <w:tab w:leader="none" w:pos="533"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Common Stock Group continuing operations results exclude Liberty Media Group (LMG). In addition, on June 15, 2000, AT&amp;T completed the acquisition of MediaOne Group, Inc.</w:t>
      </w:r>
    </w:p>
    <w:p>
      <w:pPr>
        <w:spacing w:after="0" w:line="194" w:lineRule="exact"/>
        <w:rPr>
          <w:rFonts w:ascii="Courier New" w:cs="Courier New" w:eastAsia="Courier New" w:hAnsi="Courier New"/>
          <w:sz w:val="17"/>
          <w:szCs w:val="17"/>
          <w:color w:val="auto"/>
        </w:rPr>
      </w:pPr>
    </w:p>
    <w:p>
      <w:pPr>
        <w:ind w:left="533" w:right="1939" w:hanging="428"/>
        <w:spacing w:after="0" w:line="254" w:lineRule="auto"/>
        <w:tabs>
          <w:tab w:leader="none" w:pos="533"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March 9, 1999, merger with Tele-Communications, Inc., AT&amp;T issued a separate tracking stock for LMG. LMG was accounted for as an equity investment prior to its split-off on August 10, 2001.</w:t>
      </w:r>
    </w:p>
    <w:p>
      <w:pPr>
        <w:spacing w:after="0" w:line="194" w:lineRule="exact"/>
        <w:rPr>
          <w:rFonts w:ascii="Courier New" w:cs="Courier New" w:eastAsia="Courier New" w:hAnsi="Courier New"/>
          <w:sz w:val="17"/>
          <w:szCs w:val="17"/>
          <w:color w:val="auto"/>
        </w:rPr>
      </w:pPr>
    </w:p>
    <w:p>
      <w:pPr>
        <w:jc w:val="both"/>
        <w:ind w:left="533" w:right="2459" w:hanging="428"/>
        <w:spacing w:after="0" w:line="254" w:lineRule="auto"/>
        <w:tabs>
          <w:tab w:leader="none" w:pos="533"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LMG earnings per share amounts and stock prices have been restated to reflect the June 2000 two-for-one stock split. No dividends have been declared for LMG tracking stock.</w:t>
      </w:r>
    </w:p>
    <w:p>
      <w:pPr>
        <w:spacing w:after="0" w:line="194" w:lineRule="exact"/>
        <w:rPr>
          <w:rFonts w:ascii="Courier New" w:cs="Courier New" w:eastAsia="Courier New" w:hAnsi="Courier New"/>
          <w:sz w:val="17"/>
          <w:szCs w:val="17"/>
          <w:color w:val="auto"/>
        </w:rPr>
      </w:pPr>
    </w:p>
    <w:p>
      <w:pPr>
        <w:ind w:left="533" w:right="2039" w:hanging="428"/>
        <w:spacing w:after="0" w:line="253" w:lineRule="auto"/>
        <w:tabs>
          <w:tab w:leader="none" w:pos="533"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Debt ratio reflects debt from continuing operations as a percent of total capital (debt plus equity, excluding LMG and AT&amp;T Wireless Group). For purposes of this calculation, equity includes convertible quarterly trust preferred securities as well as redeemable preferred stock of subsidiary.</w:t>
      </w:r>
    </w:p>
    <w:p>
      <w:pPr>
        <w:spacing w:after="0" w:line="195"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I-23</w:t>
      </w:r>
    </w:p>
    <w:p>
      <w:pPr>
        <w:sectPr>
          <w:pgSz w:w="11900" w:h="16838" w:orient="portrait"/>
          <w:cols w:equalWidth="0" w:num="1">
            <w:col w:w="10212"/>
          </w:cols>
          <w:pgMar w:left="247" w:top="142" w:right="1440" w:bottom="1440" w:gutter="0" w:footer="0" w:header="0"/>
        </w:sectPr>
      </w:pPr>
    </w:p>
    <w:bookmarkStart w:id="36" w:name="page37"/>
    <w:bookmarkEnd w:id="36"/>
    <w:p>
      <w:pPr>
        <w:ind w:left="1680"/>
        <w:spacing w:after="0"/>
        <w:rPr>
          <w:sz w:val="20"/>
          <w:szCs w:val="20"/>
          <w:color w:val="auto"/>
        </w:rPr>
      </w:pPr>
      <w:r>
        <w:rPr>
          <w:rFonts w:ascii="Courier New" w:cs="Courier New" w:eastAsia="Courier New" w:hAnsi="Courier New"/>
          <w:sz w:val="17"/>
          <w:szCs w:val="17"/>
          <w:color w:val="auto"/>
        </w:rPr>
        <w:t>SELECTED FINANCIAL DATA OF AT&amp;T BROADBAND GROUP</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Presented in the table below is selected historical financial data of AT&amp;T Broadband Group. AT&amp;T Broadband Group is an integrated business of AT&amp;T and not a stand-alone entity. AT&amp;T Broadband Group represents the assets, liabilities and businesses that AT&amp;T will assign and transfer to AT&amp;T Broadband Corp., a newly formed holding company for AT&amp;T's broadband business, in connection with the AT&amp;T Comcast transaction. AT&amp;T Broadband Group consists primarily of the assets, liabilities and business of AT&amp;T Broadband, LLC (formerly TCI), acquired by AT&amp;T on March 9, 1999 in the TCI merger, and MediaOne Group, Inc., acquired by AT&amp;T on June 15, 2000 in the MediaOne acquisition.</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following information was derived from the unaudited combined financial statements of AT&amp;T Broadband Group at and for each of the nine months ended September 30, 2001 and 2000 and the audited combined financial statements for the year ended December 31, 2000 and the ten months ended December 31, 1999.</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financial data presented below is not necessarily comparable from period to period as a result of several transactions, including the acquisition and dispositions of cable systems, primarily the TCI and MediaOne acquisitions. For this and other reasons, you should read the selected historical financial data provided below in conjunction with the combined financial statements and</w:t>
      </w:r>
    </w:p>
    <w:p>
      <w:pPr>
        <w:ind w:right="2139"/>
        <w:spacing w:after="0" w:line="254" w:lineRule="auto"/>
        <w:rPr>
          <w:sz w:val="20"/>
          <w:szCs w:val="20"/>
          <w:color w:val="auto"/>
        </w:rPr>
      </w:pPr>
      <w:r>
        <w:rPr>
          <w:rFonts w:ascii="Courier New" w:cs="Courier New" w:eastAsia="Courier New" w:hAnsi="Courier New"/>
          <w:sz w:val="17"/>
          <w:szCs w:val="17"/>
          <w:color w:val="auto"/>
        </w:rPr>
        <w:t>accompanying notes beginning on page and the discussion under "Management's Discussion and Analysis of Financial Condition and Results of Operations" beginning on page .</w:t>
      </w:r>
    </w:p>
    <w:p>
      <w:pPr>
        <w:spacing w:after="0" w:line="19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TEN MONTHS NINE MONTHS ENDED YEAR ENDED ENDED SEPTEMBER 30,</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DECEMBER 31, DECEMBER 31,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------------ 2001 2000 2000(1) 1999(2) -------- --------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(UNAUDITED) (DOLLARS IN MILLIONS)</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INCOME STATEMENT DATA: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$ 7,756 $ 5,766 $ 8,445 $ 5,080 Operating</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loss.............................................. (3,567)</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(1,132) (8,656) (1,177) Losses from continuing</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operations........................... (2,988) (1,306)</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(5,370) (2,200) BALANCE SHEET DATA: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$104,261 $127,669 $117,534 $58,228 Total</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debt.................................................. $</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23,274 $ 28,000 $ 28,420 $14,900 Minority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interest........................................... $ 3,319</w:t>
      </w:r>
    </w:p>
    <w:p>
      <w:pPr>
        <w:spacing w:after="0" w:line="9" w:lineRule="exact"/>
        <w:rPr>
          <w:sz w:val="20"/>
          <w:szCs w:val="20"/>
          <w:color w:val="auto"/>
        </w:rPr>
      </w:pPr>
    </w:p>
    <w:p>
      <w:pPr>
        <w:ind w:left="1780" w:right="4299" w:hanging="1406"/>
        <w:spacing w:after="0" w:line="257" w:lineRule="auto"/>
        <w:tabs>
          <w:tab w:leader="none" w:pos="576"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8,594 $ 4,421 $ 2,327 Company-Obligated Convertible Quarterly Income Preferred</w:t>
      </w:r>
    </w:p>
    <w:p>
      <w:pPr>
        <w:spacing w:after="0" w:line="192" w:lineRule="exact"/>
        <w:rPr>
          <w:sz w:val="20"/>
          <w:szCs w:val="20"/>
          <w:color w:val="auto"/>
        </w:rPr>
      </w:pPr>
    </w:p>
    <w:p>
      <w:pPr>
        <w:ind w:left="1740" w:hanging="214"/>
        <w:spacing w:after="0"/>
        <w:tabs>
          <w:tab w:leader="none" w:pos="1740"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4,718 $ 4,708 $ 4,710 $ 4,700</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20" w:right="1939" w:hanging="413"/>
        <w:spacing w:after="0" w:line="254" w:lineRule="auto"/>
        <w:tabs>
          <w:tab w:leader="none" w:pos="42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June 15, 2000, AT&amp;T acquired MediaOne Group, Inc. which is attributed to AT&amp;T Broadband Group. The acquisition was accounted for under the purchase method of accounting.</w:t>
      </w:r>
    </w:p>
    <w:p>
      <w:pPr>
        <w:spacing w:after="0" w:line="194" w:lineRule="exact"/>
        <w:rPr>
          <w:rFonts w:ascii="Courier New" w:cs="Courier New" w:eastAsia="Courier New" w:hAnsi="Courier New"/>
          <w:sz w:val="17"/>
          <w:szCs w:val="17"/>
          <w:color w:val="auto"/>
        </w:rPr>
      </w:pPr>
    </w:p>
    <w:p>
      <w:pPr>
        <w:ind w:left="420" w:right="1939" w:hanging="413"/>
        <w:spacing w:after="0" w:line="254" w:lineRule="auto"/>
        <w:tabs>
          <w:tab w:leader="none" w:pos="42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March 1, 1999, AT&amp;T acquired TCI which is attributed to AT&amp;T Broadband Group as discussed above. The acquisition was accounted for under the purchase method of accounting.</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I-24</w:t>
      </w:r>
    </w:p>
    <w:p>
      <w:pPr>
        <w:sectPr>
          <w:pgSz w:w="11900" w:h="16838" w:orient="portrait"/>
          <w:cols w:equalWidth="0" w:num="1">
            <w:col w:w="10219"/>
          </w:cols>
          <w:pgMar w:left="240" w:top="719" w:right="1440" w:bottom="1440" w:gutter="0" w:footer="0" w:header="0"/>
        </w:sectPr>
      </w:pPr>
    </w:p>
    <w:bookmarkStart w:id="37" w:name="page38"/>
    <w:bookmarkEnd w:id="37"/>
    <w:p>
      <w:pPr>
        <w:ind w:left="2420"/>
        <w:spacing w:after="0"/>
        <w:rPr>
          <w:sz w:val="20"/>
          <w:szCs w:val="20"/>
          <w:color w:val="auto"/>
        </w:rPr>
      </w:pPr>
      <w:r>
        <w:rPr>
          <w:rFonts w:ascii="Courier New" w:cs="Courier New" w:eastAsia="Courier New" w:hAnsi="Courier New"/>
          <w:sz w:val="17"/>
          <w:szCs w:val="17"/>
          <w:color w:val="auto"/>
        </w:rPr>
        <w:t>SELECTED PRO FORMA FINANCIAL DATA</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This information is only a summary and you should read it together with the financial information we included elsewhere in this proxy statement.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following unaudited pro forma combined condensed financial data set forth below for AT&amp;T Comcast gives effect to the AT&amp;T Comcast transaction, as if such transaction had been completed on January 1, 2000 for income statement purposes and at September 30, 2001 for balance sheet purposes. The unaudited selected pro forma financial data does not necessarily represent what AT&amp;T Comcast's financial position or results of operations would have been had the AT&amp;T Comcast transaction occurred on such dates.</w:t>
      </w:r>
    </w:p>
    <w:p>
      <w:pPr>
        <w:spacing w:after="0" w:line="196"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We have included detailed unaudited pro forma combined condensed financial statements in Chapter 3 of this document.</w:t>
      </w:r>
    </w:p>
    <w:p>
      <w:pPr>
        <w:spacing w:after="0" w:line="192"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SUMMARY PRO FORMA COMBINED CONDENSED FINANCIAL INFORMATION</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(Dollars in Millions, Except Per Share Amounts)</w:t>
      </w:r>
    </w:p>
    <w:p>
      <w:pPr>
        <w:spacing w:after="0" w:line="210"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AT OR FOR THE NINE MONTHS ENDED FOR THE YEAR SEPTEMBER 30,</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ENDED DECEMBER 31, ----------------- ------------------</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2001 2000 ----------------- ------------------ INCOME</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STATEMENT DATA: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$ 14,509.4 $17,923.5 Operating</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loss.............................................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(2,540.1) (6,680.2) Loss for common stockholders before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extraordinary items and cumulative effect of accounting</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change................... (1,813.8) (1,104.0) Weighted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average AT&amp;T Comcast common shares................ 2,248.0</w:t>
      </w:r>
    </w:p>
    <w:p>
      <w:pPr>
        <w:spacing w:after="0" w:line="9"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2,189.4 Loss per AT&amp;T Comcast common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share......................... (0.81) (0.50) BALANCE SHEET</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DATA: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$141,200.9 Long-term</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debt............................................. 30,573.5</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Total stockholders'</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equity................................. 62,098.4</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I-25</w:t>
      </w:r>
    </w:p>
    <w:p>
      <w:pPr>
        <w:sectPr>
          <w:pgSz w:w="11900" w:h="16838" w:orient="portrait"/>
          <w:cols w:equalWidth="0" w:num="1">
            <w:col w:w="10219"/>
          </w:cols>
          <w:pgMar w:left="240" w:top="719" w:right="1440" w:bottom="1440" w:gutter="0" w:footer="0" w:header="0"/>
        </w:sectPr>
      </w:pPr>
    </w:p>
    <w:bookmarkStart w:id="38" w:name="page39"/>
    <w:bookmarkEnd w:id="38"/>
    <w:p>
      <w:pPr>
        <w:ind w:left="2420"/>
        <w:spacing w:after="0"/>
        <w:rPr>
          <w:sz w:val="20"/>
          <w:szCs w:val="20"/>
          <w:color w:val="auto"/>
        </w:rPr>
      </w:pPr>
      <w:r>
        <w:rPr>
          <w:rFonts w:ascii="Courier New" w:cs="Courier New" w:eastAsia="Courier New" w:hAnsi="Courier New"/>
          <w:sz w:val="17"/>
          <w:szCs w:val="17"/>
          <w:color w:val="auto"/>
        </w:rPr>
        <w:t>SELECTED PRO FORMA FINANCIAL DATA</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The unaudited pro forma combined condensed financial data set forth below for AT&amp;T give effect to:</w:t>
      </w:r>
    </w:p>
    <w:p>
      <w:pPr>
        <w:spacing w:after="0" w:line="192" w:lineRule="exact"/>
        <w:rPr>
          <w:sz w:val="20"/>
          <w:szCs w:val="20"/>
          <w:color w:val="auto"/>
        </w:rPr>
      </w:pPr>
    </w:p>
    <w:p>
      <w:pPr>
        <w:ind w:left="740" w:hanging="209"/>
        <w:spacing w:after="0"/>
        <w:tabs>
          <w:tab w:leader="none" w:pos="74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Liberty Media Group distribution</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Broadband Group distribution</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as if such events had been completed on January 1, 1999 for income statement purposes, and at September 30, 2001 for balance sheet purposes. The unaudited selected pro forma financial information does not necessarily represent what AT&amp;T's financial position or results of operations would have been had the AT&amp;T Broadband distribution or the Liberty Media Group distribution occurred on such dates.</w:t>
      </w:r>
    </w:p>
    <w:p>
      <w:pPr>
        <w:spacing w:after="0" w:line="197"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We have included detailed unaudited pro forma financial statements in Annex L at the end of this document.</w:t>
      </w:r>
    </w:p>
    <w:p>
      <w:pPr>
        <w:spacing w:after="0" w:line="192"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SUMMARY PRO FORMA COMBINED CONDENSED FINANCIAL INFORMATION</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(Dollars in Millions, Except Per Share Amounts)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AT AND FOR THE AT AND FOR THE YEARS NINE MONTHS ENDED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ENDED DECEMBER 31, SEPTEMBER 30, ---------------------</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2001 2000 1999 ----------------- --------- ---------</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INCOME STATEMENT DATA: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$32,391 $47,204 $49,925 Operating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 7,110</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12,884 12,635 (Loss) income from continuing operations -</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 attributable to AT&amp;T common stock</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group............................. (2,646) 3,903 3,450</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Weighted average AT&amp;T common shares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basic............. 3,717 3,526 3,115 (Loss) earnings per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AT&amp;T common share -- basic........... (0.71) 1.11 1.11</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Weighted average AT&amp;T common shares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diluted........... 3,717 3,545 3,152 (Loss) earnings per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AT&amp;T common share -- diluted......... (0.71) 1.10 1.09</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Cash dividends declared per AT&amp;T common</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share............ $0.1125 $0.6975 $ 0.88 BALANCE SHEET</w:t>
      </w:r>
    </w:p>
    <w:p>
      <w:pPr>
        <w:spacing w:after="0" w:line="9"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DATA: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$55,831 Long-term</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debt........................................... 12,595</w:t>
      </w:r>
    </w:p>
    <w:p>
      <w:pPr>
        <w:spacing w:after="0" w:line="9"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Total shareowners'</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equity................................ 8,517</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I-26</w:t>
      </w:r>
    </w:p>
    <w:p>
      <w:pPr>
        <w:sectPr>
          <w:pgSz w:w="11900" w:h="16838" w:orient="portrait"/>
          <w:cols w:equalWidth="0" w:num="1">
            <w:col w:w="10219"/>
          </w:cols>
          <w:pgMar w:left="240" w:top="719" w:right="1440" w:bottom="1440" w:gutter="0" w:footer="0" w:header="0"/>
        </w:sectPr>
      </w:pPr>
    </w:p>
    <w:bookmarkStart w:id="39" w:name="page40"/>
    <w:bookmarkEnd w:id="39"/>
    <w:p>
      <w:pPr>
        <w:ind w:left="2320"/>
        <w:spacing w:after="0"/>
        <w:rPr>
          <w:sz w:val="20"/>
          <w:szCs w:val="20"/>
          <w:color w:val="auto"/>
        </w:rPr>
      </w:pPr>
      <w:r>
        <w:rPr>
          <w:rFonts w:ascii="Courier New" w:cs="Courier New" w:eastAsia="Courier New" w:hAnsi="Courier New"/>
          <w:sz w:val="17"/>
          <w:szCs w:val="17"/>
          <w:color w:val="auto"/>
        </w:rPr>
        <w:t>UNAUDITED COMPARATIVE PER SHARE DATA</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table below, we provide you with historical per share information for Comcast, pro forma per share information for AT&amp;T Comcast and historical and pro forma equivalent per share information for AT&amp;T Broadband Group as of and for the nine months ended September 30, 2001 and as of and for the year ended December 31, 2000. We have assumed, for purposes of the AT&amp;T Comcast pro forma financial information, that the AT&amp;T Comcast transaction had been completed on January 1, 2000 for income statement purposes, and that the AT&amp;T Comcast transaction had been completed on September 30, 2001 for balance sheet purposes. In addition, the AT&amp;T Comcast pro forma income statement information for the year ended December 31, 2000 assumes the AT&amp;T and Media One merger occurred on January 1, 2000. Comcast did not pay dividends during the nine months ended September 30, 2001 or during the year ended December 31, 2000; therefore no historical or pro forma equivalent per share information is presented.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September 30, 2001 and December 31, 2000, AT&amp;T Broadband Group did not have any shares outstanding as it represents an integrated business of AT&amp;T. As a step in the AT&amp;T Comcast transaction, AT&amp;T will spin off AT&amp;T Broadband to its shareholders by distributing one share of AT&amp;T Broadband stock for each share of AT&amp;T common stock, NYSE symbol "T," outstanding. The following comparative per share information assumes that 3,536 million shares were outstanding for all periods which represents the number of shares of AT&amp;T common stock, NYSE symbol "T," outstanding on September 30, 2001. This also assumes that the AT&amp;T shares held by Comcast are included in the number of shares of AT&amp;T common stock outstanding.</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AT&amp;T Broadband Group pro forma equivalent per share data presents AT&amp;T Comcast pro forma per share data multiplied by an exchange ratio of 0.34, which represents the approximate AT&amp;T Broadband exchange ratio calculated as if determined as of the date of the execution of the merger agreement, assuming the AT&amp;T shares held by Comcast are included in the number of shares of AT&amp;T common stock outstanding. Assuming Comcast retains its AT&amp;T shares and converts them into exchangeable preferred stock of AT&amp;T as contemplated by the merger agreement, the exchange ratio would be approximately 0.35 as of the date of the execution of the merger agreement.</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It is important that when you read this information, you read it along with the financial statements and accompanying notes of Comcast, AT&amp;T and AT&amp;T Broadband Group included elsewhere in this document. You should not rely on the unaudited pro forma financial information as an indication of the results of operations or financial position that would have been achieved if the AT&amp;T Comcast transaction or the Media One merger had taken place on the dates indicated or of the results of operations or financial position of AT&amp;T Comcast after the completion of the AT&amp;T Comcast transaction.</w:t>
      </w:r>
    </w:p>
    <w:p>
      <w:pPr>
        <w:spacing w:after="0" w:line="201"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AT&amp;T BROADBAND COMCAST AT&amp;T</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COMCAST AT&amp;T BROADBAND GROUP PRO</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FORMA HISTORICAL PRO FORMA GROUP</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HISTORICAL EQUIVALENT ----------</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r>
      <w:tr>
        <w:trPr>
          <w:trHeight w:val="201"/>
        </w:trPr>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w:t>
            </w:r>
          </w:p>
        </w:tc>
        <w:tc>
          <w:tcPr>
            <w:tcW w:w="2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Book Value per</w:t>
            </w:r>
          </w:p>
        </w:tc>
      </w:tr>
      <w:tr>
        <w:trPr>
          <w:trHeight w:val="201"/>
        </w:trPr>
        <w:tc>
          <w:tcPr>
            <w:tcW w:w="3340" w:type="dxa"/>
            <w:vAlign w:val="bottom"/>
            <w:gridSpan w:val="3"/>
          </w:tcPr>
          <w:p>
            <w:pPr>
              <w:jc w:val="right"/>
              <w:ind w:right="173"/>
              <w:spacing w:after="0"/>
              <w:rPr>
                <w:sz w:val="20"/>
                <w:szCs w:val="20"/>
                <w:color w:val="auto"/>
              </w:rPr>
            </w:pPr>
            <w:r>
              <w:rPr>
                <w:rFonts w:ascii="Courier New" w:cs="Courier New" w:eastAsia="Courier New" w:hAnsi="Courier New"/>
                <w:sz w:val="17"/>
                <w:szCs w:val="17"/>
                <w:color w:val="auto"/>
              </w:rPr>
              <w:t>common share: September 30,</w:t>
            </w:r>
          </w:p>
        </w:tc>
      </w:tr>
      <w:tr>
        <w:trPr>
          <w:trHeight w:val="201"/>
        </w:trPr>
        <w:tc>
          <w:tcPr>
            <w:tcW w:w="13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2001..................</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$ 15.70 $</w:t>
            </w:r>
          </w:p>
        </w:tc>
      </w:tr>
      <w:tr>
        <w:trPr>
          <w:trHeight w:val="201"/>
        </w:trPr>
        <w:tc>
          <w:tcPr>
            <w:tcW w:w="620" w:type="dxa"/>
            <w:vAlign w:val="bottom"/>
          </w:tcPr>
          <w:p>
            <w:pPr>
              <w:jc w:val="right"/>
              <w:ind w:right="20"/>
              <w:spacing w:after="0"/>
              <w:rPr>
                <w:sz w:val="20"/>
                <w:szCs w:val="20"/>
                <w:color w:val="auto"/>
              </w:rPr>
            </w:pPr>
            <w:r>
              <w:rPr>
                <w:rFonts w:ascii="Courier New" w:cs="Courier New" w:eastAsia="Courier New" w:hAnsi="Courier New"/>
                <w:sz w:val="17"/>
                <w:szCs w:val="17"/>
                <w:color w:val="auto"/>
                <w:w w:val="97"/>
              </w:rPr>
              <w:t>27.67</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$12.27</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$ 9.41 December 31,</w:t>
            </w:r>
          </w:p>
        </w:tc>
      </w:tr>
      <w:tr>
        <w:trPr>
          <w:trHeight w:val="201"/>
        </w:trPr>
        <w:tc>
          <w:tcPr>
            <w:tcW w:w="13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2000...................</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$ 15.00</w:t>
            </w:r>
          </w:p>
        </w:tc>
      </w:tr>
    </w:tbl>
    <w:p>
      <w:pPr>
        <w:spacing w:after="0" w:line="4" w:lineRule="exact"/>
        <w:rPr>
          <w:sz w:val="20"/>
          <w:szCs w:val="20"/>
          <w:color w:val="auto"/>
        </w:rPr>
      </w:pPr>
    </w:p>
    <w:p>
      <w:pPr>
        <w:jc w:val="both"/>
        <w:ind w:left="100" w:right="6859" w:firstLine="114"/>
        <w:spacing w:after="0" w:line="251" w:lineRule="auto"/>
        <w:tabs>
          <w:tab w:leader="none" w:pos="519"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12.25 -- Net income (loss) before extraordinary items and cumulative effect of accounting</w:t>
      </w: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change per common share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basic: For the nine months ended</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6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September 30,</w:t>
            </w:r>
          </w:p>
        </w:tc>
        <w:tc>
          <w:tcPr>
            <w:tcW w:w="900" w:type="dxa"/>
            <w:vAlign w:val="bottom"/>
          </w:tcPr>
          <w:p>
            <w:pPr>
              <w:spacing w:after="0"/>
              <w:rPr>
                <w:sz w:val="17"/>
                <w:szCs w:val="17"/>
                <w:color w:val="auto"/>
              </w:rPr>
            </w:pPr>
          </w:p>
        </w:tc>
      </w:tr>
      <w:tr>
        <w:trPr>
          <w:trHeight w:val="201"/>
        </w:trPr>
        <w:tc>
          <w:tcPr>
            <w:tcW w:w="23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9"/>
              </w:rPr>
              <w:t>2001.........................</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0.58</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 (0.81) $(0.85)</w:t>
            </w: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$(0.28)</w:t>
            </w:r>
          </w:p>
        </w:tc>
      </w:tr>
    </w:tbl>
    <w:p>
      <w:pPr>
        <w:spacing w:after="0" w:line="4"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For the year ended December 31,</w:t>
      </w:r>
    </w:p>
    <w:p>
      <w:pPr>
        <w:spacing w:after="0" w:line="9"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7"/>
          <w:szCs w:val="17"/>
          <w:color w:val="auto"/>
        </w:rPr>
        <w:t>2000.............................</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2.27 (0.50) (1.52) (0.17) Net</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income (loss) before</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extraordinary items and</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cumulative effect of accounting</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change per common share --</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diluted: For the nine months</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2001.........................</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940" w:type="dxa"/>
            <w:vAlign w:val="bottom"/>
          </w:tcPr>
          <w:p>
            <w:pPr>
              <w:jc w:val="right"/>
              <w:ind w:right="24"/>
              <w:spacing w:after="0"/>
              <w:rPr>
                <w:sz w:val="20"/>
                <w:szCs w:val="20"/>
                <w:color w:val="auto"/>
              </w:rPr>
            </w:pPr>
            <w:r>
              <w:rPr>
                <w:rFonts w:ascii="Courier New" w:cs="Courier New" w:eastAsia="Courier New" w:hAnsi="Courier New"/>
                <w:sz w:val="17"/>
                <w:szCs w:val="17"/>
                <w:color w:val="auto"/>
              </w:rPr>
              <w:t>0.56 $</w:t>
            </w:r>
          </w:p>
        </w:tc>
        <w:tc>
          <w:tcPr>
            <w:tcW w:w="680" w:type="dxa"/>
            <w:vAlign w:val="bottom"/>
          </w:tcPr>
          <w:p>
            <w:pPr>
              <w:spacing w:after="0"/>
              <w:rPr>
                <w:sz w:val="20"/>
                <w:szCs w:val="20"/>
                <w:color w:val="auto"/>
              </w:rPr>
            </w:pPr>
            <w:r>
              <w:rPr>
                <w:rFonts w:ascii="Courier New" w:cs="Courier New" w:eastAsia="Courier New" w:hAnsi="Courier New"/>
                <w:sz w:val="17"/>
                <w:szCs w:val="17"/>
                <w:color w:val="auto"/>
              </w:rPr>
              <w:t>(0.81)</w:t>
            </w:r>
          </w:p>
        </w:tc>
        <w:tc>
          <w:tcPr>
            <w:tcW w:w="1740" w:type="dxa"/>
            <w:vAlign w:val="bottom"/>
          </w:tcPr>
          <w:p>
            <w:pPr>
              <w:ind w:left="60"/>
              <w:spacing w:after="0"/>
              <w:rPr>
                <w:sz w:val="20"/>
                <w:szCs w:val="20"/>
                <w:color w:val="auto"/>
              </w:rPr>
            </w:pPr>
            <w:r>
              <w:rPr>
                <w:rFonts w:ascii="Courier New" w:cs="Courier New" w:eastAsia="Courier New" w:hAnsi="Courier New"/>
                <w:sz w:val="17"/>
                <w:szCs w:val="17"/>
                <w:color w:val="auto"/>
              </w:rPr>
              <w:t>$(0.85) $(0.28)</w:t>
            </w:r>
          </w:p>
        </w:tc>
      </w:tr>
      <w:tr>
        <w:trPr>
          <w:trHeight w:val="201"/>
        </w:trPr>
        <w:tc>
          <w:tcPr>
            <w:tcW w:w="940" w:type="dxa"/>
            <w:vAlign w:val="bottom"/>
          </w:tcPr>
          <w:p>
            <w:pPr>
              <w:jc w:val="right"/>
              <w:ind w:right="24"/>
              <w:spacing w:after="0"/>
              <w:rPr>
                <w:sz w:val="20"/>
                <w:szCs w:val="20"/>
                <w:color w:val="auto"/>
              </w:rPr>
            </w:pPr>
            <w:r>
              <w:rPr>
                <w:rFonts w:ascii="Courier New" w:cs="Courier New" w:eastAsia="Courier New" w:hAnsi="Courier New"/>
                <w:sz w:val="17"/>
                <w:szCs w:val="17"/>
                <w:color w:val="auto"/>
              </w:rPr>
              <w:t>For the</w:t>
            </w:r>
          </w:p>
        </w:tc>
        <w:tc>
          <w:tcPr>
            <w:tcW w:w="2420" w:type="dxa"/>
            <w:vAlign w:val="bottom"/>
            <w:gridSpan w:val="2"/>
          </w:tcPr>
          <w:p>
            <w:pPr>
              <w:spacing w:after="0"/>
              <w:rPr>
                <w:sz w:val="20"/>
                <w:szCs w:val="20"/>
                <w:color w:val="auto"/>
              </w:rPr>
            </w:pPr>
            <w:r>
              <w:rPr>
                <w:rFonts w:ascii="Courier New" w:cs="Courier New" w:eastAsia="Courier New" w:hAnsi="Courier New"/>
                <w:sz w:val="17"/>
                <w:szCs w:val="17"/>
                <w:color w:val="auto"/>
              </w:rPr>
              <w:t>year ended December 31,</w:t>
            </w:r>
          </w:p>
        </w:tc>
      </w:tr>
      <w:tr>
        <w:trPr>
          <w:trHeight w:val="201"/>
        </w:trPr>
        <w:tc>
          <w:tcPr>
            <w:tcW w:w="16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2000.............................</w:t>
            </w:r>
          </w:p>
        </w:tc>
        <w:tc>
          <w:tcPr>
            <w:tcW w:w="1740" w:type="dxa"/>
            <w:vAlign w:val="bottom"/>
          </w:tcPr>
          <w:p>
            <w:pPr>
              <w:spacing w:after="0"/>
              <w:rPr>
                <w:sz w:val="17"/>
                <w:szCs w:val="17"/>
                <w:color w:val="auto"/>
              </w:rPr>
            </w:pPr>
          </w:p>
        </w:tc>
      </w:tr>
      <w:tr>
        <w:trPr>
          <w:trHeight w:val="201"/>
        </w:trPr>
        <w:tc>
          <w:tcPr>
            <w:tcW w:w="940" w:type="dxa"/>
            <w:vAlign w:val="bottom"/>
          </w:tcPr>
          <w:p>
            <w:pPr>
              <w:jc w:val="right"/>
              <w:ind w:right="24"/>
              <w:spacing w:after="0"/>
              <w:rPr>
                <w:sz w:val="20"/>
                <w:szCs w:val="20"/>
                <w:color w:val="auto"/>
              </w:rPr>
            </w:pPr>
            <w:r>
              <w:rPr>
                <w:rFonts w:ascii="Courier New" w:cs="Courier New" w:eastAsia="Courier New" w:hAnsi="Courier New"/>
                <w:sz w:val="17"/>
                <w:szCs w:val="17"/>
                <w:color w:val="auto"/>
              </w:rPr>
              <w:t>2.16</w:t>
            </w:r>
          </w:p>
        </w:tc>
        <w:tc>
          <w:tcPr>
            <w:tcW w:w="680" w:type="dxa"/>
            <w:vAlign w:val="bottom"/>
          </w:tcPr>
          <w:p>
            <w:pPr>
              <w:spacing w:after="0"/>
              <w:rPr>
                <w:sz w:val="20"/>
                <w:szCs w:val="20"/>
                <w:color w:val="auto"/>
              </w:rPr>
            </w:pPr>
            <w:r>
              <w:rPr>
                <w:rFonts w:ascii="Courier New" w:cs="Courier New" w:eastAsia="Courier New" w:hAnsi="Courier New"/>
                <w:sz w:val="17"/>
                <w:szCs w:val="17"/>
                <w:color w:val="auto"/>
              </w:rPr>
              <w:t>(0.50)</w:t>
            </w:r>
          </w:p>
        </w:tc>
        <w:tc>
          <w:tcPr>
            <w:tcW w:w="1740" w:type="dxa"/>
            <w:vAlign w:val="bottom"/>
          </w:tcPr>
          <w:p>
            <w:pPr>
              <w:ind w:left="60"/>
              <w:spacing w:after="0"/>
              <w:rPr>
                <w:sz w:val="20"/>
                <w:szCs w:val="20"/>
                <w:color w:val="auto"/>
              </w:rPr>
            </w:pPr>
            <w:r>
              <w:rPr>
                <w:rFonts w:ascii="Courier New" w:cs="Courier New" w:eastAsia="Courier New" w:hAnsi="Courier New"/>
                <w:sz w:val="17"/>
                <w:szCs w:val="17"/>
                <w:color w:val="auto"/>
              </w:rPr>
              <w:t>(1.52) (0.17)</w:t>
            </w:r>
          </w:p>
        </w:tc>
      </w:tr>
    </w:tbl>
    <w:p>
      <w:pPr>
        <w:sectPr>
          <w:pgSz w:w="11900" w:h="16838" w:orient="portrait"/>
          <w:cols w:equalWidth="0" w:num="1">
            <w:col w:w="10219"/>
          </w:cols>
          <w:pgMar w:left="240" w:top="719" w:right="1440" w:bottom="0" w:gutter="0" w:footer="0" w:header="0"/>
        </w:sectPr>
      </w:pPr>
    </w:p>
    <w:bookmarkStart w:id="40" w:name="page41"/>
    <w:bookmarkEnd w:id="40"/>
    <w:p>
      <w:pPr>
        <w:ind w:left="2900"/>
        <w:spacing w:after="0"/>
        <w:rPr>
          <w:sz w:val="20"/>
          <w:szCs w:val="20"/>
          <w:color w:val="auto"/>
        </w:rPr>
      </w:pPr>
      <w:r>
        <w:rPr>
          <w:rFonts w:ascii="Courier New" w:cs="Courier New" w:eastAsia="Courier New" w:hAnsi="Courier New"/>
          <w:sz w:val="17"/>
          <w:szCs w:val="17"/>
          <w:color w:val="auto"/>
        </w:rPr>
        <w:t>I-27</w:t>
      </w:r>
    </w:p>
    <w:p>
      <w:pPr>
        <w:sectPr>
          <w:pgSz w:w="11900" w:h="16838" w:orient="portrait"/>
          <w:cols w:equalWidth="0" w:num="1">
            <w:col w:w="9019"/>
          </w:cols>
          <w:pgMar w:left="1440" w:top="545" w:right="1440" w:bottom="1440" w:gutter="0" w:footer="0" w:header="0"/>
        </w:sectPr>
      </w:pPr>
    </w:p>
    <w:bookmarkStart w:id="41" w:name="page42"/>
    <w:bookmarkEnd w:id="41"/>
    <w:p>
      <w:pPr>
        <w:jc w:val="center"/>
        <w:ind w:right="1839"/>
        <w:spacing w:after="0"/>
        <w:rPr>
          <w:sz w:val="20"/>
          <w:szCs w:val="20"/>
          <w:color w:val="auto"/>
        </w:rPr>
      </w:pPr>
      <w:r>
        <w:rPr>
          <w:rFonts w:ascii="Courier New" w:cs="Courier New" w:eastAsia="Courier New" w:hAnsi="Courier New"/>
          <w:sz w:val="17"/>
          <w:szCs w:val="17"/>
          <w:color w:val="auto"/>
        </w:rPr>
        <w:t>COMPARATIVE MARKET PRICE INFORMATION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Shares of Comcast Class A Special common stock are listed on The Nasdaq Stock Market under the symbol "CMCSK" and shares of Comcast Class A common stock are listed on The Nasdaq Stock Market under the symbol "CMCSA." The Comcast Class B common stock is not publicly traded. AT&amp;T Broadband Group has been an integrated business of AT&amp;T and its common stock is not publicly traded. AT&amp;T Broadband Group did not pay any dividends on its capital stock during the periods indicated in the table below. The following table sets forth, for the periods indicated, the high and low sales prices paid per share of Comcast Class A Special common stock and Comcast Class A common stock, as furnished by The Nasdaq Stock Market, and dividends paid on such classes of common stock (as adjusted for Comcast's two-for-one stock split in the form of a 100% stock dividend in May 1999). For current price information, you should consult publicly available sources.</w:t>
      </w:r>
    </w:p>
    <w:p>
      <w:pPr>
        <w:spacing w:after="0" w:line="200" w:lineRule="exact"/>
        <w:rPr>
          <w:sz w:val="20"/>
          <w:szCs w:val="20"/>
          <w:color w:val="auto"/>
        </w:rPr>
      </w:pPr>
    </w:p>
    <w:p>
      <w:pPr>
        <w:spacing w:after="0" w:line="203"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7"/>
          <w:szCs w:val="17"/>
          <w:color w:val="auto"/>
        </w:rPr>
        <w:t>COMCAST CLASS A SPECIAL</w:t>
      </w:r>
    </w:p>
    <w:p>
      <w:pPr>
        <w:spacing w:after="0" w:line="9"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7"/>
          <w:szCs w:val="17"/>
          <w:color w:val="auto"/>
        </w:rPr>
        <w:t>COMCAST CLASS A COMMON STOCK</w:t>
      </w:r>
    </w:p>
    <w:p>
      <w:pPr>
        <w:spacing w:after="0" w:line="9"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7"/>
          <w:szCs w:val="17"/>
          <w:color w:val="auto"/>
        </w:rPr>
        <w:t>COMMON STOCK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DIVIDENDS DIVIDENDS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CALENDAR PERIOD HIGH LOW PAID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HIGH LOW PAID - --------------</w:t>
      </w:r>
    </w:p>
    <w:p>
      <w:pPr>
        <w:spacing w:after="0" w:line="9" w:lineRule="exact"/>
        <w:rPr>
          <w:sz w:val="20"/>
          <w:szCs w:val="20"/>
          <w:color w:val="auto"/>
        </w:rPr>
      </w:pPr>
    </w:p>
    <w:p>
      <w:pPr>
        <w:ind w:left="260" w:hanging="206"/>
        <w:spacing w:after="0"/>
        <w:tabs>
          <w:tab w:leader="none" w:pos="26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1320" w:right="7339" w:hanging="951"/>
        <w:spacing w:after="0" w:line="257" w:lineRule="auto"/>
        <w:tabs>
          <w:tab w:leader="none" w:pos="692" w:val="left"/>
        </w:tabs>
        <w:numPr>
          <w:ilvl w:val="1"/>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--------- 1998 Fourth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71"/>
              </w:rPr>
              <w:t>Quarter.......................</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2000" w:type="dxa"/>
            <w:vAlign w:val="bottom"/>
            <w:gridSpan w:val="2"/>
          </w:tcPr>
          <w:p>
            <w:pPr>
              <w:jc w:val="center"/>
              <w:ind w:left="19"/>
              <w:spacing w:after="0"/>
              <w:rPr>
                <w:sz w:val="20"/>
                <w:szCs w:val="20"/>
                <w:color w:val="auto"/>
              </w:rPr>
            </w:pPr>
            <w:r>
              <w:rPr>
                <w:rFonts w:ascii="Courier New" w:cs="Courier New" w:eastAsia="Courier New" w:hAnsi="Courier New"/>
                <w:sz w:val="17"/>
                <w:szCs w:val="17"/>
                <w:color w:val="auto"/>
              </w:rPr>
              <w:t>43.94 34.00 43.94</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33.88</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2001</w:t>
            </w:r>
          </w:p>
        </w:tc>
      </w:tr>
      <w:tr>
        <w:trPr>
          <w:trHeight w:val="201"/>
        </w:trPr>
        <w:tc>
          <w:tcPr>
            <w:tcW w:w="940" w:type="dxa"/>
            <w:vAlign w:val="bottom"/>
          </w:tcPr>
          <w:p>
            <w:pPr>
              <w:spacing w:after="0"/>
              <w:rPr>
                <w:sz w:val="17"/>
                <w:szCs w:val="17"/>
                <w:color w:val="auto"/>
              </w:rPr>
            </w:pPr>
          </w:p>
        </w:tc>
        <w:tc>
          <w:tcPr>
            <w:tcW w:w="1060" w:type="dxa"/>
            <w:vAlign w:val="bottom"/>
          </w:tcPr>
          <w:p>
            <w:pPr>
              <w:jc w:val="center"/>
              <w:ind w:left="213"/>
              <w:spacing w:after="0"/>
              <w:rPr>
                <w:sz w:val="20"/>
                <w:szCs w:val="20"/>
                <w:color w:val="auto"/>
              </w:rPr>
            </w:pPr>
            <w:r>
              <w:rPr>
                <w:rFonts w:ascii="Courier New" w:cs="Courier New" w:eastAsia="Courier New" w:hAnsi="Courier New"/>
                <w:sz w:val="17"/>
                <w:szCs w:val="17"/>
                <w:color w:val="auto"/>
              </w:rPr>
              <w:t>First</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20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71"/>
              </w:rPr>
              <w:t>Quarter........................</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940" w:type="dxa"/>
            <w:vAlign w:val="bottom"/>
          </w:tcPr>
          <w:p>
            <w:pPr>
              <w:jc w:val="right"/>
              <w:ind w:right="19"/>
              <w:spacing w:after="0"/>
              <w:rPr>
                <w:sz w:val="20"/>
                <w:szCs w:val="20"/>
                <w:color w:val="auto"/>
              </w:rPr>
            </w:pPr>
            <w:r>
              <w:rPr>
                <w:rFonts w:ascii="Courier New" w:cs="Courier New" w:eastAsia="Courier New" w:hAnsi="Courier New"/>
                <w:sz w:val="17"/>
                <w:szCs w:val="17"/>
                <w:color w:val="auto"/>
              </w:rPr>
              <w:t>$45.88</w:t>
            </w:r>
          </w:p>
        </w:tc>
        <w:tc>
          <w:tcPr>
            <w:tcW w:w="21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$38.69 $45.25 $38.06</w:t>
            </w:r>
          </w:p>
        </w:tc>
      </w:tr>
      <w:tr>
        <w:trPr>
          <w:trHeight w:val="201"/>
        </w:trPr>
        <w:tc>
          <w:tcPr>
            <w:tcW w:w="940" w:type="dxa"/>
            <w:vAlign w:val="bottom"/>
          </w:tcPr>
          <w:p>
            <w:pPr>
              <w:spacing w:after="0"/>
              <w:rPr>
                <w:sz w:val="17"/>
                <w:szCs w:val="17"/>
                <w:color w:val="auto"/>
              </w:rPr>
            </w:pPr>
          </w:p>
        </w:tc>
        <w:tc>
          <w:tcPr>
            <w:tcW w:w="1060" w:type="dxa"/>
            <w:vAlign w:val="bottom"/>
          </w:tcPr>
          <w:p>
            <w:pPr>
              <w:jc w:val="center"/>
              <w:ind w:left="233"/>
              <w:spacing w:after="0"/>
              <w:rPr>
                <w:sz w:val="20"/>
                <w:szCs w:val="20"/>
                <w:color w:val="auto"/>
              </w:rPr>
            </w:pPr>
            <w:r>
              <w:rPr>
                <w:rFonts w:ascii="Courier New" w:cs="Courier New" w:eastAsia="Courier New" w:hAnsi="Courier New"/>
                <w:sz w:val="17"/>
                <w:szCs w:val="17"/>
                <w:color w:val="auto"/>
              </w:rPr>
              <w:t>Second</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20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71"/>
              </w:rPr>
              <w:t>Quarter.......................</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Quarter.......................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40.18 35.19 40.06 34.95 2002</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First Quarter (Through</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February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following table sets forth the high and low sales prices per share of Comcast Class A Special common stock and Comcast Class A common stock, as furnished by The Nasdaq Stock Market, on July 6, 2001, the last full trading day before Comcast publicly announced its proposal to AT&amp;T to acquire AT&amp;T's broadband business, on December 19, 2001, the last full trading day prior to the</w:t>
      </w:r>
    </w:p>
    <w:p>
      <w:pPr>
        <w:ind w:right="1939"/>
        <w:spacing w:after="0" w:line="254" w:lineRule="auto"/>
        <w:rPr>
          <w:sz w:val="20"/>
          <w:szCs w:val="20"/>
          <w:color w:val="auto"/>
        </w:rPr>
      </w:pPr>
      <w:r>
        <w:rPr>
          <w:rFonts w:ascii="Courier New" w:cs="Courier New" w:eastAsia="Courier New" w:hAnsi="Courier New"/>
          <w:sz w:val="17"/>
          <w:szCs w:val="17"/>
          <w:color w:val="auto"/>
        </w:rPr>
        <w:t>public announcement of the AT&amp;T Comcast transaction, and on [ ], 2002, the last trading day for which this information could be calculated prior to the date of this document:</w:t>
      </w:r>
    </w:p>
    <w:p>
      <w:pPr>
        <w:spacing w:after="0" w:line="194"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COMCAST CLASS A SPECIAL COMMON COMCAST CLASS 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STOCK COMMON STOCK</w:t>
            </w:r>
          </w:p>
        </w:tc>
        <w:tc>
          <w:tcPr>
            <w:tcW w:w="740" w:type="dxa"/>
            <w:vAlign w:val="bottom"/>
          </w:tcPr>
          <w:p>
            <w:pPr>
              <w:jc w:val="right"/>
              <w:spacing w:after="0"/>
              <w:rPr>
                <w:sz w:val="20"/>
                <w:szCs w:val="20"/>
                <w:color w:val="auto"/>
              </w:rPr>
            </w:pPr>
            <w:r>
              <w:rPr>
                <w:rFonts w:ascii="Courier New" w:cs="Courier New" w:eastAsia="Courier New" w:hAnsi="Courier New"/>
                <w:sz w:val="11"/>
                <w:szCs w:val="11"/>
                <w:color w:val="auto"/>
                <w:w w:val="72"/>
              </w:rPr>
              <w:t>---------------</w:t>
            </w:r>
          </w:p>
        </w:tc>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HIGH LOW HIGH LOW</w:t>
            </w:r>
          </w:p>
        </w:tc>
        <w:tc>
          <w:tcPr>
            <w:tcW w:w="740" w:type="dxa"/>
            <w:vAlign w:val="bottom"/>
          </w:tcPr>
          <w:p>
            <w:pPr>
              <w:jc w:val="right"/>
              <w:ind w:right="41"/>
              <w:spacing w:after="0"/>
              <w:rPr>
                <w:sz w:val="20"/>
                <w:szCs w:val="20"/>
                <w:color w:val="auto"/>
              </w:rPr>
            </w:pPr>
            <w:r>
              <w:rPr>
                <w:rFonts w:ascii="Courier New" w:cs="Courier New" w:eastAsia="Courier New" w:hAnsi="Courier New"/>
                <w:sz w:val="17"/>
                <w:szCs w:val="17"/>
                <w:color w:val="auto"/>
                <w:w w:val="97"/>
              </w:rPr>
              <w:t>------</w:t>
            </w:r>
          </w:p>
        </w:tc>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rPr>
              <w:t>------ ------ ------ July</w:t>
            </w:r>
          </w:p>
        </w:tc>
      </w:tr>
      <w:tr>
        <w:trPr>
          <w:trHeight w:val="201"/>
        </w:trPr>
        <w:tc>
          <w:tcPr>
            <w:tcW w:w="1940" w:type="dxa"/>
            <w:vAlign w:val="bottom"/>
          </w:tcPr>
          <w:p>
            <w:pPr>
              <w:spacing w:after="0"/>
              <w:rPr>
                <w:sz w:val="17"/>
                <w:szCs w:val="17"/>
                <w:color w:val="auto"/>
              </w:rPr>
            </w:pPr>
          </w:p>
        </w:tc>
        <w:tc>
          <w:tcPr>
            <w:tcW w:w="3360" w:type="dxa"/>
            <w:vAlign w:val="bottom"/>
            <w:gridSpan w:val="2"/>
          </w:tcPr>
          <w:p>
            <w:pPr>
              <w:jc w:val="right"/>
              <w:ind w:right="2433"/>
              <w:spacing w:after="0"/>
              <w:rPr>
                <w:sz w:val="20"/>
                <w:szCs w:val="20"/>
                <w:color w:val="auto"/>
              </w:rPr>
            </w:pPr>
            <w:r>
              <w:rPr>
                <w:rFonts w:ascii="Courier New" w:cs="Courier New" w:eastAsia="Courier New" w:hAnsi="Courier New"/>
                <w:sz w:val="17"/>
                <w:szCs w:val="17"/>
                <w:color w:val="auto"/>
              </w:rPr>
              <w:t>6,</w:t>
            </w:r>
          </w:p>
        </w:tc>
      </w:tr>
      <w:tr>
        <w:trPr>
          <w:trHeight w:val="201"/>
        </w:trPr>
        <w:tc>
          <w:tcPr>
            <w:tcW w:w="26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2000...............................................</w:t>
            </w:r>
          </w:p>
        </w:tc>
        <w:tc>
          <w:tcPr>
            <w:tcW w:w="2620" w:type="dxa"/>
            <w:vAlign w:val="bottom"/>
          </w:tcPr>
          <w:p>
            <w:pPr>
              <w:spacing w:after="0"/>
              <w:rPr>
                <w:sz w:val="17"/>
                <w:szCs w:val="17"/>
                <w:color w:val="auto"/>
              </w:rPr>
            </w:pPr>
          </w:p>
        </w:tc>
      </w:tr>
      <w:tr>
        <w:trPr>
          <w:trHeight w:val="201"/>
        </w:trPr>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$42.79 $42.08</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$42.09</w:t>
            </w:r>
          </w:p>
        </w:tc>
        <w:tc>
          <w:tcPr>
            <w:tcW w:w="262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$41.46 December 19,</w:t>
            </w:r>
          </w:p>
        </w:tc>
      </w:tr>
      <w:tr>
        <w:trPr>
          <w:trHeight w:val="201"/>
        </w:trPr>
        <w:tc>
          <w:tcPr>
            <w:tcW w:w="26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2001..........................................</w:t>
            </w:r>
          </w:p>
        </w:tc>
        <w:tc>
          <w:tcPr>
            <w:tcW w:w="2620" w:type="dxa"/>
            <w:vAlign w:val="bottom"/>
          </w:tcPr>
          <w:p>
            <w:pPr>
              <w:spacing w:after="0"/>
              <w:rPr>
                <w:sz w:val="17"/>
                <w:szCs w:val="17"/>
                <w:color w:val="auto"/>
              </w:rPr>
            </w:pPr>
          </w:p>
        </w:tc>
      </w:tr>
    </w:tbl>
    <w:p>
      <w:pPr>
        <w:sectPr>
          <w:pgSz w:w="11900" w:h="16838" w:orient="portrait"/>
          <w:cols w:equalWidth="0" w:num="1">
            <w:col w:w="10219"/>
          </w:cols>
          <w:pgMar w:left="240" w:top="719" w:right="1440" w:bottom="0" w:gutter="0" w:footer="0" w:header="0"/>
        </w:sectPr>
      </w:pPr>
    </w:p>
    <w:bookmarkStart w:id="42" w:name="page43"/>
    <w:bookmarkEnd w:id="42"/>
    <w:p>
      <w:pPr>
        <w:jc w:val="center"/>
        <w:ind w:right="5299"/>
        <w:spacing w:after="0"/>
        <w:rPr>
          <w:sz w:val="20"/>
          <w:szCs w:val="20"/>
          <w:color w:val="auto"/>
        </w:rPr>
      </w:pPr>
      <w:r>
        <w:rPr>
          <w:rFonts w:ascii="Courier New" w:cs="Courier New" w:eastAsia="Courier New" w:hAnsi="Courier New"/>
          <w:sz w:val="17"/>
          <w:szCs w:val="17"/>
          <w:color w:val="auto"/>
        </w:rPr>
        <w:t>39.15 37.75 39.13 37.80 [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2002.......................................</w:t>
      </w:r>
    </w:p>
    <w:p>
      <w:pPr>
        <w:spacing w:after="0" w:line="200" w:lineRule="exact"/>
        <w:rPr>
          <w:sz w:val="20"/>
          <w:szCs w:val="20"/>
          <w:color w:val="auto"/>
        </w:rPr>
      </w:pPr>
    </w:p>
    <w:p>
      <w:pPr>
        <w:spacing w:after="0" w:line="21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I-28</w:t>
      </w:r>
    </w:p>
    <w:p>
      <w:pPr>
        <w:sectPr>
          <w:pgSz w:w="11900" w:h="16838" w:orient="portrait"/>
          <w:cols w:equalWidth="0" w:num="1">
            <w:col w:w="9799"/>
          </w:cols>
          <w:pgMar w:left="660" w:top="142" w:right="1440" w:bottom="1440" w:gutter="0" w:footer="0" w:header="0"/>
        </w:sectPr>
      </w:pPr>
    </w:p>
    <w:bookmarkStart w:id="43" w:name="page44"/>
    <w:bookmarkEnd w:id="43"/>
    <w:p>
      <w:pPr>
        <w:ind w:left="3560"/>
        <w:spacing w:after="0"/>
        <w:rPr>
          <w:sz w:val="20"/>
          <w:szCs w:val="20"/>
          <w:color w:val="auto"/>
        </w:rPr>
      </w:pPr>
      <w:r>
        <w:rPr>
          <w:rFonts w:ascii="Courier New" w:cs="Courier New" w:eastAsia="Courier New" w:hAnsi="Courier New"/>
          <w:sz w:val="17"/>
          <w:szCs w:val="17"/>
          <w:color w:val="auto"/>
        </w:rPr>
        <w:t>RISK FACTORS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FACTORS RELATING TO THE AT&amp;T COMCAST TRANSACTION</w:t>
      </w:r>
    </w:p>
    <w:p>
      <w:pPr>
        <w:spacing w:after="0" w:line="210" w:lineRule="exact"/>
        <w:rPr>
          <w:sz w:val="20"/>
          <w:szCs w:val="20"/>
          <w:color w:val="auto"/>
        </w:rPr>
      </w:pPr>
    </w:p>
    <w:p>
      <w:pPr>
        <w:ind w:right="2259" w:firstLine="524"/>
        <w:spacing w:after="0" w:line="253" w:lineRule="auto"/>
        <w:rPr>
          <w:sz w:val="20"/>
          <w:szCs w:val="20"/>
          <w:color w:val="auto"/>
        </w:rPr>
      </w:pPr>
      <w:r>
        <w:rPr>
          <w:rFonts w:ascii="Courier New" w:cs="Courier New" w:eastAsia="Courier New" w:hAnsi="Courier New"/>
          <w:sz w:val="17"/>
          <w:szCs w:val="17"/>
          <w:color w:val="auto"/>
        </w:rPr>
        <w:t>In addition to the other information contained in or incorporated by reference in this document, you should carefully consider the following risk factors in deciding whether to vote for approval and adoption of the merger agreement and the transactions contemplated by the merger agreement.</w:t>
      </w:r>
    </w:p>
    <w:p>
      <w:pPr>
        <w:spacing w:after="0" w:line="195"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Merger Consideration Subject to Adjustment Only in Limited Circumstances. Upon completion of the mergers, all shares of Comcast common stock and AT&amp;T Broadband common stock will be converted into shares of AT&amp;T Comcast common stock. Except as described in the next paragraph, the exchange ratios applicable to the mergers are fixed, and the per share number of shares</w:t>
      </w:r>
    </w:p>
    <w:p>
      <w:pPr>
        <w:ind w:right="1839"/>
        <w:spacing w:after="0" w:line="251" w:lineRule="auto"/>
        <w:rPr>
          <w:sz w:val="20"/>
          <w:szCs w:val="20"/>
          <w:color w:val="auto"/>
        </w:rPr>
      </w:pPr>
      <w:r>
        <w:rPr>
          <w:rFonts w:ascii="Courier New" w:cs="Courier New" w:eastAsia="Courier New" w:hAnsi="Courier New"/>
          <w:sz w:val="17"/>
          <w:szCs w:val="17"/>
          <w:color w:val="auto"/>
        </w:rPr>
        <w:t>of AT&amp;T Comcast common stock to be issued to Comcast shareholders in the Comcast merger and to AT&amp;T Broadband shareholders in the AT&amp;T Broadband merger will not be adjusted to reflect the economic performance of either Comcast or AT&amp;T Broadband between the date of the execution of the merger agreement and the completion of the mergers. Accordingly, a Comcast shareholder or AT&amp;T Broadband shareholder will not receive any additional shares of AT&amp;T Comcast common stock in the mergers if the economic performance of its company improves relative to the economic performance of the other company between the date of the execution of the merger agreement and the completion of the mergers.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Comcast will issue up to 1.235 billion shares of AT&amp;T Comcast common stock to holders of AT&amp;T Broadband common stock in the AT&amp;T Broadband merger (excluding 115 million shares to be issued to an affiliate of Microsoft in the QUIPS exchange transaction). The number of shares of AT&amp;T Comcast common stock that AT&amp;T Comcast will issue in the AT&amp;T Broadband merger to each holder of AT&amp;T Broadband common stock in exchange for each of such holder's shares of AT&amp;T Broadband common stock (the "AT&amp;T Broadband exchange ratio") will be calculated pursuant to the formula included in "Description of the AT&amp;T Comcast Transaction Agreements -- The Merger Agreement -- Calculation of the AT&amp;T Broadband Exchange Ratio." If the AT&amp;T Broadband exchange ratio were determined as of the date of this document, the AT&amp;T Broadband exchange ratio would be approximately ____.</w:t>
      </w:r>
    </w:p>
    <w:p>
      <w:pPr>
        <w:ind w:right="1839"/>
        <w:spacing w:after="0" w:line="251" w:lineRule="auto"/>
        <w:rPr>
          <w:sz w:val="20"/>
          <w:szCs w:val="20"/>
          <w:color w:val="auto"/>
        </w:rPr>
      </w:pPr>
      <w:r>
        <w:rPr>
          <w:rFonts w:ascii="Courier New" w:cs="Courier New" w:eastAsia="Courier New" w:hAnsi="Courier New"/>
          <w:sz w:val="17"/>
          <w:szCs w:val="17"/>
          <w:color w:val="auto"/>
        </w:rPr>
        <w:t>However, since the AT&amp;T Broadband exchange ratio is calculated by reference to the number of shares of AT&amp;T Broadband common stock that is outstanding at the completion of the AT&amp;T Comcast transaction and the cost to AT&amp;T Comcast of assuming certain stock options and stock appreciation rights that are held by employees of AT&amp;T Broadband and former employees of AT&amp;T and AT&amp;T Broadband, the exchange ratio will change if any of these variables change between the date of this document and the date on which the AT&amp;T Broadband merger occurs. Accordingly, holders of AT&amp;T Broadband common stock may receive less than approximately ____ of a share of AT&amp;T Comcast common stock in exchange for each of their shares of AT&amp;T Broadband common stock in the AT&amp;T Broadband merger.</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Comcast May Fail to Realize the Anticipated Benefits of the AT&amp;T Comcast Transaction. The AT&amp;T Comcast transaction will combine two companies that have previously operated separately. Comcast and AT&amp;T Broadband expect to realize cost savings and other financial and operating benefits as a result of the AT&amp;T Comcast transaction. However, Comcast and AT&amp;T Broadband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and AT&amp;T Broadband will also require substantial attention from management. The diversion of management attention and any difficulties associated with integrating Comcast and AT&amp;T Broadband could have a material adverse effect on AT&amp;T Comcast's operating results and on the value of AT&amp;T Comcast common stock.</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Regulatory Agencies May Impose Conditions on Approvals Relating to the Mergers. Before the AT&amp;T Comcast transaction may be completed, various approvals must be obtained from, or notifications submitted to, among others, the Antitrust Division of the U.S. Department of Justice, the Federal Trade Commission, the FCC and numerous state and local authorities. These governmental entities may attempt to condition their approval of the AT&amp;T Comcast transaction, or of the transfer to AT&amp;T Comcast of</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I-29</w:t>
      </w:r>
    </w:p>
    <w:p>
      <w:pPr>
        <w:sectPr>
          <w:pgSz w:w="11900" w:h="16838" w:orient="portrait"/>
          <w:cols w:equalWidth="0" w:num="1">
            <w:col w:w="10219"/>
          </w:cols>
          <w:pgMar w:left="240" w:top="719" w:right="1440" w:bottom="1440" w:gutter="0" w:footer="0" w:header="0"/>
        </w:sectPr>
      </w:pPr>
    </w:p>
    <w:bookmarkStart w:id="44" w:name="page45"/>
    <w:bookmarkEnd w:id="44"/>
    <w:p>
      <w:pPr>
        <w:ind w:right="1939"/>
        <w:spacing w:after="0" w:line="254" w:lineRule="auto"/>
        <w:rPr>
          <w:sz w:val="20"/>
          <w:szCs w:val="20"/>
          <w:color w:val="auto"/>
        </w:rPr>
      </w:pPr>
      <w:r>
        <w:rPr>
          <w:rFonts w:ascii="Courier New" w:cs="Courier New" w:eastAsia="Courier New" w:hAnsi="Courier New"/>
          <w:sz w:val="17"/>
          <w:szCs w:val="17"/>
          <w:color w:val="auto"/>
        </w:rPr>
        <w:t>licenses and other entitlements, on the imposition of certain conditions that could have a material adverse effect on AT&amp;T Comcast's operating results and on the value of AT&amp;T Comcast common stock.</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196"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Comcast Will Have to Abide by Restrictions to Preserve the Tax Treatment of the AT&amp;T Comcast Transaction. Because of the limitations imposed by Section 355(e) of the Internal Revenue Code of 1986, as amended, or the "Code," and by the separation and distribution agreement, the ability of AT&amp;T Comcast and AT&amp;T Broadband to engage in certain acquisitions, redeem stock or issue equity securities will be limited for a period of 25 months following the AT&amp;T Broadband spin-off. See "Description of the AT&amp;T Comcast Transaction Agreements -- The Separation and Distribution Agreement -- Post-Spin-off Transactions." These restrictions may limit the ability of AT&amp;T Comcast to engage in certain business transactions that otherwise might be advantageous to AT&amp;T Comcast shareholders.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Comcast and its Subsidiaries May Have Difficulty Obtaining Financing on Satisfactory Terms. To complete the AT&amp;T Comcast transaction, Comcast will seek to arrange financing to repay any indebtedness owed by AT&amp;T Broadband and its subsidiaries to AT&amp;T and its subsidiaries and to provide appropriate cash reserves to fund the operations of AT&amp;T Broadband and its subsidiaries after the completion of the AT&amp;T Comcast transaction. As of September 30, 2001, the amount of indebtedness owed by AT&amp;T Broadband to AT&amp;T was $5.39 billion. Absent additional deleveraging activities, it is expected that this figure will grow to fund AT&amp;T Broadband capital expenditures, operations, and third party debt maturities and redemptions through completion of the AT&amp;T Comcast transaction. In addition, AT&amp;T Comcast and its subsidiaries will require financing to refinance certain debt securities of AT&amp;T Broadband and its subsidiaries after the completion of the AT&amp;T Comcast transaction. See "Description of the AT&amp;T Comcast Transaction Agreements -- The Merger Agreement -- Covenants -- Interim Finance Committee." The amount of the required financing may significantly increase in the event that the QUIPS exchange transaction does not occur and Microsoft does not consent to the transfer of the QUIPS to AT&amp;T Broadband. See "Description of the AT&amp;T Comcast Transaction Agreements -- The Merger Agreement -- Covenants -- QUIPS Failure."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Comcast or AT&amp;T Comcast or their subsidiaries, including AT&amp;T Broadband, may have difficulty obtaining the financing described in the preceding paragraph on terms that are acceptable to it, if at all. If Comcast or AT&amp;T Comcast or their subsidiaries fail to obtain the necessary financing, such failure could have a material adverse effect on the business and financial condition of AT&amp;T Comcast and its subsidiaries. If Comcast or AT&amp;T Comcast or their subsidiaries are unable to obtain the necessary financing, they may be forced to consider other alternatives to raise the necessary funds, including sales of assets.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Comcast and its Subsidiaries May Not Obtain Investment-Grade Credit Ratings. After completion of the AT&amp;T Comcast transaction, AT&amp;T Comcast and its subsidiaries will have a significant amount of debt and debt-like obligations. Although this amount will be reduced by $5 billion if the QUIPS exchange transaction occurs, the credit ratings of AT&amp;T Comcast and its subsidiaries after completion of the AT&amp;T Comcast transaction may be lower than the existing credit ratings of Comcast, AT&amp;T's principal broadband subsidiaries and their respective subsidiaries. In addition, it is possible that neither AT&amp;T Comcast nor any of its subsidiaries that issue debt may obtain an investment-grade credit rating. The likelihood of lower or non-investment-grade credit ratings for AT&amp;T Comcast and its subsidiaries after completion of the AT&amp;T Comcast transaction will be increased if the QUIPS exchange transaction, which is not a condition to the completion of the AT&amp;T Comcast transaction, does not occur. Differences in credit ratings would affect the interest rates charged on financings, as well as the amounts of indebtedness, types of financing structures and debt markets that may be available to AT&amp;T Comcast and</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I-30</w:t>
      </w:r>
    </w:p>
    <w:p>
      <w:pPr>
        <w:sectPr>
          <w:pgSz w:w="11900" w:h="16838" w:orient="portrait"/>
          <w:cols w:equalWidth="0" w:num="1">
            <w:col w:w="10219"/>
          </w:cols>
          <w:pgMar w:left="240" w:top="719" w:right="1440" w:bottom="1440" w:gutter="0" w:footer="0" w:header="0"/>
        </w:sectPr>
      </w:pPr>
    </w:p>
    <w:bookmarkStart w:id="45" w:name="page46"/>
    <w:bookmarkEnd w:id="45"/>
    <w:p>
      <w:pPr>
        <w:ind w:right="1839"/>
        <w:spacing w:after="0" w:line="251" w:lineRule="auto"/>
        <w:rPr>
          <w:sz w:val="20"/>
          <w:szCs w:val="20"/>
          <w:color w:val="auto"/>
        </w:rPr>
      </w:pPr>
      <w:r>
        <w:rPr>
          <w:rFonts w:ascii="Courier New" w:cs="Courier New" w:eastAsia="Courier New" w:hAnsi="Courier New"/>
          <w:sz w:val="17"/>
          <w:szCs w:val="17"/>
          <w:color w:val="auto"/>
        </w:rPr>
        <w:t>its subsidiaries. In addition, the failure of certain subsidiaries of AT&amp;T Comcast to maintain certain credit ratings during the period that is 90 days before and after the completion of the AT&amp;T Comcast transaction could trigger put rights on the part of holders of up to $5.3 billion of debt as of the date of this document, which would require AT&amp;T Comcast to obtain additional financing. Accordingly, a downgrade in the existing credit ratings of Comcast, AT&amp;T's principal broadband subsidiaries and their respective subsidiaries or the failure of AT&amp;T Comcast and its subsidiaries to obtain investment-grade credit ratings, in each case upon completion of the AT&amp;T Comcast transaction, could have a material adverse effect on AT&amp;T Comcast's operating results and on the value of AT&amp;T Comcast common stock.</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Voting Power of AT&amp;T Comcast's Principal Shareholder May Discourage Third Party Acquisitions of AT&amp;T Comcast at a Premium. After completion of the AT&amp;T Comcast transaction, Brian L. Roberts will have significant control over the operations of AT&amp;T Comcast through his control of Sural LLC, which as a result of its ownership of all outstanding shares of AT&amp;T Comcast Class B common stock, will hold a nondilutable 33 1/3% of the combined voting power of AT&amp;T Comcast stock and will also have separate approval rights over certain material transactions involving AT&amp;T Comcast. See "Certain Legal</w:t>
      </w:r>
    </w:p>
    <w:p>
      <w:pPr>
        <w:ind w:right="1839"/>
        <w:spacing w:after="0" w:line="251" w:lineRule="auto"/>
        <w:rPr>
          <w:sz w:val="20"/>
          <w:szCs w:val="20"/>
          <w:color w:val="auto"/>
        </w:rPr>
      </w:pPr>
      <w:r>
        <w:rPr>
          <w:rFonts w:ascii="Courier New" w:cs="Courier New" w:eastAsia="Courier New" w:hAnsi="Courier New"/>
          <w:sz w:val="17"/>
          <w:szCs w:val="17"/>
          <w:color w:val="auto"/>
        </w:rPr>
        <w:t>Information -- Description of AT&amp;T Comcast Capital Stock -- AT&amp;T Comcast Class B Common Stock." In addition, upon completion of the AT&amp;T Comcast transaction, Brian L. Roberts will be the CEO and President of AT&amp;T Comcast and will, together with the Chairman of the Board of AT&amp;T Comcast, comprise the Office of the Chairman, AT&amp;T Comcast's principal executive deliberative body. The extent of Brian L. Roberts's control over AT&amp;T Comcast may have the effect of discouraging offers to acquire AT&amp;T Comcast and may preclude holders of AT&amp;T Comcast common stock from receiving any premium above market price for their shares that may be offered in connection with any attempt to acquire control of AT&amp;T Comcast.</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Historical Financial Information of AT&amp;T Broadband Group After the AT&amp;T Broadband Spin-off May Not Be Representative of its Results Without the Other AT&amp;T Businesses and Therefore Is Not a Reliable Indicator of Its Historical or Future Results. AT&amp;T Broadband Group is currently a fully integrated business unit of AT&amp;T; consequently, the financial information of AT&amp;T Broadband Group included in this document has been derived from the consolidated financial statements and accounting records of AT&amp;T and reflects certain assumptions and allocations. The financial position, results of operations and cash flows of AT&amp;T Broadband Group without the other AT&amp;T businesses could differ from those that would have resulted had AT&amp;T Broadband Group operated with the other AT&amp;T businesses.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Shares of AT&amp;T Comcast Issued in the AT&amp;T Broadband Merger May Not Be Included in the Standard &amp; Poor's 500 Index. In the merger agreement, each of AT&amp;T, Comcast and AT&amp;T Comcast agreed to use its reasonable best efforts to have the shares issued to holders of AT&amp;T Broadband common stock in the AT&amp;T Broadband merger included in the Standard &amp; Poor's 500 Index. However, the decision as to whether or not these securities are included in the index will be made by Standard &amp; Poor's, Inc. and they may decide not to include them. If these securities are not included in that index, there could be downward pressure on the trading prices of those securities. Although in some cases AT&amp;T Comcast will issue additional shares to former shareholders of AT&amp;T Broadband if there is a trading disparity between the shares issued to former shareholders of Comcast and shares issued in the AT&amp;T Broadband merger, the number of shares AT&amp;T Comcast is required to issue is limited and is calculated as of a set time and as a result may not adequately compensate shareholders for any downward price pressure resulting from the failure of these securities to be included in that index. For more information, see "Description of the Transaction Agreements -- The Merger Agreement -- Merger Consideration -- Potential Additional Payments."</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Atypical Governance Arrangements. In connection with the AT&amp;T Comcast transaction, AT&amp;T Comcast will implement a number of governance arrangements that are atypical for a large, publicly held corporation. A number of these arrangements relate to the election of the AT&amp;T Comcast Board. The term of the AT&amp;T Comcast Board upon completion of the AT&amp;T Comcast transaction will not expire until the 2005 annual meeting of AT&amp;T Comcast shareholders. Since AT&amp;T Comcast shareholders will not have the right to call special meetings of shareholders or act by written consent and AT&amp;T Comcast</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I-31</w:t>
      </w:r>
    </w:p>
    <w:p>
      <w:pPr>
        <w:sectPr>
          <w:pgSz w:w="11900" w:h="16838" w:orient="portrait"/>
          <w:cols w:equalWidth="0" w:num="1">
            <w:col w:w="10219"/>
          </w:cols>
          <w:pgMar w:left="240" w:top="719" w:right="1440" w:bottom="1062" w:gutter="0" w:footer="0" w:header="0"/>
        </w:sectPr>
      </w:pPr>
    </w:p>
    <w:bookmarkStart w:id="46" w:name="page47"/>
    <w:bookmarkEnd w:id="46"/>
    <w:p>
      <w:pPr>
        <w:ind w:right="1839"/>
        <w:spacing w:after="0" w:line="251" w:lineRule="auto"/>
        <w:rPr>
          <w:sz w:val="20"/>
          <w:szCs w:val="20"/>
          <w:color w:val="auto"/>
        </w:rPr>
      </w:pPr>
      <w:r>
        <w:rPr>
          <w:rFonts w:ascii="Courier New" w:cs="Courier New" w:eastAsia="Courier New" w:hAnsi="Courier New"/>
          <w:sz w:val="17"/>
          <w:szCs w:val="17"/>
          <w:color w:val="auto"/>
        </w:rPr>
        <w:t>directors will be able to be removed only for cause, AT&amp;T Comcast shareholders will not be able to replace the initial AT&amp;T Comcast Board members prior to that meeting. After the 2005 annual meeting of AT&amp;T Comcast 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 Brian L. Roberts, through his control of Sural LLC or a successor entity, will hold a 33 1/3% nondilutable voting interest in AT&amp;T Comcast stock. In addition, AT&amp;T Comcast will adopt a shareholder rights plan upon completion of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to the governance arrangements relating to the AT&amp;T Comcast Board, Comcast and AT&amp;T have agreed to a number of governance arrangements which will make it difficult to replace the senior management of AT&amp;T Comcast. Upon completion of the AT&amp;T Comcast transaction, C. Michael Armstrong, Chairman of the Board and CEO of AT&amp;T, will be the Chairman of the Board of AT&amp;T Comcast and Brian L. Roberts, President of Comcast, will be the CEO and President of AT&amp;T Comcast. After the 2005 annual meeting of AT&amp;T Comcast shareholders, Brian L. Roberts will also be the Chairman of the Board of AT&amp;T Comcast. Prior to the fifth anniversary of the 2005 annual meeting of AT&amp;T Comcast shareholders, unless Brian L. Roberts ceases to be Chairman of the Board or CEO of AT&amp;T Comcast prior to such time, the Chairman of the Board and CEO of AT&amp;T Comcast will be able to be removed only with the approval of at least 75% of the entire AT&amp;T Comcast Board. This supermajority removal requirement will make it unlikely that C. Michael Armstrong or Brian L. Roberts will be removed from their management positions.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For a more detailed description of these and other AT&amp;T Comcast governance arrangements that will be in effect upon completion of the AT&amp;T Comcast transaction, see "Description of Governance Arrangements Following the AT&amp;T Comcast Transaction."</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Directors of Comcast and AT&amp;T Have Potential Conflicts of Interest. A number of directors of Comcast and AT&amp;T who recommend that you vote in favor of the AT&amp;T Comcast transaction have interests in the AT&amp;T Comcast transaction that are different from, or in addition to, yours. These interests include the potential for positions as directors or executive officers of AT&amp;T Comcast, funding of benefits in trust, employment agreements with AT&amp;T Comcast, acceleration of vesting of AT&amp;T Broadband equity awards as a result of the AT&amp;T Comcast transaction and the right to continued indemnification and insurance coverage by AT&amp;T Comcast for acts or omissions occurring prior to the AT&amp;T Comcast transaction. These interests may have influenced these directors in making their recommendation that you vote in favor of the AT&amp;T Comcast transaction. For a description of these interests, see "Employee Benefits Matters -- Interests of Directors and Officers in the AT&amp;T Comcast Transaction."</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New Trading Market. As AT&amp;T and Comcast complete the AT&amp;T Comcast transaction, shares of AT&amp;T Comcast common stock will begin trading publicly for the first time. Until an orderly trading market for AT&amp;T Comcast common stock develops, and after that time as well, there may be significant fluctuations in price.</w:t>
      </w:r>
    </w:p>
    <w:p>
      <w:pPr>
        <w:spacing w:after="0" w:line="197" w:lineRule="exact"/>
        <w:rPr>
          <w:sz w:val="20"/>
          <w:szCs w:val="20"/>
          <w:color w:val="auto"/>
        </w:rPr>
      </w:pPr>
    </w:p>
    <w:p>
      <w:pPr>
        <w:ind w:right="2259" w:firstLine="524"/>
        <w:spacing w:after="0" w:line="254" w:lineRule="auto"/>
        <w:rPr>
          <w:sz w:val="20"/>
          <w:szCs w:val="20"/>
          <w:color w:val="auto"/>
        </w:rPr>
      </w:pPr>
      <w:r>
        <w:rPr>
          <w:rFonts w:ascii="Courier New" w:cs="Courier New" w:eastAsia="Courier New" w:hAnsi="Courier New"/>
          <w:sz w:val="17"/>
          <w:szCs w:val="17"/>
          <w:color w:val="auto"/>
        </w:rPr>
        <w:t>Dividends. AT&amp;T shareholders have historically received quarterly dividends from AT&amp;T. AT&amp;T Comcast does not currently intend to pay dividends after completion of the AT&amp;T Comcast transaction.</w:t>
      </w:r>
    </w:p>
    <w:p>
      <w:pPr>
        <w:spacing w:after="0" w:line="194"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Additional Risk Factors. For a description of additional risk factors, see "The AT&amp;T Comcast Transaction -- Comcast's Reasons for the AT&amp;T Comcast Transaction" and "The AT&amp;T Comcast Transaction -- AT&amp;T's Reasons for the AT&amp;T Comcast Transaction."</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I-32</w:t>
      </w:r>
    </w:p>
    <w:p>
      <w:pPr>
        <w:sectPr>
          <w:pgSz w:w="11900" w:h="16838" w:orient="portrait"/>
          <w:cols w:equalWidth="0" w:num="1">
            <w:col w:w="10219"/>
          </w:cols>
          <w:pgMar w:left="240" w:top="719" w:right="1440" w:bottom="1440" w:gutter="0" w:footer="0" w:header="0"/>
        </w:sectPr>
      </w:pPr>
    </w:p>
    <w:bookmarkStart w:id="47" w:name="page48"/>
    <w:bookmarkEnd w:id="47"/>
    <w:p>
      <w:pPr>
        <w:ind w:right="2139"/>
        <w:spacing w:after="0" w:line="257" w:lineRule="auto"/>
        <w:rPr>
          <w:sz w:val="20"/>
          <w:szCs w:val="20"/>
          <w:color w:val="auto"/>
        </w:rPr>
      </w:pPr>
      <w:r>
        <w:rPr>
          <w:rFonts w:ascii="Courier New" w:cs="Courier New" w:eastAsia="Courier New" w:hAnsi="Courier New"/>
          <w:sz w:val="17"/>
          <w:szCs w:val="17"/>
          <w:color w:val="auto"/>
        </w:rPr>
        <w:t>RISK FACTORS FOR AT&amp;T RELATING TO THE AT&amp;T COMCAST TRANSACTION, INCLUDING THE PROPOSED AT&amp;T BROADBAND SPIN-OFF</w:t>
      </w:r>
    </w:p>
    <w:p>
      <w:pPr>
        <w:spacing w:after="0" w:line="19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Holders of shares of AT&amp;T common stock should also consider the following risk factors in deciding whether to vote for approval and adoption of the merger agreement and the transactions contemplated by the merger agreement, including the AT&amp;T Broadband spin-off.</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AT&amp;T Broadband Spin-off May Materially Adversely Impact AT&amp;T's Competitive Position. If the AT&amp;T Comcast transaction is completed, AT&amp;T and AT&amp;T Comcast will compete in some markets. Competition between AT&amp;T's and AT&amp;T Comcast's business units in overlapping markets, including consumer markets where cable, telephone and digital subscriber lines, or DSL, solutions may be available at the same time, could result in material downward price pressure on product or service offerings which could materially adversely impact the companies. In addition, any incremental costs associated with operating as separate entities may materially adversely affect the different businesses and companies and their competitive positions. Synergies resulting from cooperation and joint ownership among AT&amp;T's businesses may be lost due to the proposed transactions.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Will Have to Abide By Potentially Significant Restrictions to Preserve the Tax Treatment of the AT&amp;T Comcast Transaction. Because of the restrictions imposed by Section 355(e) of the Code and by the separation and distribution agreement, the ability of AT&amp;T to engage in certain acquisitions, redeem stock or issue equity securities will be limited for a period of 25 months following the AT&amp;T Broadband spin-off. These restrictions may limit the ability of AT&amp;T to engage in certain business transactions that otherwise might be advantageous to AT&amp;T shareholders.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AT&amp;T Comcast Transaction is Conditioned on AT&amp;T Obtaining Consents Under a Substantial Amount of Indebtedness, Which May Involve Material Costs and May Be Difficult to Complete. The AT&amp;T Comcast transaction is conditioned on AT&amp;T's obtaining Note Consents (as described below), or having defeased, purchased or acquired debt, in respect of series representing at least 90% in aggregate principal amount of the securities issued under the AT&amp;T indenture, dated September 7, 1990, and outstanding as of December 19, 2001. At December 19, 2001, there was approximately $12.7 billion in aggregate principal amount which was subject to this condition. "Note Consent" means, with respect to any series of securities issued under the indenture, the consent to the transactions contemplated by the separation and distribution agreement of the holders of at least a majority in aggregate principal amount of such series to the AT&amp;T Broadband spin-off under a substantial portion of AT&amp;T's long-term indebtedness. AT&amp;T may seek to obtain these consents through a variety of measures. Although AT&amp;T Comcast has agreed to bear a portion of the related costs, the consent process and any related transaction may result in increased costs for, and additional covenants imposed upon, AT&amp;T. In addition, the consent process itself involves a number of uncertainties and AT&amp;T may not be able to complete it on a timely basis on commercially reasonable terms.</w:t>
      </w:r>
    </w:p>
    <w:p>
      <w:pPr>
        <w:spacing w:after="0" w:line="20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If the AT&amp;T Comcast Transaction is Completed, AT&amp;T Will Need to Obtain Financing on a Stand-Alone Basis. Following the AT&amp;T Comcast transaction, AT&amp;T will have to raise financing with the support of a reduced pool of less diversified assets, and AT&amp;T may not be able to secure adequate debt or equity financing on desirable terms. The cost to AT&amp;T of financing without AT&amp;T Broadband Group may be materially higher than the cost of financing with AT&amp;T Broadband Group as part of AT&amp;T.</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AT&amp;T's current long-term/short-term debt ratings are A-3/P-2 by Moody's, BBB+/A-2 by Standard &amp; Poor's, and A-/F-2 by Fitch. All long-term ratings are under further review for further downgrade. The short-term ratings are not under review. The credit rating of AT&amp;T following the AT&amp;T Comcast transaction may be different than the historical ratings of AT&amp;T and different from what it would be without the AT&amp;T Comcast transaction. Differences in credit ratings affect the interest rate charged on financings, as well as the amounts of indebtedness, types of financing structures and debt markets that may be available to AT&amp;T following the AT&amp;T Comcast transaction. AT&amp;T may not be able to raise the capital it requires on favorable terms following the AT&amp;T Comcast transaction.</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I-33</w:t>
      </w:r>
    </w:p>
    <w:p>
      <w:pPr>
        <w:sectPr>
          <w:pgSz w:w="11900" w:h="16838" w:orient="portrait"/>
          <w:cols w:equalWidth="0" w:num="1">
            <w:col w:w="10219"/>
          </w:cols>
          <w:pgMar w:left="240" w:top="719" w:right="1440" w:bottom="1440" w:gutter="0" w:footer="0" w:header="0"/>
        </w:sectPr>
      </w:pPr>
    </w:p>
    <w:bookmarkStart w:id="48" w:name="page49"/>
    <w:bookmarkEnd w:id="48"/>
    <w:p>
      <w:pPr>
        <w:ind w:right="1839" w:firstLine="524"/>
        <w:spacing w:after="0" w:line="251" w:lineRule="auto"/>
        <w:rPr>
          <w:sz w:val="20"/>
          <w:szCs w:val="20"/>
          <w:color w:val="auto"/>
        </w:rPr>
      </w:pPr>
      <w:r>
        <w:rPr>
          <w:rFonts w:ascii="Courier New" w:cs="Courier New" w:eastAsia="Courier New" w:hAnsi="Courier New"/>
          <w:sz w:val="17"/>
          <w:szCs w:val="17"/>
          <w:color w:val="auto"/>
        </w:rPr>
        <w:t>The Historical Financial Information of AT&amp;T Excluding AT&amp;T Broadband Group May Not Be Representative of its Results Without AT&amp;T Broadband Group and therefore is Not a Reliable Indicator of its Historical or Future Results. AT&amp;T currently includes AT&amp;T Broadband Group as a fully integrated business unit of AT&amp;T; consequently the financial information of AT&amp;T without AT&amp;T Broadband Group included in this document has been derived from the consolidated financial statements and accounting records of AT&amp;T and reflects certain assumptions and allocations. The financial position, results of operations and cash flows of AT&amp;T without AT&amp;T Broadband Group could differ from those that would have resulted had AT&amp;T operated without AT&amp;T Broadband Group or as an entity independent of AT&amp;T Broadband Group.</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Could Incur Material U.S. Federal Income Tax Liabilities in Connection with the AT&amp;T Comcast Transaction. AT&amp;T may incur material U.S. federal income tax liabilities as a result of certain issuances of shares or change of control transactions with respect to AT&amp;T Comcast, Liberty Media Corporation or AT&amp;T Wireless Services, Inc. Under Section 355(e) of the Code, a split-off/spin-off that is otherwise tax free may be taxable to the distributing company (i.e., AT&amp;T) if, as a result of certain transactions occurring generally within a two-year period after the split-off/spin-off, non-historic shareholders acquire 50% or more of the distributing company or the spun-off company. It is possible that transactions with respect to AT&amp;T could cause all three split-offs or spin-offs to be taxable to AT&amp;T.</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Under separate intercompany agreements between AT&amp;T and each of Liberty Media Corporation, AT&amp;T Wireless and AT&amp;T Broadband Corp., AT&amp;T generally will be entitled to indemnification from the spun-off company for any tax liability that results from the split-off or spin-off failing to qualify as a tax-free transaction, unless, in the case of AT&amp;T Wireless and AT&amp;T Comcast, the tax liability was caused by post split-off or spin-off transactions with respect to the stock or assets of AT&amp;T. AT&amp;T Comcast's indemnification obligation is generally limited to 50% of any tax liability that results from the split-off or spin-off failing to qualify as tax free, unless such liability was caused by a post split-off or spin-off transaction with respect to the stock or assets of AT&amp;T Comcast.</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If one or more of the split-offs or spin-offs were taxable to AT&amp;T and AT&amp;T were not indemnified for this tax liability, the liability could have a material adverse effect on AT&amp;T. To the extent AT&amp;T is entitled to an indemnity with respect to the tax liability, AT&amp;T would be required to collect the claim on an unsecured basis.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Total Value of the Securities Following the AT&amp;T Comcast Transaction Might be Less Than the Value of AT&amp;T Common Stock Without the Transaction. If AT&amp;T completes the AT&amp;T Comcast transaction, holders of AT&amp;T common stock that do not dispose of those shares of AT&amp;T common stock eventually will own a new security -- shares of AT&amp;T Comcast -- in addition to their shares of AT&amp;T common stock. The aggregate value of the shares of AT&amp;T Comcast and of the shares of AT&amp;T common stock securities could be less than what the value of AT&amp;T common stock would have been if the AT&amp;T Comcast transaction were not completed. The trading price of AT&amp;T common stock may decline as a result of the AT&amp;T Comcast transaction or as a result of other factors.</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As AT&amp;T completes the AT&amp;T Comcast transaction, shares of AT&amp;T Comcast will begin trading publicly for the first time. Until orderly trading markets develop for each of these new securities, and after that time as well, there may be significant fluctuations in price.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FACTORS RELATING TO THE BUSINESS OF AT&amp;T COMCAST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Actual Financial Position and Results of Operations of AT&amp;T Comcast May Differ Significantly and Adversely From the Pro Forma Amounts Reflected in this Document. Assuming completion of the AT&amp;T Comcast transaction, the actual financial position and results of operations of AT&amp;T Comcast may differ, perhaps significantly and adversely, from the pro forma amounts reflected in the AT&amp;T Comcast Corporation Unaudited Pro Forma Combined Condensed Financial Statements included in this document due to a variety of factors, including access to additional information, changes in value not currently identified and changes in operating results between the date of the pro forma financial data and the date on which the AT&amp;T Comcast transaction is completed.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I-34</w:t>
      </w:r>
    </w:p>
    <w:p>
      <w:pPr>
        <w:sectPr>
          <w:pgSz w:w="11900" w:h="16838" w:orient="portrait"/>
          <w:cols w:equalWidth="0" w:num="1">
            <w:col w:w="10219"/>
          </w:cols>
          <w:pgMar w:left="240" w:top="719" w:right="1440" w:bottom="860" w:gutter="0" w:footer="0" w:header="0"/>
        </w:sectPr>
      </w:pPr>
    </w:p>
    <w:bookmarkStart w:id="49" w:name="page50"/>
    <w:bookmarkEnd w:id="49"/>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in many cases each of Comcast and AT&amp;T Broadband Group has long-term agreements, in some cases with the same counterparties, for the same services and products, such as programming, billing services and interactive programming guides. Comcast and AT&amp;T Broadband Group cannot disclose the terms of many of these contracts to each other because of confidentiality provisions included in these contracts or other legal restrictions. For this and other reasons, it is not clear, in the use of certain services and products, whether after completion of the AT&amp;T Comcast transaction each of the existing agreements will continue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the actual financial position and results of operations of AT&amp;T Comcast to differ significantly and adversely from the pro forma amounts reflected in the AT&amp;T Comcast Corporation Unaudited Pro Forma Combined Condensed Financial Statements included in this document.</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Programming Costs Are Increasing and AT&amp;T Comcast May Not Have the Ability to Pass These Increases on to Its Customers, Which Would Materially Adversely Affect Its Cash Flow and Operating Margins. Programming costs are expected to be AT&amp;T Comcast's largest single expense item. In recent years, the cable and satellite video industries have experienced a rapid increase in the cost of programming, particularly sports programming. This increase is expected to continue, and AT&amp;T Comcast may not be able to pass programming cost increases on to its customers. The inability to pass these programming cost increases on to its customers would have a material adverse impact on its cash flow and operating margins. In addition, as AT&amp;T Comcast upgrades the channel capacity of its systems and adds programming to its basic, expanded basic and digital programming tiers, AT&amp;T Comcast may face increased programming costs, which, in conjunction with the additional market constraints on its ability to pass programming costs on to its customers, may reduce operating margins.</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Comcast also will be subject to increasing financial and other demands by broadcasters to obtain the required consent for the transmission of broadcast programming to its subscribers. Comcast and AT&amp;T cannot predict the financial impact of these negotiations or the effect on AT&amp;T Comcast's subscribers should AT&amp;T Comcast be required to stop offering this programming.</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Comcast Will Face a Wide Range of Competition in Areas Served by its Cable Systems, Which Could Adversely Affect its Future Results of Operations. AT&amp;T Comcast's cable communications systems will compete with a number of different sources which provide news, information and entertainment programming to consumers. AT&amp;T Comcast will compete directly with program distributors and other companies that use satellites, build competing cable systems in the same communities AT&amp;T Comcast will serve or otherwise provide programming and other communications services to AT&amp;T Comcast's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 satellite program distribution and wireless transmission facilities.</w:t>
      </w:r>
    </w:p>
    <w:p>
      <w:pPr>
        <w:spacing w:after="0" w:line="200" w:lineRule="exact"/>
        <w:rPr>
          <w:sz w:val="20"/>
          <w:szCs w:val="20"/>
          <w:color w:val="auto"/>
        </w:rPr>
      </w:pPr>
    </w:p>
    <w:p>
      <w:pPr>
        <w:spacing w:after="0" w:line="203"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Additionally, AT&amp;T Comcast will be subject to competition from telecommunications providers and ISPs in connection with offerings of new and advanced services, including telecommunications and Internet services. This competition may materially adversely affect AT&amp;T Comcast's business and operations in the future.</w:t>
      </w:r>
    </w:p>
    <w:p>
      <w:pPr>
        <w:spacing w:after="0" w:line="197"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AT&amp;T Comcast Will Have Substantial Capital Requirements. AT&amp;T Comcast expects that its capital expenditures will exceed, perhaps significantly, its net cash provided by operations, which may require it to obtain additional financing. Failure to obtain necessary financing could have a material adverse effect on AT&amp;T Comcast.</w:t>
      </w:r>
    </w:p>
    <w:p>
      <w:pPr>
        <w:spacing w:after="0" w:line="197"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Comcast and AT&amp;T anticipate that AT&amp;T Comcast will upgrade a significant portion of its broadband systems over the coming years and make other capital investments, including with respect to its advanced services. AT&amp;T Comcast is expected to incur substantial capital expenditures in future years. The actual amount of the funds required for capital expenditures may vary materially from management's</w:t>
      </w:r>
    </w:p>
    <w:p>
      <w:pPr>
        <w:spacing w:after="0" w:line="3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I-35</w:t>
      </w:r>
    </w:p>
    <w:p>
      <w:pPr>
        <w:sectPr>
          <w:pgSz w:w="11900" w:h="16838" w:orient="portrait"/>
          <w:cols w:equalWidth="0" w:num="1">
            <w:col w:w="10219"/>
          </w:cols>
          <w:pgMar w:left="240" w:top="719" w:right="1440" w:bottom="457" w:gutter="0" w:footer="0" w:header="0"/>
        </w:sectPr>
      </w:pPr>
    </w:p>
    <w:bookmarkStart w:id="50" w:name="page51"/>
    <w:bookmarkEnd w:id="50"/>
    <w:p>
      <w:pPr>
        <w:ind w:right="1839"/>
        <w:spacing w:after="0" w:line="252" w:lineRule="auto"/>
        <w:rPr>
          <w:sz w:val="20"/>
          <w:szCs w:val="20"/>
          <w:color w:val="auto"/>
        </w:rPr>
      </w:pPr>
      <w:r>
        <w:rPr>
          <w:rFonts w:ascii="Courier New" w:cs="Courier New" w:eastAsia="Courier New" w:hAnsi="Courier New"/>
          <w:sz w:val="17"/>
          <w:szCs w:val="17"/>
          <w:color w:val="auto"/>
        </w:rPr>
        <w:t>estimate. The majority of these amounts is expected to be used to acquire equipment (such as set-top boxes, cable modems and telephone equipment) and to pay for installation costs for additional video and advanced services customers. In addition, capital is expected to be used to upgrade and rebuild network systems to expand bandwidth capacity and add two-way capability so that it may offer advanced services. There can be no assurance that these amounts will be sufficient to accomplish the planned system upgrades, equipment acquisitions and expansion.</w:t>
      </w:r>
    </w:p>
    <w:p>
      <w:pPr>
        <w:spacing w:after="0" w:line="397" w:lineRule="exact"/>
        <w:rPr>
          <w:sz w:val="20"/>
          <w:szCs w:val="20"/>
          <w:color w:val="auto"/>
        </w:rPr>
      </w:pPr>
    </w:p>
    <w:p>
      <w:pPr>
        <w:ind w:right="2259" w:firstLine="524"/>
        <w:spacing w:after="0" w:line="253" w:lineRule="auto"/>
        <w:rPr>
          <w:sz w:val="20"/>
          <w:szCs w:val="20"/>
          <w:color w:val="auto"/>
        </w:rPr>
      </w:pPr>
      <w:r>
        <w:rPr>
          <w:rFonts w:ascii="Courier New" w:cs="Courier New" w:eastAsia="Courier New" w:hAnsi="Courier New"/>
          <w:sz w:val="17"/>
          <w:szCs w:val="17"/>
          <w:color w:val="auto"/>
        </w:rPr>
        <w:t>Comcast and AT&amp;T Broadband Group also have commitments under certain of their franchise agreements with local franchising authorities to upgrade and rebuild certain network systems. These commitments may require capital expenditures in order to avoid default and/or penalties.</w:t>
      </w:r>
    </w:p>
    <w:p>
      <w:pPr>
        <w:spacing w:after="0" w:line="195"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Historically, AT&amp;T Broadband Group's capital expenditures have significantly exceeded its net cash provided by operations. For the year ended December 31, 2000 and the nine months ended September 30, 2001, AT&amp;T Broadband Group's capital expenditures exceeded its net cash provided by operations by $3.6 billion and $3.3 billion, respectively. In addition, for the year ended December 31, 2000 and the nine months ended September 30, 2001, Comcast's capital expenditures exceeded its net cash provided by operating activities by $418 million and $437 million, respectively.</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After completion of the AT&amp;T Comcast transaction, AT&amp;T and Comcast expect that for some period of time AT&amp;T Comcast's capital expenditures will exceed, perhaps significantly, its net cash provided by operating activities. This may require AT&amp;T Comcast to obtain additional financing. AT&amp;T Comcast may not be able to obtain or to obtain on favorable terms the capital necessary to fund the substantial capital expenditures described above that are required by its strategy and business plan. A failure to obtain necessary capital or to obtain necessary capital on favorable terms could have a material adverse effect on AT&amp;T Comcast and result in the delay, change or abandonment of AT&amp;T Comcast's development or expansion plans.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Entities that Will Be Included in AT&amp;T Comcast Are Subject to Long-Term Exclusive Agreements that May Limit Their Future Operating Flexibility and Materially Adversely Affect AT&amp;T Comcast's Financial Results. Entities currently attributed to AT&amp;T Broadband Group, and which will be subsidiaries of AT&amp;T Comcast, may be subject to long-term agreements relating to significant aspects of AT&amp;T Broadband Group's operations, including long-term agreements for video programming, audio programming, electronic program guides, billing and other services. For example, TCI Communications, Inc. and Satellite Services, Inc., both affiliates of TCI, are parties to an affiliation term sheet with Starz Encore Group, an affiliate of Liberty Media Group, which extends to 2022 and provides for a fixed price payment (subject to adjustment for various factors, including inflation) and may require AT&amp;T Broadband to pay two-thirds of Starz Encore Group's programming costs above levels designated in the term sheet. Satellite Services, Inc. also entered into a ten-year agreement with TV Guide in January 1999 for interactive program guide services, which designates TV Guide Interactive as the interactive programming guide for AT&amp;T Broadband systems. Furthermore, a subsidiary of AT&amp;T Broadband is party to an agreement that does not expire until December 31, 2012 under which it purchases certain billing services from an unaffiliated third party. The price, terms and conditions of the Starz Encore term sheet, the TV Guide agreement and the billing agreement may not reflect the current market and if one or more of these arrangements continue to apply to AT&amp;T Broadband after completion of the AT&amp;T Comcast transaction, they may materially adversely impact the financial performance of AT&amp;T Comcast.</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By letter dated May 29, 2001, AT&amp;T Broadband Group disputed the enforceability of the excess programming pass through provisions of the Starz Encore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I-36</w:t>
      </w:r>
    </w:p>
    <w:p>
      <w:pPr>
        <w:sectPr>
          <w:pgSz w:w="11900" w:h="16838" w:orient="portrait"/>
          <w:cols w:equalWidth="0" w:num="1">
            <w:col w:w="10219"/>
          </w:cols>
          <w:pgMar w:left="240" w:top="719" w:right="1440" w:bottom="860" w:gutter="0" w:footer="0" w:header="0"/>
        </w:sectPr>
      </w:pPr>
    </w:p>
    <w:bookmarkStart w:id="51" w:name="page52"/>
    <w:bookmarkEnd w:id="51"/>
    <w:p>
      <w:pPr>
        <w:ind w:right="1839"/>
        <w:spacing w:after="0" w:line="257" w:lineRule="auto"/>
        <w:rPr>
          <w:sz w:val="20"/>
          <w:szCs w:val="20"/>
          <w:color w:val="auto"/>
        </w:rPr>
      </w:pPr>
      <w:r>
        <w:rPr>
          <w:rFonts w:ascii="Courier New" w:cs="Courier New" w:eastAsia="Courier New" w:hAnsi="Courier New"/>
          <w:sz w:val="17"/>
          <w:szCs w:val="17"/>
          <w:color w:val="auto"/>
        </w:rPr>
        <w:t>October 30, 2001. The terms of the stay order allow either party to petition the Court to lift the stay after April 30, 2002 and to proceed with the litigation.</w:t>
      </w:r>
    </w:p>
    <w:p>
      <w:pPr>
        <w:spacing w:after="0" w:line="19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Comcast Will Be Subject to Regulation by Federal, State and Local Governments. The federal, state and local governments extensively regulate the cable communications industry. Comcast and AT&amp;T expect that court actions and regulatory proceedings will refine the rights and obligations of various parties, including the government, under the Communications Act of 1934, as amended. The results of these judicial and administrative proceedings may materially affect AT&amp;T Comcast's business operations. Local authorities grant Comcast and AT&amp;T Broadband franchises that permit them to operate their cable systems. AT&amp;T Comcast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Comcast Will Be Subject to Additional Regulatory Burdens in Connection With the Provision of Telecommunications Services, Which Could Cause It to Incur Additional Costs. AT&amp;T Comcast will be subject to risks associated with the regulation of its telecommunications services by the FCC and state public utilities commissions, or PUCs. Telecommunications companies, including companies that have the ability to offer telephone services over the Internet, generally are subject to significant regulation. This regulation could materially adversely affect AT&amp;T Comcast's business operations.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Comcast's Competition May Increase Because of Technological Advances and New Regulatory Requirements, Which Could Adversely Affect its Future Results of Operations. Over the past several years, a number of companies, including telephone companies and Internet Service Providers, commonly known as ISPs, have asked local, state and federal government authorities to mandate that cable communications operators provide capacity on their broadband infrastructure so that these companies and others may deliver Internet and other interactive television services directly to customers over these cable facilities. Some cable operators, including Comcast and AT&amp;T Broadband, have initiated litigation challenging municipal efforts to unilaterally impose so-called "open access" requirements. The few court decisions dealing with this issue have been inconsistent. The FCC recently initiated a regulatory proceeding to consider "open access" and related regulatory issues, and in connection with its review of the AOL-Time Warner merger, imposed, together with the Federal Trade Commission, "open access," technical performance and other requirements related to the merged company's Internet and Instant Messaging platforms. Whether the policy framework reflected in these agencies' merger reviews will be imposed on an industry-wide basis or in connection with the AT&amp;T Comcast transaction is uncertain. In addition, numerous companies, including telephone companies, have introduced Digital Subscriber Line technology, known as DSL, which will allow Internet access to subscribers at data transmission speeds equal to or greater than that of modems over conventional telephone lines.</w:t>
      </w:r>
    </w:p>
    <w:p>
      <w:pPr>
        <w:spacing w:after="0" w:line="202"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Comcast and AT&amp;T expect other advances in communications technology, as well as changes in the marketplace and the regulatory and legislative environment, to occur in the future. Other new technologies and services may develop and may compete with services that cable communications systems offer. The success of these ongoing and future developments could have a negative impact on AT&amp;T Comcast's business and operations.</w:t>
      </w:r>
    </w:p>
    <w:p>
      <w:pPr>
        <w:spacing w:after="0" w:line="197" w:lineRule="exact"/>
        <w:rPr>
          <w:sz w:val="20"/>
          <w:szCs w:val="20"/>
          <w:color w:val="auto"/>
        </w:rPr>
      </w:pPr>
    </w:p>
    <w:p>
      <w:pPr>
        <w:ind w:right="2559" w:firstLine="524"/>
        <w:spacing w:after="0" w:line="251" w:lineRule="auto"/>
        <w:rPr>
          <w:sz w:val="20"/>
          <w:szCs w:val="20"/>
          <w:color w:val="auto"/>
        </w:rPr>
      </w:pPr>
      <w:r>
        <w:rPr>
          <w:rFonts w:ascii="Courier New" w:cs="Courier New" w:eastAsia="Courier New" w:hAnsi="Courier New"/>
          <w:sz w:val="17"/>
          <w:szCs w:val="17"/>
          <w:color w:val="auto"/>
        </w:rPr>
        <w:t>AT&amp;T Comcast, Through AT&amp;T Broadband, Will Have Substantial Economic Interests in Joint Ventures in Which It Will Have Limited Management</w:t>
      </w:r>
    </w:p>
    <w:p>
      <w:pPr>
        <w:ind w:right="1839"/>
        <w:spacing w:after="0" w:line="251" w:lineRule="auto"/>
        <w:rPr>
          <w:sz w:val="20"/>
          <w:szCs w:val="20"/>
          <w:color w:val="auto"/>
        </w:rPr>
      </w:pPr>
      <w:r>
        <w:rPr>
          <w:rFonts w:ascii="Courier New" w:cs="Courier New" w:eastAsia="Courier New" w:hAnsi="Courier New"/>
          <w:sz w:val="17"/>
          <w:szCs w:val="17"/>
          <w:color w:val="auto"/>
        </w:rPr>
        <w:t>Rights. AT&amp;T Broadband Group is a partner in several large joint ventures, such as Time Warner Entertainment, Texas Cable Partners and Kansas City Cable Partners, in which it has a substantial economic interest but does not have substantial control with regard to management policies or the selection of management. These joint ventures may be managed in a manner contrary to the best interests of AT&amp;T Comcast, and the value of AT&amp;T Comcast's investment, through AT&amp;T Broadband, in these joint ventures may be affected by management policies that are determined without input from AT&amp;T Comcast or over the objections of AT&amp;T Comcast.</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I-37</w:t>
      </w:r>
    </w:p>
    <w:p>
      <w:pPr>
        <w:sectPr>
          <w:pgSz w:w="11900" w:h="16838" w:orient="portrait"/>
          <w:cols w:equalWidth="0" w:num="1">
            <w:col w:w="10219"/>
          </w:cols>
          <w:pgMar w:left="240" w:top="719"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7"/>
          <w:szCs w:val="17"/>
          <w:color w:val="auto"/>
        </w:rPr>
        <w:t>RISK FACTOR RELATING TO AT&amp;T'S CREDIT RATING</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AT&amp;T Comcast transaction, if implemented as proposed, would result in a substantial reduction in AT&amp;T's overall debt level. Nevertheless, the AT&amp;T Comcast transaction may not be completed and, even if it is completed, AT&amp;T will continue to have substantial indebtedness. As a result, AT&amp;T shareholders should consider the following additional risk.</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Financial Condition and Prospects of AT&amp;T and the AT&amp;T Groups May be Materially Adversely Affected by Further Ratings Downgrades. In the fall of 2001, all of AT&amp;T's long-term debt ratings were reduced and remain under review for further downgrade. AT&amp;T's current long-term ratings are A3 by Moody's, BBB+ by Standard &amp; Poor's, and A- by Fitch. In addition, all three of AT&amp;T's short-term debt ratings were reduced in the fall of 2001, but are not under further review. These ratings are currently P-2 by Moody's, A-2 by Standard and Poor's, and F-2 by Fitch. Further ratings actions could occur at any time. As a result, the cost of any new financings may be higher. Ratings downgrades by Moody's and Standard &amp; Poor's on the $10 billion AT&amp;T global notes issued November 2001 would also trigger an increase in the interest rate (by 25 basis points for each rating notch downgraded) on these notes. Furthermore, with additional ratings downgrades, AT&amp;T may not have access to the commercial paper market sufficient to satisfy its short-term borrowing needs. If necessary, AT&amp;T could access its short-term credit facilities which currently expire in December 2002 or increase its borrowings under its securitization program.</w:t>
      </w:r>
    </w:p>
    <w:p>
      <w:pPr>
        <w:spacing w:after="0" w:line="202" w:lineRule="exact"/>
        <w:rPr>
          <w:sz w:val="20"/>
          <w:szCs w:val="20"/>
          <w:color w:val="auto"/>
        </w:rPr>
      </w:pPr>
    </w:p>
    <w:p>
      <w:pPr>
        <w:ind w:right="2139" w:firstLine="524"/>
        <w:spacing w:after="0" w:line="251" w:lineRule="auto"/>
        <w:rPr>
          <w:sz w:val="20"/>
          <w:szCs w:val="20"/>
          <w:color w:val="auto"/>
        </w:rPr>
      </w:pPr>
      <w:r>
        <w:rPr>
          <w:rFonts w:ascii="Courier New" w:cs="Courier New" w:eastAsia="Courier New" w:hAnsi="Courier New"/>
          <w:sz w:val="17"/>
          <w:szCs w:val="17"/>
          <w:color w:val="auto"/>
        </w:rPr>
        <w:t>In addition, AT&amp;T's $10 billion global offering includes provisions that would allow investors to require AT&amp;T to repurchase the notes under certain conditions. These conditions include a maximum adjusted debt to EBITDA ratio (adjusted) for pro forma AT&amp;T excluding AT&amp;T Broadband Group of no more than</w:t>
      </w:r>
    </w:p>
    <w:p>
      <w:pPr>
        <w:ind w:right="1839"/>
        <w:spacing w:after="0" w:line="251" w:lineRule="auto"/>
        <w:rPr>
          <w:sz w:val="20"/>
          <w:szCs w:val="20"/>
          <w:color w:val="auto"/>
        </w:rPr>
      </w:pPr>
      <w:r>
        <w:rPr>
          <w:rFonts w:ascii="Courier New" w:cs="Courier New" w:eastAsia="Courier New" w:hAnsi="Courier New"/>
          <w:sz w:val="17"/>
          <w:szCs w:val="17"/>
          <w:color w:val="auto"/>
        </w:rPr>
        <w:t>2.75 times at specified times and a minimum rating of these notes of no lower than Baa3 from Moody's and BBB- from Standard and Poor's. If the ratings are Baa3 or BBB-, the minimum rating requirement will be satisfied if the ratings are not under review for downgrade or on CreditWatch with negative implications, respectively. If AT&amp;T is required to repurchase the notes, it may not be able to obtain sufficient financing in the timeframe required. In addition, such replacement financing may be more costly or have additional covenants than current debt.</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To the extent that the combined outstanding short-term borrowings under the bank credit facilities and AT&amp;T's commercial paper program were to exceed the market capacity for such borrowings at the expiration of the bank credit facilities, AT&amp;T's continued liquidity would depend upon its ability to reduce such short-term debt through a combination of capital market borrowings, asset sales, operational cash generation, capital expenditure reduction and other means. AT&amp;T's ability to achieve such objectives is subject to a risk of execution and such execution could materially impact AT&amp;T's operational results. In addition, the cost of any capital market financing could be significantly in excess of AT&amp;T's historical financing costs. Also, AT&amp;T could suffer negative banking, investor, and public relations repercussions if AT&amp;T were to draw upon the bank facilities, which are intended to serve as a back-up source of liquidity only. Such impacts could cause further deterioration in AT&amp;T's cost of and access to capital.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FACTORS RELATING TO AT&amp;T CONSUMER SERVICES GROUP TRACKING STOCK</w:t>
      </w:r>
    </w:p>
    <w:p>
      <w:pPr>
        <w:spacing w:after="0" w:line="210" w:lineRule="exact"/>
        <w:rPr>
          <w:sz w:val="20"/>
          <w:szCs w:val="20"/>
          <w:color w:val="auto"/>
        </w:rPr>
      </w:pPr>
    </w:p>
    <w:p>
      <w:pPr>
        <w:jc w:val="both"/>
        <w:ind w:right="2039" w:firstLine="524"/>
        <w:spacing w:after="0" w:line="254" w:lineRule="auto"/>
        <w:rPr>
          <w:sz w:val="20"/>
          <w:szCs w:val="20"/>
          <w:color w:val="auto"/>
        </w:rPr>
      </w:pPr>
      <w:r>
        <w:rPr>
          <w:rFonts w:ascii="Courier New" w:cs="Courier New" w:eastAsia="Courier New" w:hAnsi="Courier New"/>
          <w:sz w:val="17"/>
          <w:szCs w:val="17"/>
          <w:color w:val="auto"/>
        </w:rPr>
        <w:t>Holders of shares of AT&amp;T common stock should consider the following risk factors in deciding whether to vote for approval of the AT&amp;T Consumer Services Group tracking stock proposal.</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Market Price of AT&amp;T Consumer Services Group Tracking Stock May Not Reflect the Financial Performance and Economic Value of AT&amp;T Consumer Services Group as Intended and May Not Effectively Track the Separate Performance of AT&amp;T Consumer Services Group. The market price of AT&amp;T Consumer Services Group tracking stock may not in fact reflect the financial performance and economic value of AT&amp;T Consumer Services Group as intended. Holders of AT&amp;T Consumer Services Group tracking stock will continue to be common shareholders of AT&amp;T, and, as such, will be subject to all risks associated with an investment in AT&amp;T and all of its businesses, assets and liabilities. The performance of AT&amp;T as a whole may affect the market price of AT&amp;T Consumer Services Group tracking stock or the market price could more independently reflect the performance of the business of</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I-38</w:t>
      </w:r>
    </w:p>
    <w:p>
      <w:pPr>
        <w:sectPr>
          <w:pgSz w:w="11900" w:h="16838" w:orient="portrait"/>
          <w:cols w:equalWidth="0" w:num="1">
            <w:col w:w="10219"/>
          </w:cols>
          <w:pgMar w:left="240" w:top="719" w:right="1440" w:bottom="1062" w:gutter="0" w:footer="0" w:header="0"/>
        </w:sectPr>
      </w:pPr>
    </w:p>
    <w:bookmarkStart w:id="53" w:name="page54"/>
    <w:bookmarkEnd w:id="53"/>
    <w:p>
      <w:pPr>
        <w:ind w:right="1839"/>
        <w:spacing w:after="0" w:line="254" w:lineRule="auto"/>
        <w:rPr>
          <w:sz w:val="20"/>
          <w:szCs w:val="20"/>
          <w:color w:val="auto"/>
        </w:rPr>
      </w:pPr>
      <w:r>
        <w:rPr>
          <w:rFonts w:ascii="Courier New" w:cs="Courier New" w:eastAsia="Courier New" w:hAnsi="Courier New"/>
          <w:sz w:val="17"/>
          <w:szCs w:val="17"/>
          <w:color w:val="auto"/>
        </w:rPr>
        <w:t>AT&amp;T Consumer Services Group. Investors may discount the value of AT&amp;T Consumer Services Group tracking stock because it is part of a common enterprise with the rest of the operations of AT&amp;T rather than a stand-alone entity.</w:t>
      </w:r>
    </w:p>
    <w:p>
      <w:pPr>
        <w:spacing w:after="0" w:line="194"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Combined Market Prices of AT&amp;T Common Stock and AT&amp;T Consumer Services Group Tracking Stock May Not Equal or Exceed the Market Price of AT&amp;T Common Stock Before the Distribution of AT&amp;T Consumer Services Group Tracking Stock, and No Market Currently Exists for AT&amp;T Consumer Services Group Tracking Stock. Investors may not assign values to AT&amp;T common stock or AT&amp;T Consumer Services Group tracking stock based on the reported financial results and prospects of the AT&amp;T groups or the dividend policies established by the AT&amp;T Board with respect to that class of AT&amp;T common stock.</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Because there has been no prior market for AT&amp;T Consumer Services Group tracking stock, there can be no assurances as to how AT&amp;T Consumer Services Group tracking stock will trade or if an active market for AT&amp;T Consumer Services Group tracking stock will be maintained. In addition, AT&amp;T does not expect that shares of AT&amp;T Consumer Services Group tracking stock will be included in the Standard &amp; Poor's 500 Index. The failure to be included in that index could have an adverse effect on the market price of the shares. In addition, AT&amp;T cannot predict the market impact of some of the terms of AT&amp;T Consumer Services Group tracking stock, such as:</w:t>
      </w:r>
    </w:p>
    <w:p>
      <w:pPr>
        <w:spacing w:after="0" w:line="201" w:lineRule="exact"/>
        <w:rPr>
          <w:sz w:val="20"/>
          <w:szCs w:val="20"/>
          <w:color w:val="auto"/>
        </w:rPr>
      </w:pPr>
    </w:p>
    <w:p>
      <w:pPr>
        <w:ind w:left="740" w:right="2679" w:hanging="209"/>
        <w:spacing w:after="0" w:line="257" w:lineRule="auto"/>
        <w:tabs>
          <w:tab w:leader="none" w:pos="74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relative voting rights of AT&amp;T common stock and AT&amp;T Consumer Services Group tracking stock, and</w:t>
      </w:r>
    </w:p>
    <w:p>
      <w:pPr>
        <w:spacing w:after="0" w:line="191" w:lineRule="exact"/>
        <w:rPr>
          <w:rFonts w:ascii="Courier New" w:cs="Courier New" w:eastAsia="Courier New" w:hAnsi="Courier New"/>
          <w:sz w:val="17"/>
          <w:szCs w:val="17"/>
          <w:color w:val="auto"/>
        </w:rPr>
      </w:pPr>
    </w:p>
    <w:p>
      <w:pPr>
        <w:ind w:left="740" w:right="2139" w:hanging="209"/>
        <w:spacing w:after="0" w:line="257" w:lineRule="auto"/>
        <w:tabs>
          <w:tab w:leader="none" w:pos="74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discretion of the AT&amp;T Board to make determinations affecting AT&amp;T Consumer Services Group tracking stock.</w:t>
      </w:r>
    </w:p>
    <w:p>
      <w:pPr>
        <w:spacing w:after="0" w:line="192"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The AT&amp;T Board Has the Flexibility to Treat AT&amp;T Consumer Services Group Tracking Stock a Number of Different Ways in the Event of a Future Merger or Other Transaction Involving AT&amp;T; the AT&amp;T Board is Under No Obligation to Select the Alternative that will Treat Holders Most Favorably.</w:t>
      </w:r>
    </w:p>
    <w:p>
      <w:pPr>
        <w:spacing w:after="0" w:line="195"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The terms of AT&amp;T Consumer Services Group tracking stock provide the AT&amp;T Board considerable flexibility in the event of a future merger or other transaction involving AT&amp;T. For example, depending on the circumstances, the AT&amp;T Board could</w:t>
      </w:r>
    </w:p>
    <w:p>
      <w:pPr>
        <w:spacing w:after="0" w:line="195" w:lineRule="exact"/>
        <w:rPr>
          <w:sz w:val="20"/>
          <w:szCs w:val="20"/>
          <w:color w:val="auto"/>
        </w:rPr>
      </w:pPr>
    </w:p>
    <w:p>
      <w:pPr>
        <w:ind w:left="740" w:right="2039" w:hanging="199"/>
        <w:spacing w:after="0" w:line="257" w:lineRule="auto"/>
        <w:tabs>
          <w:tab w:leader="none" w:pos="720" w:val="left"/>
        </w:tabs>
        <w:rPr>
          <w:sz w:val="20"/>
          <w:szCs w:val="20"/>
          <w:color w:val="auto"/>
        </w:rPr>
      </w:pPr>
      <w:r>
        <w:rPr>
          <w:rFonts w:ascii="Courier New" w:cs="Courier New" w:eastAsia="Courier New" w:hAnsi="Courier New"/>
          <w:sz w:val="17"/>
          <w:szCs w:val="17"/>
          <w:color w:val="auto"/>
        </w:rPr>
        <w:t>-</w:t>
        <w:tab/>
        <w:t>exercise its right to redeem the shares of AT&amp;T Consumer Services Group tracking stock for shares of AT&amp;T common stock at a % premium;</w:t>
      </w:r>
    </w:p>
    <w:p>
      <w:pPr>
        <w:spacing w:after="0" w:line="192" w:lineRule="exact"/>
        <w:rPr>
          <w:sz w:val="20"/>
          <w:szCs w:val="20"/>
          <w:color w:val="auto"/>
        </w:rPr>
      </w:pPr>
    </w:p>
    <w:p>
      <w:pPr>
        <w:ind w:left="740" w:right="1939" w:hanging="209"/>
        <w:spacing w:after="0" w:line="257" w:lineRule="auto"/>
        <w:tabs>
          <w:tab w:leader="none" w:pos="74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roll over the shares of AT&amp;T Consumer Services Group tracking stock into a comparable tracking stock of a new entity;</w:t>
      </w:r>
    </w:p>
    <w:p>
      <w:pPr>
        <w:spacing w:after="0" w:line="191" w:lineRule="exact"/>
        <w:rPr>
          <w:rFonts w:ascii="Courier New" w:cs="Courier New" w:eastAsia="Courier New" w:hAnsi="Courier New"/>
          <w:sz w:val="17"/>
          <w:szCs w:val="17"/>
          <w:color w:val="auto"/>
        </w:rPr>
      </w:pPr>
    </w:p>
    <w:p>
      <w:pPr>
        <w:ind w:left="740" w:right="2039" w:hanging="209"/>
        <w:spacing w:after="0" w:line="257" w:lineRule="auto"/>
        <w:tabs>
          <w:tab w:leader="none" w:pos="74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redeem the shares of AT&amp;T Consumer Services Group tracking stock in connection with a tax-free spin-off of AT&amp;T Consumer Services Group; or</w:t>
      </w:r>
    </w:p>
    <w:p>
      <w:pPr>
        <w:spacing w:after="0" w:line="191" w:lineRule="exact"/>
        <w:rPr>
          <w:rFonts w:ascii="Courier New" w:cs="Courier New" w:eastAsia="Courier New" w:hAnsi="Courier New"/>
          <w:sz w:val="17"/>
          <w:szCs w:val="17"/>
          <w:color w:val="auto"/>
        </w:rPr>
      </w:pPr>
    </w:p>
    <w:p>
      <w:pPr>
        <w:ind w:left="740" w:right="2259" w:hanging="209"/>
        <w:spacing w:after="0" w:line="254" w:lineRule="auto"/>
        <w:tabs>
          <w:tab w:leader="none" w:pos="74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redeem all or a portion of the shares of AT&amp;T Consumer Services Group tracking stock in exchange for the net after-tax proceeds of a disposition of AT&amp;T Consumer Services Group.</w:t>
      </w:r>
    </w:p>
    <w:p>
      <w:pPr>
        <w:spacing w:after="0" w:line="194"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The holders of the shares of AT&amp;T Consumer Services Group tracking stock could receive consideration with very different values under each of the alternatives. It is also possible that a particular alternative may not be available in connection with a specific transaction. For example, AT&amp;T may not be able to structure a spin-off of AT&amp;T Consumer Services Group on a tax-free basis at a particular time.</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selecting an alternative, the AT&amp;T Board will make its determination based on what is in the best interests of all shareholders of AT&amp;T as a whole. The AT&amp;T Board has no duty to select the alternative that will result in the best economic treatment for holders of the shares of AT&amp;T Consumer Services Group tracking stock. For example, the selection of an alternative may depend on whether it is advisable for AT&amp;T to dispose of AT&amp;T Consumer Services Group in connection with a particular transaction. The terms of AT&amp;T Consumer Services Group tracking stock provide that to the extent permitted by law neither the holders of the shares of AT&amp;T Consumer Services Group tracking stock nor the holders of any</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I-39</w:t>
      </w:r>
    </w:p>
    <w:p>
      <w:pPr>
        <w:sectPr>
          <w:pgSz w:w="11900" w:h="16838" w:orient="portrait"/>
          <w:cols w:equalWidth="0" w:num="1">
            <w:col w:w="10219"/>
          </w:cols>
          <w:pgMar w:left="240" w:top="719" w:right="1440" w:bottom="1440" w:gutter="0" w:footer="0" w:header="0"/>
        </w:sectPr>
      </w:pPr>
    </w:p>
    <w:bookmarkStart w:id="54" w:name="page55"/>
    <w:bookmarkEnd w:id="54"/>
    <w:p>
      <w:pPr>
        <w:ind w:right="2879"/>
        <w:spacing w:after="0" w:line="257" w:lineRule="auto"/>
        <w:rPr>
          <w:sz w:val="20"/>
          <w:szCs w:val="20"/>
          <w:color w:val="auto"/>
        </w:rPr>
      </w:pPr>
      <w:r>
        <w:rPr>
          <w:rFonts w:ascii="Courier New" w:cs="Courier New" w:eastAsia="Courier New" w:hAnsi="Courier New"/>
          <w:sz w:val="17"/>
          <w:szCs w:val="17"/>
          <w:color w:val="auto"/>
        </w:rPr>
        <w:t>other class of common stock of AT&amp;T will have any claim based on which alternative the AT&amp;T Board selects.</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Complex Nature of the Terms of AT&amp;T Consumer Services Group Tracking Stock, or Confusion in the Marketplace About What a Tracking Stock is, Could Materially Adversely Affect the Market Prices of AT&amp;T Consumer Services Group Tracking Stock. Tracking stocks, like AT&amp;T Consumer Services Group tracking stock, are more complex than traditional common stock, and are not directly or entirely comparable to common stock of companies that have been spun off by their parent companies. The complex nature of the terms of AT&amp;T Consumer Services Group tracking stock, and the potential difficulties investors may have in understanding these terms, may materially adversely affect the market price of AT&amp;T Consumer Services Group tracking stock. Examples of these terms include:</w:t>
      </w:r>
    </w:p>
    <w:p>
      <w:pPr>
        <w:spacing w:after="0" w:line="201" w:lineRule="exact"/>
        <w:rPr>
          <w:sz w:val="20"/>
          <w:szCs w:val="20"/>
          <w:color w:val="auto"/>
        </w:rPr>
      </w:pPr>
    </w:p>
    <w:p>
      <w:pPr>
        <w:ind w:left="740" w:right="2139" w:hanging="209"/>
        <w:spacing w:after="0" w:line="257" w:lineRule="auto"/>
        <w:tabs>
          <w:tab w:leader="none" w:pos="7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discretion of the AT&amp;T Board to make determinations affecting AT&amp;T Consumer Services Group tracking stock,</w:t>
      </w:r>
    </w:p>
    <w:p>
      <w:pPr>
        <w:spacing w:after="0" w:line="191" w:lineRule="exact"/>
        <w:rPr>
          <w:rFonts w:ascii="Courier New" w:cs="Courier New" w:eastAsia="Courier New" w:hAnsi="Courier New"/>
          <w:sz w:val="17"/>
          <w:szCs w:val="17"/>
          <w:color w:val="auto"/>
        </w:rPr>
      </w:pPr>
    </w:p>
    <w:p>
      <w:pPr>
        <w:ind w:left="740" w:right="2459" w:hanging="209"/>
        <w:spacing w:after="0" w:line="257" w:lineRule="auto"/>
        <w:tabs>
          <w:tab w:leader="none" w:pos="7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rights in the event of a proposed spin-off or disposition of substantially all the assets of AT&amp;T Consumer Services Group,</w:t>
      </w:r>
    </w:p>
    <w:p>
      <w:pPr>
        <w:spacing w:after="0" w:line="191"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ability of AT&amp;T to roll AT&amp;T Consumer Services Group tracking stock over into a tracking stock of a new entity in the event of a merger or other business combination, or</w:t>
      </w:r>
    </w:p>
    <w:p>
      <w:pPr>
        <w:spacing w:after="0" w:line="194" w:lineRule="exact"/>
        <w:rPr>
          <w:rFonts w:ascii="Courier New" w:cs="Courier New" w:eastAsia="Courier New" w:hAnsi="Courier New"/>
          <w:sz w:val="17"/>
          <w:szCs w:val="17"/>
          <w:color w:val="auto"/>
        </w:rPr>
      </w:pPr>
    </w:p>
    <w:p>
      <w:pPr>
        <w:ind w:left="740" w:right="2259" w:hanging="209"/>
        <w:spacing w:after="0" w:line="257" w:lineRule="auto"/>
        <w:tabs>
          <w:tab w:leader="none" w:pos="74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ability of AT&amp;T to convert shares of AT&amp;T Consumer Services Group tracking stock into shares of AT&amp;T common stock.</w:t>
      </w:r>
    </w:p>
    <w:p>
      <w:pPr>
        <w:spacing w:after="0" w:line="19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Confusion in the marketplace about what a tracking stock is and what it is intended to represent, and/or investors' reluctance to invest in tracking stocks, also could materially adversely affect the market price of AT&amp;T Consumer Services Group tracking stock.</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Holders of AT&amp;T Common Stock and AT&amp;T Consumer Services Group Tracking Stock will be Shareholders of One Company and, Therefore, Financial Impacts on One AT&amp;T Group Could Affect the Other AT&amp;T Group. Holders of AT&amp;T common stock and AT&amp;T Consumer Services Group tracking stock all will be common shareholders of AT&amp;T. As such, they will be subject to various risks associated with an investment in a single company and all of AT&amp;T's businesses, assets and liabilities. Financial effects arising from one AT&amp;T group that affect AT&amp;T's consolidated results of operations or financial condition could, if significant, affect the combined results of operations or financial position of the other AT&amp;T group or the market price of the class of common shares relating to the other AT&amp;T group.</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In addition, if AT&amp;T or any of its subsidiaries were to incur significant indebtedness on behalf of an AT&amp;T group, including indebtedness incurred or assumed in connection with an acquisition or investment, it could affect the credit rating of AT&amp;T and its subsidiaries. This, in turn, could increase the borrowing costs of the other AT&amp;T group and AT&amp;T as a whole. Net losses of either AT&amp;T group and dividends or distributions on shares of any class of common or preferred stock will reduce the funds of AT&amp;T legally available for payment of future dividends on each of AT&amp;T common stock and AT&amp;T Consumer Services Group tracking stock. For these reasons, you should read AT&amp;T's consolidated financial information together with the financial information of AT&amp;T Consumer Services Group.</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Holders of AT&amp;T Consumer Services Group Tracking Stock will have Limited Separate Shareholder Rights, and will have No Additional Rights Specific to AT&amp;T Consumer Services Group, Including Direct Voting Rights. Holders of AT&amp;T Consumer Services Group tracking stock will not have any direct voting rights in AT&amp;T Consumer Services Group, except to the extent required under AT&amp;T's charter or by New York law. AT&amp;T will not hold separate meetings for holders of AT&amp;T Consumer Services Group tracking stock. When a vote is taken on any matter as to which all of AT&amp;T's common shares are voting together as one class, any class or series of AT&amp;T's common shares that is entitled to more than the number of votes required to approve the matter being voted upon will be in a position to control the outcome of the vote on that matter.</w:t>
      </w:r>
    </w:p>
    <w:p>
      <w:pPr>
        <w:spacing w:after="0" w:line="201"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Each share of AT&amp;T common stock has one vote per share. Each share of AT&amp;T Consumer Services Group tracking stock will have [ ] of a vote per share.</w:t>
      </w: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I-40</w:t>
      </w:r>
    </w:p>
    <w:p>
      <w:pPr>
        <w:sectPr>
          <w:pgSz w:w="11900" w:h="16838" w:orient="portrait"/>
          <w:cols w:equalWidth="0" w:num="1">
            <w:col w:w="10219"/>
          </w:cols>
          <w:pgMar w:left="240" w:top="719" w:right="1440" w:bottom="860" w:gutter="0" w:footer="0" w:header="0"/>
        </w:sectPr>
      </w:pPr>
    </w:p>
    <w:bookmarkStart w:id="55" w:name="page56"/>
    <w:bookmarkEnd w:id="55"/>
    <w:p>
      <w:pPr>
        <w:ind w:right="1839" w:firstLine="524"/>
        <w:spacing w:after="0" w:line="252" w:lineRule="auto"/>
        <w:rPr>
          <w:sz w:val="20"/>
          <w:szCs w:val="20"/>
          <w:color w:val="auto"/>
        </w:rPr>
      </w:pPr>
      <w:r>
        <w:rPr>
          <w:rFonts w:ascii="Courier New" w:cs="Courier New" w:eastAsia="Courier New" w:hAnsi="Courier New"/>
          <w:sz w:val="17"/>
          <w:szCs w:val="17"/>
          <w:color w:val="auto"/>
        </w:rPr>
        <w:t>Holders of AT&amp;T Consumer Services Group Tracking Stock May Have Potentially Diverging Interests from Holders of Other Classes of AT&amp;T Capital Stock. The existence of separate classes of AT&amp;T common stock could give rise to occasions when the interests of the holders of AT&amp;T common stock and holders of AT&amp;T Consumer Services Group tracking stock diverge, conflict or appear to diverge or conflict. Examples include determinations by the AT&amp;T Board to:</w:t>
      </w:r>
    </w:p>
    <w:p>
      <w:pPr>
        <w:spacing w:after="0" w:line="197" w:lineRule="exact"/>
        <w:rPr>
          <w:sz w:val="20"/>
          <w:szCs w:val="20"/>
          <w:color w:val="auto"/>
        </w:rPr>
      </w:pPr>
    </w:p>
    <w:p>
      <w:pPr>
        <w:ind w:left="740" w:right="1839" w:hanging="209"/>
        <w:spacing w:after="0" w:line="253" w:lineRule="auto"/>
        <w:tabs>
          <w:tab w:leader="none" w:pos="74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 priorities for use of capital and debt capacity, including by loaning the cash flow of AT&amp;T Consumer Services Group to AT&amp;T Business Services Group, making it currently unavailable to support the growth and operations of AT&amp;T Consumer Services Group,</w:t>
      </w:r>
    </w:p>
    <w:p>
      <w:pPr>
        <w:spacing w:after="0" w:line="195" w:lineRule="exact"/>
        <w:rPr>
          <w:rFonts w:ascii="Courier New" w:cs="Courier New" w:eastAsia="Courier New" w:hAnsi="Courier New"/>
          <w:sz w:val="17"/>
          <w:szCs w:val="17"/>
          <w:color w:val="auto"/>
        </w:rPr>
      </w:pPr>
    </w:p>
    <w:p>
      <w:pPr>
        <w:ind w:left="740" w:right="2559" w:hanging="209"/>
        <w:spacing w:after="0" w:line="257" w:lineRule="auto"/>
        <w:tabs>
          <w:tab w:leader="none" w:pos="74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or omit the payments of dividends on AT&amp;T common stock or AT&amp;T Consumer Services Group tracking stock,</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approve dispositions of assets attributed to either AT&amp;T group,</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formulate public policy positions for AT&amp;T,</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establish material commercial relationships between the AT&amp;T groups, and</w:t>
      </w:r>
    </w:p>
    <w:p>
      <w:pPr>
        <w:spacing w:after="0" w:line="210"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operational, financial and purchasing decisions with respect to one AT&amp;T group that could be considered to be detrimental to the other AT&amp;T group.</w:t>
      </w:r>
    </w:p>
    <w:p>
      <w:pPr>
        <w:spacing w:after="0" w:line="194"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positions on public policy or regulatory matters that benefit one AT&amp;T group more than the other AT&amp;T group or that have disproportionate impacts on the individual groups.</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 Decision by the AT&amp;T Board to Dispose of Assets Attributed to AT&amp;T Consumer Services Group Could have a Material Adverse Impact on the Trading Price of AT&amp;T Consumer Services Group Tracking Stock. Assuming AT&amp;T Consumer Services Group's assets at the applicable time continue to represent less than substantially all of the assets of AT&amp;T as a whole, the AT&amp;T Board could, in its sole discretion and without shareholder approval, approve sales and other dispositions of all or any portion of the assets of AT&amp;T Consumer Services Group.</w:t>
      </w:r>
    </w:p>
    <w:p>
      <w:pPr>
        <w:spacing w:after="0" w:line="3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In the event of a disposition of all or substantially all of the properties and assets attributed to AT&amp;T Consumer Services Group, generally defined as 80% or more of the fair value of AT&amp;T Consumer Services Group, with several exceptions, AT&amp;T will be required under AT&amp;T's charter to:</w:t>
      </w:r>
    </w:p>
    <w:p>
      <w:pPr>
        <w:spacing w:after="0" w:line="195"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 convert each outstanding share of the affected tracking stock into shares</w:t>
      </w:r>
    </w:p>
    <w:p>
      <w:pPr>
        <w:spacing w:after="0" w:line="9" w:lineRule="exact"/>
        <w:rPr>
          <w:sz w:val="20"/>
          <w:szCs w:val="20"/>
          <w:color w:val="auto"/>
        </w:rPr>
      </w:pPr>
    </w:p>
    <w:p>
      <w:pPr>
        <w:ind w:left="740"/>
        <w:spacing w:after="0"/>
        <w:tabs>
          <w:tab w:leader="none" w:pos="4080" w:val="left"/>
        </w:tabs>
        <w:rPr>
          <w:sz w:val="20"/>
          <w:szCs w:val="20"/>
          <w:color w:val="auto"/>
        </w:rPr>
      </w:pPr>
      <w:r>
        <w:rPr>
          <w:rFonts w:ascii="Courier New" w:cs="Courier New" w:eastAsia="Courier New" w:hAnsi="Courier New"/>
          <w:sz w:val="17"/>
          <w:szCs w:val="17"/>
          <w:color w:val="auto"/>
        </w:rPr>
        <w:t>of AT&amp;T common stock at a [</w:t>
      </w:r>
      <w:r>
        <w:rPr>
          <w:sz w:val="20"/>
          <w:szCs w:val="20"/>
          <w:color w:val="auto"/>
        </w:rPr>
        <w:tab/>
      </w:r>
      <w:r>
        <w:rPr>
          <w:rFonts w:ascii="Courier New" w:cs="Courier New" w:eastAsia="Courier New" w:hAnsi="Courier New"/>
          <w:sz w:val="17"/>
          <w:szCs w:val="17"/>
          <w:color w:val="auto"/>
        </w:rPr>
        <w:t>]% premium, or</w:t>
      </w:r>
    </w:p>
    <w:p>
      <w:pPr>
        <w:spacing w:after="0" w:line="210" w:lineRule="exact"/>
        <w:rPr>
          <w:sz w:val="20"/>
          <w:szCs w:val="20"/>
          <w:color w:val="auto"/>
        </w:rPr>
      </w:pPr>
    </w:p>
    <w:p>
      <w:pPr>
        <w:ind w:left="740" w:right="1839" w:hanging="209"/>
        <w:spacing w:after="0" w:line="254" w:lineRule="auto"/>
        <w:tabs>
          <w:tab w:leader="none" w:pos="74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distribute cash and/or securities, other than AT&amp;T common stock, or other property equal to the fair value of the net after-tax proceeds from that disposition allocable to AT&amp;T Consumer Services Group tracking stock, or</w:t>
      </w:r>
    </w:p>
    <w:p>
      <w:pPr>
        <w:spacing w:after="0" w:line="194" w:lineRule="exact"/>
        <w:rPr>
          <w:rFonts w:ascii="Courier New" w:cs="Courier New" w:eastAsia="Courier New" w:hAnsi="Courier New"/>
          <w:sz w:val="17"/>
          <w:szCs w:val="17"/>
          <w:color w:val="auto"/>
        </w:rPr>
      </w:pPr>
    </w:p>
    <w:p>
      <w:pPr>
        <w:ind w:left="740" w:right="2459" w:hanging="209"/>
        <w:spacing w:after="0" w:line="257" w:lineRule="auto"/>
        <w:tabs>
          <w:tab w:leader="none" w:pos="74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 combination of the actions described in the preceding bullet points.</w:t>
      </w:r>
    </w:p>
    <w:p>
      <w:pPr>
        <w:spacing w:after="0" w:line="192" w:lineRule="exact"/>
        <w:rPr>
          <w:sz w:val="20"/>
          <w:szCs w:val="20"/>
          <w:color w:val="auto"/>
        </w:rPr>
      </w:pPr>
    </w:p>
    <w:p>
      <w:pPr>
        <w:jc w:val="both"/>
        <w:ind w:right="1939"/>
        <w:spacing w:after="0" w:line="254" w:lineRule="auto"/>
        <w:rPr>
          <w:sz w:val="20"/>
          <w:szCs w:val="20"/>
          <w:color w:val="auto"/>
        </w:rPr>
      </w:pPr>
      <w:r>
        <w:rPr>
          <w:rFonts w:ascii="Courier New" w:cs="Courier New" w:eastAsia="Courier New" w:hAnsi="Courier New"/>
          <w:sz w:val="17"/>
          <w:szCs w:val="17"/>
          <w:color w:val="auto"/>
        </w:rPr>
        <w:t>If a disposition of this type occurs, since holders may only receive an amount determined by reference to net after-tax proceeds, the disposition could have a material adverse impact on AT&amp;T Consumer Services Group tracking stock.</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AT&amp;T Board is not required to select the option that would result in the distribution with the highest value to the holders of AT&amp;T Consumer Services Group tracking stock.</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In addition, under New York law, the AT&amp;T Board could decline to dispose of AT&amp;T Consumer Services Group assets, even if a majority of the holders of AT&amp;T Consumer Services Group tracking stock request this disposition.</w:t>
      </w:r>
    </w:p>
    <w:p>
      <w:pPr>
        <w:spacing w:after="0" w:line="194" w:lineRule="exact"/>
        <w:rPr>
          <w:sz w:val="20"/>
          <w:szCs w:val="20"/>
          <w:color w:val="auto"/>
        </w:rPr>
      </w:pPr>
    </w:p>
    <w:p>
      <w:pPr>
        <w:ind w:right="2259" w:firstLine="524"/>
        <w:spacing w:after="0" w:line="254" w:lineRule="auto"/>
        <w:rPr>
          <w:sz w:val="20"/>
          <w:szCs w:val="20"/>
          <w:color w:val="auto"/>
        </w:rPr>
      </w:pPr>
      <w:r>
        <w:rPr>
          <w:rFonts w:ascii="Courier New" w:cs="Courier New" w:eastAsia="Courier New" w:hAnsi="Courier New"/>
          <w:sz w:val="17"/>
          <w:szCs w:val="17"/>
          <w:color w:val="auto"/>
        </w:rPr>
        <w:t>AT&amp;T May Make Operational and Financial Decisions that Benefit One AT&amp;T Group More than the Other AT&amp;T Group. The AT&amp;T Board could, in its sole discretion, from time to time, make operational</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I-41</w:t>
      </w:r>
    </w:p>
    <w:p>
      <w:pPr>
        <w:sectPr>
          <w:pgSz w:w="11900" w:h="16838" w:orient="portrait"/>
          <w:cols w:equalWidth="0" w:num="1">
            <w:col w:w="10219"/>
          </w:cols>
          <w:pgMar w:left="240" w:top="719" w:right="1440" w:bottom="1440" w:gutter="0" w:footer="0" w:header="0"/>
        </w:sectPr>
      </w:pPr>
    </w:p>
    <w:bookmarkStart w:id="56" w:name="page57"/>
    <w:bookmarkEnd w:id="56"/>
    <w:p>
      <w:pPr>
        <w:ind w:right="1839"/>
        <w:spacing w:after="0" w:line="257" w:lineRule="auto"/>
        <w:rPr>
          <w:sz w:val="20"/>
          <w:szCs w:val="20"/>
          <w:color w:val="auto"/>
        </w:rPr>
      </w:pPr>
      <w:r>
        <w:rPr>
          <w:rFonts w:ascii="Courier New" w:cs="Courier New" w:eastAsia="Courier New" w:hAnsi="Courier New"/>
          <w:sz w:val="17"/>
          <w:szCs w:val="17"/>
          <w:color w:val="auto"/>
        </w:rPr>
        <w:t>and financial decisions or implement policies that affect disproportionately the businesses of either AT&amp;T group. These decisions could include:</w:t>
      </w:r>
    </w:p>
    <w:p>
      <w:pPr>
        <w:spacing w:after="0" w:line="192" w:lineRule="exact"/>
        <w:rPr>
          <w:sz w:val="20"/>
          <w:szCs w:val="20"/>
          <w:color w:val="auto"/>
        </w:rPr>
      </w:pPr>
    </w:p>
    <w:p>
      <w:pPr>
        <w:ind w:left="740" w:right="2559" w:hanging="209"/>
        <w:spacing w:after="0" w:line="257" w:lineRule="auto"/>
        <w:tabs>
          <w:tab w:leader="none" w:pos="74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allocation of financing opportunities in the public markets or the refinancing of existing indebtedness,</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allocation of business opportunities, resources and personnel,</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loans or other transfers of funds from one group to the other,</w:t>
      </w:r>
    </w:p>
    <w:p>
      <w:pPr>
        <w:spacing w:after="0" w:line="210" w:lineRule="exact"/>
        <w:rPr>
          <w:rFonts w:ascii="Courier New" w:cs="Courier New" w:eastAsia="Courier New" w:hAnsi="Courier New"/>
          <w:sz w:val="17"/>
          <w:szCs w:val="17"/>
          <w:color w:val="auto"/>
        </w:rPr>
      </w:pPr>
    </w:p>
    <w:p>
      <w:pPr>
        <w:ind w:left="740" w:right="2679" w:hanging="209"/>
        <w:spacing w:after="0" w:line="257" w:lineRule="auto"/>
        <w:tabs>
          <w:tab w:leader="none" w:pos="74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transfers of services or assets between the AT&amp;T groups and other inter-group transactions, and</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purchasing decisions</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that, in each case, may be suitable for one or both of the AT&amp;T groups. Any of these decisions may benefit one AT&amp;T group more than the other AT&amp;T group. For example, the decision to obtain funds for one AT&amp;T group may materially adversely affect the ability of the other AT&amp;T group to obtain funds sufficient to implement its growth strategies or may increase the cost of those funds.</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addition, AT&amp;T Consumer Services Group is subject to AT&amp;T's existing agreements or arrangements with third parties. These agreements or arrangements currently may benefit both AT&amp;T groups, as in the case of purchasing arrangements, or may have the effect of limiting or impairing the AT&amp;T groups' respective business opportunities.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All of these decisions will be made by the AT&amp;T Board in its good faith business judgment, and in accordance with procedures and policies adopted by the AT&amp;T Board from time to time, including the AT&amp;T Groups policy statement described under "AT&amp;T Consumer Services Group Tracking Stock -- Relationship between the AT&amp;T Groups -- The AT&amp;T Groups Policy Statement."</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AT&amp;T Board will have the Ability to Control Loans and Asset Transfers Between the AT&amp;T Groups. The AT&amp;T Board may decide to transfer funds or other assets between AT&amp;T groups. Transfers of assets among the AT&amp;T groups that the AT&amp;T Board designates as an equity contribution or repayment will result in a change in AT&amp;T's retained portion of the value of AT&amp;T Consumer Services Group. Any change in the retained portion of the value of AT&amp;T Consumer Services Group would be determined by reference to the then-current market value of AT&amp;T Consumer Services Group tracking stock as determined by the AT&amp;T Board. This increase or decrease, however, could occur at a time when AT&amp;T Consumer Services Group tracking stock is considered undervalued or overvalued.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Under the AT&amp;T Groups policy statement, the AT&amp;T groups may make loans to each other at interest rates and on terms and conditions substantially equivalent to the interest rates and terms and conditions that the AT&amp;T groups would be able to obtain from third parties without the benefit of support or guarantee by AT&amp;T. The actual rates of interest charged or paid by either of the AT&amp;T groups in the future is uncertain and will depend on a variety of factors, including the credit profile of the AT&amp;T group and market conditions. As a result, future interest rates charged or paid by either of the AT&amp;T groups may materially exceed those reflected in the financial statements included elsewhere in this document.</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AT&amp;T Board May Change the AT&amp;T Groups Policy Statement or Bylaw Amendment Related to the AT&amp;T Groups Without Shareholder Approval. The AT&amp;T Board intends to adopt the AT&amp;T Groups policy statement described in this document to govern the relationship between AT&amp;T groups and to amend AT&amp;T's bylaws to create the AT&amp;T Groups capital stock committee that will oversee the interaction between the AT&amp;T groups. The AT&amp;T Board may supplement, modify, suspend or rescind the policies set forth in the AT&amp;T Groups policy statement or related bylaw amendment, or make additions or exceptions to them, in the sole discretion of the AT&amp;T Board, without approval of AT&amp;T shareholders, although there is no present intention to do so. The AT&amp;T Board would make any of these determinations, including any decision that would have disparate impacts upon holders of AT&amp;T common stock and AT&amp;T Consumer Services Group tracking stock, in a manner consistent with its fiduciary duties to AT&amp;T and all of its common shareholders. See "-- The fiduciary duties of the AT&amp;T Board to more than one class of common stock are not clear under New York law" for more information regarding the AT&amp;T</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I-42</w:t>
      </w:r>
    </w:p>
    <w:p>
      <w:pPr>
        <w:sectPr>
          <w:pgSz w:w="11900" w:h="16838" w:orient="portrait"/>
          <w:cols w:equalWidth="0" w:num="1">
            <w:col w:w="10219"/>
          </w:cols>
          <w:pgMar w:left="240" w:top="719" w:right="1440" w:bottom="860" w:gutter="0" w:footer="0" w:header="0"/>
        </w:sectPr>
      </w:pPr>
    </w:p>
    <w:bookmarkStart w:id="57" w:name="page58"/>
    <w:bookmarkEnd w:id="57"/>
    <w:p>
      <w:pPr>
        <w:jc w:val="both"/>
        <w:ind w:right="1839"/>
        <w:spacing w:after="0" w:line="254" w:lineRule="auto"/>
        <w:rPr>
          <w:sz w:val="20"/>
          <w:szCs w:val="20"/>
          <w:color w:val="auto"/>
        </w:rPr>
      </w:pPr>
      <w:r>
        <w:rPr>
          <w:rFonts w:ascii="Courier New" w:cs="Courier New" w:eastAsia="Courier New" w:hAnsi="Courier New"/>
          <w:sz w:val="17"/>
          <w:szCs w:val="17"/>
          <w:color w:val="auto"/>
        </w:rPr>
        <w:t>Board's fiduciary duties to AT&amp;T shareholders. See "AT&amp;T Consumer Services Group Tracking Stock -- Relationship between the AT&amp;T Groups" for a description of the AT&amp;T Groups policy statement and bylaw amendment.</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It Will Likely Not be Possible for a Third Party to Acquire AT&amp;T Consumer Services Group Without AT&amp;T's Consent. If AT&amp;T Consumer Services Group were an independent entity, any person interested in acquiring that entity without negotiation with AT&amp;T Consumer Services Group's management could seek control of the outstanding stock of that entity by means of a tender offer or proxy contest. Although the Consumer Services charter amendment will create a new class of AT&amp;T common stock that is intended to reflect the separate financial performance and economic value of AT&amp;T Consumer Services Group, a person interested in acquiring only AT&amp;T Consumer Services Group without negotiation with AT&amp;T's management still would be required to seek control of the voting power represented by all of the outstanding capital stock of AT&amp;T entitled to vote on that acquisition, including shares of AT&amp;T common stock. As a result, this may discourage potential interested bidders from seeking to acquire AT&amp;T Consumer Services Group. See "-- Holders of AT&amp;T Consumer Services Group tracking stock will have limited separate shareholder rights, and will have no additional rights specific to AT&amp;T Consumer Services Group, including direct voting rights" for more information on the rights of holders of AT&amp;T Consumer Services tracking stock. This inability of third parties directly to acquire control of AT&amp;T Consumer Services Group may materially adversely affect the market price of AT&amp;T Consumer Services Group tracking stock.</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There will be No Board of Directors or Committee that Owes Any Separate Fiduciary Duties to Holders of AT&amp;T Consumer Services Group Tracking Stock, Apart From Those Owed to AT&amp;T Shareholders Generally. Each of the AT&amp;T Board and the AT&amp;T Groups capital stock committee owes fiduciary duties to AT&amp;T and AT&amp;T shareholders as a whole. AT&amp;T Consumer Services Group will not have a separate board of directors to represent solely the interests of the holders of AT&amp;T Consumer Services Group tracking stock. Consequently, there is no separate board of directors or committee that owes any separate duties to the holders of AT&amp;T Consumer Services Group tracking stock.</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Fiduciary Duties of the AT&amp;T Board to More Than One Class of Common Stock Are Not Clear Under New York Law. Although AT&amp;T is not aware of any legal precedent under New York law involving the fiduciary duties of directors of corporations having two or more classes of common stock, or separate classes or series of capital stock, principles of Delaware law established in cases involving differing treatment of two classes of capital stock or two groups of holders of the same class of capital stock provide that a board of directors owes an equal duty to all shareholders, regardless of class or series, and does not have separate or additional duties to either group of shareholders. Under these principles of Delaware law and the related principle known as the "business judgment rule," absent abuse of discretion, a good faith business decision made by a disinterested and adequately informed board of directors, or a committee of the board of directors, with respect to any matter having disparate impacts upon holders of AT&amp;T common stock or AT&amp;T Consumer Services Group tracking stock would be a defense to any challenge to a determination made by or on behalf of the holders of any class of AT&amp;T common shares. Nevertheless, a New York court hearing a case involving this type of a challenge may decide to apply principles of New York law different from the principles of Delaware law discussed above, or may develop new principles of law, in order to decide that case. Any future shareholder litigation over the meaning or application of the terms of AT&amp;T Consumer Services Group tracking stock or the AT&amp;T Board's policies may be costly and time consuming to AT&amp;T and AT&amp;T Consumer Services Group.</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Changes in the Tax Law or in the Interpretation of Current Tax Law May Result in Redemption of AT&amp;T Consumer Services Group Tracking Stock or May Prevent AT&amp;T From Issuing Further Shares of AT&amp;T Consumer Services Group Tracking Stock. From time to time, there have been legislative and administrative proposals that, if effective, would have resulted in the imposition of corporate level or shareholder level tax upon the issuance of tracking stock. As of the date of this document, no proposals of this type are outstanding.</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I-43</w:t>
      </w:r>
    </w:p>
    <w:p>
      <w:pPr>
        <w:sectPr>
          <w:pgSz w:w="11900" w:h="16838" w:orient="portrait"/>
          <w:cols w:equalWidth="0" w:num="1">
            <w:col w:w="10219"/>
          </w:cols>
          <w:pgMar w:left="240" w:top="719" w:right="1440" w:bottom="1440" w:gutter="0" w:footer="0" w:header="0"/>
        </w:sectPr>
      </w:pPr>
    </w:p>
    <w:bookmarkStart w:id="58" w:name="page59"/>
    <w:bookmarkEnd w:id="58"/>
    <w:p>
      <w:pPr>
        <w:ind w:right="1939" w:firstLine="524"/>
        <w:spacing w:after="0" w:line="252" w:lineRule="auto"/>
        <w:rPr>
          <w:sz w:val="20"/>
          <w:szCs w:val="20"/>
          <w:color w:val="auto"/>
        </w:rPr>
      </w:pPr>
      <w:r>
        <w:rPr>
          <w:rFonts w:ascii="Courier New" w:cs="Courier New" w:eastAsia="Courier New" w:hAnsi="Courier New"/>
          <w:sz w:val="17"/>
          <w:szCs w:val="17"/>
          <w:color w:val="auto"/>
        </w:rPr>
        <w:t>If there are adverse tax consequences associated with the issuance of AT&amp;T Consumer Services Group tracking stock, it is possible that AT&amp;T would cease issuing additional shares of AT&amp;T Consumer Services Group tracking stock. This could affect the value of shares of AT&amp;T Consumer Services Group tracking stock then outstanding.</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May Optionally Redeem AT&amp;T Consumer Services Group Tracking</w:t>
      </w:r>
    </w:p>
    <w:p>
      <w:pPr>
        <w:spacing w:after="0" w:line="9"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Stock. The AT&amp;T Board may, at any time, redeem all outstanding shares of AT&amp;T Consumer Services Group tracking stock for shares of AT&amp;T common stock at a</w:t>
      </w:r>
    </w:p>
    <w:p>
      <w:pPr>
        <w:ind w:right="1839" w:firstLine="7"/>
        <w:spacing w:after="0" w:line="251" w:lineRule="auto"/>
        <w:tabs>
          <w:tab w:leader="none" w:pos="1152"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premium. AT&amp;T could decide to redeem AT&amp;T Consumer Services Group tracking stock at a time when any or all AT&amp;T common stock and AT&amp;T Consumer Services Group tracking stock may be considered to be overvalued or undervalued. In addition, a redemption at any premium would preclude holders of both AT&amp;T common stock and the redeemed AT&amp;T Consumer Services Group tracking stock from retaining their investment in a security intended to reflect separately the financial performance and economic value of the relevant AT&amp;T group. It also would give holders of the redeemed AT&amp;T Consumer Services Group tracking stock an amount of consideration that may differ from the amount of consideration a third-party buyer pays or would pay for all or substantially all of the assets of the respective AT&amp;T group. For further details, see "AT&amp;T Consumer Services Group Tracking Stock -- The Consumer Services Charter Amendment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Proposal -- Consumer Services Group Tracking Stock Amendment."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Has the Right to Require the Exchange of AT&amp;T Consumer Services Group Tracking Stock for Tracking Stock of Another Entity. In the event of a disposition or other transfer by AT&amp;T of all of the properties and assets of AT&amp;T Consumer Services Group (whether or not involving a merger or other business combination involving AT&amp;T as a whole), the Consumer Services charter amendment generally allows AT&amp;T to redeem all outstanding shares of AT&amp;T Consumer Services Group tracking stock, without paying a premium, in exchange for a new tracking stock of the entity that owns substantially all of the assets and liabilities of AT&amp;T Consumer Services Group.</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If the AT&amp;T Board elected to roll the tracking stock over in connection with a merger or other business combination, the holders of AT&amp;T Consumer Services Group tracking stock would not share in any premium received by holders of AT&amp;T common stock and the holders of AT&amp;T common stock would not share in any premium received by holders of AT&amp;T Consumer Services Group tracking stock.</w:t>
      </w:r>
    </w:p>
    <w:p>
      <w:pPr>
        <w:spacing w:after="0" w:line="197"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In the event of this redemption, the voting rights of the new tracking stock will be set based on the ratio, over a fixed measurement period, of the initial trading prices of the new tracking stock to the trading prices of the common stock of the entity of which the new tracking stock is a part.</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This new entity may have different businesses and a different capital structure and be subject to different risks than AT&amp;T generally. Holders of the new tracking stock will become equity holders of this new entity and become subject to risks affecting this new entity generally. Additionally, adverse fluctuations in market valuations at and after the time of issuance of the new tracking stock could materially adversely affect the relative voting power of the new tracking stock with respect to the voting power of this new entity as a whole.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AT&amp;T Board May Redeem AT&amp;T Consumer Services Group Tracking Stock in Exchange for Stock of One or More Qualifying Subsidiaries of AT&amp;T. AT&amp;T's charter amendment proposal provides that AT&amp;T may, at any time, redeem all outstanding shares of AT&amp;T Consumer Services Group tracking stock in exchange for shares of common stock of a subsidiary of AT&amp;T that holds all of the assets and liabilities of AT&amp;T Consumer Services Group. This type of redemption must be tax free to the holders of AT&amp;T Consumer Services Group tracking stock, except with respect to any cash in lieu of fractional shares. For more information, see "AT&amp;T Consumer Services Group Tracking Stock -- The Consumer Services Charter Amendment Proposal -- Terms of the Consumer Services Group Tracking Stock Amendment -- Redemption."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Future Sales of AT&amp;T Consumer Services Group Tracking Stock and AT&amp;T Common Stock Could Materially Adversely Affect Their Respective Market Prices and the Ability to Raise Capital in the Future. Sales of substantial amounts of AT&amp;T Consumer Services Group tracking stock and AT&amp;T common stock</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I-44</w:t>
      </w:r>
    </w:p>
    <w:p>
      <w:pPr>
        <w:sectPr>
          <w:pgSz w:w="11900" w:h="16838" w:orient="portrait"/>
          <w:cols w:equalWidth="0" w:num="1">
            <w:col w:w="10219"/>
          </w:cols>
          <w:pgMar w:left="240" w:top="719" w:right="1440" w:bottom="1440" w:gutter="0" w:footer="0" w:header="0"/>
        </w:sectPr>
      </w:pPr>
    </w:p>
    <w:bookmarkStart w:id="59" w:name="page60"/>
    <w:bookmarkEnd w:id="59"/>
    <w:p>
      <w:pPr>
        <w:ind w:right="1839"/>
        <w:spacing w:after="0" w:line="251" w:lineRule="auto"/>
        <w:rPr>
          <w:sz w:val="20"/>
          <w:szCs w:val="20"/>
          <w:color w:val="auto"/>
        </w:rPr>
      </w:pPr>
      <w:r>
        <w:rPr>
          <w:rFonts w:ascii="Courier New" w:cs="Courier New" w:eastAsia="Courier New" w:hAnsi="Courier New"/>
          <w:sz w:val="17"/>
          <w:szCs w:val="17"/>
          <w:color w:val="auto"/>
        </w:rPr>
        <w:t>in the public market could hurt the market price of each of those securities. These sales also could hurt AT&amp;T's ability to raise capital in the future. Any shares of AT&amp;T Consumer Services tracking stock that AT&amp;T distributes to holders of AT&amp;T common stock will be freely tradable without restriction under the Securities Act of 1933, as amended, by persons other than "affiliates" of AT&amp;T, as defined under the Securities Act. Any sales of substantial amounts of AT&amp;T Consumer Services Group tracking stock or AT&amp;T common stock in the public market, or the perception that those sales might occur, could materially adversely affect the respective market prices of AT&amp;T Consumer Services tracking stock or AT&amp;T common stock, as applicable.</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Shareholder approval will not be solicited by AT&amp;T for the issuance of authorized but unissued shares of AT&amp;T Consumer Services Group tracking stock or AT&amp;T common stock, unless these approvals are deemed advisable by the AT&amp;T Board or are required by applicable law, regulation or stock exchange listing requirements. The issuance of those shares could dilute the value of shares of AT&amp;T Consumer Services Group tracking stock or AT&amp;T common stock, as the case may be.</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Expects to Split its Current Dividend Among AT&amp;T Common Stock and AT&amp;T Consumer Services Group Tracking Stock. Following any issuance of AT&amp;T Consumer Services Group tracking stock, AT&amp;T currently expects that one-third of the current dividend payable on AT&amp;T common stock will be allocated to AT&amp;T common stock and that two-thirds will be allocated to AT&amp;T Consumer Services Group tracking stock. The declaration of dividends by AT&amp;T and the amount of those dividends will, however, be in the discretion of the AT&amp;T Board, and will depend upon each of the AT&amp;T group's financial performance, the dividend policies and capital structures of comparable companies, each of the AT&amp;T group's ongoing capital needs, and AT&amp;T's results of operations, financial condition, cash requirements and future prospects, and other factors deemed relevant by the AT&amp;T Board. Payment of dividends also may be restricted by loan agreements, indentures and other transactions that AT&amp;T enters into from time to time.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the dividend amount that AT&amp;T Consumer Services Group tracking stock may pay to shareowners depends on, among other factors, the cash generation ability of AT&amp;T Consumer Services Group. Based on the risks of a decline in the long distance industry and successful entry into growth opportunities such as DSL, there is a possibility that AT&amp;T Consumer Services Group would not generate sufficient cash flow in the future to pay the expected dividend. This could have an adverse affect on the AT&amp;T Consumer Services Group tracking stock market price and debt levels.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If AT&amp;T is Liquidated, Amounts Distributed to Holders of Each Class of AT&amp;T Common Stock May Not Reflect the Value of the Assets Attributed to the AT&amp;T Groups. Under AT&amp;T's charter, AT&amp;T would determine the liquidation rights of the holders of the respective classes of AT&amp;T common stock in accordance with each AT&amp;T group's respective market capitalization at the time of liquidation. However, the relative market capitalization of each AT&amp;T group may not correctly reflect the value of the net assets remaining and attributed to the AT&amp;T groups after satisfaction of outstanding liabilities.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Tracking Stock May Not be Issued as Planned or At All. The Consumer Services charter amendment proposal gives AT&amp;T the authority to create AT&amp;T Consumer Services Group tracking stock. The proposed Consumer Services Charter amendment, however, does not mandate the manner in which AT&amp;T may issue AT&amp;T Consumer Services Group tracking stock or require that AT&amp;T issue any of these shares at all. Rather, AT&amp;T Consumer Services Group tracking stock will be a new class of AT&amp;T common stock that the AT&amp;T Board may issue from time to time as it determines appropriate, up to the total number of authorized shares and subject to stock exchange rules with respect to shareholder approval of share issuances. AT&amp;T does not plan to seek new shareholder approval for any change that the AT&amp;T Board may approve in the timing or manner of issuing shares of AT&amp;T Consumer Services Group tracking stock. If you do not want to give the AT&amp;T Board this broad authority with respect to the Consumer Services charter amendment proposal, you should not vote for the Consumer Services charter amendment proposal.</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I-45</w:t>
      </w:r>
    </w:p>
    <w:p>
      <w:pPr>
        <w:sectPr>
          <w:pgSz w:w="11900" w:h="16838" w:orient="portrait"/>
          <w:cols w:equalWidth="0" w:num="1">
            <w:col w:w="10219"/>
          </w:cols>
          <w:pgMar w:left="240" w:top="719" w:right="1440" w:bottom="1440" w:gutter="0" w:footer="0" w:header="0"/>
        </w:sectPr>
      </w:pPr>
    </w:p>
    <w:bookmarkStart w:id="60" w:name="page61"/>
    <w:bookmarkEnd w:id="60"/>
    <w:p>
      <w:pPr>
        <w:ind w:right="1839" w:firstLine="524"/>
        <w:spacing w:after="0" w:line="254" w:lineRule="auto"/>
        <w:rPr>
          <w:sz w:val="20"/>
          <w:szCs w:val="20"/>
          <w:color w:val="auto"/>
        </w:rPr>
      </w:pPr>
      <w:r>
        <w:rPr>
          <w:rFonts w:ascii="Courier New" w:cs="Courier New" w:eastAsia="Courier New" w:hAnsi="Courier New"/>
          <w:sz w:val="17"/>
          <w:szCs w:val="17"/>
          <w:color w:val="auto"/>
        </w:rPr>
        <w:t>If the Consumer Services charter amendment proposal is approved the AT&amp;T Board may issue shares of AT&amp;T Consumer Services Group tracking stock regardless of whether the AT&amp;T Comcast transaction is approved or completed.</w:t>
      </w:r>
    </w:p>
    <w:p>
      <w:pPr>
        <w:spacing w:after="0" w:line="194"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RISK FACTORS RELATING TO AT&amp;T CONSUMER SERVICES GROUP AND AT&amp;T BUSINESS SERVICES GROUP</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and AT&amp;T Business Services Group Expect There to be a Continued Decline in the Long Distance Industry. Historically, prices for voice communications have fallen because of competition, the introduction of more efficient networks and advanced technology, product substitution, excess capacity and deregulation. AT&amp;T Consumer Services Group and AT&amp;T Business Services Group expect these trends to continue, and each of AT&amp;T Consumer Services Group and AT&amp;T Business Services Group may need to reduce its prices in the future to remain competitive. In addition, AT&amp;T Consumer Services Group and AT&amp;T Business Services Group do not expect that they will be able to achieve increased traffic volumes in the near future to sustain their current revenue levels. The extent to which each of AT&amp;T Consumer Services Group's and AT&amp;T Business Services Group's business, financial condition, results of operations and cash flow could be materially adversely affected will depend on the pace at which these industry-wide changes continue and its ability to create new and innovative services to differentiate its offerings, enhance customer retention, and retain or grow market share.</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AT&amp;T Consumer Services Group and AT&amp;T Business Services Group Face Substantial Competition that May Materially Adversely Impact Both Market Share and Margins. Each of AT&amp;T Consumer Services Group and AT&amp;T Business Services Group currently faces significant competition, and AT&amp;T expects the level of competition to continue to increase. Some of the potential materially adverse consequences of this competition include the following:</w:t>
      </w:r>
    </w:p>
    <w:p>
      <w:pPr>
        <w:spacing w:after="0" w:line="197" w:lineRule="exact"/>
        <w:rPr>
          <w:sz w:val="20"/>
          <w:szCs w:val="20"/>
          <w:color w:val="auto"/>
        </w:rPr>
      </w:pPr>
    </w:p>
    <w:p>
      <w:pPr>
        <w:ind w:left="740" w:hanging="209"/>
        <w:spacing w:after="0"/>
        <w:tabs>
          <w:tab w:leader="none" w:pos="74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share loss;</w:t>
      </w:r>
    </w:p>
    <w:p>
      <w:pPr>
        <w:spacing w:after="0" w:line="210" w:lineRule="exact"/>
        <w:rPr>
          <w:rFonts w:ascii="Courier New" w:cs="Courier New" w:eastAsia="Courier New" w:hAnsi="Courier New"/>
          <w:sz w:val="17"/>
          <w:szCs w:val="17"/>
          <w:color w:val="auto"/>
        </w:rPr>
      </w:pPr>
    </w:p>
    <w:p>
      <w:pPr>
        <w:ind w:left="740" w:right="2679" w:hanging="209"/>
        <w:spacing w:after="0" w:line="257" w:lineRule="auto"/>
        <w:tabs>
          <w:tab w:leader="none" w:pos="74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possibility that customers shift to less profitable, lower margin services;</w:t>
      </w:r>
    </w:p>
    <w:p>
      <w:pPr>
        <w:spacing w:after="0" w:line="191" w:lineRule="exact"/>
        <w:rPr>
          <w:rFonts w:ascii="Courier New" w:cs="Courier New" w:eastAsia="Courier New" w:hAnsi="Courier New"/>
          <w:sz w:val="17"/>
          <w:szCs w:val="17"/>
          <w:color w:val="auto"/>
        </w:rPr>
      </w:pPr>
    </w:p>
    <w:p>
      <w:pPr>
        <w:ind w:left="740" w:right="2459" w:hanging="209"/>
        <w:spacing w:after="0" w:line="257" w:lineRule="auto"/>
        <w:tabs>
          <w:tab w:leader="none" w:pos="74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need to initiate or respond to price cuts in order to retain market share;</w:t>
      </w:r>
    </w:p>
    <w:p>
      <w:pPr>
        <w:spacing w:after="0" w:line="191"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difficulties in AT&amp;T Consumer Services Group's and AT&amp;T Business Services Group's ability to grow new businesses, introduce new services successfully or execute on their business plan; and</w:t>
      </w:r>
    </w:p>
    <w:p>
      <w:pPr>
        <w:spacing w:after="0" w:line="194"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inability to purchase fairly priced access services.</w:t>
      </w:r>
    </w:p>
    <w:p>
      <w:pPr>
        <w:spacing w:after="0" w:line="210" w:lineRule="exact"/>
        <w:rPr>
          <w:sz w:val="20"/>
          <w:szCs w:val="20"/>
          <w:color w:val="auto"/>
        </w:rPr>
      </w:pPr>
    </w:p>
    <w:p>
      <w:pPr>
        <w:jc w:val="both"/>
        <w:ind w:right="2039" w:firstLine="524"/>
        <w:spacing w:after="0" w:line="254" w:lineRule="auto"/>
        <w:rPr>
          <w:sz w:val="20"/>
          <w:szCs w:val="20"/>
          <w:color w:val="auto"/>
        </w:rPr>
      </w:pPr>
      <w:r>
        <w:rPr>
          <w:rFonts w:ascii="Courier New" w:cs="Courier New" w:eastAsia="Courier New" w:hAnsi="Courier New"/>
          <w:sz w:val="17"/>
          <w:szCs w:val="17"/>
          <w:color w:val="auto"/>
        </w:rPr>
        <w:t>As a result of competitive factors, AT&amp;T Consumer Services Group and AT&amp;T Business Services Group believe it is unlikely that they will sustain existing price or margin levels.</w:t>
      </w:r>
    </w:p>
    <w:p>
      <w:pPr>
        <w:spacing w:after="0" w:line="194" w:lineRule="exact"/>
        <w:rPr>
          <w:sz w:val="20"/>
          <w:szCs w:val="20"/>
          <w:color w:val="auto"/>
        </w:rPr>
      </w:pPr>
    </w:p>
    <w:p>
      <w:pPr>
        <w:ind w:right="2779" w:firstLine="524"/>
        <w:spacing w:after="0" w:line="257" w:lineRule="auto"/>
        <w:rPr>
          <w:sz w:val="20"/>
          <w:szCs w:val="20"/>
          <w:color w:val="auto"/>
        </w:rPr>
      </w:pPr>
      <w:r>
        <w:rPr>
          <w:rFonts w:ascii="Courier New" w:cs="Courier New" w:eastAsia="Courier New" w:hAnsi="Courier New"/>
          <w:sz w:val="17"/>
          <w:szCs w:val="17"/>
          <w:color w:val="auto"/>
        </w:rPr>
        <w:t>AT&amp;T Consumer Services Group and AT&amp;T Business Services Group Face Competition from a Variety of Sources.</w:t>
      </w:r>
    </w:p>
    <w:p>
      <w:pPr>
        <w:spacing w:after="0" w:line="192" w:lineRule="exact"/>
        <w:rPr>
          <w:sz w:val="20"/>
          <w:szCs w:val="20"/>
          <w:color w:val="auto"/>
        </w:rPr>
      </w:pPr>
    </w:p>
    <w:p>
      <w:pPr>
        <w:ind w:left="740" w:right="1839" w:hanging="209"/>
        <w:spacing w:after="0" w:line="251" w:lineRule="auto"/>
        <w:tabs>
          <w:tab w:leader="none" w:pos="74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Competition from new entrants into long distance, including regional phone companies. AT&amp;T Consumer Services Group and AT&amp;T Business Services Group traditionally have competed with other long distance carriers. In recent years, AT&amp;T Consumer Services Group and AT&amp;T Business Services Group have begun to compete with incumbent local exchange carriers, which historically have dominated local telecommunications, and with other competitive local exchange carriers for the provision of long distance services.</w:t>
      </w:r>
    </w:p>
    <w:p>
      <w:pPr>
        <w:spacing w:after="0" w:line="201" w:lineRule="exact"/>
        <w:rPr>
          <w:rFonts w:ascii="Courier New" w:cs="Courier New" w:eastAsia="Courier New" w:hAnsi="Courier New"/>
          <w:sz w:val="17"/>
          <w:szCs w:val="17"/>
          <w:color w:val="auto"/>
        </w:rPr>
      </w:pPr>
    </w:p>
    <w:p>
      <w:pPr>
        <w:ind w:left="740"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Some regional phone companies, such as Verizon Communications Inc. and SBC Communications Inc., already have been permitted to offer long distance services in some states within their regions. AT&amp;T expects that the regional phone companies will seek to enter all states in their regions and eventually will be given permission to offer long distance services within their regions.</w:t>
      </w:r>
    </w:p>
    <w:p>
      <w:pPr>
        <w:spacing w:after="0" w:line="197"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incumbent local exchange carriers presently have numerous advantages as a result of their historic monopoly control over local exchanges.</w:t>
      </w:r>
    </w:p>
    <w:p>
      <w:pPr>
        <w:spacing w:after="0" w:line="192" w:lineRule="exact"/>
        <w:rPr>
          <w:sz w:val="20"/>
          <w:szCs w:val="20"/>
          <w:color w:val="auto"/>
        </w:rPr>
      </w:pPr>
    </w:p>
    <w:p>
      <w:pPr>
        <w:ind w:left="740" w:right="1839" w:hanging="209"/>
        <w:spacing w:after="0" w:line="254" w:lineRule="auto"/>
        <w:tabs>
          <w:tab w:leader="none" w:pos="74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Competition from facilities-based companies, including regional phone companies. AT&amp;T Consumer Services Group and AT&amp;T Business Services Group also face the risk of increasing</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I-46</w:t>
      </w:r>
    </w:p>
    <w:p>
      <w:pPr>
        <w:sectPr>
          <w:pgSz w:w="11900" w:h="16838" w:orient="portrait"/>
          <w:cols w:equalWidth="0" w:num="1">
            <w:col w:w="10219"/>
          </w:cols>
          <w:pgMar w:left="240" w:top="719" w:right="1440" w:bottom="256" w:gutter="0" w:footer="0" w:header="0"/>
        </w:sectPr>
      </w:pPr>
    </w:p>
    <w:bookmarkStart w:id="61" w:name="page62"/>
    <w:bookmarkEnd w:id="61"/>
    <w:p>
      <w:pPr>
        <w:ind w:left="640" w:right="1839"/>
        <w:spacing w:after="0" w:line="251" w:lineRule="auto"/>
        <w:rPr>
          <w:sz w:val="20"/>
          <w:szCs w:val="20"/>
          <w:color w:val="auto"/>
        </w:rPr>
      </w:pPr>
      <w:r>
        <w:rPr>
          <w:rFonts w:ascii="Courier New" w:cs="Courier New" w:eastAsia="Courier New" w:hAnsi="Courier New"/>
          <w:sz w:val="17"/>
          <w:szCs w:val="17"/>
          <w:color w:val="auto"/>
        </w:rPr>
        <w:t>competition from entities that own their own access facilities, particularly the regional phone companies, which have access facilities across vast regions of the United States with the ability to control cost, cycle time and functionality for most end-to-end services in their regions. These entities can preserve large market share and high margins on access services as they enter new markets, including long distance and end-to-end services. This places them in superior position vis-a-vis AT&amp;T Consumer Services Group and AT&amp;T Business Services Group and other competitors that must purchase such high-margin access services.</w:t>
      </w:r>
    </w:p>
    <w:p>
      <w:pPr>
        <w:spacing w:after="0" w:line="201" w:lineRule="exact"/>
        <w:rPr>
          <w:sz w:val="20"/>
          <w:szCs w:val="20"/>
          <w:color w:val="auto"/>
        </w:rPr>
      </w:pPr>
    </w:p>
    <w:p>
      <w:pPr>
        <w:ind w:left="740" w:right="1939" w:hanging="209"/>
        <w:spacing w:after="0" w:line="251" w:lineRule="auto"/>
        <w:tabs>
          <w:tab w:leader="none" w:pos="74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Competition from lower-cost or less-leveraged providers. The cost structure of AT&amp;T Consumer Services Group and AT&amp;T Business Services Group also affects their competitiveness. Each faces the risk that it will not be able to maintain a competitive cost structure if newer technologies favor newer competitors that do not have legacy infrastructure and as technology substitution continues. The ability of each of AT&amp;T Consumer Services Group and AT&amp;T Business Services Group to make critical investments to improve cost structure also may be impaired by its current debt obligations.</w:t>
      </w:r>
    </w:p>
    <w:p>
      <w:pPr>
        <w:spacing w:after="0" w:line="201"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Competition as a result of technological change. AT&amp;T Consumer Services Group and AT&amp;T Business Services Group also may be subject to additional competitive pressures from the development of new technologies and the increased availability of domestic and international transmission capacity. The telecommunications industry is in a period of rapid technological evolution, marked by the introduction of new product and service offerings and increasing satellite, wireless, fiber optic and coaxial cable transmission capacity for services similar to those provided by AT&amp;T Consumer Services Group and AT&amp;T Business Services Group. AT&amp;T cannot predict which of many possible future product and service offerings will be important to maintain its competitive position, or what expenditures will be required to develop and provide these products and services. In particular, the rapid expansion of usage of wireless services has led and is expected to lead to an overall decline in traffic volume on traditional wireline networks.</w:t>
      </w:r>
    </w:p>
    <w:p>
      <w:pPr>
        <w:spacing w:after="0" w:line="201"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Competition as a result of excess capacity. Each of AT&amp;T Consumer Services Group and AT&amp;T Business Services Group faces competition as a result of excess capacity resulting from substantial network build out by competitors that had access to inexpensive capital.</w:t>
      </w:r>
    </w:p>
    <w:p>
      <w:pPr>
        <w:spacing w:after="0" w:line="195"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Strength of competitors. Some of AT&amp;T Consumer Services Group's and AT&amp;T Business Services Group's existing and potential competitors have financial, personnel and other resources significantly greater than those of AT&amp;T Consumer Services Group and AT&amp;T Business Services Group.</w:t>
      </w:r>
    </w:p>
    <w:p>
      <w:pPr>
        <w:spacing w:after="0" w:line="195"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Regulatory and Legislative Environment Creates Challenges for AT&amp;T Consumer Services Group and AT&amp;T Business Services Group. Each of AT&amp;T Consumer Services Group and AT&amp;T Business Services Group faces risks relating to regulations and legislation. These risks include:</w:t>
      </w:r>
    </w:p>
    <w:p>
      <w:pPr>
        <w:spacing w:after="0" w:line="195" w:lineRule="exact"/>
        <w:rPr>
          <w:sz w:val="20"/>
          <w:szCs w:val="20"/>
          <w:color w:val="auto"/>
        </w:rPr>
      </w:pPr>
    </w:p>
    <w:p>
      <w:pPr>
        <w:ind w:left="740" w:right="2039" w:hanging="209"/>
        <w:spacing w:after="0" w:line="253" w:lineRule="auto"/>
        <w:tabs>
          <w:tab w:leader="none" w:pos="74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difficulty of effective entry into local markets due to noncompetitive pricing and to regional phone company operational issues that do not permit rapid large-scale customer changes from regional phone companies to new service providers,</w:t>
      </w:r>
    </w:p>
    <w:p>
      <w:pPr>
        <w:spacing w:after="0" w:line="195" w:lineRule="exact"/>
        <w:rPr>
          <w:rFonts w:ascii="Courier New" w:cs="Courier New" w:eastAsia="Courier New" w:hAnsi="Courier New"/>
          <w:sz w:val="17"/>
          <w:szCs w:val="17"/>
          <w:color w:val="auto"/>
        </w:rPr>
      </w:pPr>
    </w:p>
    <w:p>
      <w:pPr>
        <w:ind w:left="740" w:right="2139" w:hanging="209"/>
        <w:spacing w:after="0" w:line="257" w:lineRule="auto"/>
        <w:tabs>
          <w:tab w:leader="none" w:pos="74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head-on competition as regional phone companies begin to enter the long distance business, and</w:t>
      </w:r>
    </w:p>
    <w:p>
      <w:pPr>
        <w:spacing w:after="0" w:line="191"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emergence of few facilities-based competitors to regional phone companies, and the absence of any significant alternate source of supply for most access and local services.</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This dependency on supply materially adversely impacts each of AT&amp;T Consumer Services Group's and AT&amp;T Business Services Group's cost structure, and ability to create and market desirable and competitive end-to-end products for customers.</w:t>
      </w:r>
    </w:p>
    <w:p>
      <w:pPr>
        <w:spacing w:after="0" w:line="396"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In addition, regional phone companies will be entering the long distance business while they still control substantially all the access facilities in their regions. This will likely result in an increased level of</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I-47</w:t>
      </w:r>
    </w:p>
    <w:p>
      <w:pPr>
        <w:sectPr>
          <w:pgSz w:w="11900" w:h="16838" w:orient="portrait"/>
          <w:cols w:equalWidth="0" w:num="1">
            <w:col w:w="10219"/>
          </w:cols>
          <w:pgMar w:left="240" w:top="719" w:right="1440" w:bottom="860" w:gutter="0" w:footer="0" w:header="0"/>
        </w:sectPr>
      </w:pPr>
    </w:p>
    <w:bookmarkStart w:id="62" w:name="page63"/>
    <w:bookmarkEnd w:id="62"/>
    <w:p>
      <w:pPr>
        <w:ind w:right="1939"/>
        <w:spacing w:after="0" w:line="257" w:lineRule="auto"/>
        <w:rPr>
          <w:sz w:val="20"/>
          <w:szCs w:val="20"/>
          <w:color w:val="auto"/>
        </w:rPr>
      </w:pPr>
      <w:r>
        <w:rPr>
          <w:rFonts w:ascii="Courier New" w:cs="Courier New" w:eastAsia="Courier New" w:hAnsi="Courier New"/>
          <w:sz w:val="17"/>
          <w:szCs w:val="17"/>
          <w:color w:val="auto"/>
        </w:rPr>
        <w:t>competition for long distance or end-to-end services as the services offered by regional phone companies expand.</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Each of AT&amp;T Consumer Services Group and AT&amp;T Business Services Group May Substantially Increase its Debt Level in the Future, Which Could Subject it to Various Restrictions and Higher Interest Costs and Decrease its Cash Flow and Earnings. Each of AT&amp;T Consumer Services Group and AT&amp;T Business Services Group may substantially increase its debt level in the future, which could subject it to various restrictions and higher interest costs and decrease its cash flow and earnings. It also may be difficult for AT&amp;T Consumer Services Group and AT&amp;T Business Services Group to obtain all the financing they need to fund their businesses and growth strategies on desirable terms. The amount of debt required in the future will depend upon the performance revenue and margin of each of AT&amp;T Consumer Services Group and AT&amp;T Business Services Group, which, in turn, may be materially adversely affected by competitive and other pressures. Any agreements governing indebtedness obtained by AT&amp;T Consumer Services Group or AT&amp;T Business Services Group may contain financial and other covenants that could impair AT&amp;T Consumer Services Group's or AT&amp;T Business Services Group's flexibility and restrict its ability to pursue growth opportunities.</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expects to explore and evaluate the relative advantages and disadvantages of various funding mechanisms for AT&amp;T. These alternatives may include a bank credit line, commercial paper and other forms of public and private debt financing. The decision on debt composition is dependent on, among other things, the business and financial plans of AT&amp;T and the market conditions at the time of financing.</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Actual Amount of Funds Necessary to Implement Each of AT&amp;T Consumer Services Group's and AT&amp;T Business Services Group's Strategy and Business Plan May Materially Exceed Current Estimates, which Could have a Material Adverse Effect on its Financial Condition and Results of Operations. The actual amount of funds necessary to implement each of AT&amp;T Consumer Services Group's and AT&amp;T Business Services Group's strategy and business plan may materially exceed AT&amp;T Consumer Services Group's and AT&amp;T Business Services Group's current estimates in the event of various factors, including:</w:t>
      </w:r>
    </w:p>
    <w:p>
      <w:pPr>
        <w:spacing w:after="0" w:line="201" w:lineRule="exact"/>
        <w:rPr>
          <w:sz w:val="20"/>
          <w:szCs w:val="20"/>
          <w:color w:val="auto"/>
        </w:rPr>
      </w:pPr>
    </w:p>
    <w:p>
      <w:pPr>
        <w:ind w:left="740" w:hanging="209"/>
        <w:spacing w:after="0"/>
        <w:tabs>
          <w:tab w:leader="none" w:pos="74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competitive downward pressures on revenues and margins,</w:t>
      </w:r>
    </w:p>
    <w:p>
      <w:pPr>
        <w:spacing w:after="0" w:line="210" w:lineRule="exact"/>
        <w:rPr>
          <w:rFonts w:ascii="Courier New" w:cs="Courier New" w:eastAsia="Courier New" w:hAnsi="Courier New"/>
          <w:sz w:val="17"/>
          <w:szCs w:val="17"/>
          <w:color w:val="auto"/>
        </w:rPr>
      </w:pPr>
    </w:p>
    <w:p>
      <w:pPr>
        <w:ind w:left="740" w:right="1839" w:hanging="209"/>
        <w:spacing w:after="0" w:line="257" w:lineRule="auto"/>
        <w:tabs>
          <w:tab w:leader="none" w:pos="74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departures from AT&amp;T Consumer Services Group's and AT&amp;T Business Services Group's respective current business plans,</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regulatory developments,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unforeseen competitive developments,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technological and other risks,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unanticipated expenses,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unforeseen delays and cost overruns, and</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engineering design changes.</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If actual costs do materially exceed AT&amp;T Consumer Services Group's and/or AT&amp;T Business Services Group's current estimates for these or other reasons, this would have a material adverse effect on AT&amp;T Consumer Services Group's and/or AT&amp;T Business Services Group's financial condition and results of operations.</w:t>
      </w:r>
    </w:p>
    <w:p>
      <w:pPr>
        <w:spacing w:after="0" w:line="3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Business Services Group's Build-Out of its Next-Generation IP Backbone Network Involves Substantial Capital Requirements and Substantial Capital Expenditures. AT&amp;T Business Services Group's business plan will require substantial capital expenditures in connection with its build out of its end-to-end IP connectivity network, including both the next-generation IP backbone as well as dedicated IP customer connectivity and hosting facilities. AT&amp;T Business Services Group may not be able to obtain sufficient capital or to obtain sufficient capital on favorable terms. This failure to obtain capital would have a material adverse effect on AT&amp;T Business Services Group, and result in the delay, change or abandonment of its development or expansion plans.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I-48</w:t>
      </w:r>
    </w:p>
    <w:p>
      <w:pPr>
        <w:sectPr>
          <w:pgSz w:w="11900" w:h="16838" w:orient="portrait"/>
          <w:cols w:equalWidth="0" w:num="1">
            <w:col w:w="10219"/>
          </w:cols>
          <w:pgMar w:left="240" w:top="719" w:right="1440" w:bottom="1440" w:gutter="0" w:footer="0" w:header="0"/>
        </w:sectPr>
      </w:pPr>
    </w:p>
    <w:bookmarkStart w:id="63" w:name="page64"/>
    <w:bookmarkEnd w:id="63"/>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Group's Potential Growth in its AT&amp;T WorldNet High Speed Service Combining Voice and Data Services Utilizing DSL Technology, Involves Technological and Regulatory Hurdles and Requires Substantial Capital Expenditures. AT&amp;T Consumer Services Group's business plan will require substantial capital expenditures in connection with its expansion into providing voice and data services through DSL technology. The development of voice and data services through DSL technology involves uncertainty relating to potential technological hurdles, regulatory and legislative requirements and unforeseen costs. AT&amp;T Consumer Services Group historically has not had to incur these capital expenditures, and it may not be able to obtain sufficient capital on favorable terms or at all. A failure to obtain capital could have a material adverse effect on AT&amp;T Consumer Services Group, and result in the delay, change or abandonment of its development or expansion plans.</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Substantially All of the Telephone Calls Made by Each of AT&amp;T Consumer Services Group's and AT&amp;T Business Services Group's Customers are Connected Using Other Companies' Networks, Including Those of Competitors. AT&amp;T Consumer Services Group principally is a long distance voice telecommunications company. AT&amp;T Consumer Services Group does not own or operate any primary transmission facilities. Accordingly, it must route domestic and international calls made by its customers over transmission facilities obtained from AT&amp;T Business Services Group. AT&amp;T Business Services Group provides long distance and, to a limited extent, local telecommunications over its own transmission facilities. Because AT&amp;T Business Services Group's network does not extend to homes, both AT&amp;T Consumer Services Group and AT&amp;T Business Services Group must route calls through a local telephone company to reach AT&amp;T Business Services Group's transmission facilities and, ultimately, to reach their final destinations.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United States, the providers of local telephone service generally are the incumbent local exchange carriers, including the regional phone companies. The permitted pricing of local transmission facilities that AT&amp;T Consumer Services Group and AT&amp;T Business Services Group lease in the United States is subject to legal uncertainties. In view of the proceedings pending before the courts and regulatory authorities, there can be no assurance that the prices and other conditions established in each state will provide for effective local service entry and competition or provide AT&amp;T Consumer Services Group with new market opportunities. The effect of the most recent court decisions is to increase the risks, costs, difficulties and uncertainty of entering local markets through using the incumbent local exchange carriers' facilities and services.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Must Rely on AT&amp;T Business Services Group's Ability to Maintain, Upgrade and Reduce Costs Associated with the Core Network, Which May Lead to Additional Costs. AT&amp;T Consumer Services Group currently is dependent upon AT&amp;T Business Services Group for leased line capacity, data communications facilities, traffic termination services and physical space for offices and equipment. Although AT&amp;T Consumer Services Group expects to enter into a service agreement with AT&amp;T Business Services Group for it to provide these services, if AT&amp;T Business Services Group becomes unable to provide its current level of services to AT&amp;T Consumer Services Group during the term of the service agreement or thereafter, AT&amp;T Consumer Services Group may not be able to find replacement service providers on a timely basis.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Failure to Develop Future Business Opportunities May have a Material Adverse Effect on AT&amp;T Consumer Services Group's Growth Potential. AT&amp;T Consumer Services Group intends to pursue growth opportunities in providing services through DSL technology, which involve new services for which there are only limited proven markets. In addition, the ability to deploy and deliver these services relies, in many instances, on new and unproven technology. AT&amp;T Consumer Services Group's DSL technology may not perform as expected and AT&amp;T Consumer Services Group may not be able to successfully develop new enabling systems to effectively and economically deliver these services. In addition, these opportunities require substantial capital outlays to deploy on a large scale. This capital may not be available to support these services. Furthermore, each of these opportunities entails additional operational risks. For example, the delivery of these services requires AT&amp;T Consumer Services Group to provide installation and maintenance services, which services AT&amp;T Consumer Services Group has never provided previously. This will require AT&amp;T Consumer Services Group to hire, employ, train and equip technicians to provide</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I-49</w:t>
      </w:r>
    </w:p>
    <w:p>
      <w:pPr>
        <w:sectPr>
          <w:pgSz w:w="11900" w:h="16838" w:orient="portrait"/>
          <w:cols w:equalWidth="0" w:num="1">
            <w:col w:w="10219"/>
          </w:cols>
          <w:pgMar w:left="240" w:top="719" w:right="1440" w:bottom="1062" w:gutter="0" w:footer="0" w:header="0"/>
        </w:sectPr>
      </w:pPr>
    </w:p>
    <w:bookmarkStart w:id="64" w:name="page65"/>
    <w:bookmarkEnd w:id="64"/>
    <w:p>
      <w:pPr>
        <w:ind w:right="1839"/>
        <w:spacing w:after="0" w:line="251" w:lineRule="auto"/>
        <w:rPr>
          <w:sz w:val="20"/>
          <w:szCs w:val="20"/>
          <w:color w:val="auto"/>
        </w:rPr>
      </w:pPr>
      <w:r>
        <w:rPr>
          <w:rFonts w:ascii="Courier New" w:cs="Courier New" w:eastAsia="Courier New" w:hAnsi="Courier New"/>
          <w:sz w:val="17"/>
          <w:szCs w:val="17"/>
          <w:color w:val="auto"/>
        </w:rPr>
        <w:t>installation and repair in each market served, or rely on subcontractors to perform these services. AT&amp;T Consumer Services Group may not be able to hire and train sufficient numbers of qualified employees or subcontract these services, or do so on economically attractive terms. These services may not be successful when they are in place and customers may not purchase the services offered. If these services are not successful or costs associated with implementation and completion of the rollout of these services materially exceed those currently estimated by AT&amp;T Consumer Services Group, AT&amp;T Consumer Services Group's financial condition and prospects could be materially adversely affected.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and British Telecommunications, plc, or BT, Have Agreed to Unwind their Concert Global Joint Venture, Which May Adversely Affect AT&amp;T Consumer Services Group and AT&amp;T Business Services Group. On October 16, 2001, AT&amp;T and BT announced that they had reached binding agreements to unwind their global joint venture called Concert. The dissolution of Concert will be complicated, involve a large number of steps and require the receipt of certain regulatory approvals. There can be no assurance that it will be completed in the time frames that AT&amp;T currently expects or at all. In addition, the dissolution of Concert may lead to unsatisfactory, noncompetitive or disrupted service to Concert's multinational customers and there can be no assurance that AT&amp;T Business Services will be able to regain and retain its former multinational customers that it assigned to Concert when the venture was formed. The dissolution of Concert may have a material adverse effect on AT&amp;T, AT&amp;T Business Services and on AT&amp;T Business Services' ability to provide services internationally and to multinational customers.</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I-50</w:t>
      </w:r>
    </w:p>
    <w:p>
      <w:pPr>
        <w:sectPr>
          <w:pgSz w:w="11900" w:h="16838" w:orient="portrait"/>
          <w:cols w:equalWidth="0" w:num="1">
            <w:col w:w="10219"/>
          </w:cols>
          <w:pgMar w:left="240" w:top="719" w:right="1440" w:bottom="1440" w:gutter="0" w:footer="0" w:header="0"/>
        </w:sectPr>
      </w:pPr>
    </w:p>
    <w:bookmarkStart w:id="65" w:name="page66"/>
    <w:bookmarkEnd w:id="65"/>
    <w:p>
      <w:pPr>
        <w:ind w:left="3560"/>
        <w:spacing w:after="0"/>
        <w:rPr>
          <w:sz w:val="20"/>
          <w:szCs w:val="20"/>
          <w:color w:val="auto"/>
        </w:rPr>
      </w:pPr>
      <w:r>
        <w:rPr>
          <w:rFonts w:ascii="Courier New" w:cs="Courier New" w:eastAsia="Courier New" w:hAnsi="Courier New"/>
          <w:sz w:val="17"/>
          <w:szCs w:val="17"/>
          <w:color w:val="auto"/>
        </w:rPr>
        <w:t>CHAPTER TWO</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THE AT&amp;T COMCAST TRANSACTION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Comcast Board is using this document to solicit proxies from the holders of Comcast common stock for use at the Comcast special meeting. The AT&amp;T Board is also using this document to solicit proxies from the holders of AT&amp;T common stock for use at the AT&amp;T annual meeting.</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COMCAST PROPOSALS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 the Comcast special meeting, holders of Comcast Class A common stock and Comcast Class B common stock will be asked to vote upon a proposal to approve and adopt the merger agreement and the transactions contemplated by the merger agreement. This proposal is referred to in this document as the "Comcast transaction proposal."</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 the Comcast special meeting, holders of Comcast Class A common stock, voting as a single class, and holders of Comcast Class A common stock and Comcast Class B common stock, voting together as a single class, will also be asked to vote upon a proposal to adopt an amendment to the Comcast charter that will allow implementation of the Preferred Structure. See "Description of the AT&amp;T Comcast Transaction Agreements -- The Merger Agreement -- Merger Consideration -- The Preferred Structure." This proposal is referred to in this document as the "preferred structure proposal."</w:t>
      </w:r>
    </w:p>
    <w:p>
      <w:pPr>
        <w:spacing w:after="0" w:line="201"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APPROVAL OF THE COMCAST TRANSACTION PROPOSAL IS NOT CONDITIONED ON APPROVAL OF THE PREFERRED STRUCTURE PROPOSAL.</w:t>
      </w:r>
    </w:p>
    <w:p>
      <w:pPr>
        <w:spacing w:after="0" w:line="192"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AT&amp;T PROPOSALS</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At the AT&amp;T annual meeting, holders of AT&amp;T common stock will be asked to vote upon a proposal to approve and adopt the merger agreement and the transactions contemplated by the merger agreement. This proposal is referred to in this document as the "AT&amp;T transaction proposal."</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the AT&amp;T annual meeting, holders of AT&amp;T common stock will also be asked to vote separately on a proposal to approve and adopt an amendment to the AT&amp;T charter creating a tracking stock that is intended to reflect the financial performance and economic value of the AT&amp;T Consumer Services business. See "AT&amp;T Consumer Services Group Tracking Stock -- The Consumer Services Charter Amendment Proposal." This proposal is referred to in this document as the "Consumer Services charter amendment proposal." AT&amp;T shareholders will also be asked to vote on benefit proposals related to the Consumer Services charter amendment proposal. These proposals are referred to in this document as the "incentive plan proposal" and the "employee stock purchase plan proposal." Additionally, AT&amp;T shareholders will also be asked to vote upon the election of directors and other matters that properly come before the AT&amp;T annual meeting. See "Information about the AT&amp;T Annual Meeting and Voting."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BACKGROUND OF THE AT&amp;T COMCAST TRANSACTION</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October 25, 2000, AT&amp;T announced, among other things, that it intended to create and issue a tracking stock intended to reflect the financial performance and economic value of AT&amp;T Broadband and, thereafter, to separate AT&amp;T Broadband from AT&amp;T so that, ultimately, AT&amp;T Broadband would be a standalone, publicly traded company. AT&amp;T also announced that it intended to create and issue a tracking stock intended to reflect the financial performance and economic value of AT&amp;T Consumer Services Group. In addition, AT&amp;T announced that it intended to separate AT&amp;T's wireless services business from AT&amp;T.</w:t>
      </w:r>
    </w:p>
    <w:p>
      <w:pPr>
        <w:spacing w:after="0" w:line="201"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 December 2000 and in early 2001, C. Michael Armstrong, Chairman and Chief Executive Officer of AT&amp;T, and Charles Noski, Chief Financial Officer of AT&amp;T, received telephone calls from Ralph J. Roberts, Chairman of the Board of Comcast, and from Brian L. Roberts, President of Comcast, in which the Roberts expressed interest in initiating discussions with respect to the possible combination of Comcast and AT&amp;T Broadband. In January 2001, Messrs. Armstrong and Noski met with the Roberts at the</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719" w:right="1440" w:bottom="1440" w:gutter="0" w:footer="0" w:header="0"/>
        </w:sectPr>
      </w:pPr>
    </w:p>
    <w:bookmarkStart w:id="66" w:name="page67"/>
    <w:bookmarkEnd w:id="66"/>
    <w:p>
      <w:pPr>
        <w:ind w:right="1939"/>
        <w:spacing w:after="0" w:line="254" w:lineRule="auto"/>
        <w:rPr>
          <w:sz w:val="20"/>
          <w:szCs w:val="20"/>
          <w:color w:val="auto"/>
        </w:rPr>
      </w:pPr>
      <w:r>
        <w:rPr>
          <w:rFonts w:ascii="Courier New" w:cs="Courier New" w:eastAsia="Courier New" w:hAnsi="Courier New"/>
          <w:sz w:val="17"/>
          <w:szCs w:val="17"/>
          <w:color w:val="auto"/>
        </w:rPr>
        <w:t>Roberts' request. At this meeting, Mr. Armstrong told the Roberts that AT&amp;T was concentrating on key restructuring and operating matters at that time and was not interested in engaging in discussions with respect to a combination.</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May 11, 2001, AT&amp;T publicly filed preliminary proxy materials with respect to a proposed special shareholders meeting at which AT&amp;T planned to ask shareholders to vote on (1) the creation of tracking stocks intended to reflect the financial performance and economic value of AT&amp;T Broadband and AT&amp;T Consumer Services Group, respectively, and (2) the separation of AT&amp;T Broadband from the rest of AT&amp;T. In late May 2001, Brian Roberts again made inquiries regarding AT&amp;T's willingness to explore the possibility of a combination of Comcast and AT&amp;T Broadband. At Mr. Roberts' request, on June 6, 2001, Mr. Noski had dinner with Mr. Roberts to discuss the potential for such a transaction. Mr. Roberts and Mr. Noski discussed, among other things, how such a combination might be structured, governed and valued. On June 17, 2001, Mr. Roberts and Mr. Noski had another dinner meeting at which they had further discussions regarding the possibility of a combination.</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a meeting on June 20, 2001, Mr. Noski reported to the AT&amp;T Board on these discussions with Mr. Roberts. At that meeting, the AT&amp;T Board decided that the discussions should not continue unless Comcast signed a confidentiality letter containing customary standstill provisions. The AT&amp;T Board also believed that, if discussions were to continue, they should be with the understanding that voting power in the combined company should follow economic interest more closely than in the case of Comcast. Following the meeting, Charles Noski conveyed the AT&amp;T Board's views to Brian Roberts in a telephone call.</w:t>
      </w:r>
    </w:p>
    <w:p>
      <w:pPr>
        <w:spacing w:after="0" w:line="201"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At a special meeting of the Comcast Board held on June 25, 2001, Comcast management updated the directors on the status of the discussions with AT&amp;T concerning a potential AT&amp;T Broadband transaction. The Comcast Board and management discussed at length possible strategies to effect an AT&amp;T Broadband transaction, including the possibility of making an unsolicited offer for AT&amp;T Broadband. At the conclusion of this discussion, the Comcast Board determined that it was not prepared to proceed with discussions on the terms outlined by AT&amp;T.</w:t>
      </w:r>
    </w:p>
    <w:p>
      <w:pPr>
        <w:spacing w:after="0" w:line="201" w:lineRule="exact"/>
        <w:rPr>
          <w:sz w:val="20"/>
          <w:szCs w:val="20"/>
          <w:color w:val="auto"/>
        </w:rPr>
      </w:pPr>
    </w:p>
    <w:p>
      <w:pPr>
        <w:jc w:val="both"/>
        <w:ind w:right="1939" w:firstLine="524"/>
        <w:spacing w:after="0" w:line="253" w:lineRule="auto"/>
        <w:rPr>
          <w:sz w:val="20"/>
          <w:szCs w:val="20"/>
          <w:color w:val="auto"/>
        </w:rPr>
      </w:pPr>
      <w:r>
        <w:rPr>
          <w:rFonts w:ascii="Courier New" w:cs="Courier New" w:eastAsia="Courier New" w:hAnsi="Courier New"/>
          <w:sz w:val="17"/>
          <w:szCs w:val="17"/>
          <w:color w:val="auto"/>
        </w:rPr>
        <w:t>On July 3, 2001, AT&amp;T filed revised preliminary proxy material indicating that it intended to hold its special meeting of shareholders in September 2001 to vote on the creation of the AT&amp;T Broadband tracking stock and the subsequent separation of AT&amp;T and AT&amp;T Broadband.</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July 6, 2001, at a special meeting of the Comcast Board, Comcast management informed the Comcast directors of AT&amp;T's timetable for the creation of the AT&amp;T Broadband tracking stock and the separation of AT&amp;T Broadband from AT&amp;T. Comcast management noted that mailing of the proxy materials to AT&amp;T shareholders for the September meeting could commence as early as late July. Comcast management also reviewed with the Comcast Board the terms of an offer it proposed to make to AT&amp;T. After a lengthy discussion of the terms of the offer and related matters, including the timeframe in which an outcome would be determined and possible responses from AT&amp;T, the Comcast Board unanimously authorized Comcast management to proceed with the offer.</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719" w:right="1440" w:bottom="1440" w:gutter="0" w:footer="0" w:header="0"/>
        </w:sectPr>
      </w:pPr>
    </w:p>
    <w:bookmarkStart w:id="67" w:name="page68"/>
    <w:bookmarkEnd w:id="67"/>
    <w:p>
      <w:pPr>
        <w:ind w:right="2039" w:firstLine="524"/>
        <w:spacing w:after="0" w:line="257" w:lineRule="auto"/>
        <w:rPr>
          <w:sz w:val="20"/>
          <w:szCs w:val="20"/>
          <w:color w:val="auto"/>
        </w:rPr>
      </w:pPr>
      <w:r>
        <w:rPr>
          <w:rFonts w:ascii="Courier New" w:cs="Courier New" w:eastAsia="Courier New" w:hAnsi="Courier New"/>
          <w:sz w:val="17"/>
          <w:szCs w:val="17"/>
          <w:color w:val="auto"/>
        </w:rPr>
        <w:t>On July 8, 2001, Ralph J. Roberts and Brian L. Roberts sent the following letter to Mr. Armstrong:</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July 8, 2001</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Mr. C. Michael Armstrong</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Chairman and CEO</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32 Avenue of the Americas</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New York, NY 10013</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Dear Mike:</w:t>
      </w:r>
    </w:p>
    <w:p>
      <w:pPr>
        <w:spacing w:after="0" w:line="210" w:lineRule="exact"/>
        <w:rPr>
          <w:sz w:val="20"/>
          <w:szCs w:val="20"/>
          <w:color w:val="auto"/>
        </w:rPr>
      </w:pPr>
    </w:p>
    <w:p>
      <w:pPr>
        <w:ind w:left="540" w:right="1839"/>
        <w:spacing w:after="0" w:line="251" w:lineRule="auto"/>
        <w:rPr>
          <w:sz w:val="20"/>
          <w:szCs w:val="20"/>
          <w:color w:val="auto"/>
        </w:rPr>
      </w:pPr>
      <w:r>
        <w:rPr>
          <w:rFonts w:ascii="Courier New" w:cs="Courier New" w:eastAsia="Courier New" w:hAnsi="Courier New"/>
          <w:sz w:val="17"/>
          <w:szCs w:val="17"/>
          <w:color w:val="auto"/>
        </w:rPr>
        <w:t>Over many months of discussions we have shared a vision that AT&amp;T Broadband and Comcast should be combined to create the world's leader in broadband communications. We believed those discussions were progressing towards a tax-free transaction that would dramatically accelerate your own plan to separate the broadband company. It is unfortunate that we were not able to agree on a basis for continuing our dialogue. Accordingly, we submit this offer to you for consideration by your Board before a proxy statement relating to your broadband tracking stock proposal is sent to your shareholders later this month.</w:t>
      </w:r>
    </w:p>
    <w:p>
      <w:pPr>
        <w:spacing w:after="0" w:line="201" w:lineRule="exact"/>
        <w:rPr>
          <w:sz w:val="20"/>
          <w:szCs w:val="20"/>
          <w:color w:val="auto"/>
        </w:rPr>
      </w:pPr>
    </w:p>
    <w:p>
      <w:pPr>
        <w:ind w:left="540" w:right="1839"/>
        <w:spacing w:after="0" w:line="251" w:lineRule="auto"/>
        <w:rPr>
          <w:sz w:val="20"/>
          <w:szCs w:val="20"/>
          <w:color w:val="auto"/>
        </w:rPr>
      </w:pPr>
      <w:r>
        <w:rPr>
          <w:rFonts w:ascii="Courier New" w:cs="Courier New" w:eastAsia="Courier New" w:hAnsi="Courier New"/>
          <w:sz w:val="17"/>
          <w:szCs w:val="17"/>
          <w:color w:val="auto"/>
        </w:rPr>
        <w:t>Under our proposal Comcast would issue 1.0525 billion shares with a value of $44.5 billion based on Friday's closing price and assume $13.5 billion in debt for your core broadband business, which is composed of your 13.5 million cable subscribers as well as your joint venture interests. In addition, we are prepared to acquire your interests in TWE, Cablevision and Rainbow by assuming more debt and issuing more equity to reflect their values. Under our proposal your shareholders would own a majority of the economic and voting interests of the combined company in a transaction that would be tax-free to AT&amp;T and all shareholders.</w:t>
      </w:r>
    </w:p>
    <w:p>
      <w:pPr>
        <w:spacing w:after="0" w:line="201" w:lineRule="exact"/>
        <w:rPr>
          <w:sz w:val="20"/>
          <w:szCs w:val="20"/>
          <w:color w:val="auto"/>
        </w:rPr>
      </w:pPr>
    </w:p>
    <w:p>
      <w:pPr>
        <w:ind w:left="540" w:right="2039"/>
        <w:spacing w:after="0" w:line="251" w:lineRule="auto"/>
        <w:rPr>
          <w:sz w:val="20"/>
          <w:szCs w:val="20"/>
          <w:color w:val="auto"/>
        </w:rPr>
      </w:pPr>
      <w:r>
        <w:rPr>
          <w:rFonts w:ascii="Courier New" w:cs="Courier New" w:eastAsia="Courier New" w:hAnsi="Courier New"/>
          <w:sz w:val="17"/>
          <w:szCs w:val="17"/>
          <w:color w:val="auto"/>
        </w:rPr>
        <w:t>Our proposal values your core broadband business at $58 billion, which represents 30x both 2000 EBITDA and annualized first quarter 2001 EBITDA. AT&amp;T shareholders would receive Comcast shares valued at $12.60 per AT&amp;T share based on Friday's closing price, while retaining complete ownership of AT&amp;T's historical communications business that according to published reports has a value approaching $70 billion on a standalone basis. This combined value is dramatically higher than your current market value per share of $16.80 after giving effect to the spin-off of AT&amp;T Wireless.</w:t>
      </w:r>
    </w:p>
    <w:p>
      <w:pPr>
        <w:spacing w:after="0" w:line="201" w:lineRule="exact"/>
        <w:rPr>
          <w:sz w:val="20"/>
          <w:szCs w:val="20"/>
          <w:color w:val="auto"/>
        </w:rPr>
      </w:pPr>
    </w:p>
    <w:p>
      <w:pPr>
        <w:ind w:left="540" w:right="1939"/>
        <w:spacing w:after="0" w:line="251" w:lineRule="auto"/>
        <w:rPr>
          <w:sz w:val="20"/>
          <w:szCs w:val="20"/>
          <w:color w:val="auto"/>
        </w:rPr>
      </w:pPr>
      <w:r>
        <w:rPr>
          <w:rFonts w:ascii="Courier New" w:cs="Courier New" w:eastAsia="Courier New" w:hAnsi="Courier New"/>
          <w:sz w:val="17"/>
          <w:szCs w:val="17"/>
          <w:color w:val="auto"/>
        </w:rPr>
        <w:t>Your shareholders would receive significantly more value through a combination with Comcast than through your planned restructuring. Not only does our proposal avoid the market risks, costs and uncertainties inherent in the planned broadband IPO, it values your business at a significant premium to your potential public market valuation. At 30x AT&amp;T Broadband's annualized first quarter 2001 EBITDA, our offer far exceeds the trading multiple of any publicly traded broadband company. Put another way, our proposal delivers a very substantial premium over published reports of the estimated value of your broadband business.</w:t>
      </w:r>
    </w:p>
    <w:p>
      <w:pPr>
        <w:spacing w:after="0" w:line="201" w:lineRule="exact"/>
        <w:rPr>
          <w:sz w:val="20"/>
          <w:szCs w:val="20"/>
          <w:color w:val="auto"/>
        </w:rPr>
      </w:pPr>
    </w:p>
    <w:p>
      <w:pPr>
        <w:ind w:left="540" w:right="1839"/>
        <w:spacing w:after="0" w:line="251" w:lineRule="auto"/>
        <w:rPr>
          <w:sz w:val="20"/>
          <w:szCs w:val="20"/>
          <w:color w:val="auto"/>
        </w:rPr>
      </w:pPr>
      <w:r>
        <w:rPr>
          <w:rFonts w:ascii="Courier New" w:cs="Courier New" w:eastAsia="Courier New" w:hAnsi="Courier New"/>
          <w:sz w:val="17"/>
          <w:szCs w:val="17"/>
          <w:color w:val="auto"/>
        </w:rPr>
        <w:t>After combining our broadband businesses, your shareholders will retain a majority of the future appreciation resulting from substantial combination benefits. Upon full integration of our broadband businesses, we expect the combination benefits will amount to at least $1.25 billion annually. This benefit could eventually increase to between $2.6 and $2.8 billion annually as we work together to raise the level of your margins. None of these figures take account of any new content, internet or other value creating opportunities. As a result of these combination benefits, merging our broadband companies will clearly be value accretive to both groups of shareholders.</w:t>
      </w:r>
    </w:p>
    <w:p>
      <w:pPr>
        <w:spacing w:after="0" w:line="201" w:lineRule="exact"/>
        <w:rPr>
          <w:sz w:val="20"/>
          <w:szCs w:val="20"/>
          <w:color w:val="auto"/>
        </w:rPr>
      </w:pPr>
    </w:p>
    <w:p>
      <w:pPr>
        <w:ind w:left="540" w:right="1839"/>
        <w:spacing w:after="0" w:line="254" w:lineRule="auto"/>
        <w:rPr>
          <w:sz w:val="20"/>
          <w:szCs w:val="20"/>
          <w:color w:val="auto"/>
        </w:rPr>
      </w:pPr>
      <w:r>
        <w:rPr>
          <w:rFonts w:ascii="Courier New" w:cs="Courier New" w:eastAsia="Courier New" w:hAnsi="Courier New"/>
          <w:sz w:val="17"/>
          <w:szCs w:val="17"/>
          <w:color w:val="auto"/>
        </w:rPr>
        <w:t>Given the strength of Comcast's balance sheet we are confident that the new company would have an investment grade debt rating, a view which is shared by our financial advisors, Morgan Stanley, JP Morgan and Merrill Lynch.</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719" w:right="1440" w:bottom="1440" w:gutter="0" w:footer="0" w:header="0"/>
        </w:sectPr>
      </w:pPr>
    </w:p>
    <w:bookmarkStart w:id="68" w:name="page69"/>
    <w:bookmarkEnd w:id="68"/>
    <w:p>
      <w:pPr>
        <w:ind w:left="540" w:right="1839"/>
        <w:spacing w:after="0" w:line="251" w:lineRule="auto"/>
        <w:rPr>
          <w:sz w:val="20"/>
          <w:szCs w:val="20"/>
          <w:color w:val="auto"/>
        </w:rPr>
      </w:pPr>
      <w:r>
        <w:rPr>
          <w:rFonts w:ascii="Courier New" w:cs="Courier New" w:eastAsia="Courier New" w:hAnsi="Courier New"/>
          <w:sz w:val="17"/>
          <w:szCs w:val="17"/>
          <w:color w:val="auto"/>
        </w:rPr>
        <w:t>We understand that there were concerns within AT&amp;T about Comcast's voting structure. As you know, multi-class structures are common in our industry and have not affected stock trading values. Our Class A Special shares have outperformed the cable composite index, the S&amp;P 500 and The Nasdaq Stock Market in each of the last one, three, five, seven and ten year periods. We are confident that your shareholders would welcome our currency. In fact, 38 of your 50 largest institutional shareholders also have significant investments in Comcast.</w:t>
      </w:r>
    </w:p>
    <w:p>
      <w:pPr>
        <w:spacing w:after="0" w:line="201" w:lineRule="exact"/>
        <w:rPr>
          <w:sz w:val="20"/>
          <w:szCs w:val="20"/>
          <w:color w:val="auto"/>
        </w:rPr>
      </w:pPr>
    </w:p>
    <w:p>
      <w:pPr>
        <w:ind w:left="540" w:right="2039"/>
        <w:spacing w:after="0" w:line="253" w:lineRule="auto"/>
        <w:rPr>
          <w:sz w:val="20"/>
          <w:szCs w:val="20"/>
          <w:color w:val="auto"/>
        </w:rPr>
      </w:pPr>
      <w:r>
        <w:rPr>
          <w:rFonts w:ascii="Courier New" w:cs="Courier New" w:eastAsia="Courier New" w:hAnsi="Courier New"/>
          <w:sz w:val="17"/>
          <w:szCs w:val="17"/>
          <w:color w:val="auto"/>
        </w:rPr>
        <w:t>Our proposal is subject to the negotiation of a definitive merger agreement. We are prepared to deliver a draft merger agreement as soon as you wish. We are confident that the combination does not present any significant regulatory issues.</w:t>
      </w:r>
    </w:p>
    <w:p>
      <w:pPr>
        <w:spacing w:after="0" w:line="195" w:lineRule="exact"/>
        <w:rPr>
          <w:sz w:val="20"/>
          <w:szCs w:val="20"/>
          <w:color w:val="auto"/>
        </w:rPr>
      </w:pPr>
    </w:p>
    <w:p>
      <w:pPr>
        <w:ind w:left="540" w:right="1839"/>
        <w:spacing w:after="0" w:line="257" w:lineRule="auto"/>
        <w:rPr>
          <w:sz w:val="20"/>
          <w:szCs w:val="20"/>
          <w:color w:val="auto"/>
        </w:rPr>
      </w:pPr>
      <w:r>
        <w:rPr>
          <w:rFonts w:ascii="Courier New" w:cs="Courier New" w:eastAsia="Courier New" w:hAnsi="Courier New"/>
          <w:sz w:val="17"/>
          <w:szCs w:val="17"/>
          <w:color w:val="auto"/>
        </w:rPr>
        <w:t>In light of the significance of this proposal to both your shareholders and ours, we are publicly releasing the text of this letter.</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We hope that you will work with us to make this vision a reality.</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Respectfully submitted,</w:t>
      </w:r>
    </w:p>
    <w:p>
      <w:pPr>
        <w:sectPr>
          <w:pgSz w:w="11900" w:h="16838" w:orient="portrait"/>
          <w:cols w:equalWidth="0" w:num="1">
            <w:col w:w="10219"/>
          </w:cols>
          <w:pgMar w:left="240" w:top="7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Ralph J. Roberts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Brian L. Roberts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w:t>
      </w:r>
    </w:p>
    <w:p>
      <w:pPr>
        <w:spacing w:after="0" w:line="200" w:lineRule="exact"/>
        <w:rPr>
          <w:sz w:val="20"/>
          <w:szCs w:val="20"/>
          <w:color w:val="auto"/>
        </w:rPr>
      </w:pPr>
    </w:p>
    <w:p>
      <w:pPr>
        <w:sectPr>
          <w:pgSz w:w="11900" w:h="16838" w:orient="portrait"/>
          <w:cols w:equalWidth="0" w:num="2">
            <w:col w:w="4940" w:space="720"/>
            <w:col w:w="4559"/>
          </w:cols>
          <w:pgMar w:left="240" w:top="719" w:right="1440" w:bottom="1440" w:gutter="0" w:footer="0" w:header="0"/>
          <w:type w:val="continuous"/>
        </w:sect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July 10, 2001, the AT&amp;T Board met by telephone and was briefed by AT&amp;T's management and advisors with respect to the letter from Comcast and reviewed with AT&amp;T's legal advisors the AT&amp;T Board's legal duties. On July 18, 2001, the AT&amp;T Board voted unanimously to reject Comcast's proposal to acquire AT&amp;T Broadband. After careful review, and based in part on the advice of its financial advisors, Credit Suisse First Boston Corporation and Goldman, Sachs &amp; Co., the AT&amp;T Board determined that Comcast's proposal did not reflect the full value of AT&amp;T Broadband. The AT&amp;T Board also continued to be concerned by the corporate governance issues arising from Comcast's multi-tier voting structure. The AT&amp;T Board directed AT&amp;T management to explore financial and strategic alternatives relating to AT&amp;T Broadband, including the previously announced restructuring plans, with the goal of providing the greatest long-term value to shareholders. In addition, the AT&amp;T Board decided to delay finalizing and mailing to shareholders the proxy materials that AT&amp;T had previously filed.</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Thereafter, representatives of AT&amp;T had preliminary discussions with representatives of a number of third parties who had expressed interest in a transaction with or an investment in AT&amp;T or AT&amp;T Broadband. AT&amp;T informed each of the parties that it would not be willing to discuss valuation or commence due diligence activities until the other party entered into a customary confidentiality agreement. AT&amp;T's proposed confidentiality agreement included provisions prohibiting interested parties from holding discussions with each other with respect to a combination with AT&amp;T Broadband without AT&amp;T's consent.</w:t>
      </w:r>
    </w:p>
    <w:p>
      <w:pPr>
        <w:spacing w:after="0" w:line="201"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AT&amp;T's discussions with third parties included discussions with representatives of Comcast. Because Comcast objected to signing AT&amp;T's proposed confidentiality agreement, however, these discussions initially did not include any valuation discussions nor did the parties commence due diligence.</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September 17, 2001, Charles Noski and Brian L. Roberts and certain representatives of their respective financial and legal advisors met in Philadelphia. At this meeting, Mr. Roberts indicated that Comcast would be willing to negotiate certain aspects of its proposed governance structure for a combined Comcast-AT&amp;T Broadband. He also indicated that Comcast would be willing to enter into a confidentiality agreement containing restrictions on Comcast's ability to talk to other parties regarding a potential combination with AT&amp;T Broadband, so long as AT&amp;T was willing to indicate that Comcast's governance position would not preclude a transaction with Comcast.</w:t>
      </w:r>
    </w:p>
    <w:p>
      <w:pPr>
        <w:spacing w:after="0" w:line="201" w:lineRule="exact"/>
        <w:rPr>
          <w:sz w:val="20"/>
          <w:szCs w:val="20"/>
          <w:color w:val="auto"/>
        </w:rPr>
      </w:pPr>
    </w:p>
    <w:p>
      <w:pPr>
        <w:ind w:right="2559" w:firstLine="524"/>
        <w:spacing w:after="0" w:line="254" w:lineRule="auto"/>
        <w:rPr>
          <w:sz w:val="20"/>
          <w:szCs w:val="20"/>
          <w:color w:val="auto"/>
        </w:rPr>
      </w:pPr>
      <w:r>
        <w:rPr>
          <w:rFonts w:ascii="Courier New" w:cs="Courier New" w:eastAsia="Courier New" w:hAnsi="Courier New"/>
          <w:sz w:val="17"/>
          <w:szCs w:val="17"/>
          <w:color w:val="auto"/>
        </w:rPr>
        <w:t>At meetings held on September 20 and 22, 2001, AT&amp;T's management and financial and legal advisors reviewed with the AT&amp;T Board the status of discussions with various parties and the strategic</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719" w:right="1440" w:bottom="1440" w:gutter="0" w:footer="0" w:header="0"/>
          <w:type w:val="continuous"/>
        </w:sectPr>
      </w:pPr>
    </w:p>
    <w:bookmarkStart w:id="69" w:name="page70"/>
    <w:bookmarkEnd w:id="69"/>
    <w:p>
      <w:pPr>
        <w:ind w:right="1939"/>
        <w:spacing w:after="0" w:line="251" w:lineRule="auto"/>
        <w:rPr>
          <w:sz w:val="20"/>
          <w:szCs w:val="20"/>
          <w:color w:val="auto"/>
        </w:rPr>
      </w:pPr>
      <w:r>
        <w:rPr>
          <w:rFonts w:ascii="Courier New" w:cs="Courier New" w:eastAsia="Courier New" w:hAnsi="Courier New"/>
          <w:sz w:val="17"/>
          <w:szCs w:val="17"/>
          <w:color w:val="auto"/>
        </w:rPr>
        <w:t>alternatives available to AT&amp;T with respect to AT&amp;T Broadband. Following this review, the AT&amp;T Board instructed AT&amp;T's management and advisors to continue to explore and develop financial and strategic alternatives relating to AT&amp;T Broadband. The AT&amp;T Board authorized management to indicate to Comcast that governance would not preclude a transaction with Comcast if the terms of the transaction as a whole were sufficiently attractive. The AT&amp;T Board also authorized AT&amp;T's management and advisors to seek formal proposals from interested parties.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From August through October 2001, the Comcast Board met several times to receive reports from its management on the status of Comcast's proposal to acquire AT&amp;T Broadband. After one of these briefings at a special meeting of the Comcast Board held on September 26, 2001, Comcast's legal advisors reviewed the terms of the confidentiality agreement that Comcast and AT&amp;T had negotiated and explained the restrictions imposed by the agreement on Comcast's ability to talk to third parties. After a lengthy discussion of the terms of the confidentiality agreement and related matters, the Comcast Board unanimously authorized management to enter into the confidentiality agreement, to commence due diligence on AT&amp;T Broadband and to continue negotiations with AT&amp;T regarding an AT&amp;T Broadband transaction.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September 28, 2001, AT&amp;T and Comcast entered into a confidentiality agreement with respect to a possible transaction involving AT&amp;T Broadband. Thereafter, AT&amp;T and Comcast commenced the exchange of confidential information and other due diligence activities. Representatives of AT&amp;T also continued discussions and due diligence activities with other interested parties, including parties interested in making an investment in AT&amp;T Broadband. In addition, AT&amp;T's legal advisors sent first drafts of a proposed merger agreement and separation and distribution agreement to parties that had executed a confidentiality agreement.</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October 23 and 24, 2001, letters seeking formal proposals were sent on AT&amp;T's behalf to three parties, one of which was Comcast, that had expressed interest in a possible combination with AT&amp;T Broadband and had executed confidentiality agreements. Each letter stated that the party should submit its proposal to the attention of AT&amp;T's legal advisor no later than November 30, 2001, and set forth procedures for submitting the proposal and for conducting due diligence. The letter also stated that the proposal should include a copy of the merger agreement marked to show any proposed changes, and that the proposal should have full board approval. In addition, the letter encouraged parties to discuss any financial or legal issues with AT&amp;T's financial and legal advisors prior to submitting a proposal. Also on October 23, 2001, AT&amp;T appointed William T. Schleyer president and chief executive officer of AT&amp;T Broadband, and appointed two other new senior executives of AT&amp;T Broadband. AT&amp;T stated that the appointments were part of an effort to strengthen and enhance AT&amp;T Broadband's senior management team as AT&amp;T continued to evaluate strategic and financial alternatives for AT&amp;T Broadband.</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the ensuing period, AT&amp;T and its advisors conducted further discussions and due diligence activities with each of the parties. These included discussions relating to potential synergies and strategies (including telephony strategy) for a combined company, as well as discussions with respect to the draft merger agreement and other draft transaction documents, particularly the separation and distribution agreement and the other intercompany agreements. AT&amp;T and its advisors also discussed with each of the parties the governance structure proposed for the combined company. In addition, during this period, AT&amp;T continued to have discussions with other parties interested in making only an investment in AT&amp;T Broadband.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Over the course of the discussions between Comcast and AT&amp;T Broadband, Comcast agreed that the voting power of the Class B shares held by the Roberts family would be limited to one-third of the voting power of the combined company, and that the initial board of the combined company would be comprised of five members of the current Comcast board, five members of the current AT&amp;T Board to be mutually agreed (including Mr. Armstrong as Chairman), and two new independent directors to be selected mutually. The Roberts family agreed that, for five years, it would not sell its Class B shares except to certain permitted transferees or in a transaction that offered the same per share consideration to all</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9"/>
          </w:cols>
          <w:pgMar w:left="240" w:top="719" w:right="1440" w:bottom="1440" w:gutter="0" w:footer="0" w:header="0"/>
        </w:sectPr>
      </w:pPr>
    </w:p>
    <w:bookmarkStart w:id="70" w:name="page71"/>
    <w:bookmarkEnd w:id="70"/>
    <w:p>
      <w:pPr>
        <w:ind w:right="2039"/>
        <w:spacing w:after="0" w:line="257" w:lineRule="auto"/>
        <w:rPr>
          <w:sz w:val="20"/>
          <w:szCs w:val="20"/>
          <w:color w:val="auto"/>
        </w:rPr>
      </w:pPr>
      <w:r>
        <w:rPr>
          <w:rFonts w:ascii="Courier New" w:cs="Courier New" w:eastAsia="Courier New" w:hAnsi="Courier New"/>
          <w:sz w:val="17"/>
          <w:szCs w:val="17"/>
          <w:color w:val="auto"/>
        </w:rPr>
        <w:t>shareholders and that was approved or accepted by holders of a majority of the shares held by shareholders other than the Roberts family.</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From September through November 2001, Comcast held talks from time to time with Microsoft Corporation concerning an arrangement whereby Microsoft would exchange AT&amp;T preferred securities held by it that are referred to in this document as "QUIPS" in an aggregate principal amount of $5 billion for equity in AT&amp;T Comcast. The purpose of these discussions was to negotiate what is referred to in this document as the "QUIPS exchange transaction," in order to reduce the amount of fixed obligations AT&amp;T Comcast would have upon completion of an AT&amp;T Broadband transaction. Also, during October and November 2001 Brian L. Roberts and C. Michael Armstrong had a series of meetings to discuss matters relating to the strategy and management of the combined company.</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November 26, 2001, at a special meeting of the Comcast Board, management updated the Board on the status of negotiations concerning an AT&amp;T Broadband transaction and on the extensive due diligence that Comcast and its financial and legal advisors had conducted. At that meeting, management also described its efforts to prepare a revised offer for AT&amp;T Broadband for submission to AT&amp;T on November 30, 2001. The Comcast Board heard a presentation from Comcast's legal advisor concerning the auction process initiated by AT&amp;T and the fiduciary duties of the Comcast directors and a presentation from Comcast's financial advisors concerning the terms of Comcast's revised proposal. Thereafter, the Comcast Board unanimously authorized management to continue negotiations with AT&amp;T concerning an AT&amp;T Broadband transaction.</w:t>
      </w:r>
    </w:p>
    <w:p>
      <w:pPr>
        <w:spacing w:after="0" w:line="201"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On November 27, 2001, a letter was sent on AT&amp;T's behalf to each of the three parties informing them that the deadline for submission of proposals had been extended to December 3, 2001.</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the morning of December 3, 2001, at a special meeting of the Comcast Board, management reviewed with the directors the terms of its revised offer to acquire AT&amp;T Broadband, including the amount of equity to be issued to AT&amp;T shareholders, the amount of debt to be assumed by AT&amp;T Broadband and the governance arrangements to be implemented for the combined company upon completion of an AT&amp;T Broadband transaction. Management also reviewed with the directors the final terms of the QUIPS Exchange that had been negotiated with Microsoft. After discussion, the Comcast Board unanimously authorized management to submit the revised offer on the terms and conditions described at that meeting and to enter into the exchange agreement with Microsoft relating to the QUIPS exchange transaction. Shortly after that meeting, Comcast and Microsoft executed the exchange agreement.</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Later on December 3, 2001, each of the three parties submitted a proposal, including proposed agreements, with respect to a combination with AT&amp;T Broadband. Over the course of the next several days, AT&amp;T's management and its financial and legal advisors reviewed the proposals and had discussions with representatives of each of the parties. At the AT&amp;T Board's direction, AT&amp;T's management and its advisors sought to clarify aspects of the proposals, as well as to negotiate various provisions of the proposed agreements.</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meetings held on December 7 and 8, 2001, AT&amp;T's management and financial and legal advisors reviewed and discussed with the AT&amp;T Board each of the proposals, as well as other alternatives available to AT&amp;T. These alternatives included proceeding with the separation of AT&amp;T Broadband without any combination with another party, or retaining AT&amp;T Broadband as part of AT&amp;T. AT&amp;T's legal advisors also reviewed again with the AT&amp;T Board the legal standards applicable to their consideration of the proposals. The AT&amp;T Board concluded that none of the proposals as presented was sufficiently attractive to accept, nor were the proposed agreements with any of the parties at a stage to be executed immediately. The AT&amp;T Board also concluded, however, that each of the three proposals and sets of agreements might be capable of being improved sufficiently to be acceptable to the AT&amp;T Board. In light of these conclusions, the AT&amp;T Board directed AT&amp;T's management and advisors to seek to improve the terms of the proposals, and reach agreements that were ready to be executed, in advance of the AT&amp;T Board's regularly scheduled meeting to be held on December 19, 2001.</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219"/>
          </w:cols>
          <w:pgMar w:left="240" w:top="719" w:right="1440" w:bottom="1440" w:gutter="0" w:footer="0" w:header="0"/>
        </w:sectPr>
      </w:pPr>
    </w:p>
    <w:bookmarkStart w:id="71" w:name="page72"/>
    <w:bookmarkEnd w:id="71"/>
    <w:p>
      <w:pPr>
        <w:ind w:right="2039" w:firstLine="524"/>
        <w:spacing w:after="0" w:line="251" w:lineRule="auto"/>
        <w:rPr>
          <w:sz w:val="20"/>
          <w:szCs w:val="20"/>
          <w:color w:val="auto"/>
        </w:rPr>
      </w:pPr>
      <w:r>
        <w:rPr>
          <w:rFonts w:ascii="Courier New" w:cs="Courier New" w:eastAsia="Courier New" w:hAnsi="Courier New"/>
          <w:sz w:val="17"/>
          <w:szCs w:val="17"/>
          <w:color w:val="auto"/>
        </w:rPr>
        <w:t>On December 8 and 9, 2001, representatives of AT&amp;T informed each of the three parties of the AT&amp;T Board's decisions. The AT&amp;T representatives proposed meetings and discussions with representatives of each of the parties over the next week with the goal of reaching revised proposals and final agreements no later than December 16, 2001. In these meetings and discussions, in accordance with the AT&amp;T Board's instructions, AT&amp;T's representatives requested that each of the parties increase the amount of equity in the combined company that AT&amp;T shareholders would receive, and to agree on an allocation of assets and liabilities between AT&amp;T and AT&amp;T Broadband consistent with the allocations proposed by AT&amp;T.</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December 15, 2001, the Comcast Board met to consider a recommendation by management that Comcast increase its offer for AT&amp;T Broadband. At that meeting, management updated the Comcast directors on the status of the negotiations with AT&amp;T concerning the AT&amp;T Broadband transaction. Comcast's legal advisor then reviewed with the Comcast Board in detail the terms of the merger agreement and the other transaction agreements that had been negotiated with AT&amp;T as well as the fiduciary duties of the Comcast directors. Also at that meeting, Comcast's financial advisors made a presentation concerning certain financial aspects of Comcast's proposal for AT&amp;T Broadband. Thereafter, the Comcast Board unanimously authorized management to increase Comcast's bid for AT&amp;T Broadband.</w:t>
      </w:r>
    </w:p>
    <w:p>
      <w:pPr>
        <w:spacing w:after="0" w:line="201"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On December 16, 2001, each of the three parties submitted revised proposals, in each case increasing the equity amount offered to AT&amp;T shareholders and the amount of liabilities that the combined company would assume. Over the next three days, representatives of AT&amp;T had further discussions with representatives of each of the three parties in an effort to finalize the proposed agreements and to encourage each of the parties to make sure that it had presented its best and final proposal. In the course of these discussions with representatives of AT&amp;T, all three parties made final improvements to their proposals.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the morning of December 19, 2001, the Comcast Board met to consider a recommendation by management that Comcast increase the equity component of its offer for AT&amp;T Broadband. At that meeting, Comcast's legal advisor provided the Board with an update on the status of the negotiations with AT&amp;T. Comcast's financial advisors indicated that they would be in a position to provide the Board with opinions to the effect that the price proposed to be paid in the AT&amp;T Broadband transaction would be fair to Comcast's shareholders. After discussion, the Comcast Board unanimously authorized Comcast management to increase its bid for AT&amp;T Broadband and to enter into an AT&amp;T Broadband transaction on the terms previously described to the Comcast Board.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the AT&amp;T Board meeting on December 19, 2001, AT&amp;T's management and financial and legal advisors reviewed and discussed with the AT&amp;T Board the final proposals from each of the parties, and again reviewed the other alternatives available to AT&amp;T and AT&amp;T's legal advisors again reviewed the legal standards applicable to the AT&amp;T Board's decisions. AT&amp;T's management and advisors also reviewed with the AT&amp;T Board the risks, including regulatory risks, execution risks and certainty of completion, of each of the proposals and alternatives. Based on this review, the AT&amp;T Board concluded that the Comcast proposal offered greater value and certainty than the other two proposals, as well as greater value and certainty than the other available alternatives. The AT&amp;T Board noted favorably that the Roberts family had agreed to limit the voting power of Class B shares to 33 1/3%.</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However, in reviewing the agreement of the Roberts family not to sell its Class B shares except to certain permitted transferees or in a transaction that offered the same per share consideration to all shareholders and that was approved or accepted by holders of a majority of the shares held by shareholders other than the Roberts family, the AT&amp;T Board determined that this protection should be extended from five years to ten years. The AT&amp;T Board directed management to request that the Roberts family agree to this extension. Messrs. Armstrong and Noski telephoned Brian Roberts to ask that the Roberts family agree to the extension. After considering the issue, Mr. Roberts called Mr. Armstrong back to inform him that the family would agree. The AT&amp;T Board voted unanimously to approve the Comcast proposal and the agreements reflecting that proposal. Following the meeting, AT&amp;T and Comcast executed the merger</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II-7</w:t>
      </w:r>
    </w:p>
    <w:p>
      <w:pPr>
        <w:sectPr>
          <w:pgSz w:w="11900" w:h="16838" w:orient="portrait"/>
          <w:cols w:equalWidth="0" w:num="1">
            <w:col w:w="10219"/>
          </w:cols>
          <w:pgMar w:left="240" w:top="719" w:right="1440" w:bottom="1440" w:gutter="0" w:footer="0" w:header="0"/>
        </w:sectPr>
      </w:pPr>
    </w:p>
    <w:bookmarkStart w:id="72" w:name="page73"/>
    <w:bookmarkEnd w:id="72"/>
    <w:p>
      <w:pPr>
        <w:ind w:right="2259"/>
        <w:spacing w:after="0" w:line="257" w:lineRule="auto"/>
        <w:rPr>
          <w:sz w:val="20"/>
          <w:szCs w:val="20"/>
          <w:color w:val="auto"/>
        </w:rPr>
      </w:pPr>
      <w:r>
        <w:rPr>
          <w:rFonts w:ascii="Courier New" w:cs="Courier New" w:eastAsia="Courier New" w:hAnsi="Courier New"/>
          <w:sz w:val="17"/>
          <w:szCs w:val="17"/>
          <w:color w:val="auto"/>
        </w:rPr>
        <w:t>agreement, AT&amp;T and AT&amp;T Broadband executed the separation and distribution agreement, and AT&amp;T, Comcast and Mr. Roberts executed the support agreement.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COMCAST'S REASONS FOR THE AT&amp;T COMCAST TRANSACTION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a special meeting held on December 19, 2001, the Comcast Board unanimously determined that the AT&amp;T Comcast transaction, including the Comcast merger, is fair to and in the best interests of Comcast shareholders. The Comcast Board recommends that holders of Comcast common stock vote FOR approval and adoption of the merger agreement and the transactions contemplated by the merger agreement. In the course of determining that the AT&amp;T Comcast transaction, including the Comcast merger, is fair to and in the best interests of Comcast shareholders, the Comcast Board consulted with management, as well as its legal and financial advisors, and considered the following primary factors:</w:t>
      </w:r>
    </w:p>
    <w:p>
      <w:pPr>
        <w:spacing w:after="0" w:line="201" w:lineRule="exact"/>
        <w:rPr>
          <w:sz w:val="20"/>
          <w:szCs w:val="20"/>
          <w:color w:val="auto"/>
        </w:rPr>
      </w:pPr>
    </w:p>
    <w:p>
      <w:pPr>
        <w:ind w:left="740" w:right="1839" w:hanging="209"/>
        <w:spacing w:after="0" w:line="251" w:lineRule="auto"/>
        <w:tabs>
          <w:tab w:leader="none" w:pos="74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Creating an Unrivaled Broadband Network. Comcast believes that the combination of Comcast with AT&amp;T Broadband will create a network of unrivaled scale and scope, uniquely situated to realize the vision of broadband. On a pro forma basis, the combined network will have 22 million subscribers with 38 million homes passed, the leading presence in eight of the ten largest U.S. cable marketing areas and a major presence in 17 of the 20 largest cable marketing areas, and a physical plant that is 80% upgraded to 550 MHZ and 67% upgraded to 750 MHZ. Comcast expects these strengths will permit the combined company to lead the industry in the development of new broadband services, such as video-on-demand, interactive television and telephony.</w:t>
      </w:r>
    </w:p>
    <w:p>
      <w:pPr>
        <w:spacing w:after="0" w:line="201"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Synergies. Building on the strength of the combined network, Comcast expects the combined company to achieve operating synergies approaching $1-2 billion annually by 2005. Comcast expects to achieve these synergies through elimination of corporate overhead and reduced operating costs and the adoption of best practices from the two companies. In addition, Comcast expects to achieve additional synergies through increased advertising revenues, the development of new revenue-producing products and programming assets and the expansion of broadband telephony.</w:t>
      </w:r>
    </w:p>
    <w:p>
      <w:pPr>
        <w:spacing w:after="0" w:line="201" w:lineRule="exact"/>
        <w:rPr>
          <w:rFonts w:ascii="Courier New" w:cs="Courier New" w:eastAsia="Courier New" w:hAnsi="Courier New"/>
          <w:sz w:val="17"/>
          <w:szCs w:val="17"/>
          <w:color w:val="auto"/>
        </w:rPr>
      </w:pPr>
    </w:p>
    <w:p>
      <w:pPr>
        <w:ind w:left="740" w:right="1939" w:hanging="209"/>
        <w:spacing w:after="0" w:line="251" w:lineRule="auto"/>
        <w:tabs>
          <w:tab w:leader="none" w:pos="74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Potential for Earnings Growth. Comcast believes the combined company will offer an opportunity for earnings growth as the AT&amp;T Broadband systems are brought up to industry-standard margins. Comcast has a track record of maintaining earnings before interest, taxes, depreciation and amortization, or EBITDA, margins even as lower margin systems are integrated. By combining the best management of Comcast and AT&amp;T Broadband, Comcast expects to accelerate the growth in EBITDA margins that AT&amp;T Broadband has begun.</w:t>
      </w:r>
    </w:p>
    <w:p>
      <w:pPr>
        <w:spacing w:after="0" w:line="201"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Fairness Opinions. Morgan Stanley &amp; Co. Incorporated, J.P. Morgan Securities Inc. and Merrill Lynch, Pierce, Fenner &amp; Smith Incorporated, financial advisors to Comcast, each rendered an opinion dated December 19, 2001 to the effect that as of that date and based upon and subject to the assumptions, qualifications and limitations set forth therein, the conversion ratios in the Comcast merger applicable to the holders of Comcast common stock, in the aggregate, were fair, from a financial point of view, to the Comcast shareholders, taken together. The fairness opinions of Morgan Stanley &amp; Co. Incorporated, J.P. Morgan Securities Inc. and Merrill Lynch, Pierce, Fenner &amp; Smith Incorporated are included as Annexes G, H and I, respectively, to this document and should be read in their entireties. The Comcast Board believes that these opinions support the Comcast Board's conclusion that the AT&amp;T Comcast transaction, including the Comcast merger, is fair to and in the best interests of Comcast shareholders.</w:t>
      </w:r>
    </w:p>
    <w:p>
      <w:pPr>
        <w:spacing w:after="0" w:line="201" w:lineRule="exact"/>
        <w:rPr>
          <w:rFonts w:ascii="Courier New" w:cs="Courier New" w:eastAsia="Courier New" w:hAnsi="Courier New"/>
          <w:sz w:val="17"/>
          <w:szCs w:val="17"/>
          <w:color w:val="auto"/>
        </w:rPr>
      </w:pPr>
    </w:p>
    <w:p>
      <w:pPr>
        <w:jc w:val="both"/>
        <w:ind w:left="740" w:right="2139" w:hanging="209"/>
        <w:spacing w:after="0" w:line="257" w:lineRule="auto"/>
        <w:tabs>
          <w:tab w:leader="none" w:pos="74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Tax-Free Transaction. Comcast expects that the Comcast merger will be tax-free for U.S. federal income tax purposes to Comcast shareholders.</w:t>
      </w:r>
    </w:p>
    <w:p>
      <w:pPr>
        <w:spacing w:after="0" w:line="191" w:lineRule="exact"/>
        <w:rPr>
          <w:rFonts w:ascii="Courier New" w:cs="Courier New" w:eastAsia="Courier New" w:hAnsi="Courier New"/>
          <w:sz w:val="17"/>
          <w:szCs w:val="17"/>
          <w:color w:val="auto"/>
        </w:rPr>
      </w:pPr>
    </w:p>
    <w:p>
      <w:pPr>
        <w:ind w:left="740" w:right="1939" w:hanging="209"/>
        <w:spacing w:after="0" w:line="252" w:lineRule="auto"/>
        <w:tabs>
          <w:tab w:leader="none" w:pos="74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Terms of the AT&amp;T Comcast Transaction Agreements. The Comcast Board considered the terms and conditions of the merger agreement, including the conditions to closing, the termination fees payable under certain circumstances and the restrictions imposed on the conduct of business of AT&amp;T Broadband and Comcast in the period prior to closing. The Comcast Board took particular note of the provisions of the merger agreement which do not permit AT&amp;T to terminate the merger</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II-8</w:t>
      </w:r>
    </w:p>
    <w:p>
      <w:pPr>
        <w:sectPr>
          <w:pgSz w:w="11900" w:h="16838" w:orient="portrait"/>
          <w:cols w:equalWidth="0" w:num="1">
            <w:col w:w="10219"/>
          </w:cols>
          <w:pgMar w:left="240" w:top="719" w:right="1440" w:bottom="860" w:gutter="0" w:footer="0" w:header="0"/>
        </w:sectPr>
      </w:pPr>
    </w:p>
    <w:bookmarkStart w:id="73" w:name="page74"/>
    <w:bookmarkEnd w:id="73"/>
    <w:p>
      <w:pPr>
        <w:ind w:left="740" w:right="1839"/>
        <w:spacing w:after="0" w:line="252" w:lineRule="auto"/>
        <w:rPr>
          <w:sz w:val="20"/>
          <w:szCs w:val="20"/>
          <w:color w:val="auto"/>
        </w:rPr>
      </w:pPr>
      <w:r>
        <w:rPr>
          <w:rFonts w:ascii="Courier New" w:cs="Courier New" w:eastAsia="Courier New" w:hAnsi="Courier New"/>
          <w:sz w:val="17"/>
          <w:szCs w:val="17"/>
          <w:color w:val="auto"/>
        </w:rPr>
        <w:t>agreement to accept a superior acquisition proposal or if the AT&amp;T Board changes its recommendation of the transaction in a manner adverse to Comcast, and which, subject to applicable law, require AT&amp;T to submit the transaction for a vote of the AT&amp;T shareholders at the AT&amp;T meeting. The Comcast Board also considered the terms and conditions of the other transaction agreements described or referred to in this document.</w:t>
      </w:r>
    </w:p>
    <w:p>
      <w:pPr>
        <w:spacing w:after="0" w:line="197" w:lineRule="exact"/>
        <w:rPr>
          <w:sz w:val="20"/>
          <w:szCs w:val="20"/>
          <w:color w:val="auto"/>
        </w:rPr>
      </w:pPr>
    </w:p>
    <w:p>
      <w:pPr>
        <w:ind w:left="740" w:right="1839" w:hanging="209"/>
        <w:spacing w:after="0" w:line="252" w:lineRule="auto"/>
        <w:tabs>
          <w:tab w:leader="none" w:pos="7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Governance. The Comcast Board considered the fact that Brian L. Roberts will initially be the Chief Executive Officer and President of AT&amp;T Comcast and will, along with C. Michael Armstrong, comprise the Office of the Chairman, AT&amp;T Comcast's principal executive deliberative body. The Comcast Board also considered the fact that Brian L. Roberts will, in consultation with C. Michael Armstrong, select the initial executive officers of the combined company.</w:t>
      </w:r>
    </w:p>
    <w:p>
      <w:pPr>
        <w:spacing w:after="0" w:line="195"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Structure of the AT&amp;T Comcast Transaction. The Comcast Board considered that the transaction is structured as a spin-off and merger of AT&amp;T Broadband with a subsidiary of AT&amp;T Comcast instead of a spin-off of AT&amp;T's communications business and merger of AT&amp;T (which would under such a structure consist primarily of AT&amp;T's broadband business) with a subsidiary of AT&amp;T Comcast. Comcast believes that the structure of the AT&amp;T Comcast transaction reduces the potential exposure of the combined company to historic AT&amp;T liabilities that are not attributable to AT&amp;T's broadband business. In addition, Comcast believes that the structure of the AT&amp;T Comcast transaction reduces the potential exposure of the combined company to contractual liabilities of AT&amp;T's communications business.</w:t>
      </w:r>
    </w:p>
    <w:p>
      <w:pPr>
        <w:spacing w:after="0" w:line="201"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The Comcast Board also considered potential adverse consequences and negative factors, primarily consisting of the following, but concluded that the positive factors outweighed these negative factors:</w:t>
      </w:r>
    </w:p>
    <w:p>
      <w:pPr>
        <w:spacing w:after="0" w:line="194" w:lineRule="exact"/>
        <w:rPr>
          <w:sz w:val="20"/>
          <w:szCs w:val="20"/>
          <w:color w:val="auto"/>
        </w:rPr>
      </w:pPr>
    </w:p>
    <w:p>
      <w:pPr>
        <w:ind w:left="740" w:right="1839" w:hanging="209"/>
        <w:spacing w:after="0" w:line="253" w:lineRule="auto"/>
        <w:tabs>
          <w:tab w:leader="none" w:pos="74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Risk Factors. The Comcast Board considered the risks described under "Summary and Overview of the Transactions -- Risk Factors relating to the AT&amp;T Comcast Transaction" and "Summary and Overview of the Transactions -- Risk Factors relating to the Business of AT&amp;T Comcast."</w:t>
      </w:r>
    </w:p>
    <w:p>
      <w:pPr>
        <w:spacing w:after="0" w:line="195"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Increased Debt Level. AT&amp;T has allocated a significant portion of AT&amp;T's consolidated debt to AT&amp;T Broadband. As a result of this allocation, AT&amp;T Comcast will be more leveraged than Comcast has historically been. The Comcast Board believes that the financial strength of the combined company and the deleveraging opportunities that will be available following completion of the mergers will enable AT&amp;T Comcast to support and reduce this debt level.</w:t>
      </w:r>
    </w:p>
    <w:p>
      <w:pPr>
        <w:spacing w:after="0" w:line="195"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Potential Additional Payments. The Comcast Board considered provisions of the merger agreement that may require Comcast to increase the amount of AT&amp;T Comcast common stock to be issued to AT&amp;T Broadband shareholders in the AT&amp;T Broadband merger. In particular, the Comcast Board noted that</w:t>
      </w:r>
    </w:p>
    <w:p>
      <w:pPr>
        <w:ind w:left="740" w:right="1839" w:firstLine="1"/>
        <w:spacing w:after="0" w:line="251" w:lineRule="auto"/>
        <w:tabs>
          <w:tab w:leader="none" w:pos="1159" w:val="left"/>
        </w:tabs>
        <w:numPr>
          <w:ilvl w:val="1"/>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number of shares of AT&amp;T Comcast common stock to be issued to holders of AT&amp;T Broadband common stock may be increased by up to 3% if the AT&amp;T Comcast common stock issued to holders of AT&amp;T Broadband common stock is not included in the Standard &amp; Poor's 500 Index and there is a per share disparity between the average trading price of such class of stock and AT&amp;T Comcast Class A Special common stock, in each case shortly after completion of the mergers, and (2) the aggregate number of shares of AT&amp;T Comcast common stock to be issued to holders of AT&amp;T Broadband common stock may also be increased, without limit, to the extent that such shares do not represent more than 50% of the total value of AT&amp;T Comcast common stock that will be outstanding upon completion of the mergers.</w:t>
      </w:r>
    </w:p>
    <w:p>
      <w:pPr>
        <w:spacing w:after="0" w:line="201"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In addition, the Comcast Board was aware of the interests of certain of its directors and officers described under "Employee Benefits Matters -- Interests of Directors and Officers in the AT&amp;T Comcast Transaction."</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Due to the variety of factors and the quality and amount of information considered, the Comcast Board did not find it practicable to and did not make specific assessments of, quantify or assign relative weights to the specific factors considered in reaching its determination to approve the merger agreement and the transactions contemplated by the merger agreement. Instead, the Comcast Board made its</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II-9</w:t>
      </w:r>
    </w:p>
    <w:p>
      <w:pPr>
        <w:sectPr>
          <w:pgSz w:w="11900" w:h="16838" w:orient="portrait"/>
          <w:cols w:equalWidth="0" w:num="1">
            <w:col w:w="10219"/>
          </w:cols>
          <w:pgMar w:left="240" w:top="719" w:right="1440" w:bottom="659" w:gutter="0" w:footer="0" w:header="0"/>
        </w:sectPr>
      </w:pPr>
    </w:p>
    <w:bookmarkStart w:id="74" w:name="page75"/>
    <w:bookmarkEnd w:id="74"/>
    <w:p>
      <w:pPr>
        <w:ind w:right="2139"/>
        <w:spacing w:after="0" w:line="254" w:lineRule="auto"/>
        <w:rPr>
          <w:sz w:val="20"/>
          <w:szCs w:val="20"/>
          <w:color w:val="auto"/>
        </w:rPr>
      </w:pPr>
      <w:r>
        <w:rPr>
          <w:rFonts w:ascii="Courier New" w:cs="Courier New" w:eastAsia="Courier New" w:hAnsi="Courier New"/>
          <w:sz w:val="17"/>
          <w:szCs w:val="17"/>
          <w:color w:val="auto"/>
        </w:rPr>
        <w:t>determination after consideration of all factors taken together. In addition, individual members of the Comcast Board may have given different weight to different factors.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COMCAST'S PREFERRED STRUCTURE PROPOSAL</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Background. The Comcast charter provides that if in a transaction like the Comcast merger the holders of the Comcast Class A common stock, the Comcast Class B common stock and the Comcast Class A Special common stock do not receive the same consideration for each of their shares of Comcast common stock (i.e., the same amount of cash or the same number of shares of each class of stock issued in the transaction in proportion to the number of shares of Comcast common stock held by them, respectively, without regard to class), the holders of each class of Comcast common stock must receive "mirror" securities (i.e., shares of a class of stock having substantially equivalent rights as the applicable class of Comcast stock). It is unclear that the shares of AT&amp;T Comcast Class A common stock to be issued to holders of the Comcast Class A common stock in the Comcast merger under the Preferred Structure qualify as "mirror" securities because the per share voting rights of the Class A common stock relative to the per share voting rights of the Class B common stock will decrease. Consequently, Comcast has decided to seek the approval of the holders of the Comcast Class A common stock, voting as a single class, and holders of Comcast Class A common stock and Comcast Class B common stock, voting together as a single class, to the adoption of an amendment to the Comcast charter that expressly permits implementation of the Preferred Structure. If approved, the Comcast charter amendment would be effected immediately prior to the Comcast merger. This proposal is referred to in this document as the "preferred structure proposal." If the AT&amp;T Comcast transaction does not occur, the Comcast charter amendment will not be effected, even if the preferred structure proposal is approved. A copy of the Comcast charter amendment that would be filed prior to completion of the transaction if the preferred structure proposal is approved is attached as Annex E to this document.</w:t>
      </w:r>
    </w:p>
    <w:p>
      <w:pPr>
        <w:spacing w:after="0" w:line="200" w:lineRule="exact"/>
        <w:rPr>
          <w:sz w:val="20"/>
          <w:szCs w:val="20"/>
          <w:color w:val="auto"/>
        </w:rPr>
      </w:pPr>
    </w:p>
    <w:p>
      <w:pPr>
        <w:spacing w:after="0" w:line="203" w:lineRule="exact"/>
        <w:rPr>
          <w:sz w:val="20"/>
          <w:szCs w:val="20"/>
          <w:color w:val="auto"/>
        </w:rPr>
      </w:pPr>
    </w:p>
    <w:p>
      <w:pPr>
        <w:jc w:val="center"/>
        <w:ind w:right="1299"/>
        <w:spacing w:after="0"/>
        <w:tabs>
          <w:tab w:leader="none" w:pos="200" w:val="left"/>
        </w:tabs>
        <w:rPr>
          <w:sz w:val="20"/>
          <w:szCs w:val="20"/>
          <w:color w:val="auto"/>
        </w:rPr>
      </w:pPr>
      <w:r>
        <w:rPr>
          <w:rFonts w:ascii="Courier New" w:cs="Courier New" w:eastAsia="Courier New" w:hAnsi="Courier New"/>
          <w:sz w:val="17"/>
          <w:szCs w:val="17"/>
          <w:color w:val="auto"/>
        </w:rPr>
        <w:t>Recommendation.</w:t>
        <w:tab/>
        <w:t>The Comcast Board has unanimously determined that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Structure is in the best interests of the holders of the Comcast Class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common stock. The Comcast Board recommends that holders of Comcast common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vote FOR the adoption of the Comcast charter amendment described above. If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holders of Comcast Class A common stock, voting as a single class,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holders of Comcast Class A common stock and Comcast Class B common stock, voting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together as a single class, approve the preferred structure proposal,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Structure will be implemented upon completion of the transaction. See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the AT&amp;T Comcast Transaction Agreements -- The Merger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 -- Merger Consideration -- Preferred Structure." If holders of Comcast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Class A common stock, voting as a single class, or holders of Comcast Class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and Comcast Class B common stock, voting together as a single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class, do not approve the preferred structure proposal, the Alternative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Structure will be implemented upon completion of the transaction. See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the AT&amp;T Comcast Transaction Agreements -- The Merger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 -- Merger Consideration -- Alternative Structure."</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Reason. In the course of determining that the Preferred Structure is in the best interests of the holders of Comcast Class A common stock, the Comcast Board consulted with management, as well as its financial and legal advisors. After taking into account their advice, the Comcast Board decided to recommend approval of the preferred structure proposal based on its belief that the holders of Comcast Class A common stock will benefit from owning shares in an extremely liquid class of stock. If the Preferred Structure is implemented and the QUIPS exchange transaction occurs, upon completion of the AT&amp;T Comcast transaction, there will be approximately 1.372 billion outstanding shares of AT&amp;T Comcast Class A common stock. By contrast, if the Alternative Structure is implemented and regardless of whether or not the QUIPS exchange transaction occurs, upon completion of the AT&amp;T Comcast transaction, there will only be approximately 22 million outstanding shares of AT&amp;T Comcast Class A common stock. While holders of AT&amp;T Comcast Class A common stock, together with holders of AT&amp;T Comcast Class B common stock, will have specific approval rights over numerous corporate actions under the Alternative Structure that they will not have under the Preferred Structure, holders of AT&amp;T Comcast Class B common stock will control these approval rights because holders of AT&amp;T Comcast Class B</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II-10</w:t>
      </w:r>
    </w:p>
    <w:p>
      <w:pPr>
        <w:sectPr>
          <w:pgSz w:w="11900" w:h="16838" w:orient="portrait"/>
          <w:cols w:equalWidth="0" w:num="1">
            <w:col w:w="10219"/>
          </w:cols>
          <w:pgMar w:left="240" w:top="719" w:right="1440" w:bottom="1440" w:gutter="0" w:footer="0" w:header="0"/>
        </w:sectPr>
      </w:pPr>
    </w:p>
    <w:bookmarkStart w:id="75" w:name="page76"/>
    <w:bookmarkEnd w:id="75"/>
    <w:p>
      <w:pPr>
        <w:ind w:right="1839"/>
        <w:spacing w:after="0" w:line="251" w:lineRule="auto"/>
        <w:rPr>
          <w:sz w:val="20"/>
          <w:szCs w:val="20"/>
          <w:color w:val="auto"/>
        </w:rPr>
      </w:pPr>
      <w:r>
        <w:rPr>
          <w:rFonts w:ascii="Courier New" w:cs="Courier New" w:eastAsia="Courier New" w:hAnsi="Courier New"/>
          <w:sz w:val="17"/>
          <w:szCs w:val="17"/>
          <w:color w:val="auto"/>
        </w:rPr>
        <w:t>common stock will hold approximately 86.7% of the votes entitled to be cast on such matters. In addition, Comcast does not believe that the increased per share voting power of AT&amp;T Comcast Class A common stock under the Alternative Structure relative to the per share voting power of the AT&amp;T Comcast Class A common stock under the Preferred Structure outweighs the advantage of the greater liquidity that the AT&amp;T Comcast Class A common stock will have under the Preferred Structure relative to the Alternative Structure. See "Certain Legal Information -- Description of AT&amp;T Comcast Capital Stock -- AT&amp;T Comcast Class A Common Stock -- Voting Rights."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AT&amp;T'S REASONS FOR THE AT&amp;T COMCAST TRANSACTION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a meeting held on December 19, 2001, the AT&amp;T Board unanimously determined that the AT&amp;T Comcast transaction, including the separation, the AT&amp;T Broadband spin-off and the AT&amp;T Broadband merger, is fair to and in the best interests of AT&amp;T shareholders. The AT&amp;T Board recommends that holders of AT&amp;T common stock vote FOR approval and adoption of the merger agreement and the transactions contemplated by the merger agreement. In the course of determining that the AT&amp;T Comcast transaction, including the separation, the AT&amp;T Broadband spin-off and the AT&amp;T Broadband merger, is fair to and in the best interests of AT&amp;T shareholders, the AT&amp;T Board consulted with management, as well as its legal and financial advisors, and considered the following primary factors:</w:t>
      </w:r>
    </w:p>
    <w:p>
      <w:pPr>
        <w:spacing w:after="0" w:line="201" w:lineRule="exact"/>
        <w:rPr>
          <w:sz w:val="20"/>
          <w:szCs w:val="20"/>
          <w:color w:val="auto"/>
        </w:rPr>
      </w:pPr>
    </w:p>
    <w:p>
      <w:pPr>
        <w:ind w:left="740" w:right="1939" w:hanging="209"/>
        <w:spacing w:after="0" w:line="252" w:lineRule="auto"/>
        <w:tabs>
          <w:tab w:leader="none" w:pos="74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Valuation. The AT&amp;T Board believes that the AT&amp;T Broadband exchange ratio provides AT&amp;T shareholders with an attractive valuation for their interest in AT&amp;T Broadband and offers superior and more certain value than the alternatives that were available to AT&amp;T. These alternatives included other combination proposals with respect to AT&amp;T Broadband, continuing with the separation of AT&amp;T Broadband without any combination and retaining AT&amp;T Broadband as part of AT&amp;T.</w:t>
      </w:r>
    </w:p>
    <w:p>
      <w:pPr>
        <w:spacing w:after="0" w:line="195"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Strength of Combined Company. AT&amp;T believes that the combination of AT&amp;T Broadband with Comcast will create a leading entertainment, communications and information company, passing more than 38 million homes with more than 22 million subscribers. The combined company will have a presence in 41 states and will be the leader in eight of the ten</w:t>
      </w:r>
    </w:p>
    <w:p>
      <w:pPr>
        <w:ind w:left="740" w:right="1839"/>
        <w:spacing w:after="0" w:line="251" w:lineRule="auto"/>
        <w:rPr>
          <w:sz w:val="20"/>
          <w:szCs w:val="20"/>
          <w:color w:val="auto"/>
        </w:rPr>
      </w:pPr>
      <w:r>
        <w:rPr>
          <w:rFonts w:ascii="Courier New" w:cs="Courier New" w:eastAsia="Courier New" w:hAnsi="Courier New"/>
          <w:sz w:val="17"/>
          <w:szCs w:val="17"/>
          <w:color w:val="auto"/>
        </w:rPr>
        <w:t>largest U.S. cable marketing areas and a major presence in 17 of the 20 largest cable marketing areas. AT&amp;T believes that the combined company will be a leader in advanced services, well positioned for developing and bringing to market new and innovative products and services for consumers. The scale of the combined company is expected to accelerate broadband deployment in areas such as telephony, video on demand, home networking and interactive television. AT&amp;T Comcast is also expected to be able to take advantage of significant cost and revenue synergies. By</w:t>
      </w:r>
    </w:p>
    <w:p>
      <w:pPr>
        <w:jc w:val="both"/>
        <w:ind w:left="740" w:right="2359"/>
        <w:spacing w:after="0" w:line="254" w:lineRule="auto"/>
        <w:rPr>
          <w:sz w:val="20"/>
          <w:szCs w:val="20"/>
          <w:color w:val="auto"/>
        </w:rPr>
      </w:pPr>
      <w:r>
        <w:rPr>
          <w:rFonts w:ascii="Courier New" w:cs="Courier New" w:eastAsia="Courier New" w:hAnsi="Courier New"/>
          <w:sz w:val="17"/>
          <w:szCs w:val="17"/>
          <w:color w:val="auto"/>
        </w:rPr>
        <w:t>virtue of their large equity interest (approximately [ ]% in the aggregate), AT&amp;T shareholders will have a significant opportunity to participate in the future performance of the combined company.</w:t>
      </w:r>
    </w:p>
    <w:p>
      <w:pPr>
        <w:spacing w:after="0" w:line="194" w:lineRule="exact"/>
        <w:rPr>
          <w:sz w:val="20"/>
          <w:szCs w:val="20"/>
          <w:color w:val="auto"/>
        </w:rPr>
      </w:pPr>
    </w:p>
    <w:p>
      <w:pPr>
        <w:ind w:left="740" w:right="2259" w:hanging="209"/>
        <w:spacing w:after="0" w:line="252" w:lineRule="auto"/>
        <w:tabs>
          <w:tab w:leader="none" w:pos="74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Telephony Strategy. AT&amp;T Comcast is expected to be able to take advantage of AT&amp;T Broadband's cable telephony expertise in order to develop telephony opportunities and increase revenues from telephony service offerings. The AT&amp;T Board believes that the opportunity to utilize AT&amp;T Comcast's extensive facilities should enhance the growth opportunities of the combined company.</w:t>
      </w:r>
    </w:p>
    <w:p>
      <w:pPr>
        <w:spacing w:after="0" w:line="196" w:lineRule="exact"/>
        <w:rPr>
          <w:rFonts w:ascii="Courier New" w:cs="Courier New" w:eastAsia="Courier New" w:hAnsi="Courier New"/>
          <w:sz w:val="17"/>
          <w:szCs w:val="17"/>
          <w:color w:val="auto"/>
        </w:rPr>
      </w:pPr>
    </w:p>
    <w:p>
      <w:pPr>
        <w:ind w:left="740" w:right="1939" w:hanging="209"/>
        <w:spacing w:after="0" w:line="251" w:lineRule="auto"/>
        <w:tabs>
          <w:tab w:leader="none" w:pos="74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Benefits of Separating AT&amp;T Broadband. The AT&amp;T Board continues to believe that the separation of AT&amp;T Broadband from the communications services businesses of AT&amp;T provides benefits to both businesses. The separation is expected to give the broadband and communications services businesses greater financial and operating strength to help realize growth opportunities, reduce the complexity inherent in managing an integrated enterprise of broadband and communications businesses, allow the businesses to create more effective management incentive and retention programs and allow for more focused investment opportunities than those presented by a diversified AT&amp;T. The AT&amp;T Board believes that the AT&amp;T Broadband merger will only enhance these benefits by creating a better and stronger broadband business.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II-11</w:t>
      </w:r>
    </w:p>
    <w:p>
      <w:pPr>
        <w:sectPr>
          <w:pgSz w:w="11900" w:h="16838" w:orient="portrait"/>
          <w:cols w:equalWidth="0" w:num="1">
            <w:col w:w="10219"/>
          </w:cols>
          <w:pgMar w:left="240" w:top="719" w:right="1440" w:bottom="1440" w:gutter="0" w:footer="0" w:header="0"/>
        </w:sectPr>
      </w:pPr>
    </w:p>
    <w:bookmarkStart w:id="76" w:name="page77"/>
    <w:bookmarkEnd w:id="76"/>
    <w:p>
      <w:pPr>
        <w:ind w:left="740" w:right="1839" w:hanging="209"/>
        <w:spacing w:after="0" w:line="251" w:lineRule="auto"/>
        <w:tabs>
          <w:tab w:leader="none" w:pos="74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Improvement of Financial Position of AT&amp;T. AT&amp;T has been pursuing a course of activities designed to reduce its debt levels. The AT&amp;T Board believes that the allocation of a significant portion of AT&amp;T's consolidated debt to AT&amp;T Broadband, followed by the combination of AT&amp;T Broadband with Comcast, will improve AT&amp;T's financial position. AT&amp;T believes that the combined AT&amp;T Comcast will have greater financial strength and ability to support the debt allocated to AT&amp;T Broadband and to engage in further debt reduction activities than an independent AT&amp;T Broadband, and that the communications services business will have a strong capital position following the separation of AT&amp;T Broadband, putting it in a better position to take advantage of opportunities in the future.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Opinions of Financial Advisors. Credit Suisse First Boston and Goldman Sachs, financial advisors to AT&amp;T, rendered to the AT&amp;T Board separate written opinions, each dated December 19, 2001, to the effect that, as of that date and based on and subject to the matters described in its opinion, the AT&amp;T Broadband exchange ratio was fair, from a financial point of view, to the holders of AT&amp;T Broadband common stock immediately prior to the mergers, other than Comcast and its affiliates. The opinions of Credit Suisse First Boston and Goldman Sachs are attached as Annexes J and K, respectively, to this document and should be carefully read in their entireties.</w:t>
      </w:r>
    </w:p>
    <w:p>
      <w:pPr>
        <w:spacing w:after="0" w:line="201"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Tax-Free Transaction. AT&amp;T expects the AT&amp;T Comcast transaction, including the separation, the AT&amp;T Broadband spin-off and the AT&amp;T Broadband merger, to be tax-free for U.S. federal income tax purposes to AT&amp;T's shareholders.</w:t>
      </w:r>
    </w:p>
    <w:p>
      <w:pPr>
        <w:spacing w:after="0" w:line="195"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Agreement Terms. The AT&amp;T Board considered the other terms and conditions of the merger agreement, the separation and distribution agreement and the related agreements, which are summarized in this document. The AT&amp;T Board took particular note of the provision that AT&amp;T and Comcast will seek to have the class of AT&amp;T Comcast common stock which the shareholders of AT&amp;T will receive in the AT&amp;T Broadband merger included in the Standard &amp; Poor's 500 Index. If the class is not included, the shareholders of AT&amp;T will receive in the AT&amp;T Broadband merger additional shares of the same class of AT&amp;T Comcast common stock (up to an additional 3%) if the shares they receive in the AT&amp;T Broadband merger trade below the AT&amp;T Comcast Class A Special shares during a specified measurement period following the closing of the AT&amp;T Broadband merger.</w:t>
      </w:r>
    </w:p>
    <w:p>
      <w:pPr>
        <w:spacing w:after="0" w:line="200" w:lineRule="exact"/>
        <w:rPr>
          <w:sz w:val="20"/>
          <w:szCs w:val="20"/>
          <w:color w:val="auto"/>
        </w:rPr>
      </w:pPr>
    </w:p>
    <w:p>
      <w:pPr>
        <w:spacing w:after="0" w:line="203"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The AT&amp;T Board also considered potential adverse consequences and negative factors, primarily consisting of the following, but concluded that the positive factors outweighed these negative factors:</w:t>
      </w:r>
    </w:p>
    <w:p>
      <w:pPr>
        <w:spacing w:after="0" w:line="194" w:lineRule="exact"/>
        <w:rPr>
          <w:sz w:val="20"/>
          <w:szCs w:val="20"/>
          <w:color w:val="auto"/>
        </w:rPr>
      </w:pPr>
    </w:p>
    <w:p>
      <w:pPr>
        <w:ind w:left="740" w:right="2559" w:hanging="209"/>
        <w:spacing w:after="0" w:line="257" w:lineRule="auto"/>
        <w:tabs>
          <w:tab w:leader="none" w:pos="74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Risk Factors. The AT&amp;T Board considered the risks described under "Summary and Overview of the Transactions -- Risk Factors."</w:t>
      </w:r>
    </w:p>
    <w:p>
      <w:pPr>
        <w:spacing w:after="0" w:line="191"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Governance of AT&amp;T Comcast. Upon completion of the AT&amp;T Comcast transaction, the voting power of the Roberts family will remain disproportionate to the Roberts family's economic interest. Under either of the two capital structures that could be implemented upon completion of the AT&amp;T Comcast transaction, the Roberts family and its transferees will hold 33 1/3% of the voting power of AT&amp;T Comcast through their ownership of shares of AT&amp;T Comcast Class B common stock representing less than 1.5% of the economic interest in the combined company. In addition, this voting interest will not be diluted by future issuances of shares of any other class of AT&amp;T Comcast stock.</w:t>
      </w:r>
    </w:p>
    <w:p>
      <w:pPr>
        <w:spacing w:after="0" w:line="201" w:lineRule="exact"/>
        <w:rPr>
          <w:rFonts w:ascii="Courier New" w:cs="Courier New" w:eastAsia="Courier New" w:hAnsi="Courier New"/>
          <w:sz w:val="17"/>
          <w:szCs w:val="17"/>
          <w:color w:val="auto"/>
        </w:rPr>
      </w:pPr>
    </w:p>
    <w:p>
      <w:pPr>
        <w:ind w:left="740" w:right="2039" w:hanging="209"/>
        <w:spacing w:after="0" w:line="252" w:lineRule="auto"/>
        <w:tabs>
          <w:tab w:leader="none" w:pos="74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Difficulty in Execution. A significant degree of difficulty and management distraction is inherent in the process of separating AT&amp;T Broadband from AT&amp;T and integrating AT&amp;T Broadband and Comcast. In addition, there is a risk that cost efficiencies and benefits sought in the AT&amp;T Broadband merger might not be fully achieved or that achieving these benefits may take longer than expected.</w:t>
      </w:r>
    </w:p>
    <w:p>
      <w:pPr>
        <w:spacing w:after="0" w:line="196"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Trading Prices. There is no assurance as to the trading prices of the shares of AT&amp;T Comcast or AT&amp;T following completion of the AT&amp;T Broadband spin-off and mergers. In addition, while AT&amp;T and Comcast will seek to have the class of AT&amp;T Comcast common stock which the</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II-12</w:t>
      </w:r>
    </w:p>
    <w:p>
      <w:pPr>
        <w:sectPr>
          <w:pgSz w:w="11900" w:h="16838" w:orient="portrait"/>
          <w:cols w:equalWidth="0" w:num="1">
            <w:col w:w="10219"/>
          </w:cols>
          <w:pgMar w:left="240" w:top="719" w:right="1440" w:bottom="659" w:gutter="0" w:footer="0" w:header="0"/>
        </w:sectPr>
      </w:pPr>
    </w:p>
    <w:bookmarkStart w:id="77" w:name="page78"/>
    <w:bookmarkEnd w:id="77"/>
    <w:p>
      <w:pPr>
        <w:ind w:left="740" w:right="1839"/>
        <w:spacing w:after="0" w:line="251" w:lineRule="auto"/>
        <w:rPr>
          <w:sz w:val="20"/>
          <w:szCs w:val="20"/>
          <w:color w:val="auto"/>
        </w:rPr>
      </w:pPr>
      <w:r>
        <w:rPr>
          <w:rFonts w:ascii="Courier New" w:cs="Courier New" w:eastAsia="Courier New" w:hAnsi="Courier New"/>
          <w:sz w:val="17"/>
          <w:szCs w:val="17"/>
          <w:color w:val="auto"/>
        </w:rPr>
        <w:t>shareholders of AT&amp;T will receive in the AT&amp;T Broadband merger included in the Standard &amp; Poor's 500 Index, there is no assurance that the companies will be successful in achieving this inclusion. If the class of AT&amp;T Comcast common stock issuable in the AT&amp;T Broadband merger is not included in the index, this may adversely affect their trading price. In this event, while AT&amp;T shareholders will receive additional shares of the same class of AT&amp;T Comcast common stock to the extent the shares they receive in the AT&amp;T Broadband merger trade below the AT&amp;T Comcast Class A Special shares during a specified measurement period following the closing of the mergers, this protection is limited to 3%.</w:t>
      </w:r>
    </w:p>
    <w:p>
      <w:pPr>
        <w:spacing w:after="0" w:line="201" w:lineRule="exact"/>
        <w:rPr>
          <w:sz w:val="20"/>
          <w:szCs w:val="20"/>
          <w:color w:val="auto"/>
        </w:rPr>
      </w:pPr>
    </w:p>
    <w:p>
      <w:pPr>
        <w:ind w:left="740" w:right="2139" w:hanging="209"/>
        <w:spacing w:after="0" w:line="252" w:lineRule="auto"/>
        <w:tabs>
          <w:tab w:leader="none" w:pos="74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Alternative Transactions Not Permitted. The provisions of the merger agreement do not permit AT&amp;T to terminate the merger agreement for an alternative transaction involving AT&amp;T Broadband, although AT&amp;T is permitted to conduct negotiations with third parties under limited circumstances, and the merger agreement requires AT&amp;T to pay a $1.5 billion fee to Comcast in the event the merger agreement is terminated under specified circumstances.</w:t>
      </w:r>
    </w:p>
    <w:p>
      <w:pPr>
        <w:spacing w:after="0" w:line="195"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Lack of Diversification and Reduced Size. The lack of diversification and reduced size of AT&amp;T following the separation of AT&amp;T Broadband could affect its ability to achieve economies of scale, could create capital and size constraints that did not previously exist, could create increased costs due to decreasing purchasing power and could limit its ability to obtain financing.</w:t>
      </w:r>
    </w:p>
    <w:p>
      <w:pPr>
        <w:spacing w:after="0" w:line="196" w:lineRule="exact"/>
        <w:rPr>
          <w:rFonts w:ascii="Courier New" w:cs="Courier New" w:eastAsia="Courier New" w:hAnsi="Courier New"/>
          <w:sz w:val="17"/>
          <w:szCs w:val="17"/>
          <w:color w:val="auto"/>
        </w:rPr>
      </w:pPr>
    </w:p>
    <w:p>
      <w:pPr>
        <w:ind w:left="740" w:right="2259" w:hanging="209"/>
        <w:spacing w:after="0" w:line="253" w:lineRule="auto"/>
        <w:tabs>
          <w:tab w:leader="none" w:pos="74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Potential Volatility of Earnings and Stock Prices. As more focused companies, the earnings of each of AT&amp;T and AT&amp;T Comcast will be more closely tied to its particular performance and as a result their securities could be subject to greater volatility.</w:t>
      </w:r>
    </w:p>
    <w:p>
      <w:pPr>
        <w:spacing w:after="0" w:line="195"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In addition, the AT&amp;T Board was aware of the interests of certain of its directors and officers described under "Employee Benefits Matters -- Interests of Directors and Officers in the AT&amp;T Comcast Transaction."</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Due to the variety of factors and the quality and amount of information considered, the AT&amp;T Board did not find it practicable to and did not make specific assessments of, quantify or assign relative weights to the specific factors considered in reaching its determination to approve the merger agreement and the transactions contemplated by the merger agreement. Instead, the AT&amp;T Board made its determination after consideration of all factors taken together. In addition, individual members of the AT&amp;T Board may have given different weight to different factors.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 FEDERAL INCOME TAX CONSEQUENCES</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The following summary discusses the material U.S. federal income tax consequences of the separation, the AT&amp;T Broadband spin-off and the mergers to United States Holders of AT&amp;T common stock, AT&amp;T Broadband common stock and Comcast common stock. This discussion is based on the Code, the Treasury Regulations promulgated thereunder, judicial opinions, published positions of the Internal Revenue Service, and all other applicable authorities as of the date of this document, all of which are subject to change (possibly with retroactive effect).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As used in this document, the term "United States Holder" means:</w:t>
      </w:r>
    </w:p>
    <w:p>
      <w:pPr>
        <w:spacing w:after="0" w:line="210" w:lineRule="exact"/>
        <w:rPr>
          <w:sz w:val="20"/>
          <w:szCs w:val="20"/>
          <w:color w:val="auto"/>
        </w:rPr>
      </w:pPr>
    </w:p>
    <w:p>
      <w:pPr>
        <w:ind w:left="740" w:hanging="209"/>
        <w:spacing w:after="0"/>
        <w:tabs>
          <w:tab w:leader="none" w:pos="74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citizen or resident of the United States;</w:t>
      </w:r>
    </w:p>
    <w:p>
      <w:pPr>
        <w:spacing w:after="0" w:line="210"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or other entity taxable as a corporation for U.S. federal income tax purposes, created or organized in or under the laws of the United States or of any political subdivision thereof; or</w:t>
      </w:r>
    </w:p>
    <w:p>
      <w:pPr>
        <w:spacing w:after="0" w:line="194" w:lineRule="exact"/>
        <w:rPr>
          <w:rFonts w:ascii="Courier New" w:cs="Courier New" w:eastAsia="Courier New" w:hAnsi="Courier New"/>
          <w:sz w:val="17"/>
          <w:szCs w:val="17"/>
          <w:color w:val="auto"/>
        </w:rPr>
      </w:pPr>
    </w:p>
    <w:p>
      <w:pPr>
        <w:ind w:left="740" w:right="2559" w:hanging="209"/>
        <w:spacing w:after="0" w:line="257" w:lineRule="auto"/>
        <w:tabs>
          <w:tab w:leader="none" w:pos="74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estate or trust the income of which is subject to United States federal income taxation regardless of its source.</w:t>
      </w:r>
    </w:p>
    <w:p>
      <w:pPr>
        <w:spacing w:after="0" w:line="19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The term United States Holder also includes certain former citizens and residents of the United States.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II-13</w:t>
      </w:r>
    </w:p>
    <w:p>
      <w:pPr>
        <w:sectPr>
          <w:pgSz w:w="11900" w:h="16838" w:orient="portrait"/>
          <w:cols w:equalWidth="0" w:num="1">
            <w:col w:w="10219"/>
          </w:cols>
          <w:pgMar w:left="240" w:top="719" w:right="1440" w:bottom="1440" w:gutter="0" w:footer="0" w:header="0"/>
        </w:sectPr>
      </w:pPr>
    </w:p>
    <w:bookmarkStart w:id="78" w:name="page79"/>
    <w:bookmarkEnd w:id="78"/>
    <w:p>
      <w:pPr>
        <w:ind w:right="2039" w:firstLine="524"/>
        <w:spacing w:after="0" w:line="254" w:lineRule="auto"/>
        <w:rPr>
          <w:sz w:val="20"/>
          <w:szCs w:val="20"/>
          <w:color w:val="auto"/>
        </w:rPr>
      </w:pPr>
      <w:r>
        <w:rPr>
          <w:rFonts w:ascii="Courier New" w:cs="Courier New" w:eastAsia="Courier New" w:hAnsi="Courier New"/>
          <w:sz w:val="17"/>
          <w:szCs w:val="17"/>
          <w:color w:val="auto"/>
        </w:rPr>
        <w:t>This discussion does not describe all of the tax consequences that may be relevant to a holder in light of his particular circumstances or to holders subject to special rules, such as:</w:t>
      </w:r>
    </w:p>
    <w:p>
      <w:pPr>
        <w:spacing w:after="0" w:line="194" w:lineRule="exact"/>
        <w:rPr>
          <w:sz w:val="20"/>
          <w:szCs w:val="20"/>
          <w:color w:val="auto"/>
        </w:rPr>
      </w:pPr>
    </w:p>
    <w:p>
      <w:pPr>
        <w:ind w:left="740" w:hanging="209"/>
        <w:spacing w:after="0"/>
        <w:tabs>
          <w:tab w:leader="none" w:pos="74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financial institutions;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insurance companies;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tax-exempt organizations;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dealers in securities or foreign currencies;</w:t>
      </w:r>
    </w:p>
    <w:p>
      <w:pPr>
        <w:spacing w:after="0" w:line="210" w:lineRule="exact"/>
        <w:rPr>
          <w:rFonts w:ascii="Courier New" w:cs="Courier New" w:eastAsia="Courier New" w:hAnsi="Courier New"/>
          <w:sz w:val="17"/>
          <w:szCs w:val="17"/>
          <w:color w:val="auto"/>
        </w:rPr>
      </w:pPr>
    </w:p>
    <w:p>
      <w:pPr>
        <w:ind w:left="740" w:right="1839" w:hanging="209"/>
        <w:spacing w:after="0" w:line="257" w:lineRule="auto"/>
        <w:tabs>
          <w:tab w:leader="none" w:pos="74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persons holding AT&amp;T common stock, AT&amp;T Broadband common stock or Comcast common stock as part of a hedge;</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 Holders whose functional currency is not the U.S. dollar;</w:t>
      </w:r>
    </w:p>
    <w:p>
      <w:pPr>
        <w:spacing w:after="0" w:line="210" w:lineRule="exact"/>
        <w:rPr>
          <w:rFonts w:ascii="Courier New" w:cs="Courier New" w:eastAsia="Courier New" w:hAnsi="Courier New"/>
          <w:sz w:val="17"/>
          <w:szCs w:val="17"/>
          <w:color w:val="auto"/>
        </w:rPr>
      </w:pPr>
    </w:p>
    <w:p>
      <w:pPr>
        <w:ind w:left="740" w:right="2559" w:hanging="209"/>
        <w:spacing w:after="0" w:line="257" w:lineRule="auto"/>
        <w:tabs>
          <w:tab w:leader="none" w:pos="74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partnerships or other entities classified as partnerships for U.S. federal income tax purposes;</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persons subject to the alternative minimum tax;</w:t>
      </w:r>
    </w:p>
    <w:p>
      <w:pPr>
        <w:spacing w:after="0" w:line="210"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shareholders who acquired their AT&amp;T common stock, AT&amp;T Broadband common stock or Comcast common stock through the exercise of options or otherwise as compensation or through a tax-qualified retirement plan; or</w:t>
      </w:r>
    </w:p>
    <w:p>
      <w:pPr>
        <w:spacing w:after="0" w:line="194"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options granted under any AT&amp;T or Comcast benefit plan.</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In addition, this summary is limited to shareholders that hold their AT&amp;T common stock, AT&amp;T Broadband common stock or Comcast common stock as capital assets. This discussion also does not address any tax consequences arising under the laws of any state, local or foreign jurisdiction.</w:t>
      </w:r>
    </w:p>
    <w:p>
      <w:pPr>
        <w:spacing w:after="0" w:line="195" w:lineRule="exact"/>
        <w:rPr>
          <w:sz w:val="20"/>
          <w:szCs w:val="20"/>
          <w:color w:val="auto"/>
        </w:rPr>
      </w:pPr>
    </w:p>
    <w:p>
      <w:pPr>
        <w:jc w:val="both"/>
        <w:ind w:right="1939" w:firstLine="524"/>
        <w:spacing w:after="0" w:line="253" w:lineRule="auto"/>
        <w:rPr>
          <w:sz w:val="20"/>
          <w:szCs w:val="20"/>
          <w:color w:val="auto"/>
        </w:rPr>
      </w:pPr>
      <w:r>
        <w:rPr>
          <w:rFonts w:ascii="Courier New" w:cs="Courier New" w:eastAsia="Courier New" w:hAnsi="Courier New"/>
          <w:sz w:val="17"/>
          <w:szCs w:val="17"/>
          <w:color w:val="auto"/>
        </w:rPr>
        <w:t>Accordingly, each AT&amp;T, AT&amp;T Broadband and Comcast shareholder is strongly urged to consult with a tax adviser to determine the particular federal, state, local or foreign income or other tax consequences to him of the AT&amp;T Broadband spin-off and the mergers.</w:t>
      </w:r>
    </w:p>
    <w:p>
      <w:pPr>
        <w:spacing w:after="0" w:line="195" w:lineRule="exact"/>
        <w:rPr>
          <w:sz w:val="20"/>
          <w:szCs w:val="20"/>
          <w:color w:val="auto"/>
        </w:rPr>
      </w:pPr>
    </w:p>
    <w:p>
      <w:pPr>
        <w:ind w:left="220" w:right="2559"/>
        <w:spacing w:after="0" w:line="257" w:lineRule="auto"/>
        <w:rPr>
          <w:sz w:val="20"/>
          <w:szCs w:val="20"/>
          <w:color w:val="auto"/>
        </w:rPr>
      </w:pPr>
      <w:r>
        <w:rPr>
          <w:rFonts w:ascii="Courier New" w:cs="Courier New" w:eastAsia="Courier New" w:hAnsi="Courier New"/>
          <w:sz w:val="17"/>
          <w:szCs w:val="17"/>
          <w:color w:val="auto"/>
        </w:rPr>
        <w:t>MATERIAL FEDERAL INCOME TAX CONSEQUENCES OF THE SEPARATION AND THE AT&amp;T BROADBAND SPIN-OFF</w:t>
      </w:r>
    </w:p>
    <w:p>
      <w:pPr>
        <w:spacing w:after="0" w:line="192"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It is a condition to both the AT&amp;T Broadband spin-off and the mergers that AT&amp;T has obtained one or more private letter rulings from the Internal Revenue Service, which will continue in effect at the time of the AT&amp;T Broadband spin-off and mergers, to the effect that:</w:t>
      </w:r>
    </w:p>
    <w:p>
      <w:pPr>
        <w:spacing w:after="0" w:line="195" w:lineRule="exact"/>
        <w:rPr>
          <w:sz w:val="20"/>
          <w:szCs w:val="20"/>
          <w:color w:val="auto"/>
        </w:rPr>
      </w:pPr>
    </w:p>
    <w:p>
      <w:pPr>
        <w:ind w:left="740" w:right="2039" w:hanging="209"/>
        <w:spacing w:after="0" w:line="257" w:lineRule="auto"/>
        <w:tabs>
          <w:tab w:leader="none" w:pos="74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separation and the AT&amp;T Broadband spin-off will be tax-free to AT&amp;T and its shareholders under Sections 355 and 368(a) of the Code,</w:t>
      </w:r>
    </w:p>
    <w:p>
      <w:pPr>
        <w:spacing w:after="0" w:line="191" w:lineRule="exact"/>
        <w:rPr>
          <w:rFonts w:ascii="Courier New" w:cs="Courier New" w:eastAsia="Courier New" w:hAnsi="Courier New"/>
          <w:sz w:val="17"/>
          <w:szCs w:val="17"/>
          <w:color w:val="auto"/>
        </w:rPr>
      </w:pPr>
    </w:p>
    <w:p>
      <w:pPr>
        <w:jc w:val="both"/>
        <w:ind w:left="740" w:right="1839" w:hanging="209"/>
        <w:spacing w:after="0" w:line="254" w:lineRule="auto"/>
        <w:tabs>
          <w:tab w:leader="none" w:pos="74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will not cause the separation and the AT&amp;T Broadband spin-off to fail to be qualified as a tax-free transaction pursuant to Section 355 of the Code, and</w:t>
      </w:r>
    </w:p>
    <w:p>
      <w:pPr>
        <w:spacing w:after="0" w:line="194" w:lineRule="exact"/>
        <w:rPr>
          <w:rFonts w:ascii="Courier New" w:cs="Courier New" w:eastAsia="Courier New" w:hAnsi="Courier New"/>
          <w:sz w:val="17"/>
          <w:szCs w:val="17"/>
          <w:color w:val="auto"/>
        </w:rPr>
      </w:pPr>
    </w:p>
    <w:p>
      <w:pPr>
        <w:ind w:left="740" w:right="2139" w:hanging="209"/>
        <w:spacing w:after="0" w:line="253" w:lineRule="auto"/>
        <w:tabs>
          <w:tab w:leader="none" w:pos="74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separation and the AT&amp;T Broadband spin-off will not cause the distribution by AT&amp;T of all of the common stock of AT&amp;T Wireless or of Liberty Media to fail to qualify as tax-free transactions pursuant to Sections 355 and 368(a) of the Code.</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This condition may be waived if AT&amp;T and Comcast mutually agree to obtain an opinion to the same effect from tax counsel of a nationally recognized reputation mutually acceptable to AT&amp;T and Comcast. To the extent this summary describes the federal income tax consequences of the separation and the AT&amp;T Broadband spin-off, such consequences will be set forth in the private letter ruling or the opinion referred to in the preceding sentence. The receipt of the private letter ruling and its continuing validity are subject to factual representations and assumptions. Neither AT&amp;T nor AT&amp;T Broadband nor Comcast is aware of any facts or circumstances that would cause such representations and assumptions to be untrue.</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II-14</w:t>
      </w:r>
    </w:p>
    <w:p>
      <w:pPr>
        <w:sectPr>
          <w:pgSz w:w="11900" w:h="16838" w:orient="portrait"/>
          <w:cols w:equalWidth="0" w:num="1">
            <w:col w:w="10219"/>
          </w:cols>
          <w:pgMar w:left="240" w:top="719" w:right="1440" w:bottom="1440" w:gutter="0" w:footer="0" w:header="0"/>
        </w:sectPr>
      </w:pPr>
    </w:p>
    <w:bookmarkStart w:id="79" w:name="page80"/>
    <w:bookmarkEnd w:id="79"/>
    <w:p>
      <w:pPr>
        <w:ind w:right="2039" w:firstLine="524"/>
        <w:spacing w:after="0" w:line="254" w:lineRule="auto"/>
        <w:rPr>
          <w:sz w:val="20"/>
          <w:szCs w:val="20"/>
          <w:color w:val="auto"/>
        </w:rPr>
      </w:pPr>
      <w:r>
        <w:rPr>
          <w:rFonts w:ascii="Courier New" w:cs="Courier New" w:eastAsia="Courier New" w:hAnsi="Courier New"/>
          <w:sz w:val="17"/>
          <w:szCs w:val="17"/>
          <w:color w:val="auto"/>
        </w:rPr>
        <w:t>Assuming the continuing effectiveness of the private letter ruling or the opinion described above, for U.S. federal income tax purposes, the tax consequences of the separation and the AT&amp;T Broadband spin-off are as follows:</w:t>
      </w:r>
    </w:p>
    <w:p>
      <w:pPr>
        <w:spacing w:after="0" w:line="194" w:lineRule="exact"/>
        <w:rPr>
          <w:sz w:val="20"/>
          <w:szCs w:val="20"/>
          <w:color w:val="auto"/>
        </w:rPr>
      </w:pPr>
    </w:p>
    <w:p>
      <w:pPr>
        <w:ind w:left="740" w:right="1939" w:hanging="209"/>
        <w:spacing w:after="0" w:line="253" w:lineRule="auto"/>
        <w:tabs>
          <w:tab w:leader="none" w:pos="74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gain or loss will be recognized by, and no amount will be included in the income of, AT&amp;T or AT&amp;T Broadband upon the separation and the AT&amp;T Broadband spin-off other than gains related to certain intercompany transactions that will be triggered by the AT&amp;T Broadband spin-off;</w:t>
      </w:r>
    </w:p>
    <w:p>
      <w:pPr>
        <w:spacing w:after="0" w:line="195"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gain or loss will be recognized by, and no amount will be included in the income of, United States Holders of AT&amp;T common stock upon their receipt of shares of AT&amp;T Broadband common stock in the AT&amp;T Broadband spin-off;</w:t>
      </w:r>
    </w:p>
    <w:p>
      <w:pPr>
        <w:spacing w:after="0" w:line="195" w:lineRule="exact"/>
        <w:rPr>
          <w:rFonts w:ascii="Courier New" w:cs="Courier New" w:eastAsia="Courier New" w:hAnsi="Courier New"/>
          <w:sz w:val="17"/>
          <w:szCs w:val="17"/>
          <w:color w:val="auto"/>
        </w:rPr>
      </w:pPr>
    </w:p>
    <w:p>
      <w:pPr>
        <w:ind w:left="740" w:right="1939" w:hanging="209"/>
        <w:spacing w:after="0" w:line="252" w:lineRule="auto"/>
        <w:tabs>
          <w:tab w:leader="none" w:pos="74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United States Holder of AT&amp;T common stock will apportion the tax basis of such holder's AT&amp;T common stock on which AT&amp;T Broadband common stock is distributed between AT&amp;T common stock and the AT&amp;T Broadband common stock received in the AT&amp;T Broadband spin-off in proportion to the fair market values of such AT&amp;T common stock and AT&amp;T Broadband common stock on the date of the AT&amp;T Broadband spin-off; and</w:t>
      </w:r>
    </w:p>
    <w:p>
      <w:pPr>
        <w:spacing w:after="0" w:line="196"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holding period of the shares of AT&amp;T Broadband common stock received by a United States Holder of AT&amp;T common stock in the AT&amp;T Broadband spin-off will include the period during which such holder held the AT&amp;T common stock on which the AT&amp;T Broadband common stock is distributed.</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Current Treasury Regulations require each holder of AT&amp;T common stock who receives AT&amp;T Broadband common stock pursuant to the AT&amp;T Broadband spin-off to attach to his or her federal income tax return for the year in which the AT&amp;T Broadband spin-off occurs, a detailed statement setting forth such data as may be appropriate in order to show the applicability of Section 355 of the Code to the AT&amp;T Broadband spin-off. AT&amp;T will provide the appropriate information to each of its shareholders of record.</w:t>
      </w:r>
    </w:p>
    <w:p>
      <w:pPr>
        <w:spacing w:after="0" w:line="19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MATERIAL FEDERAL INCOME TAX CONSEQUENCES OF THE MERGERS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and Comcast have structured the mergers so that it is anticipated that the mergers will qualify as a tax-free exchange for U.S. federal income tax purposes. It is a condition to the Comcast merger that Comcast receive an opinion from Davis Polk &amp; Wardwell, counsel to Comcast, dated the date of the mergers and it is a condition to the AT&amp;T Broadband merger that AT&amp;T receive an opinion from Wachtell, Lipton, Rosen &amp; Katz, counsel to AT&amp;T, dated the date of the mergers, each to the effect that, on the basis of the facts, representations and assumptions set forth in such opinion, the mergers will constitute an exchange to which Section 351 of the Code applies. Any change in currently applicable law, which may or may not be retroactive, or the failure of any factual representations or assumptions to be true, correct and complete in all material respects, could affect the validity of the Davis Polk &amp; Wardwell tax opinion and the Wachtell, Lipton, Rosen &amp; Katz tax opinion.</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An opinion of counsel represents counsel's best legal judgment and is not binding on the Internal Revenue Service or any court. No ruling has been or will be sought from the Internal Revenue Service as to the U.S. federal income tax consequences of the mergers and, as a result, there can be no assurance that the Internal Revenue Service will not disagree with, or challenge, any of the conclusions described below.</w:t>
      </w:r>
    </w:p>
    <w:p>
      <w:pPr>
        <w:spacing w:after="0" w:line="197" w:lineRule="exact"/>
        <w:rPr>
          <w:sz w:val="20"/>
          <w:szCs w:val="20"/>
          <w:color w:val="auto"/>
        </w:rPr>
      </w:pPr>
    </w:p>
    <w:p>
      <w:pPr>
        <w:jc w:val="both"/>
        <w:ind w:right="1939" w:firstLine="524"/>
        <w:spacing w:after="0" w:line="253" w:lineRule="auto"/>
        <w:rPr>
          <w:sz w:val="20"/>
          <w:szCs w:val="20"/>
          <w:color w:val="auto"/>
        </w:rPr>
      </w:pPr>
      <w:r>
        <w:rPr>
          <w:rFonts w:ascii="Courier New" w:cs="Courier New" w:eastAsia="Courier New" w:hAnsi="Courier New"/>
          <w:sz w:val="17"/>
          <w:szCs w:val="17"/>
          <w:color w:val="auto"/>
        </w:rPr>
        <w:t>Subject to the discussion below relating to the receipt of cash instead of fractional shares and assuming the mergers qualify as an exchange under Section 351 of the Code, for U.S. federal income tax purposes, the tax consequences of the mergers will be as follows:</w:t>
      </w:r>
    </w:p>
    <w:p>
      <w:pPr>
        <w:spacing w:after="0" w:line="195" w:lineRule="exact"/>
        <w:rPr>
          <w:sz w:val="20"/>
          <w:szCs w:val="20"/>
          <w:color w:val="auto"/>
        </w:rPr>
      </w:pPr>
    </w:p>
    <w:p>
      <w:pPr>
        <w:ind w:left="740" w:right="1939" w:hanging="209"/>
        <w:spacing w:after="0" w:line="257" w:lineRule="auto"/>
        <w:tabs>
          <w:tab w:leader="none" w:pos="740"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will constitute an exchange to which Section 351 of the Code applies;</w:t>
      </w:r>
    </w:p>
    <w:p>
      <w:pPr>
        <w:spacing w:after="0" w:line="191"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gain or loss will be recognized by Comcast, AT&amp;T Broadband, AT&amp;T Broadband's merger subsidiary, or Comcast's merger subsidiary as a result of the mergers;</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II-15</w:t>
      </w:r>
    </w:p>
    <w:p>
      <w:pPr>
        <w:sectPr>
          <w:pgSz w:w="11900" w:h="16838" w:orient="portrait"/>
          <w:cols w:equalWidth="0" w:num="1">
            <w:col w:w="10219"/>
          </w:cols>
          <w:pgMar w:left="240" w:top="719" w:right="1440" w:bottom="1440" w:gutter="0" w:footer="0" w:header="0"/>
        </w:sectPr>
      </w:pPr>
    </w:p>
    <w:bookmarkStart w:id="80" w:name="page81"/>
    <w:bookmarkEnd w:id="80"/>
    <w:p>
      <w:pPr>
        <w:ind w:left="740" w:hanging="209"/>
        <w:spacing w:after="0"/>
        <w:tabs>
          <w:tab w:leader="none" w:pos="740"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gain or loss will be recognized by:</w:t>
      </w:r>
    </w:p>
    <w:p>
      <w:pPr>
        <w:spacing w:after="0" w:line="210" w:lineRule="exact"/>
        <w:rPr>
          <w:rFonts w:ascii="Courier New" w:cs="Courier New" w:eastAsia="Courier New" w:hAnsi="Courier New"/>
          <w:sz w:val="17"/>
          <w:szCs w:val="17"/>
          <w:color w:val="auto"/>
        </w:rPr>
      </w:pPr>
    </w:p>
    <w:p>
      <w:pPr>
        <w:ind w:left="960" w:right="1839" w:hanging="324"/>
        <w:spacing w:after="0" w:line="257" w:lineRule="auto"/>
        <w:tabs>
          <w:tab w:leader="none" w:pos="960" w:val="left"/>
        </w:tabs>
        <w:numPr>
          <w:ilvl w:val="1"/>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 Holders of AT&amp;T Broadband common stock on the exchange of their AT&amp;T Broadband common stock for AT&amp;T Comcast common stock; or</w:t>
      </w:r>
    </w:p>
    <w:p>
      <w:pPr>
        <w:spacing w:after="0" w:line="191" w:lineRule="exact"/>
        <w:rPr>
          <w:rFonts w:ascii="Courier New" w:cs="Courier New" w:eastAsia="Courier New" w:hAnsi="Courier New"/>
          <w:sz w:val="17"/>
          <w:szCs w:val="17"/>
          <w:color w:val="auto"/>
        </w:rPr>
      </w:pPr>
    </w:p>
    <w:p>
      <w:pPr>
        <w:ind w:left="960" w:right="1939" w:hanging="324"/>
        <w:spacing w:after="0" w:line="257" w:lineRule="auto"/>
        <w:tabs>
          <w:tab w:leader="none" w:pos="960" w:val="left"/>
        </w:tabs>
        <w:numPr>
          <w:ilvl w:val="1"/>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 Holders of Comcast common stock on the exchange of their Comcast common stock for AT&amp;T Comcast common stock;</w:t>
      </w:r>
    </w:p>
    <w:p>
      <w:pPr>
        <w:spacing w:after="0" w:line="191" w:lineRule="exact"/>
        <w:rPr>
          <w:rFonts w:ascii="Courier New" w:cs="Courier New" w:eastAsia="Courier New" w:hAnsi="Courier New"/>
          <w:sz w:val="17"/>
          <w:szCs w:val="17"/>
          <w:color w:val="auto"/>
        </w:rPr>
      </w:pPr>
    </w:p>
    <w:p>
      <w:pPr>
        <w:ind w:left="740" w:right="1839" w:hanging="209"/>
        <w:spacing w:after="0" w:line="257" w:lineRule="auto"/>
        <w:tabs>
          <w:tab w:leader="none" w:pos="740"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adjusted basis of the AT&amp;T Comcast common stock received in the mergers by:</w:t>
      </w:r>
    </w:p>
    <w:p>
      <w:pPr>
        <w:spacing w:after="0" w:line="191" w:lineRule="exact"/>
        <w:rPr>
          <w:rFonts w:ascii="Courier New" w:cs="Courier New" w:eastAsia="Courier New" w:hAnsi="Courier New"/>
          <w:sz w:val="17"/>
          <w:szCs w:val="17"/>
          <w:color w:val="auto"/>
        </w:rPr>
      </w:pPr>
    </w:p>
    <w:p>
      <w:pPr>
        <w:ind w:left="960" w:right="1839" w:hanging="324"/>
        <w:spacing w:after="0" w:line="252" w:lineRule="auto"/>
        <w:tabs>
          <w:tab w:leader="none" w:pos="960" w:val="left"/>
        </w:tabs>
        <w:numPr>
          <w:ilvl w:val="1"/>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United States Holder of AT&amp;T Broadband common stock will be equal to the aggregate adjusted basis of the United States Holder's AT&amp;T Broadband common stock exchanged for that AT&amp;T Comcast common stock, reduced by any tax basis allocable to the fractional share interests in AT&amp;T Comcast common stock for which cash is received; and</w:t>
      </w:r>
    </w:p>
    <w:p>
      <w:pPr>
        <w:spacing w:after="0" w:line="197" w:lineRule="exact"/>
        <w:rPr>
          <w:rFonts w:ascii="Courier New" w:cs="Courier New" w:eastAsia="Courier New" w:hAnsi="Courier New"/>
          <w:sz w:val="17"/>
          <w:szCs w:val="17"/>
          <w:color w:val="auto"/>
        </w:rPr>
      </w:pPr>
    </w:p>
    <w:p>
      <w:pPr>
        <w:ind w:left="960" w:right="2039" w:hanging="324"/>
        <w:spacing w:after="0" w:line="254" w:lineRule="auto"/>
        <w:tabs>
          <w:tab w:leader="none" w:pos="960" w:val="left"/>
        </w:tabs>
        <w:numPr>
          <w:ilvl w:val="1"/>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United States Holder of Comcast common stock will be equal to the aggregate adjusted basis of the United States Holder's Comcast common stock exchanged for that AT&amp;T Comcast common stock; and</w:t>
      </w:r>
    </w:p>
    <w:p>
      <w:pPr>
        <w:spacing w:after="0" w:line="194" w:lineRule="exact"/>
        <w:rPr>
          <w:rFonts w:ascii="Courier New" w:cs="Courier New" w:eastAsia="Courier New" w:hAnsi="Courier New"/>
          <w:sz w:val="17"/>
          <w:szCs w:val="17"/>
          <w:color w:val="auto"/>
        </w:rPr>
      </w:pPr>
    </w:p>
    <w:p>
      <w:pPr>
        <w:ind w:left="740" w:right="2459" w:hanging="209"/>
        <w:spacing w:after="0" w:line="257" w:lineRule="auto"/>
        <w:tabs>
          <w:tab w:leader="none" w:pos="740"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holding period of the AT&amp;T Comcast common stock received in the mergers by:</w:t>
      </w:r>
    </w:p>
    <w:p>
      <w:pPr>
        <w:spacing w:after="0" w:line="191" w:lineRule="exact"/>
        <w:rPr>
          <w:rFonts w:ascii="Courier New" w:cs="Courier New" w:eastAsia="Courier New" w:hAnsi="Courier New"/>
          <w:sz w:val="17"/>
          <w:szCs w:val="17"/>
          <w:color w:val="auto"/>
        </w:rPr>
      </w:pPr>
    </w:p>
    <w:p>
      <w:pPr>
        <w:ind w:left="960" w:right="1939" w:hanging="324"/>
        <w:spacing w:after="0" w:line="254" w:lineRule="auto"/>
        <w:tabs>
          <w:tab w:leader="none" w:pos="960" w:val="left"/>
        </w:tabs>
        <w:numPr>
          <w:ilvl w:val="1"/>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United States Holder of AT&amp;T Broadband common stock will include the holding period of the United States Holder's AT&amp;T Broadband common stock exchanged for that AT&amp;T Comcast common stock; and</w:t>
      </w:r>
    </w:p>
    <w:p>
      <w:pPr>
        <w:spacing w:after="0" w:line="194" w:lineRule="exact"/>
        <w:rPr>
          <w:rFonts w:ascii="Courier New" w:cs="Courier New" w:eastAsia="Courier New" w:hAnsi="Courier New"/>
          <w:sz w:val="17"/>
          <w:szCs w:val="17"/>
          <w:color w:val="auto"/>
        </w:rPr>
      </w:pPr>
    </w:p>
    <w:p>
      <w:pPr>
        <w:jc w:val="both"/>
        <w:ind w:left="960" w:right="1839" w:hanging="324"/>
        <w:spacing w:after="0" w:line="254" w:lineRule="auto"/>
        <w:tabs>
          <w:tab w:leader="none" w:pos="960" w:val="left"/>
        </w:tabs>
        <w:numPr>
          <w:ilvl w:val="1"/>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United States Holder of Comcast common stock will include the holding period of the United States Holder's Comcast common stock exchanged for that AT&amp;T Comcast common stock.</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Cash Instead of Fractional Shares. AT&amp;T Comcast will not issue any fractional shares in the AT&amp;T Broadband merger. Instead, any fractional interests AT&amp;T Broadband shareholders otherwise would have been entitled to receive will be sold and the proceeds will be paid to those shareholders. The receipt of cash instead of a fractional share of AT&amp;T Comcast common stock by a United States Holder of AT&amp;T Broadband common stock will result in taxable gain or loss to such United States Holder for U.S. federal income tax purposes based upon the difference between the amount of cash received by such United States Holder and the United States Holder's adjusted tax basis in the fractional share as set forth above. The gain or loss will constitute capital gain or loss and will constitute long-term capital gain or loss if the United States Holder's holding period is greater than one year as of the date of the mergers. The deductibility of capital losses is subject to limitations.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Backup Withholding. Under the Code, if you are a non-corporate AT&amp;T Broadband shareholder and you receive cash instead of fractional shares of AT&amp;T Comcast common stock, you may be subject, under certain circumstances, to backup withholding at the rates provided for in the Code with respect to such cash unless you provide proof of an applicable exemption or a correct taxpayer identification number, and otherwise comply with applicable requirements of the backup withholding rules. Amounts withheld under the backup withholding rules are not additional taxes and may be refunded or credited against your U.S. federal income tax liability; provided that you furnish the required information to the Internal Revenue Service.</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Reporting Requirements. A United States Holder of Comcast common stock or AT&amp;T Broadband common stock receiving AT&amp;T Comcast common stock as a result of the mergers may be required to retain records related to such United States Holder's Comcast common stock or AT&amp;T Broadband common stock, as the case may be, and file with its federal income tax return a statement setting forth facts relating to the mergers.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REGULATORY MATTERS</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It is a condition to Comcast's and AT&amp;T's obligations to complete the AT&amp;T Comcast transaction that all regulatory approvals required to complete the AT&amp;T Comcast transaction be obtained, except where the failure to obtain any such approvals would not reasonably be expected to have a material</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II-16</w:t>
      </w:r>
    </w:p>
    <w:p>
      <w:pPr>
        <w:sectPr>
          <w:pgSz w:w="11900" w:h="16838" w:orient="portrait"/>
          <w:cols w:equalWidth="0" w:num="1">
            <w:col w:w="10219"/>
          </w:cols>
          <w:pgMar w:left="240" w:top="719" w:right="1440" w:bottom="1062" w:gutter="0" w:footer="0" w:header="0"/>
        </w:sectPr>
      </w:pPr>
    </w:p>
    <w:bookmarkStart w:id="81" w:name="page82"/>
    <w:bookmarkEnd w:id="81"/>
    <w:p>
      <w:pPr>
        <w:ind w:right="1839"/>
        <w:spacing w:after="0" w:line="251" w:lineRule="auto"/>
        <w:rPr>
          <w:sz w:val="20"/>
          <w:szCs w:val="20"/>
          <w:color w:val="auto"/>
        </w:rPr>
      </w:pPr>
      <w:r>
        <w:rPr>
          <w:rFonts w:ascii="Courier New" w:cs="Courier New" w:eastAsia="Courier New" w:hAnsi="Courier New"/>
          <w:sz w:val="17"/>
          <w:szCs w:val="17"/>
          <w:color w:val="auto"/>
        </w:rPr>
        <w:t>adverse effect on Comcast, AT&amp;T's broadband business or AT&amp;T's communications business. See "Description of the AT&amp;T Comcast Transaction Agreements -- The Merger Agreement -- Conditions to the Completion of the Mergers" and "Description of the AT&amp;T Comcast Transaction Agreements -- The Separation and Distribution Agreement -- Conditions to the Completion of the Separation and the AT&amp;T Broadband Spin-off." 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 See "Description of the AT&amp;T Comcast Transaction Agreements -- The Merger Agreement -- Covenants -- Covenant to Obtain Regulatory Approvals."</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material regulatory requirements affecting the AT&amp;T Comcast transaction are summarized below. Although Comcast and AT&amp;T have not yet received the regulatory approvals discussed below, Comcast and AT&amp;T anticipate that they will obtain regulatory approvals sufficient to complete the AT&amp;T Comcast transaction by the end of 2002.</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Antitrust Considerations. The mergers are subject to the requirements of the Hart-Scott-Rodino Antitrust Improvements Act of 1976, as amended, which prevents specified transactions from being completed until required information and materials are furnished to the U.S. Department of Justice and the Federal Trade Commission and specified waiting periods are terminated or expire. On January 22, 2002, Comcast and AT&amp;T filed the required information and materials to notify the U.S. Department of Justice and the Federal Trade Commission of the mergers. Unless extended or earlier terminated, the Hart-Scott-Rodino Antitrust Improvements Act of 1976 waiting period will expire on February 21, 2002, which is thirty calendar days after Comcast's and AT&amp;T's filing of the required notification materials.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U.S. Department of Justice, the Federal Trade Commission and, under certain circumstances, states or private parties may challenge the mergers on antitrust grounds, either before or after expiration of the waiting period. Accordingly, at any time before or after the completion of the mergers, either the U.S. Department of Justice or the Federal Trade Commission could take action under the antitrust laws as it deems necessary or desirable in the public interest, or states or other persons could take action under the antitrust laws, including seeking to enjoin the mergers. There can be no assurance that a challenge to the mergers will not be made or that, if a challenge is made, that Comcast and AT&amp;T will prevail.</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Federal Communications Commission. Pursuant to the Communications Act of 1934, as amended, the transfer of control of licenses issued by the FCC typically requires prior FCC approval. Comcast and AT&amp;T each directly or indirectly hold FCC licenses and intend to obtain any necessary approvals from the FCC in connection with the mergers and the other proposed transactions. The FCC will conduct a proceeding to review the information and materials that Comcast and AT&amp;T will file in support of their applications. Interested members of the public are entitled to participate in this proceeding. There can be no assurance that a challenge to the mergers or the transfer of control of the licenses and authorizations will not be made in this proceeding or that, if a challenge is made, that Comcast and AT&amp;T will prevail.</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State and Local Governmental Authorities. The mergers are also subject to certain state and local governmental approvals or actions. Comcast and AT&amp;T have filed or will file applications and formal notifications in connection with the mergers with a substantial number of states and local franchising authorities. These filings seek the level of review and consent appropriate under the laws and regulations of each state and each local franchising authority's franchise agreement. Where approval or consent is required for transfer of control of cable television franchises, the governing legal standard addresses the legal, technical and financial and, in Massachusetts, managerial qualifications of the company acquiring control. For transfers of control of regulated telephony service providers, the governing legal standard is typically whether the transaction is "in the public interest."</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States and local franchising authorities may, in connection with the approval process, seek to impose conditions or limitations upon the companies. As a result, depending on the nature of any conditions imposed by state authorities or local franchise authorities, these conditions could jeopardize or delay</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II-17</w:t>
      </w:r>
    </w:p>
    <w:p>
      <w:pPr>
        <w:sectPr>
          <w:pgSz w:w="11900" w:h="16838" w:orient="portrait"/>
          <w:cols w:equalWidth="0" w:num="1">
            <w:col w:w="10219"/>
          </w:cols>
          <w:pgMar w:left="240" w:top="719" w:right="1440" w:bottom="457" w:gutter="0" w:footer="0" w:header="0"/>
        </w:sectPr>
      </w:pPr>
    </w:p>
    <w:bookmarkStart w:id="82" w:name="page83"/>
    <w:bookmarkEnd w:id="82"/>
    <w:p>
      <w:pPr>
        <w:ind w:right="1839"/>
        <w:spacing w:after="0" w:line="252" w:lineRule="auto"/>
        <w:rPr>
          <w:sz w:val="20"/>
          <w:szCs w:val="20"/>
          <w:color w:val="auto"/>
        </w:rPr>
      </w:pPr>
      <w:r>
        <w:rPr>
          <w:rFonts w:ascii="Courier New" w:cs="Courier New" w:eastAsia="Courier New" w:hAnsi="Courier New"/>
          <w:sz w:val="17"/>
          <w:szCs w:val="17"/>
          <w:color w:val="auto"/>
        </w:rPr>
        <w:t>completion of the mergers. Additionally, if Comcast and AT&amp;T decide to complete the mergers notwithstanding any conditions imposed by state authorities or local franchise authorities, the expected benefits of the mergers may be reduced. See "Summary and Overview of the Transactions -- Risk Factors -- Risk Factors Relating to the Business of AT&amp;T Comcast."</w:t>
      </w:r>
    </w:p>
    <w:p>
      <w:pPr>
        <w:spacing w:after="0" w:line="197" w:lineRule="exact"/>
        <w:rPr>
          <w:sz w:val="20"/>
          <w:szCs w:val="20"/>
          <w:color w:val="auto"/>
        </w:rPr>
      </w:pPr>
    </w:p>
    <w:p>
      <w:pPr>
        <w:jc w:val="both"/>
        <w:ind w:right="1939" w:firstLine="524"/>
        <w:spacing w:after="0" w:line="251" w:lineRule="auto"/>
        <w:rPr>
          <w:sz w:val="20"/>
          <w:szCs w:val="20"/>
          <w:color w:val="auto"/>
        </w:rPr>
      </w:pPr>
      <w:r>
        <w:rPr>
          <w:rFonts w:ascii="Courier New" w:cs="Courier New" w:eastAsia="Courier New" w:hAnsi="Courier New"/>
          <w:sz w:val="17"/>
          <w:szCs w:val="17"/>
          <w:color w:val="auto"/>
        </w:rPr>
        <w:t>Other Regulatory Filings. Comcast and AT&amp;T conduct operations in a number of jurisdictions where other regulatory filings or approvals may be required or advisable in connection with the completion of the AT&amp;T Comcast transaction.</w:t>
      </w:r>
    </w:p>
    <w:p>
      <w:pPr>
        <w:ind w:right="1839"/>
        <w:spacing w:after="0" w:line="252" w:lineRule="auto"/>
        <w:rPr>
          <w:sz w:val="20"/>
          <w:szCs w:val="20"/>
          <w:color w:val="auto"/>
        </w:rPr>
      </w:pPr>
      <w:r>
        <w:rPr>
          <w:rFonts w:ascii="Courier New" w:cs="Courier New" w:eastAsia="Courier New" w:hAnsi="Courier New"/>
          <w:sz w:val="17"/>
          <w:szCs w:val="17"/>
          <w:color w:val="auto"/>
        </w:rPr>
        <w:t>Comcast and AT&amp;T are currently in the process of reviewing whether other filings or approvals may be required or desirable in these other jurisdictions. If Comcast and AT&amp;T conclude other filings or approvals are required or desirable, it is anticipated that such filings will be completed and such approvals will be sought. However, the failure to complete such filings or to obtain such approvals is not expected to have a material effect on the combined company.</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There can be no assurances that Comcast and AT&amp;T will obtain all of the regulatory approvals described above that are necessary to complete the AT&amp;T Comcast transaction or that the granting of these approvals will not involve the imposition of conditions on the completion of the AT&amp;T Comcast transaction or require changes to the terms of the AT&amp;T Comcast transaction. See "Summary and Overview of the Transactions -- Risk Factors -- Risk Factors Relating to the AT&amp;T Comcast Transaction".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APPRAISAL RIGHTS</w:t>
      </w:r>
    </w:p>
    <w:p>
      <w:pPr>
        <w:spacing w:after="0" w:line="210"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Holders of Comcast Class A common stock and Comcast Class A Special common stock are not entitled to appraisal rights in connection with the AT&amp;T Comcast transaction.</w:t>
      </w:r>
    </w:p>
    <w:p>
      <w:pPr>
        <w:spacing w:after="0" w:line="194" w:lineRule="exact"/>
        <w:rPr>
          <w:sz w:val="20"/>
          <w:szCs w:val="20"/>
          <w:color w:val="auto"/>
        </w:rPr>
      </w:pPr>
    </w:p>
    <w:p>
      <w:pPr>
        <w:ind w:right="2559" w:firstLine="524"/>
        <w:spacing w:after="0" w:line="257" w:lineRule="auto"/>
        <w:rPr>
          <w:sz w:val="20"/>
          <w:szCs w:val="20"/>
          <w:color w:val="auto"/>
        </w:rPr>
      </w:pPr>
      <w:r>
        <w:rPr>
          <w:rFonts w:ascii="Courier New" w:cs="Courier New" w:eastAsia="Courier New" w:hAnsi="Courier New"/>
          <w:sz w:val="17"/>
          <w:szCs w:val="17"/>
          <w:color w:val="auto"/>
        </w:rPr>
        <w:t>Holders of AT&amp;T common stock are not entitled to appraisal rights in connection with the AT&amp;T Comcast transaction.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SECURITIES LAWS CONSEQUENCES; STOCK TRANSFER RESTRICTION AGREEMENTS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shares of AT&amp;T Comcast common stock to be issued in connection with the mergers will be registered under the Securities Act and will be freely transferable under the Securities Act, except for shares of AT&amp;T Comcast common stock issued to any person who is deemed to be an "affiliate" of either Comcast or AT&amp;T Broadband at the time of the meetings. Persons who may be deemed to be affiliates of Comcast or AT&amp;T Broadband include individuals or entities that control, are controlled by or are under the common control of Comcast or AT&amp;T Broadband, as applicable, and may include executive officers and directors of Comcast or AT&amp;T Broadband, as applicable, as well as significant shareholders of Comcast or AT&amp;T Broadband, as applicable. Affiliates may not sell their shares of AT&amp;T Comcast common stock acquired in connection with the mergers except pursuant to:</w:t>
      </w:r>
    </w:p>
    <w:p>
      <w:pPr>
        <w:spacing w:after="0" w:line="201" w:lineRule="exact"/>
        <w:rPr>
          <w:sz w:val="20"/>
          <w:szCs w:val="20"/>
          <w:color w:val="auto"/>
        </w:rPr>
      </w:pPr>
    </w:p>
    <w:p>
      <w:pPr>
        <w:ind w:left="740" w:right="1839" w:hanging="209"/>
        <w:spacing w:after="0" w:line="257" w:lineRule="auto"/>
        <w:tabs>
          <w:tab w:leader="none" w:pos="740"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effective registration statement under the Securities Act covering the resale of those shares;</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exemption under paragraph(d) of Rule 145 under the Securities Act; or</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applicable exemption under the Securities Act.</w:t>
      </w:r>
    </w:p>
    <w:p>
      <w:pPr>
        <w:spacing w:after="0" w:line="210" w:lineRule="exact"/>
        <w:rPr>
          <w:sz w:val="20"/>
          <w:szCs w:val="20"/>
          <w:color w:val="auto"/>
        </w:rPr>
      </w:pPr>
    </w:p>
    <w:p>
      <w:pPr>
        <w:jc w:val="both"/>
        <w:ind w:right="2039" w:firstLine="524"/>
        <w:spacing w:after="0" w:line="254" w:lineRule="auto"/>
        <w:rPr>
          <w:sz w:val="20"/>
          <w:szCs w:val="20"/>
          <w:color w:val="auto"/>
        </w:rPr>
      </w:pPr>
      <w:r>
        <w:rPr>
          <w:rFonts w:ascii="Courier New" w:cs="Courier New" w:eastAsia="Courier New" w:hAnsi="Courier New"/>
          <w:sz w:val="17"/>
          <w:szCs w:val="17"/>
          <w:color w:val="auto"/>
        </w:rPr>
        <w:t>AT&amp;T Comcast's registration statement on Form S-4, of which this document forms a part, does not cover the resale of shares of AT&amp;T Comcast common stock to be received by affiliates of Comcast or AT&amp;T Broadband in the mergers.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TREATMENT</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mergers will be accounted for by Comcast as an acquisition under the purchase method of accounting. Under this method of accounting, the assets and liabilities of AT&amp;T Broadband not previously owned by Comcast or its affiliates will be recorded at their fair value, and any excess of Comcast's purchase price over the fair value of AT&amp;T Broadband's tangible net assets not previously owned by Comcast or its affiliates will be recorded as intangible assets, including goodwill.</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II-18</w:t>
      </w:r>
    </w:p>
    <w:p>
      <w:pPr>
        <w:sectPr>
          <w:pgSz w:w="11900" w:h="16838" w:orient="portrait"/>
          <w:cols w:equalWidth="0" w:num="1">
            <w:col w:w="10219"/>
          </w:cols>
          <w:pgMar w:left="240" w:top="719" w:right="1440" w:bottom="1440" w:gutter="0" w:footer="0" w:header="0"/>
        </w:sectPr>
      </w:pPr>
    </w:p>
    <w:bookmarkStart w:id="83" w:name="page84"/>
    <w:bookmarkEnd w:id="83"/>
    <w:p>
      <w:pPr>
        <w:jc w:val="center"/>
        <w:ind w:right="1939"/>
        <w:spacing w:after="0"/>
        <w:rPr>
          <w:sz w:val="20"/>
          <w:szCs w:val="20"/>
          <w:color w:val="auto"/>
        </w:rPr>
      </w:pPr>
      <w:r>
        <w:rPr>
          <w:rFonts w:ascii="Courier New" w:cs="Courier New" w:eastAsia="Courier New" w:hAnsi="Courier New"/>
          <w:sz w:val="17"/>
          <w:szCs w:val="17"/>
          <w:color w:val="auto"/>
        </w:rPr>
        <w:t>CHAPTER THREE</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FINANCIAL INFORMATION RELATING TO THE AT&amp;T COMCAST TRANSACTION</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AT&amp;T COMCAST CORPORATION</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UNAUDITED PRO FORMA COMBINED CONDENSED FINANCIAL STATEMENTS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following Unaudited Pro Forma Combined Condensed Balance Sheet of AT&amp;T Comcast as of September 30, 2001 gives effect to the AT&amp;T Comcast transaction. The following Unaudited Pro Forma Combined Condensed Statements of Operations of AT&amp;T Comcast for the nine months ended September 30, 2001 and for the year ended December 31, 2000 give effect to the AT&amp;T Comcast transaction and AT&amp;T's acquisition of MediaOne Group, which occurred on June 15, 2000. The pro forma financial statements reflect the fact that the AT&amp;T Comcast transaction and the MediaOne acquisition are accounted for under the purchase method of accounting.</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Since the acquisition of MediaOne Group occurred prior to September 30, 2001, the financial position of MediaOne Group has been included in the historical combined AT&amp;T Broadband Group balance sheet as of September 30, 2001. The Unaudited Pro Forma Combined Condensed Balance Sheet assumes the AT&amp;T Comcast transaction occurred on September 30, 2001. The Unaudited Pro Forma Combined Condensed Statements of Operations assume the AT&amp;T Comcast transaction and AT&amp;T's acquisition of MediaOne Group occurred on January 1, 2000. The unaudited pro forma financial data is based on the historical consolidated financial statements of Comcast, the historical combined financial statements of AT&amp;T Broadband Group and the historical consolidated financial statements of MediaOne Group under the assumptions and adjustments set forth in the accompanying explanatory notes.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and Comcast have determined that the AT&amp;T Comcast transaction will be accounted for as an acquisition by Comcast of AT&amp;T Broadband Group. As Comcast is considered the accounting acquiror, the historical basis of Comcast's assets and liabilities will not be affected by the AT&amp;T Comcast transaction. For purposes of developing the Unaudited Pro Forma Combined Condensed Balance Sheet as of September 30, 2001, AT&amp;T Broadband Group's assets, including identifiable intangible assets, and liabilities have been recorded at their estimated fair values and the excess purchase price has been assigned to goodwill. The fair values assigned in these pro forma financial statements are preliminary and represent management's best estimates of current fair value which are subject to revision upon completion of the AT&amp;T Comcast transaction. Management of both companies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AT&amp;T Comcast in conjunction with independent appraisers to determine the fair value of certain of AT&amp;T Broadband Group's assets, including identifiable intangible assets, and liabilities. Assuming completion of the AT&amp;T Comcast transaction,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on which the AT&amp;T Comcast transaction takes place. See Note (b) to Unaudited Pro Forma Combined Condensed Balance Sheet.</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Comcast stockholders will receive shares of AT&amp;T Comcast Class A common stock, AT&amp;T Comcast Class B common stock and AT&amp;T Comcast Class A Special common stock in exchange for shares of Comcast Class A common stock, Comcast Class B common stock and Comcast Class A Special common stock, respectively, based on an exchange ratio of 1 to 1. AT&amp;T Comcast will issue stock options to purchase shares of AT&amp;T Comcast common stock in exchange for all outstanding stock options of Comcast, based on an exchange ratio of 1 to 1. See "Certain Legal Information -- Comparison of AT&amp;T, Comcast and AT&amp;T Comcast Shareholder Rights" for a description and comparison of the rights of each class of common stock.</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III-1</w:t>
      </w:r>
    </w:p>
    <w:p>
      <w:pPr>
        <w:sectPr>
          <w:pgSz w:w="11900" w:h="16838" w:orient="portrait"/>
          <w:cols w:equalWidth="0" w:num="1">
            <w:col w:w="10219"/>
          </w:cols>
          <w:pgMar w:left="240" w:top="719" w:right="1440" w:bottom="1440" w:gutter="0" w:footer="0" w:header="0"/>
        </w:sectPr>
      </w:pPr>
    </w:p>
    <w:bookmarkStart w:id="84" w:name="page85"/>
    <w:bookmarkEnd w:id="84"/>
    <w:p>
      <w:pPr>
        <w:ind w:right="1839" w:firstLine="524"/>
        <w:spacing w:after="0" w:line="251" w:lineRule="auto"/>
        <w:rPr>
          <w:sz w:val="20"/>
          <w:szCs w:val="20"/>
          <w:color w:val="auto"/>
        </w:rPr>
      </w:pPr>
      <w:r>
        <w:rPr>
          <w:rFonts w:ascii="Courier New" w:cs="Courier New" w:eastAsia="Courier New" w:hAnsi="Courier New"/>
          <w:sz w:val="17"/>
          <w:szCs w:val="17"/>
          <w:color w:val="auto"/>
        </w:rPr>
        <w:t>The estimated aggregate consideration and Comcast's transaction costs directly related to the AT&amp;T Comcast transaction total $49,235.6 million. This includes the fair value of the issuance of approximately 1,231 million shares of AT&amp;T Comcast common stock to AT&amp;T shareholders in exchange for all of AT&amp;T's interests in AT&amp;T Broadband Group, the fair value of the issuance of 115.0 million shares of AT&amp;T Comcast common stock to Microsoft Corporation in exchange for AT&amp;T Broadband Group shares that Microsoft will receive immediately prior to the completion of the AT&amp;T Comcast transaction for settlement of their $5 billion aggregate principal amount in quarterly income preferred securities (QUIPS), the fair value of AT&amp;T Comcast stock options and stock appreciation rights issued in exchange for AT&amp;T Broadband Group stock options and stock appreciation rights and Comcast's estimated transaction costs directly related to the AT&amp;T Comcast transaction. The fair value of the shares to be issued for AT&amp;T Broadband Group is based on a price per share of $35.97 which reflects the weighted-average market price of Comcast Class A Special common stock during the period beginning two days before and ending two days after the AT&amp;T Comcast transaction was announced. In limited circumstances the number of shares issued to AT&amp;T shareholders is subject to adjustment. In the event this occurs, the fair value of all of the shares to be issued would be based on the market price of Comcast Class A Special common stock on the closing date. In addition to the consideration paid, AT&amp;T Comcast will refinance $7,819.6 million of debt and accrued interest assumed from AT&amp;T Broadband Group based on the pro formas.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Comcast transaction, could increase or decrease the amount of goodwill and intangible assets recognized by AT&amp;T Comcast in accordance with Emerging Issues Task Force No. 95-3, "Recognition of Liabilities in Connection with a Purchase Business Combination." The Unaudited Combined Condensed Statements of Operations exclude any benefits that may result from synergies that may be derived, or the elimination of duplicative efforts.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("SFAS 142") provides, among other guidelines, that goodwill and intangible assets with indefinite lives will not be amortized, but rather will be tested for impairment on at least an annual basis. Management of both companies believes that cable franchise operating rights have indefinite lives based upon an analysis utilizing the criteria in paragraph 11 of SFAS 142. The pro forma adjustments to the Unaudited Pro Forma Combined Condensed Statements of Operations reflect the elimination of AT&amp;T Broadband Group's amortization expense related to goodwill and cable franchise operating rights since this acquisition will be accounted for under the provisions of SFAS 142.</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Comcast incurred goodwill and cable franchise operating rights amortization expense of approximately $1,556.0 million and $1,473.0 million for the year ended December 31, 2000 and nine months ended September 30, 2001, respectively. The historical consolidated financial statements of Comcast included in the Unaudited Pro Forma Combined Condensed Statements of Operations include the amortization expense related to Comcast's goodwill and cable franchise operating rights, which has not been eliminated in the pro forma adjustments. Effective January 1, 2002, Comcast will, in accordance with the provisions of SFAS 142, no longer amortize goodwill and cable franchise operating rights.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pro forma financial data presented assumes the AT&amp;T Comcast transaction is completed under the Preferred Structure (see "Description of the AT&amp;T Comcast Transaction Agreements -- The Merger Agreement -- Merger Consideration -- The Preferred Structure"). However, if the AT&amp;T Comcast transaction were completed under the Alternative Structure (see "Description of the AT&amp;T Comcast Transaction Agreements -- The Merger Agreement -- Merger Consideration -- The Alternative Structure"), this would have no impact on the pro forma financial statements as presented. Management</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III-2</w:t>
      </w:r>
    </w:p>
    <w:p>
      <w:pPr>
        <w:sectPr>
          <w:pgSz w:w="11900" w:h="16838" w:orient="portrait"/>
          <w:cols w:equalWidth="0" w:num="1">
            <w:col w:w="10219"/>
          </w:cols>
          <w:pgMar w:left="240" w:top="719" w:right="1440" w:bottom="1440" w:gutter="0" w:footer="0" w:header="0"/>
        </w:sectPr>
      </w:pPr>
    </w:p>
    <w:bookmarkStart w:id="85" w:name="page86"/>
    <w:bookmarkEnd w:id="85"/>
    <w:p>
      <w:pPr>
        <w:ind w:right="1939"/>
        <w:spacing w:after="0" w:line="251" w:lineRule="auto"/>
        <w:rPr>
          <w:sz w:val="20"/>
          <w:szCs w:val="20"/>
          <w:color w:val="auto"/>
        </w:rPr>
      </w:pPr>
      <w:r>
        <w:rPr>
          <w:rFonts w:ascii="Courier New" w:cs="Courier New" w:eastAsia="Courier New" w:hAnsi="Courier New"/>
          <w:sz w:val="17"/>
          <w:szCs w:val="17"/>
          <w:color w:val="auto"/>
        </w:rPr>
        <w:t>of both companies believes that the assumptions used provide a reasonable basis on which to present the unaudited pro forma financial data. In addition to AT&amp;T's acquisition of MediaOne Group, both companies have completed other acquisitions and dispositions which are not significant, individually or in the aggregate, and, accordingly, have not been included in the accompanying unaudited pro forma financial data. The unaudited pro forma financial data may not be indicative of the financial position or results that would have occurred if AT&amp;T's acquisition of MediaOne Group and the AT&amp;T Comcast transaction had been in effect on the dates indicated or which may be obtained in the future.</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which have been incorporated by reference or included herein.</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III-3</w:t>
      </w:r>
    </w:p>
    <w:p>
      <w:pPr>
        <w:sectPr>
          <w:pgSz w:w="11900" w:h="16838" w:orient="portrait"/>
          <w:cols w:equalWidth="0" w:num="1">
            <w:col w:w="10219"/>
          </w:cols>
          <w:pgMar w:left="240" w:top="719" w:right="1440" w:bottom="1440" w:gutter="0" w:footer="0" w:header="0"/>
        </w:sectPr>
      </w:pPr>
    </w:p>
    <w:bookmarkStart w:id="86" w:name="page87"/>
    <w:bookmarkEnd w:id="86"/>
    <w:p>
      <w:pPr>
        <w:jc w:val="center"/>
        <w:ind w:right="1819"/>
        <w:spacing w:after="0"/>
        <w:rPr>
          <w:sz w:val="20"/>
          <w:szCs w:val="20"/>
          <w:color w:val="auto"/>
        </w:rPr>
      </w:pPr>
      <w:r>
        <w:rPr>
          <w:rFonts w:ascii="Courier New" w:cs="Courier New" w:eastAsia="Courier New" w:hAnsi="Courier New"/>
          <w:sz w:val="17"/>
          <w:szCs w:val="17"/>
          <w:color w:val="auto"/>
        </w:rPr>
        <w:t>AT&amp;T COMCAST CORPORATION</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UNAUDITED PRO FORMA COMBINED CONDENSED BALANCE SHEET</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AS OF SEPTEMBER 30, 2001</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HISTORICAL HISTORICAL AT&amp;T PRO FORMA PRO</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FORMA COMCAST(A) BROADBAND(A) ADJUSTMENTS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AT&amp;T COMCAST ---------- ------------ --------</w:t>
      </w:r>
    </w:p>
    <w:p>
      <w:pPr>
        <w:spacing w:after="0" w:line="9" w:lineRule="exact"/>
        <w:rPr>
          <w:sz w:val="20"/>
          <w:szCs w:val="20"/>
          <w:color w:val="auto"/>
        </w:rPr>
      </w:pPr>
    </w:p>
    <w:p>
      <w:pPr>
        <w:ind w:left="940" w:right="5459" w:hanging="886"/>
        <w:spacing w:after="0" w:line="251" w:lineRule="auto"/>
        <w:tabs>
          <w:tab w:leader="none" w:pos="469"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ASSETS CURRENT ASSETS Cash and cash</w:t>
      </w:r>
    </w:p>
    <w:p>
      <w:pPr>
        <w:jc w:val="center"/>
        <w:ind w:right="5399"/>
        <w:spacing w:after="0"/>
        <w:rPr>
          <w:sz w:val="20"/>
          <w:szCs w:val="20"/>
          <w:color w:val="auto"/>
        </w:rPr>
      </w:pPr>
      <w:r>
        <w:rPr>
          <w:rFonts w:ascii="Courier New" w:cs="Courier New" w:eastAsia="Courier New" w:hAnsi="Courier New"/>
          <w:sz w:val="17"/>
          <w:szCs w:val="17"/>
          <w:color w:val="auto"/>
        </w:rPr>
        <w:t>equivalents................... $ 658.4 $</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253.0 $ 911.4</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1,271.9 1,271.9 Accounts receivable,</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net.................... 829.7 604.0 1,433.7</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Inventories, net............................</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504.3 504.3 Other current</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assets........................ 165.5 570.0</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25.0(b1) 760.5 --------- ---------- ---------</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 ---------- Total current</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assets...................... 3,429.8 1,427.0</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25.0 4,881.8 --------- ---------- ----------</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---------- 1,878.2(b2)</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3,302.3 22,492.0 (1,701.0)(d) 25,971.5 ------</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 ---------- ---------- ---------- PROPERTY</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AND EQUIPMENT, net................... 7,001.7</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14,292.0 21,293.7 --------- ---------- ------</w:t>
      </w:r>
    </w:p>
    <w:p>
      <w:pPr>
        <w:spacing w:after="0" w:line="9" w:lineRule="exact"/>
        <w:rPr>
          <w:sz w:val="20"/>
          <w:szCs w:val="20"/>
          <w:color w:val="auto"/>
        </w:rPr>
      </w:pPr>
    </w:p>
    <w:p>
      <w:pPr>
        <w:ind w:left="100" w:right="5499" w:firstLine="583"/>
        <w:spacing w:after="0" w:line="251" w:lineRule="auto"/>
        <w:tabs>
          <w:tab w:leader="none" w:pos="1200"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INTANGIBLE ASSETS Goodwill....................................</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7,168.3 20,008.0 (2,683.7)(b3) 24,492.6 Cable</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franchise operating rights............</w:t>
      </w:r>
    </w:p>
    <w:p>
      <w:pPr>
        <w:spacing w:after="0" w:line="8" w:lineRule="exact"/>
        <w:rPr>
          <w:rFonts w:ascii="Courier New" w:cs="Courier New" w:eastAsia="Courier New" w:hAnsi="Courier New"/>
          <w:sz w:val="17"/>
          <w:szCs w:val="17"/>
          <w:color w:val="auto"/>
        </w:rPr>
      </w:pPr>
    </w:p>
    <w:p>
      <w:pPr>
        <w:jc w:val="center"/>
        <w:ind w:left="100" w:right="5499" w:firstLine="210"/>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19,938.1 45,513.0 (2,226.0)(b4) 63,225.1 Other intangible assets.....................</w:t>
      </w:r>
    </w:p>
    <w:p>
      <w:pPr>
        <w:ind w:left="60"/>
        <w:spacing w:after="0"/>
        <w:rPr>
          <w:sz w:val="20"/>
          <w:szCs w:val="20"/>
          <w:color w:val="auto"/>
        </w:rPr>
      </w:pPr>
      <w:r>
        <w:rPr>
          <w:rFonts w:ascii="Courier New" w:cs="Courier New" w:eastAsia="Courier New" w:hAnsi="Courier New"/>
          <w:sz w:val="17"/>
          <w:szCs w:val="17"/>
          <w:color w:val="auto"/>
        </w:rPr>
        <w:t>2,772.1 2,772.1 --------- ---------- --------</w:t>
      </w:r>
    </w:p>
    <w:p>
      <w:pPr>
        <w:spacing w:after="0" w:line="9" w:lineRule="exact"/>
        <w:rPr>
          <w:sz w:val="20"/>
          <w:szCs w:val="20"/>
          <w:color w:val="auto"/>
        </w:rPr>
      </w:pPr>
    </w:p>
    <w:p>
      <w:pPr>
        <w:ind w:left="1360" w:right="5659" w:hanging="1096"/>
        <w:spacing w:after="0" w:line="251" w:lineRule="auto"/>
        <w:tabs>
          <w:tab w:leader="none" w:pos="574"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---------- 29,878.5 65,521.0 (4,909.7) 90,489.8 Accumulated</w:t>
      </w:r>
    </w:p>
    <w:tbl>
      <w:tblPr>
        <w:tblLayout w:type="fixed"/>
        <w:tblInd w:w="60" w:type="dxa"/>
        <w:tblCellMar>
          <w:top w:w="0" w:type="dxa"/>
          <w:left w:w="0" w:type="dxa"/>
          <w:bottom w:w="0" w:type="dxa"/>
          <w:right w:w="0" w:type="dxa"/>
        </w:tblCellMar>
      </w:tblPr>
      <w:tr>
        <w:trPr>
          <w:trHeight w:val="197"/>
        </w:trPr>
        <w:tc>
          <w:tcPr>
            <w:tcW w:w="334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6"/>
              </w:rPr>
              <w:t>amortization....................</w:t>
            </w:r>
          </w:p>
        </w:tc>
        <w:tc>
          <w:tcPr>
            <w:tcW w:w="13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(5,503.2)</w:t>
            </w:r>
          </w:p>
        </w:tc>
      </w:tr>
      <w:tr>
        <w:trPr>
          <w:trHeight w:val="201"/>
        </w:trPr>
        <w:tc>
          <w:tcPr>
            <w:tcW w:w="3340" w:type="dxa"/>
            <w:vAlign w:val="bottom"/>
            <w:gridSpan w:val="2"/>
          </w:tcPr>
          <w:p>
            <w:pPr>
              <w:spacing w:after="0"/>
              <w:rPr>
                <w:sz w:val="20"/>
                <w:szCs w:val="20"/>
                <w:color w:val="auto"/>
              </w:rPr>
            </w:pPr>
            <w:r>
              <w:rPr>
                <w:rFonts w:ascii="Courier New" w:cs="Courier New" w:eastAsia="Courier New" w:hAnsi="Courier New"/>
                <w:sz w:val="17"/>
                <w:szCs w:val="17"/>
                <w:color w:val="auto"/>
              </w:rPr>
              <w:t>(2,841.0) 2,841.0(b5) (5,503.2)</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r>
      <w:tr>
        <w:trPr>
          <w:trHeight w:val="201"/>
        </w:trPr>
        <w:tc>
          <w:tcPr>
            <w:tcW w:w="4700" w:type="dxa"/>
            <w:vAlign w:val="bottom"/>
            <w:gridSpan w:val="3"/>
          </w:tcPr>
          <w:p>
            <w:pPr>
              <w:jc w:val="right"/>
              <w:ind w:right="273"/>
              <w:spacing w:after="0"/>
              <w:rPr>
                <w:sz w:val="20"/>
                <w:szCs w:val="20"/>
                <w:color w:val="auto"/>
              </w:rPr>
            </w:pPr>
            <w:r>
              <w:rPr>
                <w:rFonts w:ascii="Courier New" w:cs="Courier New" w:eastAsia="Courier New" w:hAnsi="Courier New"/>
                <w:sz w:val="17"/>
                <w:szCs w:val="17"/>
                <w:color w:val="auto"/>
              </w:rPr>
              <w:t>------- ---------- ---------- 24,375.3</w:t>
            </w:r>
          </w:p>
        </w:tc>
      </w:tr>
      <w:tr>
        <w:trPr>
          <w:trHeight w:val="201"/>
        </w:trPr>
        <w:tc>
          <w:tcPr>
            <w:tcW w:w="2820" w:type="dxa"/>
            <w:vAlign w:val="bottom"/>
          </w:tcPr>
          <w:p>
            <w:pPr>
              <w:spacing w:after="0"/>
              <w:rPr>
                <w:sz w:val="20"/>
                <w:szCs w:val="20"/>
                <w:color w:val="auto"/>
              </w:rPr>
            </w:pPr>
            <w:r>
              <w:rPr>
                <w:rFonts w:ascii="Courier New" w:cs="Courier New" w:eastAsia="Courier New" w:hAnsi="Courier New"/>
                <w:sz w:val="17"/>
                <w:szCs w:val="17"/>
                <w:color w:val="auto"/>
              </w:rPr>
              <w:t>62,680.0 (2,068.7) 84,986.6</w:t>
            </w:r>
          </w:p>
        </w:tc>
        <w:tc>
          <w:tcPr>
            <w:tcW w:w="520" w:type="dxa"/>
            <w:vAlign w:val="bottom"/>
          </w:tcPr>
          <w:p>
            <w:pPr>
              <w:jc w:val="right"/>
              <w:spacing w:after="0"/>
              <w:rPr>
                <w:sz w:val="20"/>
                <w:szCs w:val="20"/>
                <w:color w:val="auto"/>
              </w:rPr>
            </w:pPr>
            <w:r>
              <w:rPr>
                <w:rFonts w:ascii="Courier New" w:cs="Courier New" w:eastAsia="Courier New" w:hAnsi="Courier New"/>
                <w:sz w:val="13"/>
                <w:szCs w:val="13"/>
                <w:color w:val="auto"/>
                <w:w w:val="71"/>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70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 ---------- ---------- OTHER NON-CURRENT</w:t>
            </w:r>
          </w:p>
        </w:tc>
      </w:tr>
      <w:tr>
        <w:trPr>
          <w:trHeight w:val="201"/>
        </w:trPr>
        <w:tc>
          <w:tcPr>
            <w:tcW w:w="2820" w:type="dxa"/>
            <w:vAlign w:val="bottom"/>
          </w:tcPr>
          <w:p>
            <w:pPr>
              <w:ind w:left="160"/>
              <w:spacing w:after="0"/>
              <w:rPr>
                <w:sz w:val="20"/>
                <w:szCs w:val="20"/>
                <w:color w:val="auto"/>
              </w:rPr>
            </w:pPr>
            <w:r>
              <w:rPr>
                <w:rFonts w:ascii="Courier New" w:cs="Courier New" w:eastAsia="Courier New" w:hAnsi="Courier New"/>
                <w:sz w:val="17"/>
                <w:szCs w:val="17"/>
                <w:color w:val="auto"/>
                <w:w w:val="92"/>
              </w:rPr>
              <w:t>ASSETS......................</w:t>
            </w:r>
          </w:p>
        </w:tc>
        <w:tc>
          <w:tcPr>
            <w:tcW w:w="188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672.3 3,370.0</w:t>
            </w:r>
          </w:p>
        </w:tc>
      </w:tr>
      <w:tr>
        <w:trPr>
          <w:trHeight w:val="201"/>
        </w:trPr>
        <w:tc>
          <w:tcPr>
            <w:tcW w:w="2820" w:type="dxa"/>
            <w:vAlign w:val="bottom"/>
          </w:tcPr>
          <w:p>
            <w:pPr>
              <w:spacing w:after="0"/>
              <w:rPr>
                <w:sz w:val="20"/>
                <w:szCs w:val="20"/>
                <w:color w:val="auto"/>
              </w:rPr>
            </w:pPr>
            <w:r>
              <w:rPr>
                <w:rFonts w:ascii="Courier New" w:cs="Courier New" w:eastAsia="Courier New" w:hAnsi="Courier New"/>
                <w:sz w:val="17"/>
                <w:szCs w:val="17"/>
                <w:color w:val="auto"/>
              </w:rPr>
              <w:t>25.0(b6) 4,067.3 ---------</w:t>
            </w:r>
          </w:p>
        </w:tc>
        <w:tc>
          <w:tcPr>
            <w:tcW w:w="1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bl>
    <w:p>
      <w:pPr>
        <w:spacing w:after="0" w:line="4" w:lineRule="exact"/>
        <w:rPr>
          <w:sz w:val="20"/>
          <w:szCs w:val="20"/>
          <w:color w:val="auto"/>
        </w:rPr>
      </w:pPr>
    </w:p>
    <w:p>
      <w:pPr>
        <w:ind w:left="260" w:right="5659" w:firstLine="213"/>
        <w:spacing w:after="0" w:line="251" w:lineRule="auto"/>
        <w:tabs>
          <w:tab w:leader="none" w:pos="888"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$38,781.4 $104,261.0 $ (1,841.5) $141,200.9 ========= ==========</w:t>
      </w:r>
    </w:p>
    <w:p>
      <w:pPr>
        <w:jc w:val="center"/>
        <w:ind w:left="320" w:right="5719" w:firstLine="157"/>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LIABILITIES AND STOCKHOLDERS' EQUITY CURRENT LIABILITIES</w:t>
      </w:r>
    </w:p>
    <w:p>
      <w:pPr>
        <w:spacing w:after="0" w:line="192" w:lineRule="exact"/>
        <w:rPr>
          <w:sz w:val="20"/>
          <w:szCs w:val="20"/>
          <w:color w:val="auto"/>
        </w:rPr>
      </w:pPr>
    </w:p>
    <w:p>
      <w:pPr>
        <w:jc w:val="both"/>
        <w:ind w:left="100" w:right="5499" w:firstLine="59"/>
        <w:spacing w:after="0" w:line="251" w:lineRule="auto"/>
        <w:tabs>
          <w:tab w:leader="none" w:pos="362"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3,294.0 $ 2,692.2 $ 1,023.8(b7) $ 7,010.0 Accrued interest............................</w:t>
      </w: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191.5 228.8 (48.4)(c) 371.9 Deferred income</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taxes</w:t>
            </w:r>
          </w:p>
        </w:tc>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 194.6 194.6</w:t>
            </w:r>
          </w:p>
        </w:tc>
      </w:tr>
      <w:tr>
        <w:trPr>
          <w:trHeight w:val="201"/>
        </w:trPr>
        <w:tc>
          <w:tcPr>
            <w:tcW w:w="580" w:type="dxa"/>
            <w:vAlign w:val="bottom"/>
          </w:tcPr>
          <w:p>
            <w:pPr>
              <w:spacing w:after="0"/>
              <w:rPr>
                <w:sz w:val="17"/>
                <w:szCs w:val="17"/>
                <w:color w:val="auto"/>
              </w:rPr>
            </w:pPr>
          </w:p>
        </w:tc>
        <w:tc>
          <w:tcPr>
            <w:tcW w:w="372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25.0(b8) Short-term</w:t>
            </w:r>
          </w:p>
        </w:tc>
      </w:tr>
      <w:tr>
        <w:trPr>
          <w:trHeight w:val="201"/>
        </w:trPr>
        <w:tc>
          <w:tcPr>
            <w:tcW w:w="580" w:type="dxa"/>
            <w:vAlign w:val="bottom"/>
          </w:tcPr>
          <w:p>
            <w:pPr>
              <w:jc w:val="right"/>
              <w:spacing w:after="0"/>
              <w:rPr>
                <w:sz w:val="20"/>
                <w:szCs w:val="20"/>
                <w:color w:val="auto"/>
              </w:rPr>
            </w:pPr>
            <w:r>
              <w:rPr>
                <w:rFonts w:ascii="Courier New" w:cs="Courier New" w:eastAsia="Courier New" w:hAnsi="Courier New"/>
                <w:sz w:val="4"/>
                <w:szCs w:val="4"/>
                <w:color w:val="auto"/>
                <w:w w:val="70"/>
              </w:rPr>
              <w:t>debt.............................</w:t>
            </w:r>
          </w:p>
        </w:tc>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5,390.0</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(1,480.2)(c) 3,934.8 Current portion of long-</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w w:val="71"/>
              </w:rPr>
              <w:t>term debt...........</w:t>
            </w:r>
          </w:p>
        </w:tc>
        <w:tc>
          <w:tcPr>
            <w:tcW w:w="3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554.4 572.0 1,126.4 ----</w:t>
            </w:r>
          </w:p>
        </w:tc>
      </w:tr>
      <w:tr>
        <w:trPr>
          <w:trHeight w:val="201"/>
        </w:trPr>
        <w:tc>
          <w:tcPr>
            <w:tcW w:w="4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Total</w:t>
            </w:r>
          </w:p>
        </w:tc>
      </w:tr>
      <w:tr>
        <w:trPr>
          <w:trHeight w:val="201"/>
        </w:trPr>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4"/>
              </w:rPr>
              <w:t>current liabilities.................</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4,234.5</w:t>
            </w:r>
          </w:p>
        </w:tc>
      </w:tr>
      <w:tr>
        <w:trPr>
          <w:trHeight w:val="201"/>
        </w:trPr>
        <w:tc>
          <w:tcPr>
            <w:tcW w:w="3140" w:type="dxa"/>
            <w:vAlign w:val="bottom"/>
            <w:gridSpan w:val="2"/>
          </w:tcPr>
          <w:p>
            <w:pPr>
              <w:spacing w:after="0"/>
              <w:rPr>
                <w:sz w:val="20"/>
                <w:szCs w:val="20"/>
                <w:color w:val="auto"/>
              </w:rPr>
            </w:pPr>
            <w:r>
              <w:rPr>
                <w:rFonts w:ascii="Courier New" w:cs="Courier New" w:eastAsia="Courier New" w:hAnsi="Courier New"/>
                <w:sz w:val="17"/>
                <w:szCs w:val="17"/>
                <w:color w:val="auto"/>
                <w:w w:val="89"/>
              </w:rPr>
              <w:t>8,883.0 (479.8) 12,637.7 ---------</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340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---------- 250.0(b8) (11.9)(b9)</w:t>
            </w:r>
          </w:p>
        </w:tc>
      </w:tr>
      <w:tr>
        <w:trPr>
          <w:trHeight w:val="201"/>
        </w:trPr>
        <w:tc>
          <w:tcPr>
            <w:tcW w:w="4700" w:type="dxa"/>
            <w:vAlign w:val="bottom"/>
            <w:gridSpan w:val="3"/>
          </w:tcPr>
          <w:p>
            <w:pPr>
              <w:jc w:val="right"/>
              <w:ind w:right="793"/>
              <w:spacing w:after="0"/>
              <w:rPr>
                <w:sz w:val="20"/>
                <w:szCs w:val="20"/>
                <w:color w:val="auto"/>
              </w:rPr>
            </w:pPr>
            <w:r>
              <w:rPr>
                <w:rFonts w:ascii="Courier New" w:cs="Courier New" w:eastAsia="Courier New" w:hAnsi="Courier New"/>
                <w:sz w:val="17"/>
                <w:szCs w:val="17"/>
                <w:color w:val="auto"/>
              </w:rPr>
              <w:t>LONG-TERM DEBT, less current</w:t>
            </w:r>
          </w:p>
        </w:tc>
      </w:tr>
      <w:tr>
        <w:trPr>
          <w:trHeight w:val="201"/>
        </w:trPr>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w w:val="73"/>
              </w:rPr>
              <w:t>portion..........</w:t>
            </w:r>
          </w:p>
        </w:tc>
        <w:tc>
          <w:tcPr>
            <w:tcW w:w="34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11,494.8 17,312.0</w:t>
            </w:r>
          </w:p>
        </w:tc>
      </w:tr>
      <w:tr>
        <w:trPr>
          <w:trHeight w:val="201"/>
        </w:trPr>
        <w:tc>
          <w:tcPr>
            <w:tcW w:w="3140" w:type="dxa"/>
            <w:vAlign w:val="bottom"/>
            <w:gridSpan w:val="2"/>
          </w:tcPr>
          <w:p>
            <w:pPr>
              <w:spacing w:after="0"/>
              <w:rPr>
                <w:sz w:val="20"/>
                <w:szCs w:val="20"/>
                <w:color w:val="auto"/>
              </w:rPr>
            </w:pPr>
            <w:r>
              <w:rPr>
                <w:rFonts w:ascii="Courier New" w:cs="Courier New" w:eastAsia="Courier New" w:hAnsi="Courier New"/>
                <w:sz w:val="17"/>
                <w:szCs w:val="17"/>
                <w:color w:val="auto"/>
              </w:rPr>
              <w:t>1,528.6(c) 30,573.5 ---------</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r>
      <w:tr>
        <w:trPr>
          <w:trHeight w:val="201"/>
        </w:trPr>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40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 DEFERRED INCOME</w:t>
            </w:r>
          </w:p>
        </w:tc>
      </w:tr>
      <w:tr>
        <w:trPr>
          <w:trHeight w:val="201"/>
        </w:trPr>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TAXES.........................</w:t>
            </w:r>
          </w:p>
        </w:tc>
        <w:tc>
          <w:tcPr>
            <w:tcW w:w="15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6,453.1</w:t>
            </w:r>
          </w:p>
        </w:tc>
      </w:tr>
      <w:tr>
        <w:trPr>
          <w:trHeight w:val="201"/>
        </w:trPr>
        <w:tc>
          <w:tcPr>
            <w:tcW w:w="3140" w:type="dxa"/>
            <w:vAlign w:val="bottom"/>
            <w:gridSpan w:val="2"/>
          </w:tcPr>
          <w:p>
            <w:pPr>
              <w:spacing w:after="0"/>
              <w:rPr>
                <w:sz w:val="20"/>
                <w:szCs w:val="20"/>
                <w:color w:val="auto"/>
              </w:rPr>
            </w:pPr>
            <w:r>
              <w:rPr>
                <w:rFonts w:ascii="Courier New" w:cs="Courier New" w:eastAsia="Courier New" w:hAnsi="Courier New"/>
                <w:sz w:val="17"/>
                <w:szCs w:val="17"/>
                <w:color w:val="auto"/>
                <w:w w:val="80"/>
              </w:rPr>
              <w:t>25,659.0 276.7(b10) 32,388.8 ---------</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4" w:lineRule="exact"/>
        <w:rPr>
          <w:sz w:val="20"/>
          <w:szCs w:val="20"/>
          <w:color w:val="auto"/>
        </w:rPr>
      </w:pPr>
    </w:p>
    <w:p>
      <w:pPr>
        <w:ind w:left="320" w:right="5459" w:hanging="266"/>
        <w:spacing w:after="0" w:line="251" w:lineRule="auto"/>
        <w:tabs>
          <w:tab w:leader="none" w:pos="582"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(179.0)(b11) OTHER NON-CURRENT LIABILITIES.................</w:t>
      </w:r>
    </w:p>
    <w:tbl>
      <w:tblPr>
        <w:tblLayout w:type="fixed"/>
        <w:tblInd w:w="60" w:type="dxa"/>
        <w:tblCellMar>
          <w:top w:w="0" w:type="dxa"/>
          <w:left w:w="0" w:type="dxa"/>
          <w:bottom w:w="0" w:type="dxa"/>
          <w:right w:w="0" w:type="dxa"/>
        </w:tblCellMar>
      </w:tblPr>
      <w:tr>
        <w:trPr>
          <w:trHeight w:val="197"/>
        </w:trPr>
        <w:tc>
          <w:tcPr>
            <w:tcW w:w="3460" w:type="dxa"/>
            <w:vAlign w:val="bottom"/>
            <w:gridSpan w:val="2"/>
          </w:tcPr>
          <w:p>
            <w:pPr>
              <w:jc w:val="right"/>
              <w:ind w:right="41"/>
              <w:spacing w:after="0"/>
              <w:rPr>
                <w:sz w:val="20"/>
                <w:szCs w:val="20"/>
                <w:color w:val="auto"/>
              </w:rPr>
            </w:pPr>
            <w:r>
              <w:rPr>
                <w:rFonts w:ascii="Courier New" w:cs="Courier New" w:eastAsia="Courier New" w:hAnsi="Courier New"/>
                <w:sz w:val="17"/>
                <w:szCs w:val="17"/>
                <w:color w:val="auto"/>
              </w:rPr>
              <w:t>806.2 974.0 (253.9)(b12) 1,347.3</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w w:val="99"/>
              </w:rPr>
              <w:t>--------- --</w:t>
            </w:r>
          </w:p>
        </w:tc>
      </w:tr>
      <w:tr>
        <w:trPr>
          <w:trHeight w:val="201"/>
        </w:trPr>
        <w:tc>
          <w:tcPr>
            <w:tcW w:w="2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w:t>
            </w:r>
          </w:p>
        </w:tc>
        <w:tc>
          <w:tcPr>
            <w:tcW w:w="230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 MINORITY</w:t>
            </w:r>
          </w:p>
        </w:tc>
      </w:tr>
      <w:tr>
        <w:trPr>
          <w:trHeight w:val="201"/>
        </w:trPr>
        <w:tc>
          <w:tcPr>
            <w:tcW w:w="34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1"/>
              </w:rPr>
              <w:t>INTEREST.............................</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954.0</w:t>
            </w:r>
          </w:p>
        </w:tc>
      </w:tr>
      <w:tr>
        <w:trPr>
          <w:trHeight w:val="201"/>
        </w:trPr>
        <w:tc>
          <w:tcPr>
            <w:tcW w:w="2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3,319.0 (2,117.8)(b13)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w w:val="72"/>
              </w:rPr>
              <w:t>2,155.2 ---------</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of AT&amp;T.....................................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4,718.0 (4,718.0)(b14) --------- ---------- -</w:t>
      </w:r>
    </w:p>
    <w:p>
      <w:pPr>
        <w:sectPr>
          <w:pgSz w:w="11900" w:h="16838" w:orient="portrait"/>
          <w:cols w:equalWidth="0" w:num="1">
            <w:col w:w="10219"/>
          </w:cols>
          <w:pgMar w:left="240" w:top="719" w:right="1440" w:bottom="0" w:gutter="0" w:footer="0" w:header="0"/>
        </w:sectPr>
      </w:pPr>
    </w:p>
    <w:bookmarkStart w:id="87" w:name="page88"/>
    <w:bookmarkEnd w:id="87"/>
    <w:p>
      <w:pPr>
        <w:jc w:val="center"/>
        <w:ind w:right="5459"/>
        <w:spacing w:after="0"/>
        <w:rPr>
          <w:sz w:val="20"/>
          <w:szCs w:val="20"/>
          <w:color w:val="auto"/>
        </w:rPr>
      </w:pPr>
      <w:r>
        <w:rPr>
          <w:rFonts w:ascii="Courier New" w:cs="Courier New" w:eastAsia="Courier New" w:hAnsi="Courier New"/>
          <w:sz w:val="17"/>
          <w:szCs w:val="17"/>
          <w:color w:val="auto"/>
        </w:rPr>
        <w:t>--------- ---------- STOCKHOLDERS' EQUITY</w:t>
      </w:r>
    </w:p>
    <w:p>
      <w:pPr>
        <w:spacing w:after="0" w:line="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7"/>
          <w:szCs w:val="17"/>
          <w:color w:val="auto"/>
        </w:rPr>
        <w:t>1,346.0(b15) Common</w:t>
      </w:r>
    </w:p>
    <w:p>
      <w:pPr>
        <w:spacing w:after="0" w:line="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7"/>
          <w:szCs w:val="17"/>
          <w:color w:val="auto"/>
        </w:rPr>
        <w:t>stock................................ 944.9</w:t>
      </w:r>
    </w:p>
    <w:p>
      <w:pPr>
        <w:spacing w:after="0" w:line="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7"/>
          <w:szCs w:val="17"/>
          <w:color w:val="auto"/>
        </w:rPr>
        <w:t>(47.3)(d) 2,243.6 (1,653.7)(d) Additional</w:t>
      </w:r>
    </w:p>
    <w:p>
      <w:pPr>
        <w:spacing w:after="0" w:line="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7"/>
          <w:szCs w:val="17"/>
          <w:color w:val="auto"/>
        </w:rPr>
        <w:t>capital.......................... 11,742.6</w:t>
      </w:r>
    </w:p>
    <w:p>
      <w:pPr>
        <w:spacing w:after="0" w:line="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7"/>
          <w:szCs w:val="17"/>
          <w:color w:val="auto"/>
        </w:rPr>
        <w:t>47,614.6(b15) 57,703.5 Retained</w:t>
      </w:r>
    </w:p>
    <w:p>
      <w:pPr>
        <w:spacing w:after="0" w:line="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7"/>
          <w:szCs w:val="17"/>
          <w:color w:val="auto"/>
        </w:rPr>
        <w:t>earnings........................... 1,952.0</w:t>
      </w:r>
    </w:p>
    <w:p>
      <w:pPr>
        <w:spacing w:after="0" w:line="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7"/>
          <w:szCs w:val="17"/>
          <w:color w:val="auto"/>
        </w:rPr>
        <w:t>1,952.0 Accumulated other comprehensive</w:t>
      </w:r>
    </w:p>
    <w:p>
      <w:pPr>
        <w:spacing w:after="0" w:line="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7"/>
          <w:szCs w:val="17"/>
          <w:color w:val="auto"/>
        </w:rPr>
        <w:t>income...... 199.3 199.3 Combined attributed</w:t>
      </w:r>
    </w:p>
    <w:p>
      <w:pPr>
        <w:spacing w:after="0" w:line="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7"/>
          <w:szCs w:val="17"/>
          <w:color w:val="auto"/>
        </w:rPr>
        <w:t>net assets.............. 43,396.0 (43,396.0)</w:t>
      </w:r>
    </w:p>
    <w:p>
      <w:pPr>
        <w:spacing w:after="0" w:line="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7"/>
          <w:szCs w:val="17"/>
          <w:color w:val="auto"/>
        </w:rPr>
        <w:t>(b16) --------- ---------- ---------- -------</w:t>
      </w:r>
    </w:p>
    <w:p>
      <w:pPr>
        <w:spacing w:after="0" w:line="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7"/>
          <w:szCs w:val="17"/>
          <w:color w:val="auto"/>
        </w:rPr>
        <w:t>--- Total stockholders'</w:t>
      </w:r>
    </w:p>
    <w:p>
      <w:pPr>
        <w:spacing w:after="0" w:line="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7"/>
          <w:szCs w:val="17"/>
          <w:color w:val="auto"/>
        </w:rPr>
        <w:t>equity................ 14,838.8 43,396.0</w:t>
      </w:r>
    </w:p>
    <w:p>
      <w:pPr>
        <w:spacing w:after="0" w:line="9"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7"/>
          <w:szCs w:val="17"/>
          <w:color w:val="auto"/>
        </w:rPr>
        <w:t>3,863.6 62,098.4 --------- ---------- -------</w:t>
      </w:r>
    </w:p>
    <w:p>
      <w:pPr>
        <w:spacing w:after="0" w:line="9" w:lineRule="exact"/>
        <w:rPr>
          <w:sz w:val="20"/>
          <w:szCs w:val="20"/>
          <w:color w:val="auto"/>
        </w:rPr>
      </w:pPr>
    </w:p>
    <w:p>
      <w:pPr>
        <w:ind w:left="200" w:right="5659" w:firstLine="213"/>
        <w:spacing w:after="0" w:line="251" w:lineRule="auto"/>
        <w:tabs>
          <w:tab w:leader="none" w:pos="828"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$38,781.4 $104,261.0 $ (1,841.5) $141,200.9 ========= ==========</w:t>
      </w:r>
    </w:p>
    <w:p>
      <w:pPr>
        <w:ind w:left="1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See notes to Unaudited Pro Forma Combined Condensed Balance Sheet</w:t>
      </w:r>
    </w:p>
    <w:p>
      <w:pPr>
        <w:spacing w:after="0" w:line="21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III-4</w:t>
      </w:r>
    </w:p>
    <w:p>
      <w:pPr>
        <w:sectPr>
          <w:pgSz w:w="11900" w:h="16838" w:orient="portrait"/>
          <w:cols w:equalWidth="0" w:num="1">
            <w:col w:w="10159"/>
          </w:cols>
          <w:pgMar w:left="300" w:top="142" w:right="1440" w:bottom="1440" w:gutter="0" w:footer="0" w:header="0"/>
        </w:sectPr>
      </w:pPr>
    </w:p>
    <w:bookmarkStart w:id="88" w:name="page89"/>
    <w:bookmarkEnd w:id="88"/>
    <w:p>
      <w:pPr>
        <w:jc w:val="center"/>
        <w:ind w:right="1819"/>
        <w:spacing w:after="0"/>
        <w:rPr>
          <w:sz w:val="20"/>
          <w:szCs w:val="20"/>
          <w:color w:val="auto"/>
        </w:rPr>
      </w:pPr>
      <w:r>
        <w:rPr>
          <w:rFonts w:ascii="Courier New" w:cs="Courier New" w:eastAsia="Courier New" w:hAnsi="Courier New"/>
          <w:sz w:val="17"/>
          <w:szCs w:val="17"/>
          <w:color w:val="auto"/>
        </w:rPr>
        <w:t>AT&amp;T COMCAST CORPORATION</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UNAUDITED PRO FORMA COMBINED CONDENSED BALANCE SHEET</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These columns reflect the historical balance sheets of the respective</w:t>
      </w:r>
    </w:p>
    <w:p>
      <w:pPr>
        <w:spacing w:after="0" w:line="9" w:lineRule="exact"/>
        <w:rPr>
          <w:sz w:val="20"/>
          <w:szCs w:val="20"/>
          <w:color w:val="auto"/>
        </w:rPr>
      </w:pPr>
    </w:p>
    <w:p>
      <w:pPr>
        <w:ind w:left="840" w:right="1939" w:hanging="833"/>
        <w:spacing w:after="0" w:line="251" w:lineRule="auto"/>
        <w:tabs>
          <w:tab w:leader="none" w:pos="840"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companies. Certain reclassifications have been made to the consolidated historical financial statements of Comcast and to the combined historical financial statements of AT&amp;T Broadband Group to conform to the presentation expected to be used by AT&amp;T Comcast.</w:t>
      </w:r>
    </w:p>
    <w:p>
      <w:pPr>
        <w:ind w:left="840" w:right="1939" w:hanging="833"/>
        <w:spacing w:after="0" w:line="254" w:lineRule="auto"/>
        <w:tabs>
          <w:tab w:leader="none" w:pos="840"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entry reflects the preliminary allocation of the purchase price to identifiable net assets acquired and the excess purchase price to goodwill.</w:t>
      </w:r>
    </w:p>
    <w:p>
      <w:pPr>
        <w:spacing w:after="0" w:line="396"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COMMON ADDITIONAL STOCK CAPITAL TOTAL --------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CALCULATION OF CONSIDERATION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Issuance of common stock to AT&amp;T shareholders</w:t>
      </w:r>
    </w:p>
    <w:p>
      <w:pPr>
        <w:spacing w:after="0" w:line="9"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(1,231.0 million shares *</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$35.97)............................. $1,231.0(i)</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$43,048.1 $ 44,279.1 Issuance of common stock to</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Microsoft Corporation (115.0 million shares *</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$35.97)...................... 115.0 4,021.6 4,136.6</w:t>
      </w:r>
    </w:p>
    <w:p>
      <w:pPr>
        <w:spacing w:after="0" w:line="9" w:lineRule="exact"/>
        <w:rPr>
          <w:sz w:val="20"/>
          <w:szCs w:val="20"/>
          <w:color w:val="auto"/>
        </w:rPr>
      </w:pPr>
    </w:p>
    <w:p>
      <w:pPr>
        <w:jc w:val="center"/>
        <w:ind w:right="4659"/>
        <w:spacing w:after="0" w:line="251" w:lineRule="auto"/>
        <w:rPr>
          <w:sz w:val="20"/>
          <w:szCs w:val="20"/>
          <w:color w:val="auto"/>
        </w:rPr>
      </w:pPr>
      <w:r>
        <w:rPr>
          <w:rFonts w:ascii="Courier New" w:cs="Courier New" w:eastAsia="Courier New" w:hAnsi="Courier New"/>
          <w:sz w:val="17"/>
          <w:szCs w:val="17"/>
          <w:color w:val="auto"/>
        </w:rPr>
        <w:t>Fair value of AT&amp;T Comcast stock options resulting from the conversion of AT&amp;T Broadband Group stock options in the merger based on Black-Scholes option pricing</w:t>
      </w:r>
    </w:p>
    <w:p>
      <w:pPr>
        <w:jc w:val="center"/>
        <w:ind w:right="4659"/>
        <w:spacing w:after="0" w:line="251" w:lineRule="auto"/>
        <w:rPr>
          <w:sz w:val="20"/>
          <w:szCs w:val="20"/>
          <w:color w:val="auto"/>
        </w:rPr>
      </w:pPr>
      <w:r>
        <w:rPr>
          <w:rFonts w:ascii="Courier New" w:cs="Courier New" w:eastAsia="Courier New" w:hAnsi="Courier New"/>
          <w:sz w:val="17"/>
          <w:szCs w:val="17"/>
          <w:color w:val="auto"/>
        </w:rPr>
        <w:t>model................................................ 544.9 544.9 -------- --------- ---------- (b15) Comcast common stock equity consideration.............. 1,346.0 47,614.6 48,960.6 (b8) Transaction costs (assumed to be funded -- $25.0 short-term debt and $250.0 long-term</w:t>
      </w:r>
    </w:p>
    <w:p>
      <w:pPr>
        <w:jc w:val="center"/>
        <w:ind w:right="4659"/>
        <w:spacing w:after="0" w:line="251" w:lineRule="auto"/>
        <w:rPr>
          <w:sz w:val="20"/>
          <w:szCs w:val="20"/>
          <w:color w:val="auto"/>
        </w:rPr>
      </w:pPr>
      <w:r>
        <w:rPr>
          <w:rFonts w:ascii="Courier New" w:cs="Courier New" w:eastAsia="Courier New" w:hAnsi="Courier New"/>
          <w:sz w:val="17"/>
          <w:szCs w:val="17"/>
          <w:color w:val="auto"/>
        </w:rPr>
        <w:t>debt)........... 275.0 ---------- Total consideration.................................... $ 49,235.6 ========== Preliminary estimate of fair</w:t>
      </w:r>
    </w:p>
    <w:p>
      <w:pPr>
        <w:ind w:left="260"/>
        <w:spacing w:after="0"/>
        <w:rPr>
          <w:sz w:val="20"/>
          <w:szCs w:val="20"/>
          <w:color w:val="auto"/>
        </w:rPr>
      </w:pPr>
      <w:r>
        <w:rPr>
          <w:rFonts w:ascii="Courier New" w:cs="Courier New" w:eastAsia="Courier New" w:hAnsi="Courier New"/>
          <w:sz w:val="17"/>
          <w:szCs w:val="17"/>
          <w:color w:val="auto"/>
        </w:rPr>
        <w:t>value of identifiable net assets acquired: (b16)</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Book value of AT&amp;T Broadband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Group..................... $ 43,396.0 Elimination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gross AT&amp;T Broadband Group goodwill..... (20,008.0)</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(b1) Current portion of deferred financing</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fees............. 25.0 (b2) Preliminary estimate of</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adjustment to fair value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740" w:right="4819" w:hanging="575"/>
        <w:spacing w:after="0" w:line="251" w:lineRule="auto"/>
        <w:rPr>
          <w:sz w:val="20"/>
          <w:szCs w:val="20"/>
          <w:color w:val="auto"/>
        </w:rPr>
      </w:pPr>
      <w:r>
        <w:rPr>
          <w:rFonts w:ascii="Courier New" w:cs="Courier New" w:eastAsia="Courier New" w:hAnsi="Courier New"/>
          <w:sz w:val="17"/>
          <w:szCs w:val="17"/>
          <w:color w:val="auto"/>
        </w:rPr>
        <w:t>1,878.2 (b4) Preliminary estimate of adjustment to fair value of cable operating franchise</w:t>
      </w:r>
    </w:p>
    <w:tbl>
      <w:tblPr>
        <w:tblLayout w:type="fixed"/>
        <w:tblInd w:w="580" w:type="dxa"/>
        <w:tblCellMar>
          <w:top w:w="0" w:type="dxa"/>
          <w:left w:w="0" w:type="dxa"/>
          <w:bottom w:w="0" w:type="dxa"/>
          <w:right w:w="0" w:type="dxa"/>
        </w:tblCellMar>
      </w:tblPr>
      <w:tr>
        <w:trPr>
          <w:trHeight w:val="197"/>
        </w:trPr>
        <w:tc>
          <w:tcPr>
            <w:tcW w:w="2880" w:type="dxa"/>
            <w:vAlign w:val="bottom"/>
          </w:tcPr>
          <w:p>
            <w:pPr>
              <w:spacing w:after="0"/>
              <w:rPr>
                <w:sz w:val="20"/>
                <w:szCs w:val="20"/>
                <w:color w:val="auto"/>
              </w:rPr>
            </w:pPr>
            <w:r>
              <w:rPr>
                <w:rFonts w:ascii="Courier New" w:cs="Courier New" w:eastAsia="Courier New" w:hAnsi="Courier New"/>
                <w:sz w:val="17"/>
                <w:szCs w:val="17"/>
                <w:color w:val="auto"/>
              </w:rPr>
              <w:t>rights.....................</w:t>
            </w:r>
          </w:p>
        </w:tc>
        <w:tc>
          <w:tcPr>
            <w:tcW w:w="1520" w:type="dxa"/>
            <w:vAlign w:val="bottom"/>
          </w:tcPr>
          <w:p>
            <w:pPr>
              <w:ind w:left="60"/>
              <w:spacing w:after="0"/>
              <w:rPr>
                <w:sz w:val="20"/>
                <w:szCs w:val="20"/>
                <w:color w:val="auto"/>
              </w:rPr>
            </w:pPr>
            <w:r>
              <w:rPr>
                <w:rFonts w:ascii="Courier New" w:cs="Courier New" w:eastAsia="Courier New" w:hAnsi="Courier New"/>
                <w:sz w:val="17"/>
                <w:szCs w:val="17"/>
                <w:color w:val="auto"/>
              </w:rPr>
              <w:t>(2,226.0) (b5)</w:t>
            </w:r>
          </w:p>
        </w:tc>
      </w:tr>
    </w:tbl>
    <w:p>
      <w:pPr>
        <w:spacing w:after="0" w:line="4"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Elimination of AT&amp;T Broadband Group accumulated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amortization.........................................</w:t>
      </w:r>
    </w:p>
    <w:p>
      <w:pPr>
        <w:spacing w:after="0" w:line="9" w:lineRule="exact"/>
        <w:rPr>
          <w:sz w:val="20"/>
          <w:szCs w:val="20"/>
          <w:color w:val="auto"/>
        </w:rPr>
      </w:pPr>
    </w:p>
    <w:p>
      <w:pPr>
        <w:jc w:val="center"/>
        <w:ind w:right="4659"/>
        <w:spacing w:after="0" w:line="251" w:lineRule="auto"/>
        <w:rPr>
          <w:sz w:val="20"/>
          <w:szCs w:val="20"/>
          <w:color w:val="auto"/>
        </w:rPr>
      </w:pPr>
      <w:r>
        <w:rPr>
          <w:rFonts w:ascii="Courier New" w:cs="Courier New" w:eastAsia="Courier New" w:hAnsi="Courier New"/>
          <w:sz w:val="17"/>
          <w:szCs w:val="17"/>
          <w:color w:val="auto"/>
        </w:rPr>
        <w:t>2,841.0 (b6) Long-term portion of deferred financing fees........... 25.0 (b7) Preliminary estimate of current tax liability arising from the</w:t>
      </w:r>
    </w:p>
    <w:p>
      <w:pPr>
        <w:ind w:left="480"/>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ind w:left="800" w:right="4719" w:hanging="732"/>
        <w:spacing w:after="0" w:line="251" w:lineRule="auto"/>
        <w:rPr>
          <w:sz w:val="20"/>
          <w:szCs w:val="20"/>
          <w:color w:val="auto"/>
        </w:rPr>
      </w:pPr>
      <w:r>
        <w:rPr>
          <w:rFonts w:ascii="Courier New" w:cs="Courier New" w:eastAsia="Courier New" w:hAnsi="Courier New"/>
          <w:sz w:val="17"/>
          <w:szCs w:val="17"/>
          <w:color w:val="auto"/>
        </w:rPr>
        <w:t>(1,023.8) (b9) Preliminary estimate of fair value of AT&amp;T Broadband Group assumed long-term</w:t>
      </w:r>
    </w:p>
    <w:p>
      <w:pPr>
        <w:ind w:left="60"/>
        <w:spacing w:after="0"/>
        <w:rPr>
          <w:sz w:val="20"/>
          <w:szCs w:val="20"/>
          <w:color w:val="auto"/>
        </w:rPr>
      </w:pPr>
      <w:r>
        <w:rPr>
          <w:rFonts w:ascii="Courier New" w:cs="Courier New" w:eastAsia="Courier New" w:hAnsi="Courier New"/>
          <w:sz w:val="17"/>
          <w:szCs w:val="17"/>
          <w:color w:val="auto"/>
        </w:rPr>
        <w:t>debt......................... 11.9 (b10) Preliminary</w:t>
      </w:r>
    </w:p>
    <w:p>
      <w:pPr>
        <w:spacing w:after="0" w:line="9" w:lineRule="exact"/>
        <w:rPr>
          <w:sz w:val="20"/>
          <w:szCs w:val="20"/>
          <w:color w:val="auto"/>
        </w:rPr>
      </w:pPr>
    </w:p>
    <w:p>
      <w:pPr>
        <w:ind w:left="100" w:right="4759"/>
        <w:spacing w:after="0" w:line="251" w:lineRule="auto"/>
        <w:rPr>
          <w:sz w:val="20"/>
          <w:szCs w:val="20"/>
          <w:color w:val="auto"/>
        </w:rPr>
      </w:pPr>
      <w:r>
        <w:rPr>
          <w:rFonts w:ascii="Courier New" w:cs="Courier New" w:eastAsia="Courier New" w:hAnsi="Courier New"/>
          <w:sz w:val="17"/>
          <w:szCs w:val="17"/>
          <w:color w:val="auto"/>
        </w:rPr>
        <w:t>estimate of adjustment to deferred tax liability on pro forma adjustments at combined federal and state</w:t>
      </w:r>
    </w:p>
    <w:p>
      <w:pPr>
        <w:ind w:left="220"/>
        <w:spacing w:after="0"/>
        <w:rPr>
          <w:sz w:val="20"/>
          <w:szCs w:val="20"/>
          <w:color w:val="auto"/>
        </w:rPr>
      </w:pPr>
      <w:r>
        <w:rPr>
          <w:rFonts w:ascii="Courier New" w:cs="Courier New" w:eastAsia="Courier New" w:hAnsi="Courier New"/>
          <w:sz w:val="17"/>
          <w:szCs w:val="17"/>
          <w:color w:val="auto"/>
        </w:rPr>
        <w:t>statutory rate..................... (276.7) (b11)</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Certain liabilities retained by</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AT&amp;T................... 179.0 (b12) Preliminary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estimate of adjustment to fair value of other non-</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45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253.9</w:t>
            </w:r>
          </w:p>
        </w:tc>
      </w:tr>
    </w:tbl>
    <w:p>
      <w:pPr>
        <w:spacing w:after="0" w:line="4"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(b13) Liabilities retained by AT&amp;T related to TCI</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Pacific Preferred</w:t>
      </w:r>
    </w:p>
    <w:p>
      <w:pPr>
        <w:spacing w:after="0" w:line="9" w:lineRule="exact"/>
        <w:rPr>
          <w:sz w:val="20"/>
          <w:szCs w:val="20"/>
          <w:color w:val="auto"/>
        </w:rPr>
      </w:pPr>
    </w:p>
    <w:p>
      <w:pPr>
        <w:jc w:val="center"/>
        <w:ind w:right="4659"/>
        <w:spacing w:after="0" w:line="251" w:lineRule="auto"/>
        <w:rPr>
          <w:sz w:val="20"/>
          <w:szCs w:val="20"/>
          <w:color w:val="auto"/>
        </w:rPr>
      </w:pPr>
      <w:r>
        <w:rPr>
          <w:rFonts w:ascii="Courier New" w:cs="Courier New" w:eastAsia="Courier New" w:hAnsi="Courier New"/>
          <w:sz w:val="17"/>
          <w:szCs w:val="17"/>
          <w:color w:val="auto"/>
        </w:rPr>
        <w:t>shares..................................... 2,117.8 (b14) Redemption of Microsoft Corporation QUIPS.............. 4,718.0 ---------- Preliminary estimate of fair value of identifiable net assets</w:t>
      </w:r>
    </w:p>
    <w:p>
      <w:pPr>
        <w:ind w:left="380"/>
        <w:spacing w:after="0"/>
        <w:rPr>
          <w:sz w:val="20"/>
          <w:szCs w:val="20"/>
          <w:color w:val="auto"/>
        </w:rPr>
      </w:pPr>
      <w:r>
        <w:rPr>
          <w:rFonts w:ascii="Courier New" w:cs="Courier New" w:eastAsia="Courier New" w:hAnsi="Courier New"/>
          <w:sz w:val="17"/>
          <w:szCs w:val="17"/>
          <w:color w:val="auto"/>
        </w:rPr>
        <w:t>acquired......................................</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31,911.3 ---------- Acquisition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goodwill................................... $</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17,324.3 ========== Calculation of goodwill</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acquisition adjustment Acquisition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goodwill................................... $</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17,324.3 Gross value of AT&amp;T Broadband Group</w:t>
      </w:r>
    </w:p>
    <w:p>
      <w:pPr>
        <w:spacing w:after="0" w:line="9" w:lineRule="exact"/>
        <w:rPr>
          <w:sz w:val="20"/>
          <w:szCs w:val="20"/>
          <w:color w:val="auto"/>
        </w:rPr>
      </w:pPr>
    </w:p>
    <w:tbl>
      <w:tblPr>
        <w:tblLayout w:type="fixed"/>
        <w:tblInd w:w="380" w:type="dxa"/>
        <w:tblCellMar>
          <w:top w:w="0" w:type="dxa"/>
          <w:left w:w="0" w:type="dxa"/>
          <w:bottom w:w="0" w:type="dxa"/>
          <w:right w:w="0" w:type="dxa"/>
        </w:tblCellMar>
      </w:tblPr>
      <w:tr>
        <w:trPr>
          <w:trHeight w:val="197"/>
        </w:trPr>
        <w:tc>
          <w:tcPr>
            <w:tcW w:w="2040" w:type="dxa"/>
            <w:vAlign w:val="bottom"/>
          </w:tcPr>
          <w:p>
            <w:pPr>
              <w:spacing w:after="0"/>
              <w:rPr>
                <w:sz w:val="20"/>
                <w:szCs w:val="20"/>
                <w:color w:val="auto"/>
              </w:rPr>
            </w:pPr>
            <w:r>
              <w:rPr>
                <w:rFonts w:ascii="Courier New" w:cs="Courier New" w:eastAsia="Courier New" w:hAnsi="Courier New"/>
                <w:sz w:val="17"/>
                <w:szCs w:val="17"/>
                <w:color w:val="auto"/>
              </w:rPr>
              <w:t>goodwill...........</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(20,008.0) ---------- (b3)</w:t>
            </w:r>
          </w:p>
        </w:tc>
      </w:tr>
    </w:tbl>
    <w:p>
      <w:pPr>
        <w:sectPr>
          <w:pgSz w:w="11900" w:h="16838" w:orient="portrait"/>
          <w:cols w:equalWidth="0" w:num="1">
            <w:col w:w="10219"/>
          </w:cols>
          <w:pgMar w:left="240" w:top="719" w:right="1440" w:bottom="0" w:gutter="0" w:footer="0" w:header="0"/>
        </w:sectPr>
      </w:pPr>
    </w:p>
    <w:bookmarkStart w:id="89" w:name="page90"/>
    <w:bookmarkEnd w:id="89"/>
    <w:p>
      <w:pPr>
        <w:jc w:val="center"/>
        <w:ind w:right="4719"/>
        <w:spacing w:after="0"/>
        <w:rPr>
          <w:sz w:val="20"/>
          <w:szCs w:val="20"/>
          <w:color w:val="auto"/>
        </w:rPr>
      </w:pPr>
      <w:r>
        <w:rPr>
          <w:rFonts w:ascii="Courier New" w:cs="Courier New" w:eastAsia="Courier New" w:hAnsi="Courier New"/>
          <w:sz w:val="17"/>
          <w:szCs w:val="17"/>
          <w:color w:val="auto"/>
        </w:rPr>
        <w:t>Goodwill acquisition</w:t>
      </w:r>
    </w:p>
    <w:p>
      <w:pPr>
        <w:spacing w:after="0" w:line="9"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7"/>
          <w:szCs w:val="17"/>
          <w:color w:val="auto"/>
        </w:rPr>
        <w:t>adjustment........................ $ (2,683.7)</w:t>
      </w:r>
    </w:p>
    <w:p>
      <w:pPr>
        <w:spacing w:after="0" w:line="9"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7"/>
          <w:szCs w:val="17"/>
          <w:color w:val="auto"/>
        </w:rPr>
        <w:t>========== (i) Maximum number of shares of common</w:t>
      </w:r>
    </w:p>
    <w:p>
      <w:pPr>
        <w:spacing w:after="0" w:line="9"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7"/>
          <w:szCs w:val="17"/>
          <w:color w:val="auto"/>
        </w:rPr>
        <w:t>stock that could be issued in the AT&amp;T Broadband</w:t>
      </w:r>
    </w:p>
    <w:p>
      <w:pPr>
        <w:spacing w:after="0" w:line="9"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7"/>
          <w:szCs w:val="17"/>
          <w:color w:val="auto"/>
        </w:rPr>
        <w:t>merger............. 1,235.0 Share equivalent of</w:t>
      </w:r>
    </w:p>
    <w:p>
      <w:pPr>
        <w:spacing w:after="0" w:line="9"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7"/>
          <w:szCs w:val="17"/>
          <w:color w:val="auto"/>
        </w:rPr>
        <w:t>intrinsic value of AT&amp;T Broadband Group stock</w:t>
      </w:r>
    </w:p>
    <w:p>
      <w:pPr>
        <w:spacing w:after="0" w:line="9"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7"/>
          <w:szCs w:val="17"/>
          <w:color w:val="auto"/>
        </w:rPr>
        <w:t>options and stock appreciation rights..... (4.0) ---</w:t>
      </w:r>
    </w:p>
    <w:p>
      <w:pPr>
        <w:spacing w:after="0" w:line="9"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7"/>
          <w:szCs w:val="17"/>
          <w:color w:val="auto"/>
        </w:rPr>
        <w:t>----- Common stock to be issued to AT&amp;T</w:t>
      </w:r>
    </w:p>
    <w:p>
      <w:pPr>
        <w:spacing w:after="0" w:line="9"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7"/>
          <w:szCs w:val="17"/>
          <w:color w:val="auto"/>
        </w:rPr>
        <w:t>shareholders............................... 1,231.0</w:t>
      </w:r>
    </w:p>
    <w:p>
      <w:pPr>
        <w:spacing w:after="0" w:line="9"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III-5</w:t>
      </w:r>
    </w:p>
    <w:p>
      <w:pPr>
        <w:sectPr>
          <w:pgSz w:w="11900" w:h="16838" w:orient="portrait"/>
          <w:cols w:equalWidth="0" w:num="1">
            <w:col w:w="10159"/>
          </w:cols>
          <w:pgMar w:left="300" w:top="142" w:right="1440" w:bottom="1440" w:gutter="0" w:footer="0" w:header="0"/>
        </w:sectPr>
      </w:pPr>
    </w:p>
    <w:bookmarkStart w:id="90" w:name="page91"/>
    <w:bookmarkEnd w:id="90"/>
    <w:p>
      <w:pPr>
        <w:ind w:left="420" w:right="1939"/>
        <w:spacing w:after="0" w:line="251" w:lineRule="auto"/>
        <w:rPr>
          <w:sz w:val="20"/>
          <w:szCs w:val="20"/>
          <w:color w:val="auto"/>
        </w:rPr>
      </w:pPr>
      <w:r>
        <w:rPr>
          <w:rFonts w:ascii="Courier New" w:cs="Courier New" w:eastAsia="Courier New" w:hAnsi="Courier New"/>
          <w:sz w:val="17"/>
          <w:szCs w:val="17"/>
          <w:color w:val="auto"/>
        </w:rPr>
        <w:t>Certain programming and other contracts of AT&amp;T Broadband and Comcast may, by their terms, be assumed, altered or terminated as a result of the completion of the AT&amp;T Comcast transaction. However, due to confidentiality provisions in those contracts as well as legal restrictions, those terms cannot be shared between the two parties as of the date of this proxy. Therefore, management cannot currently estimate the impact, if any, of favorable or unfavorable contracts that may result from the ultimate allocation of purchase price. See note (m) to the Unaudited Pro Forma Combined Condensed Statements of Operations for a sensitivity analysis of the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0" w:type="dxa"/>
            <w:vAlign w:val="bottom"/>
          </w:tcPr>
          <w:p>
            <w:pPr>
              <w:spacing w:after="0"/>
              <w:rPr>
                <w:sz w:val="20"/>
                <w:szCs w:val="20"/>
                <w:color w:val="auto"/>
              </w:rPr>
            </w:pPr>
            <w:r>
              <w:rPr>
                <w:rFonts w:ascii="Courier New" w:cs="Courier New" w:eastAsia="Courier New" w:hAnsi="Courier New"/>
                <w:sz w:val="17"/>
                <w:szCs w:val="17"/>
                <w:color w:val="auto"/>
              </w:rPr>
              <w:t>(c)</w:t>
            </w:r>
          </w:p>
        </w:tc>
        <w:tc>
          <w:tcPr>
            <w:tcW w:w="76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Represents the refinancing of existing short-term debt due to AT&amp;T</w:t>
            </w:r>
          </w:p>
        </w:tc>
        <w:tc>
          <w:tcPr>
            <w:tcW w:w="320" w:type="dxa"/>
            <w:vAlign w:val="bottom"/>
          </w:tcPr>
          <w:p>
            <w:pPr>
              <w:spacing w:after="0"/>
              <w:rPr>
                <w:sz w:val="17"/>
                <w:szCs w:val="17"/>
                <w:color w:val="auto"/>
              </w:rPr>
            </w:pPr>
          </w:p>
        </w:tc>
      </w:tr>
      <w:tr>
        <w:trPr>
          <w:trHeight w:val="201"/>
        </w:trPr>
        <w:tc>
          <w:tcPr>
            <w:tcW w:w="580" w:type="dxa"/>
            <w:vAlign w:val="bottom"/>
          </w:tcPr>
          <w:p>
            <w:pPr>
              <w:spacing w:after="0"/>
              <w:rPr>
                <w:sz w:val="17"/>
                <w:szCs w:val="17"/>
                <w:color w:val="auto"/>
              </w:rPr>
            </w:pPr>
          </w:p>
        </w:tc>
        <w:tc>
          <w:tcPr>
            <w:tcW w:w="7920" w:type="dxa"/>
            <w:vAlign w:val="bottom"/>
            <w:gridSpan w:val="3"/>
          </w:tcPr>
          <w:p>
            <w:pPr>
              <w:ind w:left="260"/>
              <w:spacing w:after="0"/>
              <w:rPr>
                <w:sz w:val="20"/>
                <w:szCs w:val="20"/>
                <w:color w:val="auto"/>
              </w:rPr>
            </w:pPr>
            <w:r>
              <w:rPr>
                <w:rFonts w:ascii="Courier New" w:cs="Courier New" w:eastAsia="Courier New" w:hAnsi="Courier New"/>
                <w:sz w:val="17"/>
                <w:szCs w:val="17"/>
                <w:color w:val="auto"/>
              </w:rPr>
              <w:t>($5,390.0) and certain long-term debt ($2,381.2 plus accrued interest of</w:t>
            </w:r>
          </w:p>
        </w:tc>
      </w:tr>
      <w:tr>
        <w:trPr>
          <w:trHeight w:val="201"/>
        </w:trPr>
        <w:tc>
          <w:tcPr>
            <w:tcW w:w="580" w:type="dxa"/>
            <w:vAlign w:val="bottom"/>
          </w:tcPr>
          <w:p>
            <w:pPr>
              <w:spacing w:after="0"/>
              <w:rPr>
                <w:sz w:val="17"/>
                <w:szCs w:val="17"/>
                <w:color w:val="auto"/>
              </w:rPr>
            </w:pPr>
          </w:p>
        </w:tc>
        <w:tc>
          <w:tcPr>
            <w:tcW w:w="76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$48.4) with new debt of AT&amp;T Comcast. The refinancing is assumed to be</w:t>
            </w:r>
          </w:p>
        </w:tc>
        <w:tc>
          <w:tcPr>
            <w:tcW w:w="320" w:type="dxa"/>
            <w:vAlign w:val="bottom"/>
          </w:tcPr>
          <w:p>
            <w:pPr>
              <w:spacing w:after="0"/>
              <w:rPr>
                <w:sz w:val="17"/>
                <w:szCs w:val="17"/>
                <w:color w:val="auto"/>
              </w:rPr>
            </w:pPr>
          </w:p>
        </w:tc>
      </w:tr>
      <w:tr>
        <w:trPr>
          <w:trHeight w:val="201"/>
        </w:trPr>
        <w:tc>
          <w:tcPr>
            <w:tcW w:w="580" w:type="dxa"/>
            <w:vAlign w:val="bottom"/>
          </w:tcPr>
          <w:p>
            <w:pPr>
              <w:spacing w:after="0"/>
              <w:rPr>
                <w:sz w:val="17"/>
                <w:szCs w:val="17"/>
                <w:color w:val="auto"/>
              </w:rPr>
            </w:pPr>
          </w:p>
        </w:tc>
        <w:tc>
          <w:tcPr>
            <w:tcW w:w="6760" w:type="dxa"/>
            <w:vAlign w:val="bottom"/>
          </w:tcPr>
          <w:p>
            <w:pPr>
              <w:ind w:left="260"/>
              <w:spacing w:after="0"/>
              <w:rPr>
                <w:sz w:val="20"/>
                <w:szCs w:val="20"/>
                <w:color w:val="auto"/>
              </w:rPr>
            </w:pPr>
            <w:r>
              <w:rPr>
                <w:rFonts w:ascii="Courier New" w:cs="Courier New" w:eastAsia="Courier New" w:hAnsi="Courier New"/>
                <w:sz w:val="17"/>
                <w:szCs w:val="17"/>
                <w:color w:val="auto"/>
              </w:rPr>
              <w:t>funded half with short-term debt and half with long-term debt.</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1"/>
        </w:trPr>
        <w:tc>
          <w:tcPr>
            <w:tcW w:w="580" w:type="dxa"/>
            <w:vAlign w:val="bottom"/>
          </w:tcPr>
          <w:p>
            <w:pPr>
              <w:spacing w:after="0"/>
              <w:rPr>
                <w:sz w:val="20"/>
                <w:szCs w:val="20"/>
                <w:color w:val="auto"/>
              </w:rPr>
            </w:pPr>
            <w:r>
              <w:rPr>
                <w:rFonts w:ascii="Courier New" w:cs="Courier New" w:eastAsia="Courier New" w:hAnsi="Courier New"/>
                <w:sz w:val="17"/>
                <w:szCs w:val="17"/>
                <w:color w:val="auto"/>
              </w:rPr>
              <w:t>(d)</w:t>
            </w:r>
          </w:p>
        </w:tc>
        <w:tc>
          <w:tcPr>
            <w:tcW w:w="7920" w:type="dxa"/>
            <w:vAlign w:val="bottom"/>
            <w:gridSpan w:val="3"/>
          </w:tcPr>
          <w:p>
            <w:pPr>
              <w:ind w:left="260"/>
              <w:spacing w:after="0"/>
              <w:rPr>
                <w:sz w:val="20"/>
                <w:szCs w:val="20"/>
                <w:color w:val="auto"/>
              </w:rPr>
            </w:pPr>
            <w:r>
              <w:rPr>
                <w:rFonts w:ascii="Courier New" w:cs="Courier New" w:eastAsia="Courier New" w:hAnsi="Courier New"/>
                <w:sz w:val="17"/>
                <w:szCs w:val="17"/>
                <w:color w:val="auto"/>
              </w:rPr>
              <w:t>Represents the reclassification of AT&amp;T Broadband Group's investment in</w:t>
            </w:r>
          </w:p>
        </w:tc>
      </w:tr>
      <w:tr>
        <w:trPr>
          <w:trHeight w:val="201"/>
        </w:trPr>
        <w:tc>
          <w:tcPr>
            <w:tcW w:w="580" w:type="dxa"/>
            <w:vAlign w:val="bottom"/>
          </w:tcPr>
          <w:p>
            <w:pPr>
              <w:spacing w:after="0"/>
              <w:rPr>
                <w:sz w:val="17"/>
                <w:szCs w:val="17"/>
                <w:color w:val="auto"/>
              </w:rPr>
            </w:pPr>
          </w:p>
        </w:tc>
        <w:tc>
          <w:tcPr>
            <w:tcW w:w="6760" w:type="dxa"/>
            <w:vAlign w:val="bottom"/>
          </w:tcPr>
          <w:p>
            <w:pPr>
              <w:ind w:left="260"/>
              <w:spacing w:after="0"/>
              <w:rPr>
                <w:sz w:val="20"/>
                <w:szCs w:val="20"/>
                <w:color w:val="auto"/>
              </w:rPr>
            </w:pPr>
            <w:r>
              <w:rPr>
                <w:rFonts w:ascii="Courier New" w:cs="Courier New" w:eastAsia="Courier New" w:hAnsi="Courier New"/>
                <w:sz w:val="17"/>
                <w:szCs w:val="17"/>
                <w:color w:val="auto"/>
              </w:rPr>
              <w:t>Comcast as follows: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1"/>
        </w:trPr>
        <w:tc>
          <w:tcPr>
            <w:tcW w:w="580" w:type="dxa"/>
            <w:vAlign w:val="bottom"/>
          </w:tcPr>
          <w:p>
            <w:pPr>
              <w:spacing w:after="0"/>
              <w:rPr>
                <w:sz w:val="17"/>
                <w:szCs w:val="17"/>
                <w:color w:val="auto"/>
              </w:rPr>
            </w:pPr>
          </w:p>
        </w:tc>
        <w:tc>
          <w:tcPr>
            <w:tcW w:w="6760" w:type="dxa"/>
            <w:vAlign w:val="bottom"/>
          </w:tcPr>
          <w:p>
            <w:pPr>
              <w:ind w:left="260"/>
              <w:spacing w:after="0"/>
              <w:rPr>
                <w:sz w:val="20"/>
                <w:szCs w:val="20"/>
                <w:color w:val="auto"/>
              </w:rPr>
            </w:pPr>
            <w:r>
              <w:rPr>
                <w:rFonts w:ascii="Courier New" w:cs="Courier New" w:eastAsia="Courier New" w:hAnsi="Courier New"/>
                <w:sz w:val="17"/>
                <w:szCs w:val="17"/>
                <w:color w:val="auto"/>
              </w:rPr>
              <w:t>Elimination of Comcast stock held by AT&amp;T Broadband Group...</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(1,701.0)</w:t>
            </w:r>
          </w:p>
        </w:tc>
      </w:tr>
      <w:tr>
        <w:trPr>
          <w:trHeight w:val="201"/>
        </w:trPr>
        <w:tc>
          <w:tcPr>
            <w:tcW w:w="580" w:type="dxa"/>
            <w:vAlign w:val="bottom"/>
          </w:tcPr>
          <w:p>
            <w:pPr>
              <w:spacing w:after="0"/>
              <w:rPr>
                <w:sz w:val="17"/>
                <w:szCs w:val="17"/>
                <w:color w:val="auto"/>
              </w:rPr>
            </w:pPr>
          </w:p>
        </w:tc>
        <w:tc>
          <w:tcPr>
            <w:tcW w:w="6760" w:type="dxa"/>
            <w:vAlign w:val="bottom"/>
          </w:tcPr>
          <w:p>
            <w:pPr>
              <w:ind w:left="260"/>
              <w:spacing w:after="0"/>
              <w:rPr>
                <w:sz w:val="20"/>
                <w:szCs w:val="20"/>
                <w:color w:val="auto"/>
              </w:rPr>
            </w:pPr>
            <w:r>
              <w:rPr>
                <w:rFonts w:ascii="Courier New" w:cs="Courier New" w:eastAsia="Courier New" w:hAnsi="Courier New"/>
                <w:sz w:val="17"/>
                <w:szCs w:val="17"/>
                <w:color w:val="auto"/>
              </w:rPr>
              <w:t>Reclassification of Comcast stock held by AT&amp;T Broadband</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1"/>
        </w:trPr>
        <w:tc>
          <w:tcPr>
            <w:tcW w:w="580" w:type="dxa"/>
            <w:vAlign w:val="bottom"/>
          </w:tcPr>
          <w:p>
            <w:pPr>
              <w:spacing w:after="0"/>
              <w:rPr>
                <w:sz w:val="17"/>
                <w:szCs w:val="17"/>
                <w:color w:val="auto"/>
              </w:rPr>
            </w:pPr>
          </w:p>
        </w:tc>
        <w:tc>
          <w:tcPr>
            <w:tcW w:w="6760" w:type="dxa"/>
            <w:vAlign w:val="bottom"/>
          </w:tcPr>
          <w:p>
            <w:pPr>
              <w:ind w:left="260"/>
              <w:spacing w:after="0"/>
              <w:rPr>
                <w:sz w:val="20"/>
                <w:szCs w:val="20"/>
                <w:color w:val="auto"/>
              </w:rPr>
            </w:pPr>
            <w:r>
              <w:rPr>
                <w:rFonts w:ascii="Courier New" w:cs="Courier New" w:eastAsia="Courier New" w:hAnsi="Courier New"/>
                <w:sz w:val="17"/>
                <w:szCs w:val="17"/>
                <w:color w:val="auto"/>
              </w:rPr>
              <w:t>Group to equity (par value common stock $47.3 and additional</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1"/>
        </w:trPr>
        <w:tc>
          <w:tcPr>
            <w:tcW w:w="580" w:type="dxa"/>
            <w:vAlign w:val="bottom"/>
          </w:tcPr>
          <w:p>
            <w:pPr>
              <w:spacing w:after="0"/>
              <w:rPr>
                <w:sz w:val="17"/>
                <w:szCs w:val="17"/>
                <w:color w:val="auto"/>
              </w:rPr>
            </w:pPr>
          </w:p>
        </w:tc>
        <w:tc>
          <w:tcPr>
            <w:tcW w:w="6760" w:type="dxa"/>
            <w:vAlign w:val="bottom"/>
          </w:tcPr>
          <w:p>
            <w:pPr>
              <w:ind w:left="780"/>
              <w:spacing w:after="0"/>
              <w:rPr>
                <w:sz w:val="20"/>
                <w:szCs w:val="20"/>
                <w:color w:val="auto"/>
              </w:rPr>
            </w:pPr>
            <w:r>
              <w:rPr>
                <w:rFonts w:ascii="Courier New" w:cs="Courier New" w:eastAsia="Courier New" w:hAnsi="Courier New"/>
                <w:sz w:val="17"/>
                <w:szCs w:val="17"/>
                <w:color w:val="auto"/>
              </w:rPr>
              <w:t>capital $1,653.7)......................................</w:t>
            </w:r>
          </w:p>
        </w:tc>
        <w:tc>
          <w:tcPr>
            <w:tcW w:w="11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1,701.0</w:t>
            </w:r>
          </w:p>
        </w:tc>
      </w:tr>
      <w:tr>
        <w:trPr>
          <w:trHeight w:val="201"/>
        </w:trPr>
        <w:tc>
          <w:tcPr>
            <w:tcW w:w="58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1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w w:val="99"/>
              </w:rPr>
              <w:t>----------</w:t>
            </w:r>
          </w:p>
        </w:tc>
      </w:tr>
      <w:tr>
        <w:trPr>
          <w:trHeight w:val="201"/>
        </w:trPr>
        <w:tc>
          <w:tcPr>
            <w:tcW w:w="58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840" w:type="dxa"/>
            <w:vAlign w:val="bottom"/>
          </w:tcPr>
          <w:p>
            <w:pPr>
              <w:jc w:val="right"/>
              <w:ind w:right="653"/>
              <w:spacing w:after="0"/>
              <w:rPr>
                <w:sz w:val="20"/>
                <w:szCs w:val="20"/>
                <w:color w:val="auto"/>
              </w:rPr>
            </w:pPr>
            <w:r>
              <w:rPr>
                <w:rFonts w:ascii="Courier New" w:cs="Courier New" w:eastAsia="Courier New" w:hAnsi="Courier New"/>
                <w:sz w:val="17"/>
                <w:szCs w:val="17"/>
                <w:color w:val="auto"/>
                <w:w w:val="77"/>
              </w:rPr>
              <w:t>$</w:t>
            </w:r>
          </w:p>
        </w:tc>
        <w:tc>
          <w:tcPr>
            <w:tcW w:w="320" w:type="dxa"/>
            <w:vAlign w:val="bottom"/>
          </w:tcPr>
          <w:p>
            <w:pPr>
              <w:jc w:val="right"/>
              <w:ind w:right="33"/>
              <w:spacing w:after="0"/>
              <w:rPr>
                <w:sz w:val="20"/>
                <w:szCs w:val="20"/>
                <w:color w:val="auto"/>
              </w:rPr>
            </w:pPr>
            <w:r>
              <w:rPr>
                <w:rFonts w:ascii="Courier New" w:cs="Courier New" w:eastAsia="Courier New" w:hAnsi="Courier New"/>
                <w:sz w:val="17"/>
                <w:szCs w:val="17"/>
                <w:color w:val="auto"/>
                <w:w w:val="87"/>
              </w:rPr>
              <w:t>--</w:t>
            </w:r>
          </w:p>
        </w:tc>
      </w:tr>
      <w:tr>
        <w:trPr>
          <w:trHeight w:val="201"/>
        </w:trPr>
        <w:tc>
          <w:tcPr>
            <w:tcW w:w="58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1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w w:val="99"/>
              </w:rPr>
              <w:t>==========</w:t>
            </w:r>
          </w:p>
        </w:tc>
      </w:tr>
    </w:tbl>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III-6</w:t>
      </w:r>
    </w:p>
    <w:p>
      <w:pPr>
        <w:sectPr>
          <w:pgSz w:w="11900" w:h="16838" w:orient="portrait"/>
          <w:cols w:equalWidth="0" w:num="1">
            <w:col w:w="10219"/>
          </w:cols>
          <w:pgMar w:left="240" w:top="719" w:right="1440" w:bottom="1440" w:gutter="0" w:footer="0" w:header="0"/>
        </w:sectPr>
      </w:pPr>
    </w:p>
    <w:bookmarkStart w:id="91" w:name="page92"/>
    <w:bookmarkEnd w:id="91"/>
    <w:p>
      <w:pPr>
        <w:jc w:val="center"/>
        <w:ind w:right="1819"/>
        <w:spacing w:after="0"/>
        <w:rPr>
          <w:sz w:val="20"/>
          <w:szCs w:val="20"/>
          <w:color w:val="auto"/>
        </w:rPr>
      </w:pPr>
      <w:r>
        <w:rPr>
          <w:rFonts w:ascii="Courier New" w:cs="Courier New" w:eastAsia="Courier New" w:hAnsi="Courier New"/>
          <w:sz w:val="17"/>
          <w:szCs w:val="17"/>
          <w:color w:val="auto"/>
        </w:rPr>
        <w:t>AT&amp;T COMCAST CORPORATION</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UNAUDITED PRO FORMA COMBINED CONDENSED STATEMENT OF OPERATIONS</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FOR THE YEAR ENDED DECEMBER 31, 2000</w:t>
      </w:r>
    </w:p>
    <w:p>
      <w:pPr>
        <w:spacing w:after="0" w:line="210"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HISTORICAL HISTORICAL PRO FORMA</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HISTORICAL AT&amp;T MEDIAONE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INTERCOMPANY PRO FORMA AT&amp;T</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COMCAST(A) BROADBAND(A) 1/1/00-</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6/14/00(A) ADJUSTMENTS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ADJUSTMENTS(E) COMCAST(M) --------</w:t>
      </w:r>
    </w:p>
    <w:p>
      <w:pPr>
        <w:spacing w:after="0" w:line="9" w:lineRule="exact"/>
        <w:rPr>
          <w:sz w:val="20"/>
          <w:szCs w:val="20"/>
          <w:color w:val="auto"/>
        </w:rPr>
      </w:pPr>
    </w:p>
    <w:p>
      <w:pPr>
        <w:ind w:left="420" w:hanging="308"/>
        <w:spacing w:after="0"/>
        <w:tabs>
          <w:tab w:leader="none" w:pos="420"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ind w:left="420" w:right="6659" w:hanging="308"/>
        <w:spacing w:after="0" w:line="251" w:lineRule="auto"/>
        <w:tabs>
          <w:tab w:leader="none" w:pos="629"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EXCEPT PER SHARE AMOUNTS) REVENUES</w:t>
      </w:r>
    </w:p>
    <w:p>
      <w:pPr>
        <w:ind w:left="1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Service</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8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w w:val="73"/>
              </w:rPr>
              <w:t>...................</w:t>
            </w:r>
          </w:p>
        </w:tc>
        <w:tc>
          <w:tcPr>
            <w:tcW w:w="8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840" w:type="dxa"/>
            <w:vAlign w:val="bottom"/>
          </w:tcPr>
          <w:p>
            <w:pPr>
              <w:spacing w:after="0"/>
              <w:rPr>
                <w:sz w:val="20"/>
                <w:szCs w:val="20"/>
                <w:color w:val="auto"/>
              </w:rPr>
            </w:pPr>
            <w:r>
              <w:rPr>
                <w:rFonts w:ascii="Courier New" w:cs="Courier New" w:eastAsia="Courier New" w:hAnsi="Courier New"/>
                <w:sz w:val="17"/>
                <w:szCs w:val="17"/>
                <w:color w:val="auto"/>
              </w:rPr>
              <w:t>4,682.7</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$ 8,445.0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1,325.0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4"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(65.1)(b) $14,387.6 Net sales from</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electronic</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retailing........................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3,535.9 3,535.9 --------- --------</w:t>
      </w:r>
    </w:p>
    <w:p>
      <w:pPr>
        <w:spacing w:after="0" w:line="9" w:lineRule="exact"/>
        <w:rPr>
          <w:sz w:val="20"/>
          <w:szCs w:val="20"/>
          <w:color w:val="auto"/>
        </w:rPr>
      </w:pPr>
    </w:p>
    <w:p>
      <w:pPr>
        <w:ind w:left="380" w:hanging="320"/>
        <w:spacing w:after="0"/>
        <w:tabs>
          <w:tab w:leader="none" w:pos="38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-------- 8,218.6 8,445.0 1,325.0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(65.1) 17,923.5 --------- --------</w:t>
      </w:r>
    </w:p>
    <w:p>
      <w:pPr>
        <w:spacing w:after="0" w:line="9" w:lineRule="exact"/>
        <w:rPr>
          <w:sz w:val="20"/>
          <w:szCs w:val="20"/>
          <w:color w:val="auto"/>
        </w:rPr>
      </w:pPr>
    </w:p>
    <w:p>
      <w:pPr>
        <w:ind w:left="380" w:hanging="320"/>
        <w:spacing w:after="0"/>
        <w:tabs>
          <w:tab w:leader="none" w:pos="380"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COSTS AND EXPENSES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Operating..........................</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2,212.5 4,600.0 554.0 (21.5)(b)</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7,345.0 Cost of goods sold from</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electronic</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retailing........................</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2,284.9 2,284.9 Selling, general</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and</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administrative...................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1,250.9 2,180.0 342.0 (21.6)(b)</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3,751.3</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Depreciation.......................</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837.3 1,674.0 435.0 2,946.3</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Amortization.......................</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1,794.0 2,377.0 271.0 (2,435.8)(f)</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2,006.2 Asset impairment,</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restructuring and other</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charges....................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6,270.0 6,270.0 --------- --------</w:t>
      </w:r>
    </w:p>
    <w:p>
      <w:pPr>
        <w:spacing w:after="0" w:line="9" w:lineRule="exact"/>
        <w:rPr>
          <w:sz w:val="20"/>
          <w:szCs w:val="20"/>
          <w:color w:val="auto"/>
        </w:rPr>
      </w:pPr>
    </w:p>
    <w:p>
      <w:pPr>
        <w:ind w:left="380" w:hanging="320"/>
        <w:spacing w:after="0"/>
        <w:tabs>
          <w:tab w:leader="none" w:pos="380"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-------- 8,379.6 17,101.0 1,602.0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(43.1) (2,435.8) 24,603.7 --------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 -</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 --------- OPERATING</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LOSS.......................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(161.0) (8,656.0) (277.0) (22.0)</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2,435.8 (6,680.2) OTHER INCOME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(EXPENSE) 103.7(g) Interest</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expense................... (691.4)</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(1,323.0) (312.0) 25.4(h)</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(2,197.3) Investment income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(expense)........ 983.9 (84.0)</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(37.4)(b) 862.5 Income related to</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140" w:type="dxa"/>
            <w:vAlign w:val="bottom"/>
            <w:gridSpan w:val="3"/>
          </w:tcPr>
          <w:p>
            <w:pPr>
              <w:jc w:val="center"/>
              <w:ind w:left="76"/>
              <w:spacing w:after="0"/>
              <w:rPr>
                <w:sz w:val="20"/>
                <w:szCs w:val="20"/>
                <w:color w:val="auto"/>
              </w:rPr>
            </w:pPr>
            <w:r>
              <w:rPr>
                <w:rFonts w:ascii="Courier New" w:cs="Courier New" w:eastAsia="Courier New" w:hAnsi="Courier New"/>
                <w:sz w:val="17"/>
                <w:szCs w:val="17"/>
                <w:color w:val="auto"/>
              </w:rPr>
              <w:t>indexed debt.....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666.0</w:t>
            </w:r>
          </w:p>
        </w:tc>
        <w:tc>
          <w:tcPr>
            <w:tcW w:w="860" w:type="dxa"/>
            <w:vAlign w:val="bottom"/>
          </w:tcPr>
          <w:p>
            <w:pPr>
              <w:ind w:left="80"/>
              <w:spacing w:after="0"/>
              <w:rPr>
                <w:sz w:val="20"/>
                <w:szCs w:val="20"/>
                <w:color w:val="auto"/>
              </w:rPr>
            </w:pPr>
            <w:r>
              <w:rPr>
                <w:rFonts w:ascii="Courier New" w:cs="Courier New" w:eastAsia="Courier New" w:hAnsi="Courier New"/>
                <w:sz w:val="17"/>
                <w:szCs w:val="17"/>
                <w:color w:val="auto"/>
              </w:rPr>
              <w:t>666.0</w:t>
            </w:r>
          </w:p>
        </w:tc>
      </w:tr>
      <w:tr>
        <w:trPr>
          <w:trHeight w:val="201"/>
        </w:trPr>
        <w:tc>
          <w:tcPr>
            <w:tcW w:w="356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(967.0)(i) Equity in net income</w:t>
            </w:r>
          </w:p>
        </w:tc>
      </w:tr>
      <w:tr>
        <w:trPr>
          <w:trHeight w:val="201"/>
        </w:trPr>
        <w:tc>
          <w:tcPr>
            <w:tcW w:w="580" w:type="dxa"/>
            <w:vAlign w:val="bottom"/>
          </w:tcPr>
          <w:p>
            <w:pPr>
              <w:spacing w:after="0"/>
              <w:rPr>
                <w:sz w:val="17"/>
                <w:szCs w:val="17"/>
                <w:color w:val="auto"/>
              </w:rPr>
            </w:pPr>
          </w:p>
        </w:tc>
        <w:tc>
          <w:tcPr>
            <w:tcW w:w="2120" w:type="dxa"/>
            <w:vAlign w:val="bottom"/>
            <w:gridSpan w:val="3"/>
          </w:tcPr>
          <w:p>
            <w:pPr>
              <w:jc w:val="center"/>
              <w:ind w:left="193"/>
              <w:spacing w:after="0"/>
              <w:rPr>
                <w:sz w:val="20"/>
                <w:szCs w:val="20"/>
                <w:color w:val="auto"/>
              </w:rPr>
            </w:pPr>
            <w:r>
              <w:rPr>
                <w:rFonts w:ascii="Courier New" w:cs="Courier New" w:eastAsia="Courier New" w:hAnsi="Courier New"/>
                <w:sz w:val="17"/>
                <w:szCs w:val="17"/>
                <w:color w:val="auto"/>
              </w:rPr>
              <w:t>(losses) of</w:t>
            </w:r>
          </w:p>
        </w:tc>
        <w:tc>
          <w:tcPr>
            <w:tcW w:w="860" w:type="dxa"/>
            <w:vAlign w:val="bottom"/>
          </w:tcPr>
          <w:p>
            <w:pPr>
              <w:spacing w:after="0"/>
              <w:rPr>
                <w:sz w:val="17"/>
                <w:szCs w:val="17"/>
                <w:color w:val="auto"/>
              </w:rPr>
            </w:pPr>
          </w:p>
        </w:tc>
      </w:tr>
      <w:tr>
        <w:trPr>
          <w:trHeight w:val="201"/>
        </w:trPr>
        <w:tc>
          <w:tcPr>
            <w:tcW w:w="2140" w:type="dxa"/>
            <w:vAlign w:val="bottom"/>
            <w:gridSpan w:val="3"/>
          </w:tcPr>
          <w:p>
            <w:pPr>
              <w:ind w:left="60"/>
              <w:spacing w:after="0"/>
              <w:rPr>
                <w:sz w:val="20"/>
                <w:szCs w:val="20"/>
                <w:color w:val="auto"/>
              </w:rPr>
            </w:pPr>
            <w:r>
              <w:rPr>
                <w:rFonts w:ascii="Courier New" w:cs="Courier New" w:eastAsia="Courier New" w:hAnsi="Courier New"/>
                <w:sz w:val="14"/>
                <w:szCs w:val="14"/>
                <w:color w:val="auto"/>
                <w:w w:val="74"/>
              </w:rPr>
              <w:t>affiliates.......................</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1"/>
        </w:trPr>
        <w:tc>
          <w:tcPr>
            <w:tcW w:w="27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(21.3) (67.0)(b) 485.0(f)</w:t>
            </w:r>
          </w:p>
        </w:tc>
        <w:tc>
          <w:tcPr>
            <w:tcW w:w="860" w:type="dxa"/>
            <w:vAlign w:val="bottom"/>
          </w:tcPr>
          <w:p>
            <w:pPr>
              <w:ind w:left="80"/>
              <w:spacing w:after="0"/>
              <w:rPr>
                <w:sz w:val="20"/>
                <w:szCs w:val="20"/>
                <w:color w:val="auto"/>
              </w:rPr>
            </w:pPr>
            <w:r>
              <w:rPr>
                <w:rFonts w:ascii="Courier New" w:cs="Courier New" w:eastAsia="Courier New" w:hAnsi="Courier New"/>
                <w:sz w:val="17"/>
                <w:szCs w:val="17"/>
                <w:color w:val="auto"/>
              </w:rPr>
              <w:t>(570.3)</w:t>
            </w:r>
          </w:p>
        </w:tc>
      </w:tr>
      <w:tr>
        <w:trPr>
          <w:trHeight w:val="201"/>
        </w:trPr>
        <w:tc>
          <w:tcPr>
            <w:tcW w:w="580" w:type="dxa"/>
            <w:vAlign w:val="bottom"/>
          </w:tcPr>
          <w:p>
            <w:pPr>
              <w:spacing w:after="0"/>
              <w:rPr>
                <w:sz w:val="17"/>
                <w:szCs w:val="17"/>
                <w:color w:val="auto"/>
              </w:rPr>
            </w:pPr>
          </w:p>
        </w:tc>
        <w:tc>
          <w:tcPr>
            <w:tcW w:w="2120" w:type="dxa"/>
            <w:vAlign w:val="bottom"/>
            <w:gridSpan w:val="3"/>
          </w:tcPr>
          <w:p>
            <w:pPr>
              <w:jc w:val="center"/>
              <w:ind w:left="193"/>
              <w:spacing w:after="0"/>
              <w:rPr>
                <w:sz w:val="20"/>
                <w:szCs w:val="20"/>
                <w:color w:val="auto"/>
              </w:rPr>
            </w:pPr>
            <w:r>
              <w:rPr>
                <w:rFonts w:ascii="Courier New" w:cs="Courier New" w:eastAsia="Courier New" w:hAnsi="Courier New"/>
                <w:sz w:val="17"/>
                <w:szCs w:val="17"/>
                <w:color w:val="auto"/>
              </w:rPr>
              <w:t>Other income</w:t>
            </w:r>
          </w:p>
        </w:tc>
        <w:tc>
          <w:tcPr>
            <w:tcW w:w="860" w:type="dxa"/>
            <w:vAlign w:val="bottom"/>
          </w:tcPr>
          <w:p>
            <w:pPr>
              <w:spacing w:after="0"/>
              <w:rPr>
                <w:sz w:val="17"/>
                <w:szCs w:val="17"/>
                <w:color w:val="auto"/>
              </w:rPr>
            </w:pPr>
          </w:p>
        </w:tc>
      </w:tr>
      <w:tr>
        <w:trPr>
          <w:trHeight w:val="201"/>
        </w:trPr>
        <w:tc>
          <w:tcPr>
            <w:tcW w:w="2140" w:type="dxa"/>
            <w:vAlign w:val="bottom"/>
            <w:gridSpan w:val="3"/>
          </w:tcPr>
          <w:p>
            <w:pPr>
              <w:jc w:val="center"/>
              <w:ind w:left="116"/>
              <w:spacing w:after="0"/>
              <w:rPr>
                <w:sz w:val="20"/>
                <w:szCs w:val="20"/>
                <w:color w:val="auto"/>
              </w:rPr>
            </w:pPr>
            <w:r>
              <w:rPr>
                <w:rFonts w:ascii="Courier New" w:cs="Courier New" w:eastAsia="Courier New" w:hAnsi="Courier New"/>
                <w:sz w:val="17"/>
                <w:szCs w:val="17"/>
                <w:color w:val="auto"/>
                <w:w w:val="86"/>
              </w:rPr>
              <w:t>(expense).............</w:t>
            </w:r>
          </w:p>
        </w:tc>
        <w:tc>
          <w:tcPr>
            <w:tcW w:w="142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2,825.5</w:t>
            </w:r>
          </w:p>
        </w:tc>
      </w:tr>
      <w:tr>
        <w:trPr>
          <w:trHeight w:val="201"/>
        </w:trPr>
        <w:tc>
          <w:tcPr>
            <w:tcW w:w="580" w:type="dxa"/>
            <w:vAlign w:val="bottom"/>
          </w:tcPr>
          <w:p>
            <w:pPr>
              <w:ind w:left="60"/>
              <w:spacing w:after="0"/>
              <w:rPr>
                <w:sz w:val="20"/>
                <w:szCs w:val="20"/>
                <w:color w:val="auto"/>
              </w:rPr>
            </w:pPr>
            <w:r>
              <w:rPr>
                <w:rFonts w:ascii="Courier New" w:cs="Courier New" w:eastAsia="Courier New" w:hAnsi="Courier New"/>
                <w:sz w:val="17"/>
                <w:szCs w:val="17"/>
                <w:color w:val="auto"/>
              </w:rPr>
              <w:t>45.0</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3,341.0</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(2,756.0)(c)</w:t>
            </w:r>
          </w:p>
        </w:tc>
        <w:tc>
          <w:tcPr>
            <w:tcW w:w="860" w:type="dxa"/>
            <w:vAlign w:val="bottom"/>
          </w:tcPr>
          <w:p>
            <w:pPr>
              <w:ind w:left="80"/>
              <w:spacing w:after="0"/>
              <w:rPr>
                <w:sz w:val="20"/>
                <w:szCs w:val="20"/>
                <w:color w:val="auto"/>
              </w:rPr>
            </w:pPr>
            <w:r>
              <w:rPr>
                <w:rFonts w:ascii="Courier New" w:cs="Courier New" w:eastAsia="Courier New" w:hAnsi="Courier New"/>
                <w:sz w:val="17"/>
                <w:szCs w:val="17"/>
                <w:color w:val="auto"/>
              </w:rPr>
              <w:t>3,455.5</w:t>
            </w:r>
          </w:p>
        </w:tc>
      </w:tr>
      <w:tr>
        <w:trPr>
          <w:trHeight w:val="201"/>
        </w:trPr>
        <w:tc>
          <w:tcPr>
            <w:tcW w:w="580" w:type="dxa"/>
            <w:vAlign w:val="bottom"/>
          </w:tcPr>
          <w:p>
            <w:pPr>
              <w:jc w:val="right"/>
              <w:spacing w:after="0"/>
              <w:rPr>
                <w:sz w:val="20"/>
                <w:szCs w:val="20"/>
                <w:color w:val="auto"/>
              </w:rPr>
            </w:pPr>
            <w:r>
              <w:rPr>
                <w:rFonts w:ascii="Courier New" w:cs="Courier New" w:eastAsia="Courier New" w:hAnsi="Courier New"/>
                <w:sz w:val="14"/>
                <w:szCs w:val="14"/>
                <w:color w:val="auto"/>
                <w:w w:val="74"/>
              </w:rPr>
              <w:t>---------</w:t>
            </w:r>
          </w:p>
        </w:tc>
        <w:tc>
          <w:tcPr>
            <w:tcW w:w="29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w:t>
            </w:r>
          </w:p>
        </w:tc>
      </w:tr>
      <w:tr>
        <w:trPr>
          <w:trHeight w:val="201"/>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1"/>
              </w:rPr>
              <w:t>------</w:t>
            </w:r>
          </w:p>
        </w:tc>
        <w:tc>
          <w:tcPr>
            <w:tcW w:w="29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--------- 3,762.7</w:t>
            </w:r>
          </w:p>
        </w:tc>
      </w:tr>
      <w:tr>
        <w:trPr>
          <w:trHeight w:val="201"/>
        </w:trPr>
        <w:tc>
          <w:tcPr>
            <w:tcW w:w="14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(1,362.0)</w:t>
            </w: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rPr>
              <w:t>3,029.0</w:t>
            </w:r>
          </w:p>
        </w:tc>
        <w:tc>
          <w:tcPr>
            <w:tcW w:w="14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(2,860.4)</w:t>
            </w:r>
          </w:p>
        </w:tc>
      </w:tr>
      <w:tr>
        <w:trPr>
          <w:trHeight w:val="201"/>
        </w:trPr>
        <w:tc>
          <w:tcPr>
            <w:tcW w:w="27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(352.9) 2,216.4 ---------</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 -</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 INCOME (LOSS) BEFORE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INCOME TAXES, MINORITY INTEREST,</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EXTRAORDINARY ITEMS AND CUMULATIVE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EFFECT OF ACCOUNTING</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CHANGE.................. 3,601.7</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(10,018.0) 2,752.0 (2,882.4)</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2,082.9 (4,463.8) 370.0(i) INCOME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TAX (EXPENSE) BENEFIT.........</w:t>
      </w:r>
    </w:p>
    <w:p>
      <w:pPr>
        <w:sectPr>
          <w:pgSz w:w="11900" w:h="16838" w:orient="portrait"/>
          <w:cols w:equalWidth="0" w:num="1">
            <w:col w:w="10219"/>
          </w:cols>
          <w:pgMar w:left="240" w:top="719" w:right="1440" w:bottom="0" w:gutter="0" w:footer="0" w:header="0"/>
        </w:sectPr>
      </w:pPr>
    </w:p>
    <w:bookmarkStart w:id="92" w:name="page93"/>
    <w:bookmarkEnd w:id="92"/>
    <w:p>
      <w:pPr>
        <w:jc w:val="center"/>
        <w:ind w:right="6539"/>
        <w:spacing w:after="0"/>
        <w:rPr>
          <w:sz w:val="20"/>
          <w:szCs w:val="20"/>
          <w:color w:val="auto"/>
        </w:rPr>
      </w:pPr>
      <w:r>
        <w:rPr>
          <w:rFonts w:ascii="Courier New" w:cs="Courier New" w:eastAsia="Courier New" w:hAnsi="Courier New"/>
          <w:sz w:val="17"/>
          <w:szCs w:val="17"/>
          <w:color w:val="auto"/>
        </w:rPr>
        <w:t>(1,441.3) 1,183.0 (1,189.0)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1,181.0(d) (721.1)(j) (617.4) ----</w:t>
      </w:r>
    </w:p>
    <w:p>
      <w:pPr>
        <w:spacing w:after="0" w:line="9" w:lineRule="exact"/>
        <w:rPr>
          <w:sz w:val="20"/>
          <w:szCs w:val="20"/>
          <w:color w:val="auto"/>
        </w:rPr>
      </w:pPr>
    </w:p>
    <w:p>
      <w:pPr>
        <w:ind w:left="680" w:hanging="620"/>
        <w:spacing w:after="0"/>
        <w:tabs>
          <w:tab w:leader="none" w:pos="680"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INCOME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(LOSS) BEFORE MINORITY INTEREST,</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EXTRAORDINARY ITEMS AND CUMULATIVE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EFFECT OF ACCOUNTING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CHANGE.............................</w:t>
            </w:r>
          </w:p>
        </w:tc>
        <w:tc>
          <w:tcPr>
            <w:tcW w:w="1200" w:type="dxa"/>
            <w:vAlign w:val="bottom"/>
          </w:tcPr>
          <w:p>
            <w:pPr>
              <w:spacing w:after="0"/>
              <w:rPr>
                <w:sz w:val="17"/>
                <w:szCs w:val="17"/>
                <w:color w:val="auto"/>
              </w:rPr>
            </w:pPr>
          </w:p>
        </w:tc>
      </w:tr>
      <w:tr>
        <w:trPr>
          <w:trHeight w:val="201"/>
        </w:trPr>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2,160.4</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(8,835.0)</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w w:val="97"/>
              </w:rPr>
              <w:t>1,563.0</w:t>
            </w:r>
          </w:p>
        </w:tc>
      </w:tr>
      <w:tr>
        <w:trPr>
          <w:trHeight w:val="201"/>
        </w:trPr>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(1,701.4)</w:t>
            </w:r>
          </w:p>
        </w:tc>
        <w:tc>
          <w:tcPr>
            <w:tcW w:w="2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1,731.8 (5,081.2) Net</w:t>
            </w:r>
          </w:p>
        </w:tc>
      </w:tr>
      <w:tr>
        <w:trPr>
          <w:trHeight w:val="201"/>
        </w:trPr>
        <w:tc>
          <w:tcPr>
            <w:tcW w:w="3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loss from equity investments.....</w:t>
            </w:r>
          </w:p>
        </w:tc>
      </w:tr>
      <w:tr>
        <w:trPr>
          <w:trHeight w:val="201"/>
        </w:trPr>
        <w:tc>
          <w:tcPr>
            <w:tcW w:w="3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(597.0) 597.0(i) MINORITY INTEREST</w:t>
            </w:r>
          </w:p>
        </w:tc>
      </w:tr>
      <w:tr>
        <w:trPr>
          <w:trHeight w:val="201"/>
        </w:trPr>
        <w:tc>
          <w:tcPr>
            <w:tcW w:w="2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INCOME (EXPENSE)...</w:t>
            </w: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(115.3)</w:t>
            </w:r>
          </w:p>
        </w:tc>
      </w:tr>
      <w:tr>
        <w:trPr>
          <w:trHeight w:val="201"/>
        </w:trPr>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4,062.0</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(106.0)(b)</w:t>
            </w: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160.0(k)</w:t>
            </w:r>
          </w:p>
        </w:tc>
      </w:tr>
      <w:tr>
        <w:trPr>
          <w:trHeight w:val="201"/>
        </w:trPr>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w w:val="71"/>
              </w:rPr>
              <w:t>4,000.7 ---------</w:t>
            </w:r>
          </w:p>
        </w:tc>
        <w:tc>
          <w:tcPr>
            <w:tcW w:w="2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bl>
    <w:p>
      <w:pPr>
        <w:spacing w:after="0" w:line="4" w:lineRule="exact"/>
        <w:rPr>
          <w:sz w:val="20"/>
          <w:szCs w:val="20"/>
          <w:color w:val="auto"/>
        </w:rPr>
      </w:pPr>
    </w:p>
    <w:p>
      <w:pPr>
        <w:ind w:left="580" w:hanging="520"/>
        <w:spacing w:after="0"/>
        <w:tabs>
          <w:tab w:leader="none" w:pos="580"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 BEFORE EXTRAORDINARY</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ITEMS AND CUMULATIVE EFFECT OF</w:t>
      </w:r>
    </w:p>
    <w:p>
      <w:pPr>
        <w:spacing w:after="0" w:line="8" w:lineRule="exact"/>
        <w:rPr>
          <w:rFonts w:ascii="Courier New" w:cs="Courier New" w:eastAsia="Courier New" w:hAnsi="Courier New"/>
          <w:sz w:val="17"/>
          <w:szCs w:val="17"/>
          <w:color w:val="auto"/>
        </w:rPr>
      </w:pPr>
    </w:p>
    <w:p>
      <w:pPr>
        <w:ind w:left="1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2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9"/>
              </w:rPr>
              <w:t>CHANGE..................</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2,045.1</w:t>
            </w:r>
          </w:p>
        </w:tc>
      </w:tr>
      <w:tr>
        <w:trPr>
          <w:trHeight w:val="201"/>
        </w:trPr>
        <w:tc>
          <w:tcPr>
            <w:tcW w:w="14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(5,370.0)</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w w:val="97"/>
              </w:rPr>
              <w:t>1,563.0</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(1,807.4)</w:t>
            </w:r>
          </w:p>
        </w:tc>
      </w:tr>
      <w:tr>
        <w:trPr>
          <w:trHeight w:val="201"/>
        </w:trPr>
        <w:tc>
          <w:tcPr>
            <w:tcW w:w="2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2,488.8 (1,080.5)</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PREFERRED</w:t>
            </w:r>
          </w:p>
        </w:tc>
      </w:tr>
      <w:tr>
        <w:trPr>
          <w:trHeight w:val="201"/>
        </w:trPr>
        <w:tc>
          <w:tcPr>
            <w:tcW w:w="22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9"/>
              </w:rPr>
              <w:t>DIVIDENDS..................</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(23.5)</w:t>
            </w:r>
          </w:p>
        </w:tc>
      </w:tr>
      <w:tr>
        <w:trPr>
          <w:trHeight w:val="201"/>
        </w:trPr>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w w:val="85"/>
              </w:rPr>
              <w:t>(23.5) ---------</w:t>
            </w:r>
          </w:p>
        </w:tc>
        <w:tc>
          <w:tcPr>
            <w:tcW w:w="2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bl>
    <w:p>
      <w:pPr>
        <w:spacing w:after="0" w:line="4" w:lineRule="exact"/>
        <w:rPr>
          <w:sz w:val="20"/>
          <w:szCs w:val="20"/>
          <w:color w:val="auto"/>
        </w:rPr>
      </w:pPr>
    </w:p>
    <w:p>
      <w:pPr>
        <w:ind w:left="540" w:hanging="428"/>
        <w:spacing w:after="0"/>
        <w:tabs>
          <w:tab w:leader="none" w:pos="540"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5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 FOR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220" w:right="6759" w:hanging="3"/>
        <w:spacing w:after="0" w:line="251" w:lineRule="auto"/>
        <w:tabs>
          <w:tab w:leader="none" w:pos="429"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2,021.6 $ (5,370.0) $ 1,563.0 $(1,807.4) $ 2,488.8 $(1,104.0)</w:t>
      </w: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jc w:val="center"/>
        <w:ind w:left="380" w:right="6799" w:hanging="105"/>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(loss) per share from continuing operations before extraordinary items --</w:t>
      </w:r>
    </w:p>
    <w:p>
      <w:pPr>
        <w:jc w:val="center"/>
        <w:ind w:right="6539"/>
        <w:spacing w:after="0"/>
        <w:rPr>
          <w:sz w:val="20"/>
          <w:szCs w:val="20"/>
          <w:color w:val="auto"/>
        </w:rPr>
      </w:pPr>
      <w:r>
        <w:rPr>
          <w:rFonts w:ascii="Courier New" w:cs="Courier New" w:eastAsia="Courier New" w:hAnsi="Courier New"/>
          <w:sz w:val="17"/>
          <w:szCs w:val="17"/>
          <w:color w:val="auto"/>
        </w:rPr>
        <w:t>basic....... $ 2.27 $ (0.50)</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Earnings (loss) per share from</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operations before extraordinary</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items -- assuming</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dilution......... $ 2.16 $ (0.50)</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Weighted average number of common</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shares outstanding --</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basic........ 890.7 1,298.7(l)</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2,189.4 Weighted average number of</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common shares outstanding --</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assuming</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dilution...........................</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948.7 1,302.7(l) 2,251.4</w:t>
      </w:r>
    </w:p>
    <w:p>
      <w:pPr>
        <w:spacing w:after="0" w:line="200" w:lineRule="exact"/>
        <w:rPr>
          <w:sz w:val="20"/>
          <w:szCs w:val="20"/>
          <w:color w:val="auto"/>
        </w:rPr>
      </w:pPr>
    </w:p>
    <w:p>
      <w:pPr>
        <w:spacing w:after="0" w:line="21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7"/>
          <w:szCs w:val="17"/>
          <w:color w:val="auto"/>
        </w:rPr>
        <w:t>See Notes to Unaudited Pro Forma Combined Condensed Statement of Operations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III-7</w:t>
      </w:r>
    </w:p>
    <w:p>
      <w:pPr>
        <w:sectPr>
          <w:pgSz w:w="11900" w:h="16838" w:orient="portrait"/>
          <w:cols w:equalWidth="0" w:num="1">
            <w:col w:w="10219"/>
          </w:cols>
          <w:pgMar w:left="240" w:top="142" w:right="1440" w:bottom="1440" w:gutter="0" w:footer="0" w:header="0"/>
        </w:sectPr>
      </w:pPr>
    </w:p>
    <w:bookmarkStart w:id="93" w:name="page94"/>
    <w:bookmarkEnd w:id="93"/>
    <w:p>
      <w:pPr>
        <w:jc w:val="center"/>
        <w:ind w:right="1819"/>
        <w:spacing w:after="0"/>
        <w:rPr>
          <w:sz w:val="20"/>
          <w:szCs w:val="20"/>
          <w:color w:val="auto"/>
        </w:rPr>
      </w:pPr>
      <w:r>
        <w:rPr>
          <w:rFonts w:ascii="Courier New" w:cs="Courier New" w:eastAsia="Courier New" w:hAnsi="Courier New"/>
          <w:sz w:val="17"/>
          <w:szCs w:val="17"/>
          <w:color w:val="auto"/>
        </w:rPr>
        <w:t>AT&amp;T COMCAST CORPORATION</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UNAUDITED PRO FORMA COMBINED CONDENSED STATEMENT OF OPERATIONS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FOR THE NINE MONTHS ENDED SEPTEMBER 30, 2001</w:t>
      </w:r>
    </w:p>
    <w:p>
      <w:pPr>
        <w:spacing w:after="0" w:line="210"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HISTORICAL PRO FORMA HISTORICAL AT&amp;T</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INTERCOMPANY PRO FORMA AT&amp;T COMCAST(A)</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BROADBAND(A) ADJUSTMENTS ADJUSTMENTS(E)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COMCAST(M) ---------- ------------ --------</w:t>
      </w:r>
    </w:p>
    <w:p>
      <w:pPr>
        <w:spacing w:after="0" w:line="9" w:lineRule="exact"/>
        <w:rPr>
          <w:sz w:val="20"/>
          <w:szCs w:val="20"/>
          <w:color w:val="auto"/>
        </w:rPr>
      </w:pPr>
    </w:p>
    <w:p>
      <w:pPr>
        <w:ind w:left="480" w:right="5719" w:hanging="370"/>
        <w:spacing w:after="0" w:line="251" w:lineRule="auto"/>
        <w:tabs>
          <w:tab w:leader="none" w:pos="637"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(DOLLARS IN MILLIONS, EXCEPT PER SHARE AMOUNTS)</w:t>
      </w:r>
    </w:p>
    <w:p>
      <w:pPr>
        <w:ind w:left="1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REVENUES Service</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revenues............................</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$4,195.0 $ 7,756.0 $ (96.7)(b) $ $11,854.3</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Net sales from electronic</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retailing......... 2,655.1 2,655.1 --------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6,850.1 7,756.0 (96.7) 14,509.4 --------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 ------- --------- --------- COSTS</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AND EXPENSES</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Operating...................................</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1,991.6 4,245.0 (56.2)(b) 6,180.4 Cost of</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goods sold from electronic</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retailing.................................</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1,685.6 1,685.6 Selling, general and</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administrative......... 1,125.8 1,951.0</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(17.0)(b) 3,059.8</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Depreciation................................</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760.4 1,952.0 2,712.4</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Amortization................................</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1,698.7 1,681.0 (1,462.4)(f) 1,917.3 Asset</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impairment, restructuring and other</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charges...................................</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1,494.0 1,494.0 -------- ---------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 --------- 7,262.1 11,323.0 (73.2)</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(1,462.4) 17,049.5 -------- --------- -----</w:t>
      </w:r>
    </w:p>
    <w:p>
      <w:pPr>
        <w:spacing w:after="0" w:line="9" w:lineRule="exact"/>
        <w:rPr>
          <w:sz w:val="20"/>
          <w:szCs w:val="20"/>
          <w:color w:val="auto"/>
        </w:rPr>
      </w:pPr>
    </w:p>
    <w:p>
      <w:pPr>
        <w:ind w:left="420" w:right="6019" w:firstLine="214"/>
        <w:spacing w:after="0" w:line="251" w:lineRule="auto"/>
        <w:tabs>
          <w:tab w:leader="none" w:pos="944"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OPERATING LOSS................................</w:t>
      </w:r>
    </w:p>
    <w:tbl>
      <w:tblPr>
        <w:tblLayout w:type="fixed"/>
        <w:tblInd w:w="60" w:type="dxa"/>
        <w:tblCellMar>
          <w:top w:w="0" w:type="dxa"/>
          <w:left w:w="0" w:type="dxa"/>
          <w:bottom w:w="0" w:type="dxa"/>
          <w:right w:w="0" w:type="dxa"/>
        </w:tblCellMar>
      </w:tblPr>
      <w:tr>
        <w:trPr>
          <w:trHeight w:val="197"/>
        </w:trPr>
        <w:tc>
          <w:tcPr>
            <w:tcW w:w="880" w:type="dxa"/>
            <w:vAlign w:val="bottom"/>
          </w:tcPr>
          <w:p>
            <w:pPr>
              <w:jc w:val="right"/>
              <w:ind w:right="22"/>
              <w:spacing w:after="0"/>
              <w:rPr>
                <w:sz w:val="20"/>
                <w:szCs w:val="20"/>
                <w:color w:val="auto"/>
              </w:rPr>
            </w:pPr>
            <w:r>
              <w:rPr>
                <w:rFonts w:ascii="Courier New" w:cs="Courier New" w:eastAsia="Courier New" w:hAnsi="Courier New"/>
                <w:sz w:val="17"/>
                <w:szCs w:val="17"/>
                <w:color w:val="auto"/>
              </w:rPr>
              <w:t>(412.0)</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(3,567.0)</w:t>
            </w:r>
          </w:p>
        </w:tc>
        <w:tc>
          <w:tcPr>
            <w:tcW w:w="15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(23.5) 1,462.4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(2,540.1)</w:t>
            </w:r>
          </w:p>
        </w:tc>
      </w:tr>
      <w:tr>
        <w:trPr>
          <w:trHeight w:val="201"/>
        </w:trPr>
        <w:tc>
          <w:tcPr>
            <w:tcW w:w="4500" w:type="dxa"/>
            <w:vAlign w:val="bottom"/>
            <w:gridSpan w:val="7"/>
          </w:tcPr>
          <w:p>
            <w:pPr>
              <w:jc w:val="right"/>
              <w:ind w:right="73"/>
              <w:spacing w:after="0"/>
              <w:rPr>
                <w:sz w:val="20"/>
                <w:szCs w:val="20"/>
                <w:color w:val="auto"/>
              </w:rPr>
            </w:pPr>
            <w:r>
              <w:rPr>
                <w:rFonts w:ascii="Courier New" w:cs="Courier New" w:eastAsia="Courier New" w:hAnsi="Courier New"/>
                <w:sz w:val="17"/>
                <w:szCs w:val="17"/>
                <w:color w:val="auto"/>
              </w:rPr>
              <w:t>OTHER INCOME (EXPENSE) 217.3(g) Interest</w:t>
            </w:r>
          </w:p>
        </w:tc>
      </w:tr>
      <w:tr>
        <w:trPr>
          <w:trHeight w:val="201"/>
        </w:trPr>
        <w:tc>
          <w:tcPr>
            <w:tcW w:w="13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expense............................</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(549.2)</w:t>
            </w:r>
          </w:p>
        </w:tc>
      </w:tr>
      <w:tr>
        <w:trPr>
          <w:trHeight w:val="201"/>
        </w:trPr>
        <w:tc>
          <w:tcPr>
            <w:tcW w:w="4500" w:type="dxa"/>
            <w:vAlign w:val="bottom"/>
            <w:gridSpan w:val="7"/>
          </w:tcPr>
          <w:p>
            <w:pPr>
              <w:jc w:val="right"/>
              <w:ind w:right="173"/>
              <w:spacing w:after="0"/>
              <w:rPr>
                <w:sz w:val="20"/>
                <w:szCs w:val="20"/>
                <w:color w:val="auto"/>
              </w:rPr>
            </w:pPr>
            <w:r>
              <w:rPr>
                <w:rFonts w:ascii="Courier New" w:cs="Courier New" w:eastAsia="Courier New" w:hAnsi="Courier New"/>
                <w:sz w:val="17"/>
                <w:szCs w:val="17"/>
                <w:color w:val="auto"/>
              </w:rPr>
              <w:t>(1,347.0) 19.1(h) (1,659.8) Investment</w:t>
            </w:r>
          </w:p>
        </w:tc>
      </w:tr>
      <w:tr>
        <w:trPr>
          <w:trHeight w:val="201"/>
        </w:trPr>
        <w:tc>
          <w:tcPr>
            <w:tcW w:w="236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70"/>
              </w:rPr>
              <w:t>income (expense).................</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1,045.7</w:t>
            </w:r>
          </w:p>
        </w:tc>
      </w:tr>
      <w:tr>
        <w:trPr>
          <w:trHeight w:val="201"/>
        </w:trPr>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(1,245.0)</w:t>
            </w:r>
          </w:p>
        </w:tc>
        <w:tc>
          <w:tcPr>
            <w:tcW w:w="10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(18.7)(b)</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(218.0)</w:t>
            </w:r>
          </w:p>
        </w:tc>
        <w:tc>
          <w:tcPr>
            <w:tcW w:w="13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(43.0)(i)</w:t>
            </w:r>
          </w:p>
        </w:tc>
      </w:tr>
    </w:tbl>
    <w:p>
      <w:pPr>
        <w:spacing w:after="0" w:line="4"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Equity in net income (losses) of</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affiliates................................</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(26.1) 120.0(f) 50.9 Other income</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350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(expense)......................</w:t>
            </w: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1,180.9</w:t>
            </w:r>
          </w:p>
        </w:tc>
      </w:tr>
      <w:tr>
        <w:trPr>
          <w:trHeight w:val="201"/>
        </w:trPr>
        <w:tc>
          <w:tcPr>
            <w:tcW w:w="1940" w:type="dxa"/>
            <w:vAlign w:val="bottom"/>
            <w:gridSpan w:val="2"/>
          </w:tcPr>
          <w:p>
            <w:pPr>
              <w:spacing w:after="0"/>
              <w:rPr>
                <w:sz w:val="20"/>
                <w:szCs w:val="20"/>
                <w:color w:val="auto"/>
              </w:rPr>
            </w:pPr>
            <w:r>
              <w:rPr>
                <w:rFonts w:ascii="Courier New" w:cs="Courier New" w:eastAsia="Courier New" w:hAnsi="Courier New"/>
                <w:sz w:val="17"/>
                <w:szCs w:val="17"/>
                <w:color w:val="auto"/>
                <w:w w:val="85"/>
              </w:rPr>
              <w:t>(911.0) 269.9 --------</w:t>
            </w:r>
          </w:p>
        </w:tc>
        <w:tc>
          <w:tcPr>
            <w:tcW w:w="2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 --</w:t>
            </w:r>
          </w:p>
        </w:tc>
      </w:tr>
      <w:tr>
        <w:trPr>
          <w:trHeight w:val="201"/>
        </w:trPr>
        <w:tc>
          <w:tcPr>
            <w:tcW w:w="8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3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--------- 1,651.3 (3,503.0) (18.7)</w:t>
            </w:r>
          </w:p>
        </w:tc>
      </w:tr>
      <w:tr>
        <w:trPr>
          <w:trHeight w:val="201"/>
        </w:trPr>
        <w:tc>
          <w:tcPr>
            <w:tcW w:w="194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75"/>
              </w:rPr>
              <w:t>313.4 (1,557.0) --------</w:t>
            </w:r>
          </w:p>
        </w:tc>
        <w:tc>
          <w:tcPr>
            <w:tcW w:w="2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201"/>
        </w:trPr>
        <w:tc>
          <w:tcPr>
            <w:tcW w:w="880" w:type="dxa"/>
            <w:vAlign w:val="bottom"/>
          </w:tcPr>
          <w:p>
            <w:pPr>
              <w:ind w:left="160"/>
              <w:spacing w:after="0"/>
              <w:rPr>
                <w:sz w:val="20"/>
                <w:szCs w:val="20"/>
                <w:color w:val="auto"/>
              </w:rPr>
            </w:pPr>
            <w:r>
              <w:rPr>
                <w:rFonts w:ascii="Courier New" w:cs="Courier New" w:eastAsia="Courier New" w:hAnsi="Courier New"/>
                <w:sz w:val="17"/>
                <w:szCs w:val="17"/>
                <w:color w:val="auto"/>
                <w:w w:val="76"/>
              </w:rPr>
              <w:t>---------</w:t>
            </w:r>
          </w:p>
        </w:tc>
        <w:tc>
          <w:tcPr>
            <w:tcW w:w="362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 INCOME (LOSS) BEFORE</w:t>
            </w:r>
          </w:p>
        </w:tc>
      </w:tr>
      <w:tr>
        <w:trPr>
          <w:trHeight w:val="201"/>
        </w:trPr>
        <w:tc>
          <w:tcPr>
            <w:tcW w:w="450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INCOME TAXES, MINORITY INTEREST,</w:t>
            </w:r>
          </w:p>
        </w:tc>
      </w:tr>
      <w:tr>
        <w:trPr>
          <w:trHeight w:val="201"/>
        </w:trPr>
        <w:tc>
          <w:tcPr>
            <w:tcW w:w="450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EXTRAORDINARY ITEMS AND CUMULATIVE EFFECT</w:t>
            </w:r>
          </w:p>
        </w:tc>
      </w:tr>
      <w:tr>
        <w:trPr>
          <w:trHeight w:val="201"/>
        </w:trPr>
        <w:tc>
          <w:tcPr>
            <w:tcW w:w="450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OF ACCOUNTING CHANGE.................</w:t>
            </w:r>
          </w:p>
        </w:tc>
      </w:tr>
      <w:tr>
        <w:trPr>
          <w:trHeight w:val="201"/>
        </w:trPr>
        <w:tc>
          <w:tcPr>
            <w:tcW w:w="880" w:type="dxa"/>
            <w:vAlign w:val="bottom"/>
          </w:tcPr>
          <w:p>
            <w:pPr>
              <w:ind w:left="60"/>
              <w:spacing w:after="0"/>
              <w:rPr>
                <w:sz w:val="20"/>
                <w:szCs w:val="20"/>
                <w:color w:val="auto"/>
              </w:rPr>
            </w:pPr>
            <w:r>
              <w:rPr>
                <w:rFonts w:ascii="Courier New" w:cs="Courier New" w:eastAsia="Courier New" w:hAnsi="Courier New"/>
                <w:sz w:val="17"/>
                <w:szCs w:val="17"/>
                <w:color w:val="auto"/>
              </w:rPr>
              <w:t>1,239.3</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(7,070.0)</w:t>
            </w:r>
          </w:p>
        </w:tc>
        <w:tc>
          <w:tcPr>
            <w:tcW w:w="1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(42.2) 1,775.8</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(4,097.1)</w:t>
            </w:r>
          </w:p>
        </w:tc>
      </w:tr>
      <w:tr>
        <w:trPr>
          <w:trHeight w:val="201"/>
        </w:trPr>
        <w:tc>
          <w:tcPr>
            <w:tcW w:w="450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(494.8)(j) INCOME TAX (EXPENSE)</w:t>
            </w:r>
          </w:p>
        </w:tc>
      </w:tr>
      <w:tr>
        <w:trPr>
          <w:trHeight w:val="201"/>
        </w:trPr>
        <w:tc>
          <w:tcPr>
            <w:tcW w:w="19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71"/>
              </w:rPr>
              <w:t>BENEFIT..................</w:t>
            </w:r>
          </w:p>
        </w:tc>
        <w:tc>
          <w:tcPr>
            <w:tcW w:w="2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(602.9) 3,214.0</w:t>
            </w:r>
          </w:p>
        </w:tc>
      </w:tr>
      <w:tr>
        <w:trPr>
          <w:trHeight w:val="201"/>
        </w:trPr>
        <w:tc>
          <w:tcPr>
            <w:tcW w:w="3500" w:type="dxa"/>
            <w:vAlign w:val="bottom"/>
            <w:gridSpan w:val="3"/>
          </w:tcPr>
          <w:p>
            <w:pPr>
              <w:spacing w:after="0"/>
              <w:rPr>
                <w:sz w:val="20"/>
                <w:szCs w:val="20"/>
                <w:color w:val="auto"/>
              </w:rPr>
            </w:pPr>
            <w:r>
              <w:rPr>
                <w:rFonts w:ascii="Courier New" w:cs="Courier New" w:eastAsia="Courier New" w:hAnsi="Courier New"/>
                <w:sz w:val="17"/>
                <w:szCs w:val="17"/>
                <w:color w:val="auto"/>
              </w:rPr>
              <w:t>(750.2)(d) 6.0(i) 1,372.1 --------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4" w:lineRule="exact"/>
        <w:rPr>
          <w:sz w:val="20"/>
          <w:szCs w:val="20"/>
          <w:color w:val="auto"/>
        </w:rPr>
      </w:pPr>
    </w:p>
    <w:p>
      <w:pPr>
        <w:ind w:left="260" w:hanging="202"/>
        <w:spacing w:after="0"/>
        <w:tabs>
          <w:tab w:leader="none" w:pos="260"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INCOME (LOSS)</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BEFORE MINORITY INTEREST, EXTRAORDINARY</w:t>
      </w:r>
    </w:p>
    <w:p>
      <w:pPr>
        <w:spacing w:after="0" w:line="210"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3520" w:type="dxa"/>
            <w:vAlign w:val="bottom"/>
          </w:tcPr>
          <w:p>
            <w:pPr>
              <w:spacing w:after="0"/>
              <w:rPr>
                <w:sz w:val="20"/>
                <w:szCs w:val="20"/>
                <w:color w:val="auto"/>
              </w:rPr>
            </w:pPr>
            <w:r>
              <w:rPr>
                <w:rFonts w:ascii="Courier New" w:cs="Courier New" w:eastAsia="Courier New" w:hAnsi="Courier New"/>
                <w:sz w:val="17"/>
                <w:szCs w:val="17"/>
                <w:color w:val="auto"/>
              </w:rPr>
              <w:t>CHANGE...........................</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636.4</w:t>
            </w:r>
          </w:p>
        </w:tc>
      </w:tr>
    </w:tbl>
    <w:p>
      <w:pPr>
        <w:spacing w:after="0" w:line="4"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(3,856.0) (792.4) 1,287 (2,725.0) Net loss</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in equity investments................</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(37.0) 37.0(i) MINORITY INTEREST (EXPENSE)</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INCOME............ (89.8) 905.0 (24.0)(b)</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120.0(k) 911.2 -------- --------- -------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 --------- INCOME (LOSS) FOR COMMON</w:t>
      </w:r>
    </w:p>
    <w:p>
      <w:pPr>
        <w:spacing w:after="0" w:line="200" w:lineRule="exact"/>
        <w:rPr>
          <w:sz w:val="20"/>
          <w:szCs w:val="20"/>
          <w:color w:val="auto"/>
        </w:rPr>
      </w:pP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CHANGE...........................</w:t>
            </w:r>
          </w:p>
        </w:tc>
        <w:tc>
          <w:tcPr>
            <w:tcW w:w="10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$ 546.6</w:t>
            </w:r>
          </w:p>
        </w:tc>
      </w:tr>
      <w:tr>
        <w:trPr>
          <w:trHeight w:val="201"/>
        </w:trPr>
        <w:tc>
          <w:tcPr>
            <w:tcW w:w="1200" w:type="dxa"/>
            <w:vAlign w:val="bottom"/>
          </w:tcPr>
          <w:p>
            <w:pPr>
              <w:jc w:val="right"/>
              <w:ind w:right="18"/>
              <w:spacing w:after="0"/>
              <w:rPr>
                <w:sz w:val="20"/>
                <w:szCs w:val="20"/>
                <w:color w:val="auto"/>
              </w:rPr>
            </w:pPr>
            <w:r>
              <w:rPr>
                <w:rFonts w:ascii="Courier New" w:cs="Courier New" w:eastAsia="Courier New" w:hAnsi="Courier New"/>
                <w:sz w:val="17"/>
                <w:szCs w:val="17"/>
                <w:color w:val="auto"/>
              </w:rPr>
              <w:t>$(2,988.0)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$(816.4)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$ 1,444.0</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$(1,813.8)</w:t>
            </w:r>
          </w:p>
        </w:tc>
      </w:tr>
    </w:tbl>
    <w:p>
      <w:pPr>
        <w:spacing w:after="0" w:line="4"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 Earnings (loss) per share from</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continuing operations before extraordinary</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items and cumulative effect of accounting</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change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basic............................. $ 0.58 $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(0.81) Earnings (loss) per share from</w:t>
      </w:r>
    </w:p>
    <w:p>
      <w:pPr>
        <w:sectPr>
          <w:pgSz w:w="11900" w:h="16838" w:orient="portrait"/>
          <w:cols w:equalWidth="0" w:num="1">
            <w:col w:w="10219"/>
          </w:cols>
          <w:pgMar w:left="240" w:top="719" w:right="1440" w:bottom="0" w:gutter="0" w:footer="0" w:header="0"/>
        </w:sectPr>
      </w:pPr>
    </w:p>
    <w:bookmarkStart w:id="94" w:name="page95"/>
    <w:bookmarkEnd w:id="94"/>
    <w:p>
      <w:pPr>
        <w:spacing w:after="0"/>
        <w:rPr>
          <w:sz w:val="20"/>
          <w:szCs w:val="20"/>
          <w:color w:val="auto"/>
        </w:rPr>
      </w:pPr>
      <w:r>
        <w:rPr>
          <w:rFonts w:ascii="Courier New" w:cs="Courier New" w:eastAsia="Courier New" w:hAnsi="Courier New"/>
          <w:sz w:val="17"/>
          <w:szCs w:val="17"/>
          <w:color w:val="auto"/>
        </w:rPr>
        <w:t>continuing operations before extraordinary</w:t>
      </w:r>
    </w:p>
    <w:p>
      <w:pPr>
        <w:spacing w:after="0" w:line="9"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items and cumulative effect of accounting</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840" w:type="dxa"/>
            <w:vAlign w:val="bottom"/>
          </w:tcPr>
          <w:p>
            <w:pPr>
              <w:spacing w:after="0"/>
              <w:rPr>
                <w:sz w:val="17"/>
                <w:szCs w:val="17"/>
                <w:color w:val="auto"/>
              </w:rPr>
            </w:pPr>
          </w:p>
        </w:tc>
        <w:tc>
          <w:tcPr>
            <w:tcW w:w="25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change -- assuming</w:t>
            </w:r>
          </w:p>
        </w:tc>
        <w:tc>
          <w:tcPr>
            <w:tcW w:w="900" w:type="dxa"/>
            <w:vAlign w:val="bottom"/>
          </w:tcPr>
          <w:p>
            <w:pPr>
              <w:spacing w:after="0"/>
              <w:rPr>
                <w:sz w:val="17"/>
                <w:szCs w:val="17"/>
                <w:color w:val="auto"/>
              </w:rPr>
            </w:pPr>
          </w:p>
        </w:tc>
      </w:tr>
      <w:tr>
        <w:trPr>
          <w:trHeight w:val="201"/>
        </w:trPr>
        <w:tc>
          <w:tcPr>
            <w:tcW w:w="840" w:type="dxa"/>
            <w:vAlign w:val="bottom"/>
          </w:tcPr>
          <w:p>
            <w:pPr>
              <w:spacing w:after="0"/>
              <w:rPr>
                <w:sz w:val="20"/>
                <w:szCs w:val="20"/>
                <w:color w:val="auto"/>
              </w:rPr>
            </w:pPr>
            <w:r>
              <w:rPr>
                <w:rFonts w:ascii="Courier New" w:cs="Courier New" w:eastAsia="Courier New" w:hAnsi="Courier New"/>
                <w:sz w:val="17"/>
                <w:szCs w:val="17"/>
                <w:color w:val="auto"/>
              </w:rPr>
              <w:t>dilution</w:t>
            </w:r>
          </w:p>
        </w:tc>
        <w:tc>
          <w:tcPr>
            <w:tcW w:w="2560" w:type="dxa"/>
            <w:vAlign w:val="bottom"/>
          </w:tcPr>
          <w:p>
            <w:pPr>
              <w:jc w:val="right"/>
              <w:spacing w:after="0"/>
              <w:rPr>
                <w:sz w:val="20"/>
                <w:szCs w:val="20"/>
                <w:color w:val="auto"/>
              </w:rPr>
            </w:pPr>
            <w:r>
              <w:rPr>
                <w:rFonts w:ascii="Courier New" w:cs="Courier New" w:eastAsia="Courier New" w:hAnsi="Courier New"/>
                <w:sz w:val="17"/>
                <w:szCs w:val="17"/>
                <w:color w:val="auto"/>
              </w:rPr>
              <w:t>................. $ 0.56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(0.81)</w:t>
            </w:r>
          </w:p>
        </w:tc>
      </w:tr>
    </w:tbl>
    <w:p>
      <w:pPr>
        <w:spacing w:after="0" w:line="205"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7"/>
          <w:szCs w:val="17"/>
          <w:color w:val="auto"/>
        </w:rPr>
        <w:t>outstanding --</w:t>
      </w:r>
    </w:p>
    <w:p>
      <w:pPr>
        <w:spacing w:after="0" w:line="9" w:lineRule="exact"/>
        <w:rPr>
          <w:sz w:val="20"/>
          <w:szCs w:val="20"/>
          <w:color w:val="auto"/>
        </w:rPr>
      </w:pPr>
    </w:p>
    <w:p>
      <w:pPr>
        <w:jc w:val="center"/>
        <w:ind w:right="5699"/>
        <w:spacing w:after="0"/>
        <w:rPr>
          <w:sz w:val="20"/>
          <w:szCs w:val="20"/>
          <w:color w:val="auto"/>
        </w:rPr>
      </w:pPr>
      <w:r>
        <w:rPr>
          <w:rFonts w:ascii="Courier New" w:cs="Courier New" w:eastAsia="Courier New" w:hAnsi="Courier New"/>
          <w:sz w:val="17"/>
          <w:szCs w:val="17"/>
          <w:color w:val="auto"/>
        </w:rPr>
        <w:t>basic........................ 949.3</w:t>
      </w:r>
    </w:p>
    <w:p>
      <w:pPr>
        <w:spacing w:after="0" w:line="9"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7"/>
          <w:szCs w:val="17"/>
          <w:color w:val="auto"/>
        </w:rPr>
        <w:t>1,298.7(l) 2,248.0 Weighted average number</w:t>
      </w:r>
    </w:p>
    <w:p>
      <w:pPr>
        <w:spacing w:after="0" w:line="9"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7"/>
          <w:szCs w:val="17"/>
          <w:color w:val="auto"/>
        </w:rPr>
        <w:t>of common shares outstanding -- assuming</w:t>
      </w:r>
    </w:p>
    <w:p>
      <w:pPr>
        <w:spacing w:after="0" w:line="9"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7"/>
          <w:szCs w:val="17"/>
          <w:color w:val="auto"/>
        </w:rPr>
        <w:t>dilution............ 964.7 1,302.7(l)</w:t>
      </w:r>
    </w:p>
    <w:p>
      <w:pPr>
        <w:spacing w:after="0" w:line="9"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7"/>
          <w:szCs w:val="17"/>
          <w:color w:val="auto"/>
        </w:rPr>
        <w:t>2,267.4</w:t>
      </w:r>
    </w:p>
    <w:p>
      <w:pPr>
        <w:spacing w:after="0" w:line="200" w:lineRule="exact"/>
        <w:rPr>
          <w:sz w:val="20"/>
          <w:szCs w:val="20"/>
          <w:color w:val="auto"/>
        </w:rPr>
      </w:pPr>
    </w:p>
    <w:p>
      <w:pPr>
        <w:spacing w:after="0" w:line="212"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See Notes to Unaudited Pro Forma Combined Condensed Statement of Operations</w:t>
      </w:r>
    </w:p>
    <w:p>
      <w:pPr>
        <w:spacing w:after="0" w:line="21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III-8</w:t>
      </w:r>
    </w:p>
    <w:p>
      <w:pPr>
        <w:sectPr>
          <w:pgSz w:w="11900" w:h="16838" w:orient="portrait"/>
          <w:cols w:equalWidth="0" w:num="1">
            <w:col w:w="10099"/>
          </w:cols>
          <w:pgMar w:left="360" w:top="142" w:right="1440" w:bottom="1440" w:gutter="0" w:footer="0" w:header="0"/>
        </w:sectPr>
      </w:pPr>
    </w:p>
    <w:bookmarkStart w:id="95" w:name="page96"/>
    <w:bookmarkEnd w:id="95"/>
    <w:p>
      <w:pPr>
        <w:jc w:val="center"/>
        <w:ind w:right="1839"/>
        <w:spacing w:after="0"/>
        <w:rPr>
          <w:sz w:val="20"/>
          <w:szCs w:val="20"/>
          <w:color w:val="auto"/>
        </w:rPr>
      </w:pPr>
      <w:r>
        <w:rPr>
          <w:rFonts w:ascii="Courier New" w:cs="Courier New" w:eastAsia="Courier New" w:hAnsi="Courier New"/>
          <w:sz w:val="17"/>
          <w:szCs w:val="17"/>
          <w:color w:val="auto"/>
        </w:rPr>
        <w:t>AT&amp;T COMCAST CORPORATION</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UNAUDITED PRO FORMA COMBINED CONDENSED</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STATEMENTS OF OPERATIONS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(DOLLARS IN MILLIONS, EXCEPT PER SHARE AMOUNTS)</w:t>
      </w:r>
    </w:p>
    <w:p>
      <w:pPr>
        <w:spacing w:after="0" w:line="210" w:lineRule="exact"/>
        <w:rPr>
          <w:sz w:val="20"/>
          <w:szCs w:val="20"/>
          <w:color w:val="auto"/>
        </w:rPr>
      </w:pPr>
    </w:p>
    <w:p>
      <w:pPr>
        <w:ind w:left="540" w:right="2039" w:hanging="533"/>
        <w:spacing w:after="0" w:line="252" w:lineRule="auto"/>
        <w:tabs>
          <w:tab w:leader="none" w:pos="54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columns reflect the historical statements of operations of the respective companies. Certain reclassifications have been made to the consolidated historical financial statements of Comcast and the combined historical financial statements of AT&amp;T Broadband Group to conform to the presentation expected to be used by AT&amp;T Comcast.</w:t>
      </w:r>
    </w:p>
    <w:p>
      <w:pPr>
        <w:spacing w:after="0" w:line="197" w:lineRule="exact"/>
        <w:rPr>
          <w:rFonts w:ascii="Courier New" w:cs="Courier New" w:eastAsia="Courier New" w:hAnsi="Courier New"/>
          <w:sz w:val="17"/>
          <w:szCs w:val="17"/>
          <w:color w:val="auto"/>
        </w:rPr>
      </w:pPr>
    </w:p>
    <w:p>
      <w:pPr>
        <w:ind w:left="540" w:right="1839" w:hanging="533"/>
        <w:spacing w:after="0" w:line="252" w:lineRule="auto"/>
        <w:tabs>
          <w:tab w:leader="none" w:pos="54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reflects the elimination of historical intercompany transactions between Comcast and AT&amp;T Broadband Group as follows: amounts charged by Comcast to AT&amp;T Broadband Group for programming, the gains and losses resulting from the sales of certain cable systems by AT&amp;T Broadband Group to Comcast, the gains recorded by AT&amp;T Broadband Group resulting from the fair value exchange of certain cable systems with Comcast and Excite@Home transactions.</w:t>
      </w:r>
    </w:p>
    <w:p>
      <w:pPr>
        <w:spacing w:after="0" w:line="195" w:lineRule="exact"/>
        <w:rPr>
          <w:rFonts w:ascii="Courier New" w:cs="Courier New" w:eastAsia="Courier New" w:hAnsi="Courier New"/>
          <w:sz w:val="17"/>
          <w:szCs w:val="17"/>
          <w:color w:val="auto"/>
        </w:rPr>
      </w:pPr>
    </w:p>
    <w:p>
      <w:pPr>
        <w:ind w:left="540" w:right="2359" w:hanging="533"/>
        <w:spacing w:after="0" w:line="254" w:lineRule="auto"/>
        <w:tabs>
          <w:tab w:leader="none" w:pos="54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represents the gains recorded by Comcast resulting from intercompany transactions with AT&amp;T Broadband Group for the year ended December 31, 2000.</w:t>
      </w:r>
    </w:p>
    <w:p>
      <w:pPr>
        <w:spacing w:after="0" w:line="200" w:lineRule="exact"/>
        <w:rPr>
          <w:sz w:val="20"/>
          <w:szCs w:val="20"/>
          <w:color w:val="auto"/>
        </w:rPr>
      </w:pPr>
    </w:p>
    <w:p>
      <w:pPr>
        <w:spacing w:after="0" w:line="397"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460" w:type="dxa"/>
            <w:vAlign w:val="bottom"/>
          </w:tcPr>
          <w:p>
            <w:pPr>
              <w:spacing w:after="0"/>
              <w:rPr>
                <w:sz w:val="20"/>
                <w:szCs w:val="20"/>
                <w:color w:val="auto"/>
              </w:rPr>
            </w:pPr>
            <w:r>
              <w:rPr>
                <w:rFonts w:ascii="Courier New" w:cs="Courier New" w:eastAsia="Courier New" w:hAnsi="Courier New"/>
                <w:sz w:val="17"/>
                <w:szCs w:val="17"/>
                <w:color w:val="auto"/>
              </w:rPr>
              <w:t>Gain</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on</w:t>
            </w:r>
          </w:p>
        </w:tc>
        <w:tc>
          <w:tcPr>
            <w:tcW w:w="5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systems exchanged.................................</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$1,711.0</w:t>
            </w:r>
          </w:p>
        </w:tc>
      </w:tr>
      <w:tr>
        <w:trPr>
          <w:trHeight w:val="201"/>
        </w:trPr>
        <w:tc>
          <w:tcPr>
            <w:tcW w:w="460" w:type="dxa"/>
            <w:vAlign w:val="bottom"/>
          </w:tcPr>
          <w:p>
            <w:pPr>
              <w:spacing w:after="0"/>
              <w:rPr>
                <w:sz w:val="20"/>
                <w:szCs w:val="20"/>
                <w:color w:val="auto"/>
              </w:rPr>
            </w:pPr>
            <w:r>
              <w:rPr>
                <w:rFonts w:ascii="Courier New" w:cs="Courier New" w:eastAsia="Courier New" w:hAnsi="Courier New"/>
                <w:sz w:val="17"/>
                <w:szCs w:val="17"/>
                <w:color w:val="auto"/>
              </w:rPr>
              <w:t>Gain</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on</w:t>
            </w:r>
          </w:p>
        </w:tc>
        <w:tc>
          <w:tcPr>
            <w:tcW w:w="5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receipt of Excite@Home right......................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1,045.0</w:t>
            </w:r>
          </w:p>
        </w:tc>
      </w:tr>
      <w:tr>
        <w:trPr>
          <w:trHeight w:val="201"/>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61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Total..................................................</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$2,756.0</w:t>
            </w:r>
          </w:p>
        </w:tc>
      </w:tr>
      <w:tr>
        <w:trPr>
          <w:trHeight w:val="201"/>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left="540" w:right="2039" w:hanging="533"/>
        <w:spacing w:after="0" w:line="257" w:lineRule="auto"/>
        <w:tabs>
          <w:tab w:leader="none" w:pos="54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aggregate pro forma income tax effect of Notes (b) and (c) above at the combined federal and state statutory rate.</w:t>
      </w:r>
    </w:p>
    <w:p>
      <w:pPr>
        <w:spacing w:after="0" w:line="191" w:lineRule="exact"/>
        <w:rPr>
          <w:rFonts w:ascii="Courier New" w:cs="Courier New" w:eastAsia="Courier New" w:hAnsi="Courier New"/>
          <w:sz w:val="17"/>
          <w:szCs w:val="17"/>
          <w:color w:val="auto"/>
        </w:rPr>
      </w:pPr>
    </w:p>
    <w:p>
      <w:pPr>
        <w:ind w:left="540" w:right="1939" w:hanging="533"/>
        <w:spacing w:after="0" w:line="253" w:lineRule="auto"/>
        <w:tabs>
          <w:tab w:leader="none" w:pos="54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Group has certain intercompany agreements with AT&amp;T Corp. which will be terminated as of the date of the AT&amp;T Comcast transaction. The costs of replacing these services is uncertain. However, the impact of the termination of these arrangements is not expected to be material.</w:t>
      </w:r>
    </w:p>
    <w:p>
      <w:pPr>
        <w:spacing w:after="0" w:line="195" w:lineRule="exact"/>
        <w:rPr>
          <w:rFonts w:ascii="Courier New" w:cs="Courier New" w:eastAsia="Courier New" w:hAnsi="Courier New"/>
          <w:sz w:val="17"/>
          <w:szCs w:val="17"/>
          <w:color w:val="auto"/>
        </w:rPr>
      </w:pPr>
    </w:p>
    <w:p>
      <w:pPr>
        <w:ind w:left="540" w:right="1939" w:hanging="533"/>
        <w:spacing w:after="0" w:line="252" w:lineRule="auto"/>
        <w:tabs>
          <w:tab w:leader="none" w:pos="54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elimination of AT&amp;T Broadband Group's and MediaOne Group's historical goodwill and cable franchise operating rights amortization expense for consolidated subsidiaries and equity method investments. Under the accounting rules set forth in SFAS 142 issued by the Financial Accounting Standards Board in June 2001, goodwill and intangibles with indefinite lives are not amortized against earnings other than in connection with an impairment.</w:t>
      </w:r>
    </w:p>
    <w:p>
      <w:pPr>
        <w:spacing w:after="0" w:line="195" w:lineRule="exact"/>
        <w:rPr>
          <w:rFonts w:ascii="Courier New" w:cs="Courier New" w:eastAsia="Courier New" w:hAnsi="Courier New"/>
          <w:sz w:val="17"/>
          <w:szCs w:val="17"/>
          <w:color w:val="auto"/>
        </w:rPr>
      </w:pPr>
    </w:p>
    <w:p>
      <w:pPr>
        <w:ind w:left="540" w:right="1839" w:hanging="533"/>
        <w:spacing w:after="0" w:line="251" w:lineRule="auto"/>
        <w:tabs>
          <w:tab w:leader="none" w:pos="54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net effect on interest expense resulting from the financings described in Note (c) to the Unaudited Pro Forma Combined Condensed Balance Sheet. Pro forma interest expense was calculated based on the interest rates of the historical debt outstanding plus the interest rates of the planned credit facilities. The pro forma financial information assumes the financings occurred on January 1, 2000. Amortization of deferred financing costs was calculated based on the expected amounts and terms of the new facilities. Short-term rates are assumed to be 4% and long-term rates are assumed to be 7%. Assuming interest rates changed by 0.125%, the related interest expense and pre-tax impact on earnings would be $9.7 for the year ended December 31, 2000 and $7.3 for the nine months ended September 30, 2001.</w:t>
      </w:r>
    </w:p>
    <w:p>
      <w:pPr>
        <w:spacing w:after="0" w:line="201" w:lineRule="exact"/>
        <w:rPr>
          <w:rFonts w:ascii="Courier New" w:cs="Courier New" w:eastAsia="Courier New" w:hAnsi="Courier New"/>
          <w:sz w:val="17"/>
          <w:szCs w:val="17"/>
          <w:color w:val="auto"/>
        </w:rPr>
      </w:pPr>
    </w:p>
    <w:p>
      <w:pPr>
        <w:ind w:left="540" w:right="1839" w:hanging="533"/>
        <w:spacing w:after="0" w:line="252" w:lineRule="auto"/>
        <w:tabs>
          <w:tab w:leader="none" w:pos="54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decrease in interest expense as a result of the adjustment of AT&amp;T Broadband Group's long-term debt to its fair value as described in Note (c) to the Unaudited Pro Forma Combined Condensed Balance Sheet. The difference between the fair value and the face amount of each borrowing is amortized as a reduction to interest expense over the remaining term of the borrowing.</w:t>
      </w:r>
    </w:p>
    <w:p>
      <w:pPr>
        <w:spacing w:after="0" w:line="196" w:lineRule="exact"/>
        <w:rPr>
          <w:rFonts w:ascii="Courier New" w:cs="Courier New" w:eastAsia="Courier New" w:hAnsi="Courier New"/>
          <w:sz w:val="17"/>
          <w:szCs w:val="17"/>
          <w:color w:val="auto"/>
        </w:rPr>
      </w:pPr>
    </w:p>
    <w:p>
      <w:pPr>
        <w:ind w:left="640" w:right="1839" w:hanging="633"/>
        <w:spacing w:after="0" w:line="257" w:lineRule="auto"/>
        <w:tabs>
          <w:tab w:leader="none" w:pos="64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reclassification of losses in equity investments to conform with the presentation currently used by Comcast.</w:t>
      </w:r>
    </w:p>
    <w:p>
      <w:pPr>
        <w:spacing w:after="0" w:line="191" w:lineRule="exact"/>
        <w:rPr>
          <w:rFonts w:ascii="Courier New" w:cs="Courier New" w:eastAsia="Courier New" w:hAnsi="Courier New"/>
          <w:sz w:val="17"/>
          <w:szCs w:val="17"/>
          <w:color w:val="auto"/>
        </w:rPr>
      </w:pPr>
    </w:p>
    <w:p>
      <w:pPr>
        <w:ind w:left="640" w:hanging="633"/>
        <w:spacing w:after="0"/>
        <w:tabs>
          <w:tab w:leader="none" w:pos="64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aggregate pro forma income tax effect of Notes (f) through</w:t>
      </w:r>
    </w:p>
    <w:p>
      <w:pPr>
        <w:spacing w:after="0" w:line="8" w:lineRule="exact"/>
        <w:rPr>
          <w:rFonts w:ascii="Courier New" w:cs="Courier New" w:eastAsia="Courier New" w:hAnsi="Courier New"/>
          <w:sz w:val="17"/>
          <w:szCs w:val="17"/>
          <w:color w:val="auto"/>
        </w:rPr>
      </w:pPr>
    </w:p>
    <w:p>
      <w:pPr>
        <w:ind w:left="1060" w:hanging="424"/>
        <w:spacing w:after="0"/>
        <w:tabs>
          <w:tab w:leader="none" w:pos="1060" w:val="left"/>
        </w:tabs>
        <w:numPr>
          <w:ilvl w:val="1"/>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at the combined federal and state statutory rate.</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III-9</w:t>
      </w:r>
    </w:p>
    <w:p>
      <w:pPr>
        <w:sectPr>
          <w:pgSz w:w="11900" w:h="16838" w:orient="portrait"/>
          <w:cols w:equalWidth="0" w:num="1">
            <w:col w:w="10219"/>
          </w:cols>
          <w:pgMar w:left="240" w:top="719" w:right="1440" w:bottom="256" w:gutter="0" w:footer="0" w:header="0"/>
        </w:sectPr>
      </w:pPr>
    </w:p>
    <w:bookmarkStart w:id="96" w:name="page97"/>
    <w:bookmarkEnd w:id="96"/>
    <w:p>
      <w:pPr>
        <w:ind w:left="540" w:right="2039" w:hanging="533"/>
        <w:spacing w:after="0" w:line="257" w:lineRule="auto"/>
        <w:tabs>
          <w:tab w:leader="none" w:pos="54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elimination of historical dividends on QUIPS exchanged for AT&amp;T Broadband Group common stock.</w:t>
      </w:r>
    </w:p>
    <w:p>
      <w:pPr>
        <w:spacing w:after="0" w:line="191" w:lineRule="exact"/>
        <w:rPr>
          <w:rFonts w:ascii="Courier New" w:cs="Courier New" w:eastAsia="Courier New" w:hAnsi="Courier New"/>
          <w:sz w:val="17"/>
          <w:szCs w:val="17"/>
          <w:color w:val="auto"/>
        </w:rPr>
      </w:pPr>
    </w:p>
    <w:p>
      <w:pPr>
        <w:ind w:left="540" w:right="1839" w:hanging="533"/>
        <w:spacing w:after="0" w:line="252" w:lineRule="auto"/>
        <w:tabs>
          <w:tab w:leader="none" w:pos="54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basic earnings per share, this adjustment represents the issuance of AT&amp;T Comcast shares to AT&amp;T shareholders and Microsoft Corporation offset by shares of Comcast owned by AT&amp;T Broadband Group which are classified as treasury shares (see Note (d) to the Unaudited Pro Forma Combined Condensed Balance Sheet). In addition, earnings per share assuming dilution has been adjusted to include the dilutive effects of AT&amp;T Comcast stock options issued in exchange for the AT&amp;T Broadband Group stock options.</w:t>
      </w:r>
    </w:p>
    <w:p>
      <w:pPr>
        <w:spacing w:after="0" w:line="195" w:lineRule="exact"/>
        <w:rPr>
          <w:rFonts w:ascii="Courier New" w:cs="Courier New" w:eastAsia="Courier New" w:hAnsi="Courier New"/>
          <w:sz w:val="17"/>
          <w:szCs w:val="17"/>
          <w:color w:val="auto"/>
        </w:rPr>
      </w:pPr>
    </w:p>
    <w:p>
      <w:pPr>
        <w:ind w:left="540" w:right="1839" w:hanging="533"/>
        <w:spacing w:after="0" w:line="251" w:lineRule="auto"/>
        <w:tabs>
          <w:tab w:leader="none" w:pos="54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stockholders and net income (loss) per share assuming dilution for every $500 of purchase price allocated to amortizable assets or certain liabilities over assumed weighted 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202"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NINE MONTHS YEAR ENDED ENDED WEIGHTED AVERAGE LIFE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DECEMBER 31, 2000 SEPTEMBER 30, 2001 - --------------</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 ----------------- ------------------ Five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years Net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$61.5 $46.1 Per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$0.03 $0.02 Ten years Net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$30.8 $23.1 Per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$0.01 $0.01 Twenty years Net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$15.4 $11.5 Per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$0.01 $0.01</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III-10</w:t>
      </w:r>
    </w:p>
    <w:p>
      <w:pPr>
        <w:sectPr>
          <w:pgSz w:w="11900" w:h="16838" w:orient="portrait"/>
          <w:cols w:equalWidth="0" w:num="1">
            <w:col w:w="10219"/>
          </w:cols>
          <w:pgMar w:left="240" w:top="719" w:right="1440" w:bottom="1440" w:gutter="0" w:footer="0" w:header="0"/>
        </w:sectPr>
      </w:pPr>
    </w:p>
    <w:bookmarkStart w:id="97" w:name="page98"/>
    <w:bookmarkEnd w:id="97"/>
    <w:p>
      <w:pPr>
        <w:jc w:val="center"/>
        <w:ind w:right="1839"/>
        <w:spacing w:after="0"/>
        <w:rPr>
          <w:sz w:val="20"/>
          <w:szCs w:val="20"/>
          <w:color w:val="auto"/>
        </w:rPr>
      </w:pPr>
      <w:r>
        <w:rPr>
          <w:rFonts w:ascii="Courier New" w:cs="Courier New" w:eastAsia="Courier New" w:hAnsi="Courier New"/>
          <w:sz w:val="17"/>
          <w:szCs w:val="17"/>
          <w:color w:val="auto"/>
        </w:rPr>
        <w:t>CHAPTER FOUR</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OPINIONS OF FINANCIAL ADVISORS</w:t>
      </w:r>
    </w:p>
    <w:p>
      <w:pPr>
        <w:spacing w:after="0" w:line="21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OPINIONS OF COMCAST'S FINANCIAL ADVISORS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the meeting of the Comcast Board on December 19, 2001, each of Morgan Stanley, JPMorgan and Merrill Lynch rendered its opinion to the Comcast Board that, as of that date and based upon and subject to the assumptions, qualifications and limitations set forth therein, the conversion ratios in the Comcast merger applicable to the holders of Comcast common stock, in the aggregate, were fair from a financial point of view to the holders of Comcast common stock, taken together. Each of Morgan Stanley, JPMorgan and Merrill Lynch has consented to the inclusion of their respective opinions as Annexes G, H and I, respectively, to this document.</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FULL TEXT OF THE OPINIONS OF MORGAN STANLEY, JPMORGAN AND MERRILL LYNCH, EACH DATED DECEMBER 19, 2001, WHICH SET FORTH, AMONG OTHER THINGS, THE ASSUMPTIONS MADE, THE PROCEDURES FOLLOWED, MATTERS CONSIDERED, AND QUALIFICATIONS AND LIMITATIONS OF THE REVIEWS UNDERTAKEN BY EACH OF MORGAN STANLEY, JPMORGAN AND MERRILL LYNCH IN RENDERING THEIR RESPECTIVE OPINIONS ARE ATTACHED AS ANNEXES G, H AND I, RESPECTIVELY, TO THIS DOCUMENT AND ARE INCORPORATED INTO THIS DOCUMENT BY REFERENCE. THE SUMMARY OF THE MORGAN STANLEY, JPMORGAN AND MERRILL LYNCH FAIRNESS OPINIONS SET FORTH IN THIS DOCUMENT IS QUALIFIED IN ITS ENTIRETY BY REFERENCE TO THE FULL TEXT OF EACH OF THE OPINIONS. COMCAST SHAREHOLDERS SHOULD READ THESE OPINIONS CAREFULLY AND IN THEIR ENTIRETY. EACH OF MORGAN STANLEY, JPMORGAN AND MERRILL LYNCH PROVIDED ITS OPINION FOR THE INFORMATION AND ASSISTANCE OF THE COMCAST BOARD IN CONNECTION WITH ITS CONSIDERATION OF THE PROPOSED AT&amp;T COMCAST TRANSACTION. NONE OF THE MORGAN STANLEY, JPMORGAN OR MERRILL LYNCH OPINIONS IS A RECOMMENDATION TO ANY COMCAST SHAREHOLDER AS TO HOW ANY SHAREHOLDER SHOULD VOTE WITH RESPECT TO THE PROPOSED AT&amp;T COMCAST TRANSACTION OR ANY OTHER MATTER AND SHOULD NOT BE RELIED UPON BY ANY COMCAST SHAREHOLDER AS SUCH.</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OPINION OF MORGAN STANLEY</w:t>
      </w:r>
    </w:p>
    <w:p>
      <w:pPr>
        <w:spacing w:after="0" w:line="210"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In connection with rendering its opinion, Morgan Stanley, among other things:</w:t>
      </w:r>
    </w:p>
    <w:p>
      <w:pPr>
        <w:spacing w:after="0" w:line="192" w:lineRule="exact"/>
        <w:rPr>
          <w:sz w:val="20"/>
          <w:szCs w:val="20"/>
          <w:color w:val="auto"/>
        </w:rPr>
      </w:pPr>
    </w:p>
    <w:p>
      <w:pPr>
        <w:ind w:left="740" w:right="2139" w:hanging="209"/>
        <w:spacing w:after="0" w:line="254" w:lineRule="auto"/>
        <w:tabs>
          <w:tab w:leader="none" w:pos="74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publicly available financial statements and other business and financial information of or relating to Comcast, AT&amp;T and AT&amp;T Broadband;</w:t>
      </w:r>
    </w:p>
    <w:p>
      <w:pPr>
        <w:spacing w:after="0" w:line="194" w:lineRule="exact"/>
        <w:rPr>
          <w:rFonts w:ascii="Courier New" w:cs="Courier New" w:eastAsia="Courier New" w:hAnsi="Courier New"/>
          <w:sz w:val="17"/>
          <w:szCs w:val="17"/>
          <w:color w:val="auto"/>
        </w:rPr>
      </w:pPr>
    </w:p>
    <w:p>
      <w:pPr>
        <w:ind w:left="740" w:right="1939" w:hanging="209"/>
        <w:spacing w:after="0" w:line="257" w:lineRule="auto"/>
        <w:tabs>
          <w:tab w:leader="none" w:pos="74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internal financial statements and other financial and operating data concerning Comcast prepared by the management of Comcast;</w:t>
      </w:r>
    </w:p>
    <w:p>
      <w:pPr>
        <w:spacing w:after="0" w:line="191" w:lineRule="exact"/>
        <w:rPr>
          <w:rFonts w:ascii="Courier New" w:cs="Courier New" w:eastAsia="Courier New" w:hAnsi="Courier New"/>
          <w:sz w:val="17"/>
          <w:szCs w:val="17"/>
          <w:color w:val="auto"/>
        </w:rPr>
      </w:pPr>
    </w:p>
    <w:p>
      <w:pPr>
        <w:ind w:left="740" w:right="2039" w:hanging="209"/>
        <w:spacing w:after="0" w:line="253" w:lineRule="auto"/>
        <w:tabs>
          <w:tab w:leader="none" w:pos="74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financial forecasts, including information relating to certain strategic, financial and operational benefits anticipated from the proposed AT&amp;T Comcast transaction, prepared by the management of Comcast;</w:t>
      </w:r>
    </w:p>
    <w:p>
      <w:pPr>
        <w:spacing w:after="0" w:line="195"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discussed the past and current operations and financial condition and the prospects of Comcast, including the strategic, financial and operational benefits anticipated from the proposed AT&amp;T Comcast transaction, with the management of Comcast;</w:t>
      </w:r>
    </w:p>
    <w:p>
      <w:pPr>
        <w:spacing w:after="0" w:line="195" w:lineRule="exact"/>
        <w:rPr>
          <w:rFonts w:ascii="Courier New" w:cs="Courier New" w:eastAsia="Courier New" w:hAnsi="Courier New"/>
          <w:sz w:val="17"/>
          <w:szCs w:val="17"/>
          <w:color w:val="auto"/>
        </w:rPr>
      </w:pPr>
    </w:p>
    <w:p>
      <w:pPr>
        <w:ind w:left="740" w:right="2039" w:hanging="209"/>
        <w:spacing w:after="0" w:line="252" w:lineRule="auto"/>
        <w:tabs>
          <w:tab w:leader="none" w:pos="74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internal financial statements and other financial operating data concerning AT&amp;T and AT&amp;T Broadband (including, without limitation, the structure, composition, operations, assets, liabilities and pro forma historical balance sheets and income statements of AT&amp;T Broadband) prepared by the managements of AT&amp;T and AT&amp;T Broadband and Comcast;</w:t>
      </w:r>
    </w:p>
    <w:p>
      <w:pPr>
        <w:spacing w:after="0" w:line="196" w:lineRule="exact"/>
        <w:rPr>
          <w:rFonts w:ascii="Courier New" w:cs="Courier New" w:eastAsia="Courier New" w:hAnsi="Courier New"/>
          <w:sz w:val="17"/>
          <w:szCs w:val="17"/>
          <w:color w:val="auto"/>
        </w:rPr>
      </w:pPr>
    </w:p>
    <w:p>
      <w:pPr>
        <w:ind w:left="740" w:right="1939" w:hanging="209"/>
        <w:spacing w:after="0" w:line="252" w:lineRule="auto"/>
        <w:tabs>
          <w:tab w:leader="none" w:pos="74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financial forecasts (including, without limitation, as to the pro forma forecasted balance sheets and income statements of AT&amp;T Broadband), and including information relating to certain strategic, financial and operational benefits anticipated from the proposed AT&amp;T Comcast transaction, prepared by the managements of AT&amp;T and AT&amp;T Broadband and of Comcast;</w:t>
      </w:r>
    </w:p>
    <w:p>
      <w:pPr>
        <w:spacing w:after="0" w:line="196"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discussed the past and current operations and financial condition and the prospects of AT&amp;T Broadband, including the strategic, financial and operational benefits anticipated from the proposed AT&amp;T Comcast transaction, with the managements of AT&amp;T, AT&amp;T Broadband and Comcast;</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IV-1</w:t>
      </w:r>
    </w:p>
    <w:p>
      <w:pPr>
        <w:sectPr>
          <w:pgSz w:w="11900" w:h="16838" w:orient="portrait"/>
          <w:cols w:equalWidth="0" w:num="1">
            <w:col w:w="10219"/>
          </w:cols>
          <w:pgMar w:left="240" w:top="719" w:right="1440" w:bottom="457" w:gutter="0" w:footer="0" w:header="0"/>
        </w:sectPr>
      </w:pPr>
    </w:p>
    <w:bookmarkStart w:id="98" w:name="page99"/>
    <w:bookmarkEnd w:id="98"/>
    <w:p>
      <w:pPr>
        <w:ind w:left="740" w:right="2359" w:hanging="209"/>
        <w:spacing w:after="0" w:line="257" w:lineRule="auto"/>
        <w:tabs>
          <w:tab w:leader="none" w:pos="740"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reported market prices and trading activity for Comcast common stock and AT&amp;T common stock;</w:t>
      </w:r>
    </w:p>
    <w:p>
      <w:pPr>
        <w:spacing w:after="0" w:line="191"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financial performance of Comcast and the prices and trading activity of Comcast common stock with that of certain other comparable publicly traded companies and their securities;</w:t>
      </w:r>
    </w:p>
    <w:p>
      <w:pPr>
        <w:spacing w:after="0" w:line="194"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financial performance of AT&amp;T Broadband and the prices and trading activity of the AT&amp;T common stock with that of certain other comparable publicly traded companies and their equity securities;</w:t>
      </w:r>
    </w:p>
    <w:p>
      <w:pPr>
        <w:spacing w:after="0" w:line="194" w:lineRule="exact"/>
        <w:rPr>
          <w:rFonts w:ascii="Courier New" w:cs="Courier New" w:eastAsia="Courier New" w:hAnsi="Courier New"/>
          <w:sz w:val="17"/>
          <w:szCs w:val="17"/>
          <w:color w:val="auto"/>
        </w:rPr>
      </w:pPr>
    </w:p>
    <w:p>
      <w:pPr>
        <w:ind w:left="740" w:right="2559" w:hanging="209"/>
        <w:spacing w:after="0" w:line="257" w:lineRule="auto"/>
        <w:tabs>
          <w:tab w:leader="none" w:pos="740"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financial terms, to the extent publicly available, of certain comparable transactions;</w:t>
      </w:r>
    </w:p>
    <w:p>
      <w:pPr>
        <w:spacing w:after="0" w:line="191" w:lineRule="exact"/>
        <w:rPr>
          <w:rFonts w:ascii="Courier New" w:cs="Courier New" w:eastAsia="Courier New" w:hAnsi="Courier New"/>
          <w:sz w:val="17"/>
          <w:szCs w:val="17"/>
          <w:color w:val="auto"/>
        </w:rPr>
      </w:pPr>
    </w:p>
    <w:p>
      <w:pPr>
        <w:jc w:val="both"/>
        <w:ind w:left="740" w:right="2259" w:hanging="209"/>
        <w:spacing w:after="0" w:line="257" w:lineRule="auto"/>
        <w:tabs>
          <w:tab w:leader="none" w:pos="740"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participated in discussions and negotiations among representatives of Comcast, AT&amp;T, AT&amp;T Broadband and their financial and legal advisors;</w:t>
      </w:r>
    </w:p>
    <w:p>
      <w:pPr>
        <w:spacing w:after="0" w:line="191" w:lineRule="exact"/>
        <w:rPr>
          <w:rFonts w:ascii="Courier New" w:cs="Courier New" w:eastAsia="Courier New" w:hAnsi="Courier New"/>
          <w:sz w:val="17"/>
          <w:szCs w:val="17"/>
          <w:color w:val="auto"/>
        </w:rPr>
      </w:pPr>
    </w:p>
    <w:p>
      <w:pPr>
        <w:ind w:left="740" w:right="1939" w:hanging="209"/>
        <w:spacing w:after="0" w:line="257" w:lineRule="auto"/>
        <w:tabs>
          <w:tab w:leader="none" w:pos="740"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final drafts of each of the merger agreement and the separation and distribution agreement; and</w:t>
      </w:r>
    </w:p>
    <w:p>
      <w:pPr>
        <w:spacing w:after="0" w:line="191" w:lineRule="exact"/>
        <w:rPr>
          <w:rFonts w:ascii="Courier New" w:cs="Courier New" w:eastAsia="Courier New" w:hAnsi="Courier New"/>
          <w:sz w:val="17"/>
          <w:szCs w:val="17"/>
          <w:color w:val="auto"/>
        </w:rPr>
      </w:pPr>
    </w:p>
    <w:p>
      <w:pPr>
        <w:ind w:left="740" w:right="2259" w:hanging="209"/>
        <w:spacing w:after="0" w:line="257" w:lineRule="auto"/>
        <w:tabs>
          <w:tab w:leader="none" w:pos="740"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considered such other factors and performed such other analyses as it deemed appropriate.</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connection with its review, Morgan Stanley assumed and relied upon, without any responsibility for independent verification or liability therefor, the accuracy and completeness of all information that was publicly available or supplied or otherwise made available to it by Comcast, AT&amp;T or AT&amp;T Broadband or otherwise reviewed by or for it for the purposes of the Morgan Stanley opinion. With respect to the financial forecasts, including information relating to certain strategic, financial and operational benefits anticipated from the proposed AT&amp;T Comcast transaction, prepared and furnished to or discussed with it by Comcast, AT&amp;T or AT&amp;T Broadband, Morgan Stanley assumed that they had been reasonably prepared on bases reflecting the best currently available estimates and good faith judgments of Comcast's, AT&amp;T's and AT&amp;T Broadband's managements as to the expected future financial performance of Comcast, AT&amp;T Broadband or AT&amp;T Comcast, as the case may be, and the strategic, financial and operational benefits anticipated from the proposed AT&amp;T Comcast transaction. Morgan Stanley expressed no view as to such financial forecast information, including the strategic, financial and operational benefits anticipated from the proposed AT&amp;T Comcast transaction, or the assumptions on which they were based. In addition, Morgan Stanley assumed that the mergers are intended as tax-free exchanges under Section 351 of the Code and that the separation and the AT&amp;T Broadband spin-off will qualify as tax-free transactions under Sections 355 and 368(a) of the Code, in each case for United States federal income tax purposes, and that the Section 355(e) top-up described under "Description of the AT&amp;T Comcast Transaction Agreements -- The Merger Agreement -- Merger Consideration -- Potential Additional Payments" will not occur. Furthermore, Morgan Stanley assumed no responsibility for conducting a physical inspection of the properties or facilities of Comcast, AT&amp;T or AT&amp;T Broadband or for making or obtaining any independent valuation or appraisal of the assets or liabilities of Comcast, AT&amp;T or AT&amp;T Broadband, nor was Morgan Stanley furnished with any such valuations or appraisals. The Morgan Stanley opinion is necessarily based on financial, economic, market and other conditions as in effect on, and the information made available to it as of, the date of its opinion. Subsequent developments may affect its opinion and Morgan Stanley does not have any obligation to update, revise, or reaffirm its opinion.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For purposes of rendering its opinion, Morgan Stanley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were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IV-2</w:t>
      </w:r>
    </w:p>
    <w:p>
      <w:pPr>
        <w:sectPr>
          <w:pgSz w:w="11900" w:h="16838" w:orient="portrait"/>
          <w:cols w:equalWidth="0" w:num="1">
            <w:col w:w="10219"/>
          </w:cols>
          <w:pgMar w:left="240" w:top="719" w:right="1440" w:bottom="659" w:gutter="0" w:footer="0" w:header="0"/>
        </w:sectPr>
      </w:pPr>
    </w:p>
    <w:bookmarkStart w:id="99" w:name="page100"/>
    <w:bookmarkEnd w:id="99"/>
    <w:p>
      <w:pPr>
        <w:ind w:right="1839"/>
        <w:spacing w:after="0" w:line="251" w:lineRule="auto"/>
        <w:rPr>
          <w:sz w:val="20"/>
          <w:szCs w:val="20"/>
          <w:color w:val="auto"/>
        </w:rPr>
      </w:pPr>
      <w:r>
        <w:rPr>
          <w:rFonts w:ascii="Courier New" w:cs="Courier New" w:eastAsia="Courier New" w:hAnsi="Courier New"/>
          <w:sz w:val="17"/>
          <w:szCs w:val="17"/>
          <w:color w:val="auto"/>
        </w:rPr>
        <w:t>agreement and the separation and distribution agreement in any respect material to its analysis. Morgan Stanley noted that it is not a legal, tax or regulatory expert and relied upon, without assuming any responsibility for independent verification or liability therefor, the assessment of Comcast's legal, tax and regulatory advisors with respect to the legal, tax and regulatory matters related to the proposed transaction. Morgan Stanley also assumed that the definitive merger agreement and the definitive separation and distribution agreement will not differ in any material respects from the drafts thereof furnished to and reviewed by it. Morgan Stanley further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AT&amp;T Comcast transaction, in any respect material to its analysis. In arriving at its opinion, Morgan Stanley was not authorized to solicit, and did not solicit, interest from any party with respect to a business combination or other extraordinary transaction involving Comcast.</w:t>
      </w:r>
    </w:p>
    <w:p>
      <w:pPr>
        <w:spacing w:after="0" w:line="200" w:lineRule="exact"/>
        <w:rPr>
          <w:sz w:val="20"/>
          <w:szCs w:val="20"/>
          <w:color w:val="auto"/>
        </w:rPr>
      </w:pPr>
    </w:p>
    <w:p>
      <w:pPr>
        <w:spacing w:after="0" w:line="203" w:lineRule="exact"/>
        <w:rPr>
          <w:sz w:val="20"/>
          <w:szCs w:val="20"/>
          <w:color w:val="auto"/>
        </w:rPr>
      </w:pPr>
    </w:p>
    <w:p>
      <w:pPr>
        <w:ind w:right="2259" w:firstLine="524"/>
        <w:spacing w:after="0" w:line="252" w:lineRule="auto"/>
        <w:rPr>
          <w:sz w:val="20"/>
          <w:szCs w:val="20"/>
          <w:color w:val="auto"/>
        </w:rPr>
      </w:pPr>
      <w:r>
        <w:rPr>
          <w:rFonts w:ascii="Courier New" w:cs="Courier New" w:eastAsia="Courier New" w:hAnsi="Courier New"/>
          <w:sz w:val="17"/>
          <w:szCs w:val="17"/>
          <w:color w:val="auto"/>
        </w:rPr>
        <w:t>The Morgan Stanley opinion does not address the underlying decision by Comcast to engage in the proposed AT&amp;T Comcast transaction or the prices at which Comcast common stock or AT&amp;T Comcast common stock will trade after the announcement or consummation of the proposed AT&amp;T Comcast transaction, and Morgan Stanley does not express any opinion or recommendation as to how the shareholders of Comcast should vote at the shareholders' meetings held in connection with the proposed AT&amp;T Comcast transaction or any other matter.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OPINION OF JPMORGAN</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 connection with rendering its opinion, JPMorgan, among other things:</w:t>
      </w:r>
    </w:p>
    <w:p>
      <w:pPr>
        <w:spacing w:after="0" w:line="210" w:lineRule="exact"/>
        <w:rPr>
          <w:sz w:val="20"/>
          <w:szCs w:val="20"/>
          <w:color w:val="auto"/>
        </w:rPr>
      </w:pPr>
    </w:p>
    <w:p>
      <w:pPr>
        <w:ind w:left="740" w:right="2679" w:hanging="209"/>
        <w:spacing w:after="0" w:line="257" w:lineRule="auto"/>
        <w:tabs>
          <w:tab w:leader="none" w:pos="74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final drafts of each of the merger agreement and the separation and distribution agreement provided to it by Comcast;</w:t>
      </w:r>
    </w:p>
    <w:p>
      <w:pPr>
        <w:spacing w:after="0" w:line="191"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publicly available business and financial information concerning Comcast, AT&amp;T and AT&amp;T Broadband and the industries in which they operate;</w:t>
      </w:r>
    </w:p>
    <w:p>
      <w:pPr>
        <w:spacing w:after="0" w:line="194" w:lineRule="exact"/>
        <w:rPr>
          <w:rFonts w:ascii="Courier New" w:cs="Courier New" w:eastAsia="Courier New" w:hAnsi="Courier New"/>
          <w:sz w:val="17"/>
          <w:szCs w:val="17"/>
          <w:color w:val="auto"/>
        </w:rPr>
      </w:pPr>
    </w:p>
    <w:p>
      <w:pPr>
        <w:ind w:left="740" w:right="2039" w:hanging="209"/>
        <w:spacing w:after="0" w:line="251" w:lineRule="auto"/>
        <w:tabs>
          <w:tab w:leader="none" w:pos="74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internal, non-public financial and operating data, analyses and forecasts prepared by the managements of Comcast, AT&amp;T and AT&amp;T Broadband relating to the businesses of Comcast, on the one hand, and AT&amp;T Broadband, on the other (including, without limitation, the structure, composition, operations, assets, liabilities and pro forma historical and forecasted balance sheets and income statements of AT&amp;T Broadband), as well as the estimated amount and timing of the cost savings and related expenses and synergies expected to result from the proposed AT&amp;T Comcast transaction furnished to it by Comcast, AT&amp;T and AT&amp;T Broadband;</w:t>
      </w:r>
    </w:p>
    <w:p>
      <w:pPr>
        <w:spacing w:after="0" w:line="201" w:lineRule="exact"/>
        <w:rPr>
          <w:rFonts w:ascii="Courier New" w:cs="Courier New" w:eastAsia="Courier New" w:hAnsi="Courier New"/>
          <w:sz w:val="17"/>
          <w:szCs w:val="17"/>
          <w:color w:val="auto"/>
        </w:rPr>
      </w:pPr>
    </w:p>
    <w:p>
      <w:pPr>
        <w:jc w:val="both"/>
        <w:ind w:left="740" w:right="2559" w:hanging="209"/>
        <w:spacing w:after="0" w:line="254" w:lineRule="auto"/>
        <w:tabs>
          <w:tab w:leader="none" w:pos="74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proposed financial terms of the proposed AT&amp;T Comcast transaction with the publicly available financial terms of certain transactions involving companies it deemed relevant;</w:t>
      </w:r>
    </w:p>
    <w:p>
      <w:pPr>
        <w:spacing w:after="0" w:line="194" w:lineRule="exact"/>
        <w:rPr>
          <w:rFonts w:ascii="Courier New" w:cs="Courier New" w:eastAsia="Courier New" w:hAnsi="Courier New"/>
          <w:sz w:val="17"/>
          <w:szCs w:val="17"/>
          <w:color w:val="auto"/>
        </w:rPr>
      </w:pPr>
    </w:p>
    <w:p>
      <w:pPr>
        <w:ind w:left="740" w:right="2039" w:hanging="209"/>
        <w:spacing w:after="0" w:line="252" w:lineRule="auto"/>
        <w:tabs>
          <w:tab w:leader="none" w:pos="74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financial and operating performance of Comcast and AT&amp;T Broadband with publicly available information concerning certain other companies it deemed relevant and reviewed the current and historical market prices of Comcast common stock and AT&amp;T common stock and certain publicly traded securities of such other companies;</w:t>
      </w:r>
    </w:p>
    <w:p>
      <w:pPr>
        <w:spacing w:after="0" w:line="197"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participated in certain discussions and negotiations among representatives of Comcast, AT&amp;T and AT&amp;T Broadband and their financial and legal advisors; and</w:t>
      </w:r>
    </w:p>
    <w:p>
      <w:pPr>
        <w:spacing w:after="0" w:line="194"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performed such other financial studies and analyses and considered such other information as it deemed appropriate for the purposes of this opinion.</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addition, JPMorgan held discussions with certain members of the management of Comcast, AT&amp;T and AT&amp;T Broadband with respect to certain aspects of the proposed AT&amp;T Comcast transaction and the foregoing matters, including the past and current business operations of Comcast, AT&amp;T and AT&amp;T Broadband, the financial condition and future prospects and operations of Comcast and AT&amp;T Broadband, the effects of the proposed AT&amp;T Comcast transaction, including the estimated synergies, on the financial</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IV-3</w:t>
      </w:r>
    </w:p>
    <w:p>
      <w:pPr>
        <w:sectPr>
          <w:pgSz w:w="11900" w:h="16838" w:orient="portrait"/>
          <w:cols w:equalWidth="0" w:num="1">
            <w:col w:w="10219"/>
          </w:cols>
          <w:pgMar w:left="240" w:top="719" w:right="1440" w:bottom="457" w:gutter="0" w:footer="0" w:header="0"/>
        </w:sectPr>
      </w:pPr>
    </w:p>
    <w:bookmarkStart w:id="100" w:name="page101"/>
    <w:bookmarkEnd w:id="100"/>
    <w:p>
      <w:pPr>
        <w:ind w:right="1839"/>
        <w:spacing w:after="0" w:line="257" w:lineRule="auto"/>
        <w:rPr>
          <w:sz w:val="20"/>
          <w:szCs w:val="20"/>
          <w:color w:val="auto"/>
        </w:rPr>
      </w:pPr>
      <w:r>
        <w:rPr>
          <w:rFonts w:ascii="Courier New" w:cs="Courier New" w:eastAsia="Courier New" w:hAnsi="Courier New"/>
          <w:sz w:val="17"/>
          <w:szCs w:val="17"/>
          <w:color w:val="auto"/>
        </w:rPr>
        <w:t>condition and future prospects of Comcast, AT&amp;T Broadband and AT&amp;T Comcast, and certain other matters JPMorgan believed necessary or appropriate to its inquiry.</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giving its opinion, JPMorgan relied upon and assumed, without any responsibility for independent verification or liability therefor, the accuracy and completeness of all information that was publicly available or furnished to it by Comcast, AT&amp;T or AT&amp;T Broadband or otherwise reviewed by or for it. JPMorgan did not conduct any valuation or appraisal of any assets or liabilities of Comcast, AT&amp;T or AT&amp;T Broadband, nor were any such valuations or appraisals provided to it. In addition, JPMorgan did not assume any obligation to conduct any inspection of the properties or facilities of Comcast, AT&amp;T or AT&amp;T Broadband. In relying on financial analyses and forecasts provided to it, including the estimated synergies, JPMorgan assumed that they had been reasonably prepared based on assumptions reflecting the best currently available estimates and judgments by the managements of Comcast, AT&amp;T and AT&amp;T Broadband as to the expected future results of operations and financial condition of Comcast, AT&amp;T Broadband and AT&amp;T Comcast and as to such other matters, including the estimated synergies, to which such analyses or forecasts relate. JPMorgan expressed no view as to such analyses or forecasts, including the estimated synergies, or the assumptions on which they were based. JPMorgan also assumed that the mergers will qualify as tax-free exchanges under Section 351 of the Code and that the separation and the AT&amp;T Broadband spin-off will qualify as tax-free transactions under Sections 355 and 368(a) of the Code, in each case for United States federal income tax purposes, and that the Section 355(e) top-up described under "Description of the AT&amp;T Comcast Transaction Agreements -- The Merger Agreement -- Merger Consideration -- Potential Additional Payments" will not occur.</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For purposes of rendering its opinion, JPMorgan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were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 agreement and the separation and distribution agreement in any respect material to its analysis. JPMorgan noted that it is not a legal, tax or regulatory expert and relied upon, without assuming any responsibility for independent verification or liability therefor, the assessment of Comcast's legal, tax and regulatory advisors with respect to the legal, tax and regulatory matters related to the proposed transaction. JPMorgan also assumed that the definitive merger agreement and the definitive separation and distribution agreement will not differ in any material respects from the drafts thereof furnished to and reviewed by it. JPMorgan further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transaction, in any respect material to its analysis.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JPMorgan opinion is necessarily based on economic, market and other conditions as in effect on, and the information made available to it as of, the date of its opinion. Subsequent developments may affect its opinion and JPMorgan does not have any obligation to update, revise, or reaffirm its opinion. The JPMorgan opinion is limited to the fairness, from a financial point of view, to the holders of Comcast common stock, taken together, of the Comcast conversion ratios in the Comcast merger, in the aggregate, and JPMorgan does not express any opinion as to the underlying decision by Comcast to engage in the proposed AT&amp;T Comcast transaction. JPMorgan does not express any opinion as to the price at which Comcast common stock or AT&amp;T Comcast common stock will trade at any future time and JPMorgan is not expressing any opinion or recommendation as to how the shareholders of Comcast should vote at the shareholders' meetings held in connection with the proposed AT&amp;T Comcast transaction or any other</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IV-4</w:t>
      </w:r>
    </w:p>
    <w:p>
      <w:pPr>
        <w:sectPr>
          <w:pgSz w:w="11900" w:h="16838" w:orient="portrait"/>
          <w:cols w:equalWidth="0" w:num="1">
            <w:col w:w="10219"/>
          </w:cols>
          <w:pgMar w:left="240" w:top="719" w:right="1440" w:bottom="860" w:gutter="0" w:footer="0" w:header="0"/>
        </w:sectPr>
      </w:pPr>
    </w:p>
    <w:bookmarkStart w:id="101" w:name="page102"/>
    <w:bookmarkEnd w:id="101"/>
    <w:p>
      <w:pPr>
        <w:jc w:val="both"/>
        <w:ind w:right="1939"/>
        <w:spacing w:after="0" w:line="254" w:lineRule="auto"/>
        <w:rPr>
          <w:sz w:val="20"/>
          <w:szCs w:val="20"/>
          <w:color w:val="auto"/>
        </w:rPr>
      </w:pPr>
      <w:r>
        <w:rPr>
          <w:rFonts w:ascii="Courier New" w:cs="Courier New" w:eastAsia="Courier New" w:hAnsi="Courier New"/>
          <w:sz w:val="17"/>
          <w:szCs w:val="17"/>
          <w:color w:val="auto"/>
        </w:rPr>
        <w:t>matter. In arriving at its opinion, JPMorgan was not authorized to solicit, and did not solicit, interest from any party with respect to a business combination or other extraordinary transaction involving Comcast.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OPINION OF MERRILL LYNCH</w:t>
      </w:r>
    </w:p>
    <w:p>
      <w:pPr>
        <w:spacing w:after="0" w:line="210" w:lineRule="exact"/>
        <w:rPr>
          <w:sz w:val="20"/>
          <w:szCs w:val="20"/>
          <w:color w:val="auto"/>
        </w:rPr>
      </w:pPr>
    </w:p>
    <w:p>
      <w:pPr>
        <w:ind w:right="2559" w:firstLine="524"/>
        <w:spacing w:after="0" w:line="257" w:lineRule="auto"/>
        <w:rPr>
          <w:sz w:val="20"/>
          <w:szCs w:val="20"/>
          <w:color w:val="auto"/>
        </w:rPr>
      </w:pPr>
      <w:r>
        <w:rPr>
          <w:rFonts w:ascii="Courier New" w:cs="Courier New" w:eastAsia="Courier New" w:hAnsi="Courier New"/>
          <w:sz w:val="17"/>
          <w:szCs w:val="17"/>
          <w:color w:val="auto"/>
        </w:rPr>
        <w:t>In connection with rendering its opinion, Merrill Lynch, among other things:</w:t>
      </w:r>
    </w:p>
    <w:p>
      <w:pPr>
        <w:spacing w:after="0" w:line="192" w:lineRule="exact"/>
        <w:rPr>
          <w:sz w:val="20"/>
          <w:szCs w:val="20"/>
          <w:color w:val="auto"/>
        </w:rPr>
      </w:pPr>
    </w:p>
    <w:p>
      <w:pPr>
        <w:ind w:left="740" w:right="2139" w:hanging="209"/>
        <w:spacing w:after="0" w:line="254" w:lineRule="auto"/>
        <w:tabs>
          <w:tab w:leader="none" w:pos="74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publicly available business and financial information relating to Comcast, AT&amp;T and AT&amp;T Broadband that it deemed to be relevant;</w:t>
      </w:r>
    </w:p>
    <w:p>
      <w:pPr>
        <w:spacing w:after="0" w:line="194" w:lineRule="exact"/>
        <w:rPr>
          <w:rFonts w:ascii="Courier New" w:cs="Courier New" w:eastAsia="Courier New" w:hAnsi="Courier New"/>
          <w:sz w:val="17"/>
          <w:szCs w:val="17"/>
          <w:color w:val="auto"/>
        </w:rPr>
      </w:pPr>
    </w:p>
    <w:p>
      <w:pPr>
        <w:ind w:left="740" w:right="1939" w:hanging="209"/>
        <w:spacing w:after="0" w:line="251" w:lineRule="auto"/>
        <w:tabs>
          <w:tab w:leader="none" w:pos="74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information, including financial forecasts, relating to the business, earnings, cash flow, assets, liabilities and prospects of Comcast, AT&amp;T and AT&amp;T Broadband (including, without limitation, the structure, composition, operations, assets, liabilities and pro forma historical and forecasted balance sheets and income statements of AT&amp;T Broadband), as well as the amount and timing of the cost savings and related expenses and synergies expected to result from the proposed AT&amp;T Comcast transaction furnished to it by Comcast, AT&amp;T and AT&amp;T Broadband;</w:t>
      </w:r>
    </w:p>
    <w:p>
      <w:pPr>
        <w:spacing w:after="0" w:line="201"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conducted discussions with members of management and representatives of Comcast, AT&amp;T and AT&amp;T Broadband concerning the matters described above, as well as their businesses and prospects before and after giving effect to the proposed AT&amp;T Comcast transaction and the expected synergies;</w:t>
      </w:r>
    </w:p>
    <w:p>
      <w:pPr>
        <w:spacing w:after="0" w:line="195" w:lineRule="exact"/>
        <w:rPr>
          <w:rFonts w:ascii="Courier New" w:cs="Courier New" w:eastAsia="Courier New" w:hAnsi="Courier New"/>
          <w:sz w:val="17"/>
          <w:szCs w:val="17"/>
          <w:color w:val="auto"/>
        </w:rPr>
      </w:pPr>
    </w:p>
    <w:p>
      <w:pPr>
        <w:ind w:left="740" w:right="2259" w:hanging="209"/>
        <w:spacing w:after="0" w:line="254" w:lineRule="auto"/>
        <w:tabs>
          <w:tab w:leader="none" w:pos="74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market prices and valuation multiples for Comcast common stock and AT&amp;T common stock and compared them with those of certain publicly traded companies that it deemed to be relevant;</w:t>
      </w:r>
    </w:p>
    <w:p>
      <w:pPr>
        <w:spacing w:after="0" w:line="194" w:lineRule="exact"/>
        <w:rPr>
          <w:rFonts w:ascii="Courier New" w:cs="Courier New" w:eastAsia="Courier New" w:hAnsi="Courier New"/>
          <w:sz w:val="17"/>
          <w:szCs w:val="17"/>
          <w:color w:val="auto"/>
        </w:rPr>
      </w:pPr>
    </w:p>
    <w:p>
      <w:pPr>
        <w:ind w:left="740" w:right="2259" w:hanging="209"/>
        <w:spacing w:after="0" w:line="254" w:lineRule="auto"/>
        <w:tabs>
          <w:tab w:leader="none" w:pos="74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results of operations of Comcast and AT&amp;T Broadband and compared them with those of certain publicly traded companies that it deemed to be relevant;</w:t>
      </w:r>
    </w:p>
    <w:p>
      <w:pPr>
        <w:spacing w:after="0" w:line="194"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proposed financial terms of the AT&amp;T Comcast transaction with the financial terms of certain other transactions that it deemed to be relevant;</w:t>
      </w:r>
    </w:p>
    <w:p>
      <w:pPr>
        <w:spacing w:after="0" w:line="194"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participated in certain discussions and negotiations among representatives of Comcast, AT&amp;T and AT&amp;T Broadband and their financial and legal advisors;</w:t>
      </w:r>
    </w:p>
    <w:p>
      <w:pPr>
        <w:spacing w:after="0" w:line="194" w:lineRule="exact"/>
        <w:rPr>
          <w:rFonts w:ascii="Courier New" w:cs="Courier New" w:eastAsia="Courier New" w:hAnsi="Courier New"/>
          <w:sz w:val="17"/>
          <w:szCs w:val="17"/>
          <w:color w:val="auto"/>
        </w:rPr>
      </w:pPr>
    </w:p>
    <w:p>
      <w:pPr>
        <w:ind w:left="740" w:right="2359" w:hanging="209"/>
        <w:spacing w:after="0" w:line="257" w:lineRule="auto"/>
        <w:tabs>
          <w:tab w:leader="none" w:pos="74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potential pro forma impact of the proposed AT&amp;T Comcast transaction;</w:t>
      </w:r>
    </w:p>
    <w:p>
      <w:pPr>
        <w:spacing w:after="0" w:line="191" w:lineRule="exact"/>
        <w:rPr>
          <w:rFonts w:ascii="Courier New" w:cs="Courier New" w:eastAsia="Courier New" w:hAnsi="Courier New"/>
          <w:sz w:val="17"/>
          <w:szCs w:val="17"/>
          <w:color w:val="auto"/>
        </w:rPr>
      </w:pPr>
    </w:p>
    <w:p>
      <w:pPr>
        <w:ind w:left="740" w:right="2679" w:hanging="209"/>
        <w:spacing w:after="0" w:line="257" w:lineRule="auto"/>
        <w:tabs>
          <w:tab w:leader="none" w:pos="74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final drafts of each of the merger agreement and the separation and distribution agreement, respectively; and</w:t>
      </w:r>
    </w:p>
    <w:p>
      <w:pPr>
        <w:spacing w:after="0" w:line="191"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such other financial studies and analyses and took into account such other matters as it deemed necessary, including Merrill Lynch's assessment of general economic, market and monetary conditions.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preparing its opinion, Merrill Lynch assumed and relied on the accuracy and completeness of all information supplied or otherwise made available to it, discussed with or reviewed by or for it, or publicly available, and Merrill Lynch did not assume any responsibility for independently verifying such information or liability therefor, or undertake an independent evaluation or appraisal of any of the assets or liabilities of Comcast, AT&amp;T or AT&amp;T Broadband and was not furnished with any such evaluation or appraisal. In addition, Merrill Lynch did not assume any obligation to conduct any physical inspection of the properties or facilities of Comcast, AT&amp;T or AT&amp;T Broadband. With respect to the financial forecast information and the expected synergies furnished to or discussed with it by Comcast, AT&amp;T or AT&amp;T Broadband, Merrill Lynch assumed that they have been reasonably prepared and reflect the best currently available estimates and judgment of Comcast's, AT&amp;T's or AT&amp;T Broadband's managements as to the expected future financial performance of Comcast, AT&amp;T Broadband or AT&amp;T Comcast, as the case may be, and the expected synergies. Merrill Lynch expressed no view as to such financial forecast information, including the expected synergies, or the assumptions on which they were based. Merrill Lynch further assumed that the mergers will qualify as tax-free exchanges under Section 351 of the Code and that the separation and the AT&amp;T Broadband spin-off will qualify as tax-free transactions under Sections 355 and</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IV-5</w:t>
      </w:r>
    </w:p>
    <w:p>
      <w:pPr>
        <w:sectPr>
          <w:pgSz w:w="11900" w:h="16838" w:orient="portrait"/>
          <w:cols w:equalWidth="0" w:num="1">
            <w:col w:w="10219"/>
          </w:cols>
          <w:pgMar w:left="240" w:top="719" w:right="1440" w:bottom="457" w:gutter="0" w:footer="0" w:header="0"/>
        </w:sectPr>
      </w:pPr>
    </w:p>
    <w:bookmarkStart w:id="102" w:name="page103"/>
    <w:bookmarkEnd w:id="102"/>
    <w:p>
      <w:pPr>
        <w:ind w:right="1939"/>
        <w:spacing w:after="0" w:line="252" w:lineRule="auto"/>
        <w:rPr>
          <w:sz w:val="20"/>
          <w:szCs w:val="20"/>
          <w:color w:val="auto"/>
        </w:rPr>
      </w:pPr>
      <w:r>
        <w:rPr>
          <w:rFonts w:ascii="Courier New" w:cs="Courier New" w:eastAsia="Courier New" w:hAnsi="Courier New"/>
          <w:sz w:val="17"/>
          <w:szCs w:val="17"/>
          <w:color w:val="auto"/>
        </w:rPr>
        <w:t>368(a) of the Code, in each case for United States federal income tax purposes, and that the Section 355(e) top-up described under "Description of the AT&amp;T Comcast Transaction Agreements -- The Merger Agreement -- Merger Consideration -- Potential Additional Payments" will not occur. Merrill Lynch also assumed that the final form of the merger agreement and the separation and distribution agreement will be substantially similar to the last draft reviewed by it.</w:t>
      </w:r>
    </w:p>
    <w:p>
      <w:pPr>
        <w:spacing w:after="0" w:line="398"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Merrill Lynch opinion is necessarily based upon market, economic and other conditions as they existed and could be evaluated on, and on the information made available to it as of, the date of its opinion. Subsequent developments may affect its opinion and Merrill Lynch does not have any obligation to update, revise, or reaffirm its opinion. Merrill Lynch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AT&amp;T Comcast transaction, in any respect material to its analysis. For purposes of rendering its opinion, Merrill Lynch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are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 agreement and the separation and distribution agreement in any respect material to its analysis. Merrill Lynch noted that they are not legal, tax or regulatory experts and relied upon, without assuming any responsibility for independent verification or liability therefor, the assessment of Comcast's legal, tax and regulatory advisors with respect to the legal, tax and regulatory matters related to the proposed AT&amp;T Comcast transaction. In arriving at its opinion, Merrill Lynch was not authorized to solicit, and did not solicit, interest from any party with respect to a business combination or other extraordinary proposed transaction involving Comcast.</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Merrill Lynch opinion does not address the merits of the underlying decision by Comcast to engage in the proposed AT&amp;T Comcast transaction and Merrill Lynch does not express any opinion as to the prices at which the shares of Comcast common stock or AT&amp;T Comcast common stock will trade following the announcement or consummation of the proposed AT&amp;T Comcast transaction, as the case may be. Furthermore, Merrill Lynch does not express any opinion or recommendation as to how the shareholders of Comcast should vote at the shareholders' meetings held in connection with the proposed AT&amp;T Comcast transaction or any other matter.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JOINT FINANCIAL ANALYSES OF COMCAST'S FINANCIAL ADVISORS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the December 19, 2001 meeting of the Comcast Board, Morgan Stanley, JPMorgan and Merrill Lynch reviewed with the members of the Comcast Board the updated financial terms of the proposed AT&amp;T Comcast transaction and the application of those terms to the financial analyses prepared by Morgan Stanley, JPMorgan and Merrill Lynch previously presented to the Comcast Board. Such terms and analyses were summarized in a written presentation prepared for the meeting by Morgan Stanley, JPMorgan and Merrill Lynch and delivered along with their respective opinions to Comcast.</w:t>
      </w:r>
    </w:p>
    <w:p>
      <w:pPr>
        <w:spacing w:after="0" w:line="201"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The following is a summary of the material analyses contained in the presentation that was delivered to Comcast. Some of the summaries of the financial analyses include information presented in tabular format. The tables are not intended to stand alone, and in order to more fully understand the financial analyses used by Morgan Stanley, JPMorgan and Merrill Lynch, the tables must be read together with the full text of each summary.</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IV-6</w:t>
      </w:r>
    </w:p>
    <w:p>
      <w:pPr>
        <w:sectPr>
          <w:pgSz w:w="11900" w:h="16838" w:orient="portrait"/>
          <w:cols w:equalWidth="0" w:num="1">
            <w:col w:w="10219"/>
          </w:cols>
          <w:pgMar w:left="240" w:top="719" w:right="1440" w:bottom="1062" w:gutter="0" w:footer="0" w:header="0"/>
        </w:sectPr>
      </w:pPr>
    </w:p>
    <w:bookmarkStart w:id="103" w:name="page104"/>
    <w:bookmarkEnd w:id="103"/>
    <w:p>
      <w:pPr>
        <w:ind w:left="220"/>
        <w:spacing w:after="0"/>
        <w:rPr>
          <w:sz w:val="20"/>
          <w:szCs w:val="20"/>
          <w:color w:val="auto"/>
        </w:rPr>
      </w:pPr>
      <w:r>
        <w:rPr>
          <w:rFonts w:ascii="Courier New" w:cs="Courier New" w:eastAsia="Courier New" w:hAnsi="Courier New"/>
          <w:sz w:val="17"/>
          <w:szCs w:val="17"/>
          <w:color w:val="auto"/>
        </w:rPr>
        <w:t>PUBLIC MARKET BROADBAND VALUATION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Morgan Stanley, JPMorgan and Merrill Lynch reviewed and analyzed certain public market trading multiples for five publicly traded broadband companies (Comcast, Cox Communications, Inc., Charter Communications, Inc., Adelphia Communications Corporation and Cablevision Systems Corporation). The multiples analyzed were derived by dividing the adjusted aggregate market value of each of the companies (based on closing stock prices on December 18, 2001) by (i) estimated year-end 2001 number of subscribers, (ii) estimated 2002 cable revenues and (iii) estimated 2002 cable EBITDA. Morgan Stanley, JP Morgan and Merrill Lynch also calculated the estimated 2002 cable EBITDA multiple divided by estimated 2002-2005 cable EBITDA compound annual growth rates (hereinafter referred to as EBITDA Multiple to Growth Ratio). For purposes of calculating these multiples, Morgan Stanley, JPMorgan and Merrill Lynch adjusted the aggregate market value of each of the companies to exclude the value of certain of such company's non-cable or non-operating assets, based on Morgan Stanley equity research (except as set forth below). Morgan Stanley, JPMorgan and Merrill Lynch calculated the financial multiples and ratios based on publicly available financial data as of December 18, 2001, Morgan Stanley equity research estimates and, as to the value to be attributed to Comcast's non-cable assets, Comcast management estimates, which were consistent with Wall Street research estimates. Morgan Stanley, JPMorgan and Merrill Lynch then derived reference ranges of such multiples from this analysis. A summary of the principal public market trading multiples and the reference ranges of multiples that Morgan Stanley, JPMorgan and Merrill Lynch derived are set forth below:</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MULTIPLE OF ADJUSTED MARKET VALUE TO</w:t>
      </w:r>
    </w:p>
    <w:p>
      <w:pPr>
        <w:spacing w:after="0" w:line="210"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REFERENCE RANGE COMCAST COX</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CHARTER ADELPHIA CABLEVISION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OF MULTIPLES -------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----------------- 2001</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Subscribers................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$4,139 $3,977 $3,707 $3,673</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$4,397 $3,500 - $4,400 2002E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Cable Revenue.............</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5.9x 5.3x 5.5x 5.2x 5.2x 5x -</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6x 2002E Cable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EBITDA.............. 14.0x</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13.8x 12.0x 13.2x 14.1x 13x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15x EBITDA Multiple to Growth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Ratio.........................</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0.91x 1.06x 0.80x 0.71x 0.82x</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0.8x - 1.1x</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Using these derived reference ranges of multiples, Morgan Stanley, JPMorgan and Merrill Lynch calculated implied valuation ranges for AT&amp;T Broadband by applying the reference ranges of multiples to the (i) year-end expected 2001 number of subscribers for AT&amp;T Broadband (based on information provided by AT&amp;T and AT&amp;T Broadband's management), (ii) estimated 2002 AT&amp;T Broadband revenues (based on Comcast management's estimates), (iii) estimated 2002 AT&amp;T Broadband EBITDA (based on Comcast management's estimates) and (iv) estimated 2002 AT&amp;T Broadband EBITDA based on applying an EBITDA margin of 35% to Comcast management's estimate of 2002 AT&amp;T Broadband revenues. Morgan Stanley, JPMorgan and Merrill Lynch also calculated the estimated AT&amp;T Broadband EBITDA Multiple to Growth Ratio using Comcast management's estimate of AT&amp;T Broadband's 2002 to 2005 EBITDA growth rate. Based on such analysis, Morgan Stanley, JPMorgan and Merrill Lynch derived ranges of implied value for AT&amp;T Broadband of $58 billion to $70 billion on a 2001 subscriber multiples basis, $62 billion to $72 billion on a 2002 estimated cable revenue multiples basis, $46 billion to $52 billion on a 2002 estimated cable EBITDA multiples basis, $57 billion to $64 billion on a 2002 estimated cable EBITDA (adjusted for 35% margin) multiples basis, and $59 billion to $77 billion on an EBITDA Multiple to Growth Ratio basis, each as compared to the implied value for AT&amp;T Broadband in the proposed AT&amp;T Comcast transaction of approximately $73.2 billion (based on the closing price of Comcast Common Stock on December 18, 2001). Morgan Stanley, JPMorgan and Merrill Lynch noted that the derived ranges of implied public market values were strictly public market ranges and that no control premium had been attributed in this analysis.</w:t>
      </w:r>
    </w:p>
    <w:p>
      <w:pPr>
        <w:spacing w:after="0" w:line="200" w:lineRule="exact"/>
        <w:rPr>
          <w:sz w:val="20"/>
          <w:szCs w:val="20"/>
          <w:color w:val="auto"/>
        </w:rPr>
      </w:pPr>
    </w:p>
    <w:p>
      <w:pPr>
        <w:spacing w:after="0" w:line="203" w:lineRule="exact"/>
        <w:rPr>
          <w:sz w:val="20"/>
          <w:szCs w:val="20"/>
          <w:color w:val="auto"/>
        </w:rPr>
      </w:pPr>
    </w:p>
    <w:p>
      <w:pPr>
        <w:ind w:right="2679" w:firstLine="524"/>
        <w:spacing w:after="0" w:line="254" w:lineRule="auto"/>
        <w:rPr>
          <w:sz w:val="20"/>
          <w:szCs w:val="20"/>
          <w:color w:val="auto"/>
        </w:rPr>
      </w:pPr>
      <w:r>
        <w:rPr>
          <w:rFonts w:ascii="Courier New" w:cs="Courier New" w:eastAsia="Courier New" w:hAnsi="Courier New"/>
          <w:sz w:val="17"/>
          <w:szCs w:val="17"/>
          <w:color w:val="auto"/>
        </w:rPr>
        <w:t>The foregoing companies, in the judgment of each of Morgan Stanley, JPMorgan and Merrill Lynch and based in part on conversations with the managements of Comcast, AT&amp;T and AT&amp;T Broadband,</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IV-7</w:t>
      </w:r>
    </w:p>
    <w:p>
      <w:pPr>
        <w:sectPr>
          <w:pgSz w:w="11900" w:h="16838" w:orient="portrait"/>
          <w:cols w:equalWidth="0" w:num="1">
            <w:col w:w="10219"/>
          </w:cols>
          <w:pgMar w:left="240" w:top="719" w:right="1440" w:bottom="55" w:gutter="0" w:footer="0" w:header="0"/>
        </w:sectPr>
      </w:pPr>
    </w:p>
    <w:bookmarkStart w:id="104" w:name="page105"/>
    <w:bookmarkEnd w:id="104"/>
    <w:p>
      <w:pPr>
        <w:ind w:right="1839"/>
        <w:spacing w:after="0" w:line="251" w:lineRule="auto"/>
        <w:rPr>
          <w:sz w:val="20"/>
          <w:szCs w:val="20"/>
          <w:color w:val="auto"/>
        </w:rPr>
      </w:pPr>
      <w:r>
        <w:rPr>
          <w:rFonts w:ascii="Courier New" w:cs="Courier New" w:eastAsia="Courier New" w:hAnsi="Courier New"/>
          <w:sz w:val="17"/>
          <w:szCs w:val="17"/>
          <w:color w:val="auto"/>
        </w:rPr>
        <w:t>were comparable to AT&amp;T Broadband for purposes of this analysis. Morgan Stanley, JPMorgan and Merrill Lynch noted that because of the differences between the business mix, operations and other characteristics of AT&amp;T Broadband and the comparable companies, Morgan Stanley, JPMorgan and Merrill Lynch did not believe that a purely quantitative comparable company analysis would be particularly meaningful in this context. Rather, Morgan Stanley, JPMorgan and Merrill Lynch believed an appropriate use of the comparable company analysis would also involve qualitative judgments concerning differences between the financial and operating characteristics of AT&amp;T Broadband and the comparable companies, which would affect the public trading values of the common stock of the comparable companies, which judgments were applied in rendering the respective opinions of Morgan Stanley, JPMorgan and Merrill Lynch.</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PRIVATE MARKET VALUATION</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Precedent Transactions. Morgan Stanley, JPMorgan and Merrill Lynch reviewed and analyzed selected precedent transactions involving other companies in the broadband industry that they deemed relevant and calculated the per subscriber multiples paid in the selected transactions based on the transaction values and the subscriber numbers from publicly available company press releases and reports and/or public analyst research. The following table sets forth the transactions that were reviewed in connection with this analysis:</w:t>
      </w:r>
    </w:p>
    <w:p>
      <w:pPr>
        <w:spacing w:after="0" w:line="196"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SELECTED PRECEDENT TRANSACTIONS</w:t>
      </w:r>
    </w:p>
    <w:p>
      <w:pPr>
        <w:spacing w:after="0" w:line="21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ANNOUNCEMENT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DATE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ACQUIROR</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TARGET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Apr-99 AT&amp;T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MediaOne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May-99</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Charter</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Falcon May-</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99 Cox TCA</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May-99</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Charter</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Fanch May-</w:t>
      </w:r>
    </w:p>
    <w:p>
      <w:pPr>
        <w:spacing w:after="0" w:line="9" w:lineRule="exact"/>
        <w:rPr>
          <w:sz w:val="20"/>
          <w:szCs w:val="20"/>
          <w:color w:val="auto"/>
        </w:rPr>
      </w:pPr>
    </w:p>
    <w:p>
      <w:pPr>
        <w:ind w:left="420" w:right="9059" w:hanging="312"/>
        <w:spacing w:after="0" w:line="251" w:lineRule="auto"/>
        <w:tabs>
          <w:tab w:leader="none" w:pos="420"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AT&amp;T</w:t>
      </w:r>
    </w:p>
    <w:p>
      <w:pPr>
        <w:jc w:val="center"/>
        <w:ind w:right="8959"/>
        <w:spacing w:after="0"/>
        <w:rPr>
          <w:sz w:val="20"/>
          <w:szCs w:val="20"/>
          <w:color w:val="auto"/>
        </w:rPr>
      </w:pPr>
      <w:r>
        <w:rPr>
          <w:rFonts w:ascii="Courier New" w:cs="Courier New" w:eastAsia="Courier New" w:hAnsi="Courier New"/>
          <w:sz w:val="17"/>
          <w:szCs w:val="17"/>
          <w:color w:val="auto"/>
        </w:rPr>
        <w:t>(select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markets)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Jun-99</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Charter</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Bresnan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Jul-99 Cox</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Gannett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Jul-99 Cox</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(select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markets)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Nov-99</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Lenfest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Dec-99</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Adelphia</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Cablevision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(Ohio) Apr-</w:t>
      </w:r>
    </w:p>
    <w:p>
      <w:pPr>
        <w:spacing w:after="0" w:line="9" w:lineRule="exact"/>
        <w:rPr>
          <w:sz w:val="20"/>
          <w:szCs w:val="20"/>
          <w:color w:val="auto"/>
        </w:rPr>
      </w:pPr>
    </w:p>
    <w:p>
      <w:pPr>
        <w:ind w:left="580" w:hanging="315"/>
        <w:spacing w:after="0"/>
        <w:tabs>
          <w:tab w:leader="none" w:pos="580"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Cablevision</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(Boston)</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Jan-01</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Comcast</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(select</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markets)</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Jan-01</w:t>
      </w:r>
    </w:p>
    <w:p>
      <w:pPr>
        <w:spacing w:after="0" w:line="8" w:lineRule="exact"/>
        <w:rPr>
          <w:rFonts w:ascii="Courier New" w:cs="Courier New" w:eastAsia="Courier New" w:hAnsi="Courier New"/>
          <w:sz w:val="17"/>
          <w:szCs w:val="17"/>
          <w:color w:val="auto"/>
        </w:rPr>
      </w:pPr>
    </w:p>
    <w:p>
      <w:pPr>
        <w:jc w:val="center"/>
        <w:ind w:right="8959" w:firstLine="258"/>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Insight Midwest AT&amp;T/Insight</w:t>
      </w:r>
    </w:p>
    <w:p>
      <w:pPr>
        <w:sectPr>
          <w:pgSz w:w="11900" w:h="16838" w:orient="portrait"/>
          <w:cols w:equalWidth="0" w:num="1">
            <w:col w:w="10219"/>
          </w:cols>
          <w:pgMar w:left="240" w:top="719" w:right="1440" w:bottom="39" w:gutter="0" w:footer="0" w:header="0"/>
        </w:sectPr>
      </w:pPr>
    </w:p>
    <w:bookmarkStart w:id="105" w:name="page106"/>
    <w:bookmarkEnd w:id="105"/>
    <w:p>
      <w:pPr>
        <w:ind w:right="1839" w:firstLine="524"/>
        <w:spacing w:after="0" w:line="257" w:lineRule="auto"/>
        <w:rPr>
          <w:sz w:val="20"/>
          <w:szCs w:val="20"/>
          <w:color w:val="auto"/>
        </w:rPr>
      </w:pPr>
      <w:r>
        <w:rPr>
          <w:rFonts w:ascii="Courier New" w:cs="Courier New" w:eastAsia="Courier New" w:hAnsi="Courier New"/>
          <w:sz w:val="17"/>
          <w:szCs w:val="17"/>
          <w:color w:val="auto"/>
        </w:rPr>
        <w:t>The high, mean, median and low per subscriber multiples calculated in these selected transactions were $5,378, $4,491, $4,500 and $3,500, respectively.</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Morgan Stanley, JPMorgan and Merrill Lynch then derived from these selected transactions a reference range of per subscriber multiples of $4,200 to $5,000, and applying this range of multiples to the expected year-end 2001 number of subscribers for AT&amp;T Broadband based on information provided by AT&amp;T and AT&amp;T Broadband's management, Morgan Stanley, JPMorgan and Merrill Lynch calculated an implied valuation range for AT&amp;T Broadband of $67 billion to $78 billion, as compared to the implied value for AT&amp;T Broadband in the proposed AT&amp;T Comcast transaction of $73.2 billion (based on the closing price of Comcast common stock on December 18, 2001).</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Among other factors, Morgan Stanley, JPMorgan and Merrill Lynch indicated that the merger and acquisition transaction environment varies over time because of macroeconomic factors such as interest rate and equity market fluctuations and microeconomic factors such as industry results and growth expectations. Morgan Stanley, JPMorgan and Merrill Lynch noted that no transaction reviewed was</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IV-8</w:t>
      </w:r>
    </w:p>
    <w:p>
      <w:pPr>
        <w:sectPr>
          <w:pgSz w:w="11900" w:h="16838" w:orient="portrait"/>
          <w:cols w:equalWidth="0" w:num="1">
            <w:col w:w="10219"/>
          </w:cols>
          <w:pgMar w:left="240" w:top="142" w:right="1440" w:bottom="1440" w:gutter="0" w:footer="0" w:header="0"/>
        </w:sectPr>
      </w:pPr>
    </w:p>
    <w:bookmarkStart w:id="106" w:name="page107"/>
    <w:bookmarkEnd w:id="106"/>
    <w:p>
      <w:pPr>
        <w:ind w:right="1839"/>
        <w:spacing w:after="0" w:line="252" w:lineRule="auto"/>
        <w:rPr>
          <w:sz w:val="20"/>
          <w:szCs w:val="20"/>
          <w:color w:val="auto"/>
        </w:rPr>
      </w:pPr>
      <w:r>
        <w:rPr>
          <w:rFonts w:ascii="Courier New" w:cs="Courier New" w:eastAsia="Courier New" w:hAnsi="Courier New"/>
          <w:sz w:val="17"/>
          <w:szCs w:val="17"/>
          <w:color w:val="auto"/>
        </w:rPr>
        <w:t>identical to the proposed AT&amp;T Comcast transaction and that, accordingly, these analyses involve complex considerations and judgments concerning differences in financial and operating characteristics of AT&amp;T Broadband and other factors that would affect the acquisition values in the comparable transactions, including the size and demographic and economic characteristics of the markets of each company and the competitive environment in which it operates.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DCF Valuation. Morgan Stanley, JPMorgan and Merrill Lynch performed a five-year discounted cash flow analysis on AT&amp;T Broadband as of December 31, 2001 based on financial forecasts and estimates provided by Comcast's management, excluding the effect of certain strategic, financial and operational benefits anticipated in the proposed transaction according to Comcast management. In conducting this discounted cash flow analysis, Morgan Stanley, JPMorgan and Merrill Lynch utilized discount rates of between 9% and 11%, and last twelve months ("LTM") terminal EBITDA multiples of between 15x and 17x. The discount rates utilized in this analysis were chosen based upon an analysis of the weighted average cost of capital of Comcast and other comparable companies as well as Wall Street equity research.</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Morgan Stanley, JPMorgan and Merrill Lynch also performed a separate discounted cash flow analysis of the effect of certain strategic, financial and operational benefits anticipated in the proposed transaction (or synergies) based on information provided by the managements of Comcast, AT&amp;T and AT&amp;T Broadband. In conducting this second discounted cash flow analysis, Morgan Stanley, JPMorgan and Merrill Lynch utilized discount rates between 9% and 11% and perpetual growth rates of between 3% and 4%. The discount rates utilized in this analysis were chosen based upon an analysis of the weighted average cost of capital of Comcast and other comparable companies as well as Wall Street equity research.</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Based on the aforementioned projections and assumptions, the discounted cash flow analysis of AT&amp;T Broadband yielded a range of implied values for AT&amp;T Broadband of $62 billion to $74 billion excluding synergies and $73 billion to $92 billion including synergies, as compared to the implied value for AT&amp;T Broadband in the proposed AT&amp;T Comcast transaction of $73.2 billion (based on the closing price of Comcast common stock on December 18, 2001).</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CONTRIBUTION ANALYSIS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Morgan Stanley, JPMorgan and Merrill Lynch calculated the implied relative equity contributions of AT&amp;T Broadband and Comcast to the combined company based on their respective contributions of estimated 2001 year-end subscribers, estimated 2002 to 2005 cable revenue and estimated 2002 to 2005 cable EBITDA, in each case adjusted for the relative contribution of AT&amp;T Broadband and Comcast, respectively, to the leverage of the combined company. Such analysis was done both with and without taking into account the transaction synergies estimated by the managements of AT&amp;T, AT&amp;T Broadband and Comcast. Morgan Stanley, JPMorgan and Merrill Lynch then compared the results of this analysis to the pro forma equity ownership implied by the proposed AT&amp;T Comcast transaction prior to the conversion of the QUIPS. Based on the foregoing analysis, AT&amp;T Broadband's implied equity contribution ranged from 43.0% to 54.9% excluding synergies, and 50.7% to 61.0% including synergies, as compared to the pro forma AT&amp;T Broadband shareholder ownership of 55.8% in the proposed transaction (or 56.6% assuming the issuance by AT&amp;T Comcast of the maximum potential number of additional shares of AT&amp;T Comcast stock to AT&amp;T Broadband shareholders provided in the merger agreement under certain circumstances if the stock issued to AT&amp;T Broadband shareholders in the proposed AT&amp;T Comcast transaction is not included in the S&amp;P 500 Index).</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DCF CONTRIBUTION ANALYSIS</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Morgan Stanley, JPMorgan and Merrill Lynch also derived an implied AT&amp;T Broadband ownership in the combined entity based on an analysis of the respective discounted cash flow contributions of AT&amp;T Broadband and Comcast to the combined company both with and without taking into account the synergies estimated by the managements of AT&amp;T, AT&amp;T Broadband and Comcast.</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IV-9</w:t>
      </w:r>
    </w:p>
    <w:p>
      <w:pPr>
        <w:sectPr>
          <w:pgSz w:w="11900" w:h="16838" w:orient="portrait"/>
          <w:cols w:equalWidth="0" w:num="1">
            <w:col w:w="10219"/>
          </w:cols>
          <w:pgMar w:left="240" w:top="719" w:right="1440" w:bottom="1440" w:gutter="0" w:footer="0" w:header="0"/>
        </w:sectPr>
      </w:pPr>
    </w:p>
    <w:bookmarkStart w:id="107" w:name="page108"/>
    <w:bookmarkEnd w:id="107"/>
    <w:p>
      <w:pPr>
        <w:ind w:right="1839" w:firstLine="524"/>
        <w:spacing w:after="0" w:line="251" w:lineRule="auto"/>
        <w:rPr>
          <w:sz w:val="20"/>
          <w:szCs w:val="20"/>
          <w:color w:val="auto"/>
        </w:rPr>
      </w:pPr>
      <w:r>
        <w:rPr>
          <w:rFonts w:ascii="Courier New" w:cs="Courier New" w:eastAsia="Courier New" w:hAnsi="Courier New"/>
          <w:sz w:val="17"/>
          <w:szCs w:val="17"/>
          <w:color w:val="auto"/>
        </w:rPr>
        <w:t>Morgan Stanley, JPMorgan and Merrill Lynch conducted a five-year discounted cash flow analysis of each of Comcast and AT&amp;T Broadband as of December 31, 2001. For AT&amp;T Broadband, the analysis was based on the same assumptions as in the AT&amp;T Broadband DCF Valuation described above, including utilizing the same discount rates and LTM terminal EBITDA multiples as in that analysis. For Comcast, the analysis was based on financial information and projections from Morgan Stanley equity research dated November 1, 2001, and utilized discount rates of 9% to 11% and LTM terminal EBITDA multiples of 14x to 16x. The assumed discount rates were chosen based on an analysis of the weighted average cost of capital of Comcast and other comparable companies as well as Wall Street equity research.</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Morgan Stanley, JPMorgan and Merrill Lynch then compared the low and high discounted cash flow values of each of AT&amp;T Broadband and Comcast to derive a range of implied discounted cash flow equity contribution for AT&amp;T Broadband. Based on the foregoing analysis, AT&amp;T Broadband's implied discounted cash flow equity contribution ranged from 41% to 53% excluding synergies, and 47.5% to 60.5% including synergies.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connection with the review of the proposed AT&amp;T Comcast transaction by the Comcast Board, Morgan Stanley, JPMorgan and Merrill Lynch performed a variety of financial and comparable analyses for purposes of rendering their respective opinions. The preparation of a fairness opinion is a complex process and is not susceptible to partial analysis or summary description. In arriving at their respective opinions, Morgan Stanley, JPMorgan and Merrill Lynch considered the results of all of their analyses as a whole and did not attribute any particular weight to any analysis or factor considered by them. Furthermore, Morgan Stanley, JPMorgan and Merrill Lynch believe that the summary provided and the analyses described above must be considered as a whole and that selecting any portion of their analyses, without considering all of them, would create an incomplete view of the process underlying their analyses and opinions. As a result, the ranges of valuations resulting from any particular analysis or combination of analyses described above were merely utilized to create points of reference for analytical purposes and should not be taken to be the view of Morgan Stanley, JPMorgan or Merrill Lynch with respect to the actual value of Comcast, AT&amp;T Broadband or AT&amp;T Comcast.</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performing their analyses, Morgan Stanley, JPMorgan and Merrill Lynch made numerous assumptions with respect to industry performance, general business and economic conditions and other matters, many of which are beyond the control of Morgan Stanley, JPMorgan, Merrill Lynch, Comcast, AT&amp;T or AT&amp;T Broadband. Any estimates contained in the analyses of Morgan Stanley, JPMorgan and Merrill Lynch are not necessarily indicative of future results or actual values, which may be significantly more or less favorable than those suggested by such estimates. The analyses performed were prepared solely as part of the analyses of Morgan Stanley, JPMorgan and Merrill Lynch of the fairness of the Comcast conversion ratios in the Comcast merger, in the aggregate, from a financial point of view to the Comcast shareholders, taken together, and were prepared in connection with the delivery by Morgan Stanley, JPMorgan and Merrill Lynch of their respective opinions, each dated December 19, 2001, to the Comcast Board. The analyses do not purport to be appraisals or to reflect the prices at which Comcast common stock or AT&amp;T Comcast common stock will trade following the announcement or consummation of the proposed transaction. The Comcast conversion ratios and other terms of the proposed AT&amp;T Comcast transaction were determined through arms' length negotiations among Comcast, AT&amp;T and AT&amp;T Broadband and were approved by the Comcast Board. Morgan Stanley, JPMorgan and Merrill Lynch provided advice to Comcast during such negotiations. However, Morgan Stanley, JPMorgan and Merrill Lynch did not recommend any specific conversion ratios or other form of consideration to Comcast or that any specific conversion ratios or other form of consideration constituted the only appropriate consideration for the proposed AT&amp;T Comcast transaction.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opinions of Morgan Stanley, JPMorgan and Merrill Lynch were one of many factors taken into consideration by the Comcast Board in making its determination to approve the proposed AT&amp;T Comcast transaction. The analyses of Morgan Stanley, JPMorgan and Merrill Lynch summarized above should not be viewed as determinative of the opinion of the Comcast Board with respect to the value of Comcast,</w:t>
      </w:r>
    </w:p>
    <w:p>
      <w:pPr>
        <w:spacing w:after="0" w:line="3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IV-10</w:t>
      </w:r>
    </w:p>
    <w:p>
      <w:pPr>
        <w:sectPr>
          <w:pgSz w:w="11900" w:h="16838" w:orient="portrait"/>
          <w:cols w:equalWidth="0" w:num="1">
            <w:col w:w="10219"/>
          </w:cols>
          <w:pgMar w:left="240" w:top="719" w:right="1440" w:bottom="1062" w:gutter="0" w:footer="0" w:header="0"/>
        </w:sectPr>
      </w:pPr>
    </w:p>
    <w:bookmarkStart w:id="108" w:name="page109"/>
    <w:bookmarkEnd w:id="108"/>
    <w:p>
      <w:pPr>
        <w:ind w:right="1839"/>
        <w:spacing w:after="0" w:line="253" w:lineRule="auto"/>
        <w:rPr>
          <w:sz w:val="20"/>
          <w:szCs w:val="20"/>
          <w:color w:val="auto"/>
        </w:rPr>
      </w:pPr>
      <w:r>
        <w:rPr>
          <w:rFonts w:ascii="Courier New" w:cs="Courier New" w:eastAsia="Courier New" w:hAnsi="Courier New"/>
          <w:sz w:val="17"/>
          <w:szCs w:val="17"/>
          <w:color w:val="auto"/>
        </w:rPr>
        <w:t>AT&amp;T Broadband or AT&amp;T Comcast or of whether the Comcast Board would have been willing to agree to different conversion ratios or other forms of consideration. The foregoing summary does not purport to be a complete description of the analyses performed by Morgan Stanley, JPMorgan and Merrill Lynch.</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Comcast Board selected Morgan Stanley, JPMorgan and Merrill Lynch as its financial advisors because of their reputations as internationally recognized investment banking and advisory firms with substantial experience in transactions similar to this proposed transaction and because Morgan Stanley, JPMorgan and Merrill Lynch are familiar with Comcast and its business. As part of its investment banking and financial advisory business, each of Morgan Stanley, JPMorgan and Merrill Lynch is continually engaged in the valuation of businesses and their securities in connection with mergers and acquisitions, negotiated underwritings, competitive biddings, secondary distributions of listed and unlisted securities, private placements and valuations for corporate and other purposes.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Each of Morgan Stanley, JPMorgan and Merrill Lynch provides a full range of financial advisory and securities services and in the past, each of Morgan Stanley, JPMorgan and Merrill Lynch and their respective affiliates have provided financial advisory and financing services for Comcast and AT&amp;T and their affiliates and have received fees for the rendering of such services and also may provide such services to Comcast, AT&amp;T or AT&amp;T Comcast and their affiliates in the future for which it would expect to receive fees. In addition, in the course of its business, each of Morgan Stanley, JPMorgan and Merrill Lynch may (or its affiliates may) actively trade the debt and equity securities of Comcast or AT&amp;T or, after the proposed AT&amp;T Comcast transaction, AT&amp;T Comcast for its own accounts or for the accounts of its customers and, accordingly, may at any time hold long or short positions in such securities.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Under the terms of separate letter agreements, each dated July 8, 2001, Comcast engaged each of Morgan Stanley, JPMorgan and Merrill Lynch to act as its financial advisor in connection with the contemplated AT&amp;T Comcast transaction. Pursuant to the terms of these letters, Comcast has agreed to pay each of Morgan Stanley, JPMorgan and Merrill Lynch an engagement fee and a customary transaction fee upon consummation of the proposed transaction. Comcast has also agreed to reimburse each of Morgan Stanley, JPMorgan and Merrill Lynch for its reasonable out-of-pocket expenses incurred in connection with the engagement, including attorney's fees, and to indemnify each of Morgan Stanley, JPMorgan and Merrill Lynch and their related parties from and against certain liabilities, including liabilities under the federal securities laws.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IV-11</w:t>
      </w:r>
    </w:p>
    <w:p>
      <w:pPr>
        <w:sectPr>
          <w:pgSz w:w="11900" w:h="16838" w:orient="portrait"/>
          <w:cols w:equalWidth="0" w:num="1">
            <w:col w:w="10219"/>
          </w:cols>
          <w:pgMar w:left="240" w:top="719" w:right="1440" w:bottom="1440" w:gutter="0" w:footer="0" w:header="0"/>
        </w:sectPr>
      </w:pPr>
    </w:p>
    <w:bookmarkStart w:id="109" w:name="page110"/>
    <w:bookmarkEnd w:id="109"/>
    <w:p>
      <w:pPr>
        <w:ind w:left="2200"/>
        <w:spacing w:after="0"/>
        <w:rPr>
          <w:sz w:val="20"/>
          <w:szCs w:val="20"/>
          <w:color w:val="auto"/>
        </w:rPr>
      </w:pPr>
      <w:r>
        <w:rPr>
          <w:rFonts w:ascii="Courier New" w:cs="Courier New" w:eastAsia="Courier New" w:hAnsi="Courier New"/>
          <w:sz w:val="17"/>
          <w:szCs w:val="17"/>
          <w:color w:val="auto"/>
        </w:rPr>
        <w:t>OPINIONS OF AT&amp;T'S FINANCIAL ADVISORS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CREDIT SUISSE FIRST BOSTON'S OPINION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Credit Suisse First Boston has acted as a financial advisor to AT&amp;T in connection with the mergers. AT&amp;T selected Credit Suisse First Boston based on Credit Suisse First Boston's experience, expertise and reputation. Credit Suisse First Boston is an internationally recognized investment banking firm and is regularly engaged in the valuation of businesses and securities in connection with mergers and acquisitions, leveraged buyouts, negotiated underwritings, competitive biddings, secondary distributions of listed and unlisted securities, private placements and valuations for corporate and other purposes.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connection with Credit Suisse First Boston's engagement, AT&amp;T requested that Credit Suisse First Boston consider the fairness, from a financial point of view, of the AT&amp;T Broadband exchange ratio provided for in the AT&amp;T Broadband merger to the holders of AT&amp;T Broadband common stock immediately prior to the mergers, other than Comcast and its affiliates. On December 19, 2001, at a meeting of the AT&amp;T Board held to consider the mergers, Credit Suisse First Boston rendered to the AT&amp;T Board an oral opinion, which opinion was confirmed by delivery of a written opinion dated December 19, 2001, to the effect that, as of that date and based on and subject to the matters described in its opinion, the AT&amp;T Broadband exchange ratio was fair, from a financial point of view, to the holders of AT&amp;T Broadband common stock immediately prior to the mergers, other than Comcast and its affiliates.</w:t>
      </w:r>
    </w:p>
    <w:p>
      <w:pPr>
        <w:spacing w:after="0" w:line="201"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THE FULL TEXT OF CREDIT SUISSE FIRST BOSTON'S WRITTEN OPINION, DATED DECEMBER 19, 2001, TO THE AT&amp;T BOARD, WHICH DESCRIBES THE PROCEDURES FOLLOWED, ASSUMPTIONS MADE, MATTERS CONSIDERED AND LIMITATIONS ON THE REVIEW UNDERTAKEN, IS ATTACHED AS ANNEX J AND IS INCORPORATED INTO THIS DOCUMENT BY REFERENCE.</w:t>
      </w:r>
    </w:p>
    <w:p>
      <w:pPr>
        <w:ind w:right="1939"/>
        <w:spacing w:after="0" w:line="251" w:lineRule="auto"/>
        <w:rPr>
          <w:sz w:val="20"/>
          <w:szCs w:val="20"/>
          <w:color w:val="auto"/>
        </w:rPr>
      </w:pPr>
      <w:r>
        <w:rPr>
          <w:rFonts w:ascii="Courier New" w:cs="Courier New" w:eastAsia="Courier New" w:hAnsi="Courier New"/>
          <w:sz w:val="17"/>
          <w:szCs w:val="17"/>
          <w:color w:val="auto"/>
        </w:rPr>
        <w:t>HOLDERS OF AT&amp;T COMMON STOCK ARE ENCOURAGED TO READ THIS OPINION CAREFULLY IN ITS ENTIRETY. CREDIT SUISSE FIRST BOSTON'S OPINION IS ADDRESSED TO THE AT&amp;T BOARD AND RELATES ONLY TO THE FAIRNESS, FROM A FINANCIAL POINT OF VIEW, OF THE AT&amp;T BROADBAND EXCHANGE RATIO, AND DOES NOT ADDRESS ANY OTHER ASPECT OF THE PROPOSED MERGERS OR ANY RELATED TRANSACTIONS, INCLUDING THE AT&amp;T BROADBAND SPIN-OFF, AND DOES NOT CONSTITUTE A RECOMMENDATION TO ANY SHAREHOLDER AS TO ANY MATTER RELATING TO THE MERGERS OR ANY RELATED TRANSACTIONS. THE SUMMARY OF CREDIT SUISSE FIRST BOSTON'S OPINION IN THIS DOCUMENT IS QUALIFIED IN ITS ENTIRETY BY REFERENCE TO THE FULL TEXT OF THE OPINION.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 arriving at its opinion, Credit Suisse First Boston reviewed:</w:t>
      </w:r>
    </w:p>
    <w:p>
      <w:pPr>
        <w:spacing w:after="0" w:line="210" w:lineRule="exact"/>
        <w:rPr>
          <w:sz w:val="20"/>
          <w:szCs w:val="20"/>
          <w:color w:val="auto"/>
        </w:rPr>
      </w:pPr>
    </w:p>
    <w:p>
      <w:pPr>
        <w:ind w:left="740" w:hanging="209"/>
        <w:spacing w:after="0"/>
        <w:tabs>
          <w:tab w:leader="none" w:pos="740"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agreement;</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separation and distribution agreement;</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related documents;</w:t>
      </w:r>
    </w:p>
    <w:p>
      <w:pPr>
        <w:spacing w:after="0" w:line="210" w:lineRule="exact"/>
        <w:rPr>
          <w:rFonts w:ascii="Courier New" w:cs="Courier New" w:eastAsia="Courier New" w:hAnsi="Courier New"/>
          <w:sz w:val="17"/>
          <w:szCs w:val="17"/>
          <w:color w:val="auto"/>
        </w:rPr>
      </w:pPr>
    </w:p>
    <w:p>
      <w:pPr>
        <w:ind w:left="740" w:right="2139" w:hanging="209"/>
        <w:spacing w:after="0" w:line="257" w:lineRule="auto"/>
        <w:tabs>
          <w:tab w:leader="none" w:pos="740"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publicly available business and financial information relating to AT&amp;T Broadband and Comcast; and</w:t>
      </w:r>
    </w:p>
    <w:p>
      <w:pPr>
        <w:spacing w:after="0" w:line="191" w:lineRule="exact"/>
        <w:rPr>
          <w:rFonts w:ascii="Courier New" w:cs="Courier New" w:eastAsia="Courier New" w:hAnsi="Courier New"/>
          <w:sz w:val="17"/>
          <w:szCs w:val="17"/>
          <w:color w:val="auto"/>
        </w:rPr>
      </w:pPr>
    </w:p>
    <w:p>
      <w:pPr>
        <w:ind w:left="740" w:right="2039" w:hanging="209"/>
        <w:spacing w:after="0" w:line="252" w:lineRule="auto"/>
        <w:tabs>
          <w:tab w:leader="none" w:pos="740"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information relating to AT&amp;T Broadband and Comcast, including financial forecasts, in the case of Comcast, as adjusted by the management of AT&amp;T Broadband and reviewed by AT&amp;T and, in the case of potential cost savings and synergies, as adjusted by the managements of AT&amp;T and AT&amp;T Broadband, provided to or discussed with Credit Suisse First Boston by AT&amp;T, AT&amp;T Broadband and Comcast.</w:t>
      </w:r>
    </w:p>
    <w:p>
      <w:pPr>
        <w:spacing w:after="0" w:line="197"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Credit Suisse First Boston also met with the managements of AT&amp;T, AT&amp;T Broadband and Comcast to discuss the businesses and prospects of AT&amp;T Broadband and Comcast. Credit Suisse First Boston also considered:</w:t>
      </w:r>
    </w:p>
    <w:p>
      <w:pPr>
        <w:spacing w:after="0" w:line="194" w:lineRule="exact"/>
        <w:rPr>
          <w:sz w:val="20"/>
          <w:szCs w:val="20"/>
          <w:color w:val="auto"/>
        </w:rPr>
      </w:pPr>
    </w:p>
    <w:p>
      <w:pPr>
        <w:ind w:left="740" w:right="2039" w:hanging="209"/>
        <w:spacing w:after="0" w:line="254" w:lineRule="auto"/>
        <w:tabs>
          <w:tab w:leader="none" w:pos="74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of AT&amp;T Broadband and financial and stock market data of Comcast, and compared those data with similar data for other publicly held companies in businesses similar to AT&amp;T Broadband and Comcast;</w:t>
      </w:r>
    </w:p>
    <w:p>
      <w:pPr>
        <w:spacing w:after="0" w:line="194" w:lineRule="exact"/>
        <w:rPr>
          <w:rFonts w:ascii="Courier New" w:cs="Courier New" w:eastAsia="Courier New" w:hAnsi="Courier New"/>
          <w:sz w:val="17"/>
          <w:szCs w:val="17"/>
          <w:color w:val="auto"/>
        </w:rPr>
      </w:pPr>
    </w:p>
    <w:p>
      <w:pPr>
        <w:ind w:left="740" w:right="2039" w:hanging="209"/>
        <w:spacing w:after="0" w:line="257" w:lineRule="auto"/>
        <w:tabs>
          <w:tab w:leader="none" w:pos="74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publicly available, the financial terms of other business combinations and other transactions announced or effected; and</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IV-12</w:t>
      </w:r>
    </w:p>
    <w:p>
      <w:pPr>
        <w:sectPr>
          <w:pgSz w:w="11900" w:h="16838" w:orient="portrait"/>
          <w:cols w:equalWidth="0" w:num="1">
            <w:col w:w="10219"/>
          </w:cols>
          <w:pgMar w:left="240" w:top="719" w:right="1440" w:bottom="1440" w:gutter="0" w:footer="0" w:header="0"/>
        </w:sectPr>
      </w:pPr>
    </w:p>
    <w:bookmarkStart w:id="110" w:name="page111"/>
    <w:bookmarkEnd w:id="110"/>
    <w:p>
      <w:pPr>
        <w:ind w:left="740" w:right="2259" w:hanging="209"/>
        <w:spacing w:after="0" w:line="257" w:lineRule="auto"/>
        <w:tabs>
          <w:tab w:leader="none" w:pos="740"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information, financial studies, analyses and investigations and financial, economic and market criteria that it deemed relevant.</w:t>
      </w:r>
    </w:p>
    <w:p>
      <w:pPr>
        <w:spacing w:after="0" w:line="192"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 connection with its review, Credit Suisse First Boston did not assume any responsibility for independent verification of any of the information that it reviewed or considered and relied on that information being complete and accurate in all material respects. Credit Suisse First Boston was advised, and assumed:</w:t>
      </w:r>
    </w:p>
    <w:p>
      <w:pPr>
        <w:spacing w:after="0" w:line="197" w:lineRule="exact"/>
        <w:rPr>
          <w:sz w:val="20"/>
          <w:szCs w:val="20"/>
          <w:color w:val="auto"/>
        </w:rPr>
      </w:pPr>
    </w:p>
    <w:p>
      <w:pPr>
        <w:ind w:left="740" w:right="1839" w:hanging="209"/>
        <w:spacing w:after="0" w:line="251" w:lineRule="auto"/>
        <w:tabs>
          <w:tab w:leader="none" w:pos="740"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financial forecasts, including adjustments to the forecasts, and other information and data, that the forecasts were reasonably prepared on bases reflecting the best currently available estimates and judgments of the managements of AT&amp;T, AT&amp;T Broadband and Comcast as to the future financial performance of AT&amp;T Broadband and Comcast, the potential cost savings and synergies, including the amount, timing and achievability of the cost savings and synergies, and strategic benefits anticipated by the managements of AT&amp;T, AT&amp;T Broadband and Comcast to result from the mergers and related transactions and the other matters covered by the forecasts.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Credit Suisse First Boston also assumed, with AT&amp;T's consent, that:</w:t>
      </w:r>
    </w:p>
    <w:p>
      <w:pPr>
        <w:spacing w:after="0" w:line="210" w:lineRule="exact"/>
        <w:rPr>
          <w:sz w:val="20"/>
          <w:szCs w:val="20"/>
          <w:color w:val="auto"/>
        </w:rPr>
      </w:pPr>
    </w:p>
    <w:p>
      <w:pPr>
        <w:ind w:left="740" w:right="1839" w:hanging="209"/>
        <w:spacing w:after="0" w:line="252" w:lineRule="auto"/>
        <w:tabs>
          <w:tab w:leader="none" w:pos="74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course of obtaining the necessary regulatory and third party approvals and consents for the proposed mergers and related transactions, no modification, delay, limitation, restriction or condition will be imposed that would have an adverse effect on AT&amp;T, AT&amp;T Broadband or Comcast or the contemplated benefits of the proposed mergers or related transactions in any respect meaningful to its analyses;</w:t>
      </w:r>
    </w:p>
    <w:p>
      <w:pPr>
        <w:spacing w:after="0" w:line="196" w:lineRule="exact"/>
        <w:rPr>
          <w:rFonts w:ascii="Courier New" w:cs="Courier New" w:eastAsia="Courier New" w:hAnsi="Courier New"/>
          <w:sz w:val="17"/>
          <w:szCs w:val="17"/>
          <w:color w:val="auto"/>
        </w:rPr>
      </w:pPr>
    </w:p>
    <w:p>
      <w:pPr>
        <w:ind w:left="740" w:right="1939" w:hanging="209"/>
        <w:spacing w:after="0" w:line="251" w:lineRule="auto"/>
        <w:tabs>
          <w:tab w:leader="none" w:pos="74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and related transactions, including the AT&amp;T Broadband spin-off, will be consummated in accordance with the terms of the merger agreement, the separation and distribution agreement and related documents, without waiver, modification or amendment of any material terms, conditions or agreements, and in compliance with all applicable laws, including, in the case of the AT&amp;T Broadband spin-off, laws relating to insolvency and fraudulent conveyance and to the payments of dividends; and</w:t>
      </w:r>
    </w:p>
    <w:p>
      <w:pPr>
        <w:spacing w:after="0" w:line="201"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would be treated as a tax-free exchange, and that the AT&amp;T Broadband spin-off would qualify as a tax-free distribution, for federal income tax purposes.</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Credit Suisse First Boston was not requested to make, and did not make, an independent evaluation or appraisal of the assets or liabilities, contingent or otherwise, of AT&amp;T, AT&amp;T Broadband or Comcast, and Credit Suisse First Boston was not furnished with any evaluations or appraisals. Credit Suisse First Boston's opinion was necessarily based on information available to it, and financial, economic, market and other conditions as they existed and could be evaluated, on the date of Credit Suisse First Boston's opinion.</w:t>
      </w:r>
    </w:p>
    <w:p>
      <w:pPr>
        <w:spacing w:after="0" w:line="196"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Credit Suisse First Boston did not express any opinion as to:</w:t>
      </w:r>
    </w:p>
    <w:p>
      <w:pPr>
        <w:spacing w:after="0" w:line="210" w:lineRule="exact"/>
        <w:rPr>
          <w:sz w:val="20"/>
          <w:szCs w:val="20"/>
          <w:color w:val="auto"/>
        </w:rPr>
      </w:pPr>
    </w:p>
    <w:p>
      <w:pPr>
        <w:ind w:left="740" w:right="2559" w:hanging="209"/>
        <w:spacing w:after="0" w:line="257" w:lineRule="auto"/>
        <w:tabs>
          <w:tab w:leader="none" w:pos="740"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the value of the securities of AT&amp;T Broadband or AT&amp;T Comcast actually will be when issued; or</w:t>
      </w:r>
    </w:p>
    <w:p>
      <w:pPr>
        <w:spacing w:after="0" w:line="191" w:lineRule="exact"/>
        <w:rPr>
          <w:rFonts w:ascii="Courier New" w:cs="Courier New" w:eastAsia="Courier New" w:hAnsi="Courier New"/>
          <w:sz w:val="17"/>
          <w:szCs w:val="17"/>
          <w:color w:val="auto"/>
        </w:rPr>
      </w:pPr>
    </w:p>
    <w:p>
      <w:pPr>
        <w:ind w:left="740" w:right="2359" w:hanging="209"/>
        <w:spacing w:after="0" w:line="257" w:lineRule="auto"/>
        <w:tabs>
          <w:tab w:leader="none" w:pos="740"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prices at which the securities of AT&amp;T Broadband or AT&amp;T Comcast would trade at any time.</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Credit Suisse First Boston's opinion did not address:</w:t>
      </w:r>
    </w:p>
    <w:p>
      <w:pPr>
        <w:spacing w:after="0" w:line="210" w:lineRule="exact"/>
        <w:rPr>
          <w:sz w:val="20"/>
          <w:szCs w:val="20"/>
          <w:color w:val="auto"/>
        </w:rPr>
      </w:pPr>
    </w:p>
    <w:p>
      <w:pPr>
        <w:ind w:left="740" w:right="1839" w:hanging="209"/>
        <w:spacing w:after="0" w:line="257" w:lineRule="auto"/>
        <w:tabs>
          <w:tab w:leader="none" w:pos="740"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aspect of the mergers other than the AT&amp;T Broadband exchange ratio to the extent specified in its opinion;</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related transactions, including the AT&amp;T Broadband spin-off;</w:t>
      </w:r>
    </w:p>
    <w:p>
      <w:pPr>
        <w:spacing w:after="0" w:line="210"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relative merits of the mergers or any related transactions as compared to other business strategies that might have been available to AT&amp;T or AT&amp;T Broadband; or</w:t>
      </w:r>
    </w:p>
    <w:p>
      <w:pPr>
        <w:spacing w:after="0" w:line="194" w:lineRule="exact"/>
        <w:rPr>
          <w:rFonts w:ascii="Courier New" w:cs="Courier New" w:eastAsia="Courier New" w:hAnsi="Courier New"/>
          <w:sz w:val="17"/>
          <w:szCs w:val="17"/>
          <w:color w:val="auto"/>
        </w:rPr>
      </w:pPr>
    </w:p>
    <w:p>
      <w:pPr>
        <w:ind w:left="740" w:right="2039" w:hanging="209"/>
        <w:spacing w:after="0" w:line="257" w:lineRule="auto"/>
        <w:tabs>
          <w:tab w:leader="none" w:pos="740"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underlying business decision of AT&amp;T to proceed with the mergers or any related transactions.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IV-13</w:t>
      </w:r>
    </w:p>
    <w:p>
      <w:pPr>
        <w:sectPr>
          <w:pgSz w:w="11900" w:h="16838" w:orient="portrait"/>
          <w:cols w:equalWidth="0" w:num="1">
            <w:col w:w="10219"/>
          </w:cols>
          <w:pgMar w:left="240" w:top="719" w:right="1440" w:bottom="860" w:gutter="0" w:footer="0" w:header="0"/>
        </w:sectPr>
      </w:pPr>
    </w:p>
    <w:bookmarkStart w:id="111" w:name="page112"/>
    <w:bookmarkEnd w:id="111"/>
    <w:p>
      <w:pPr>
        <w:ind w:right="1839" w:firstLine="524"/>
        <w:spacing w:after="0" w:line="251" w:lineRule="auto"/>
        <w:rPr>
          <w:sz w:val="20"/>
          <w:szCs w:val="20"/>
          <w:color w:val="auto"/>
        </w:rPr>
      </w:pPr>
      <w:r>
        <w:rPr>
          <w:rFonts w:ascii="Courier New" w:cs="Courier New" w:eastAsia="Courier New" w:hAnsi="Courier New"/>
          <w:sz w:val="17"/>
          <w:szCs w:val="17"/>
          <w:color w:val="auto"/>
        </w:rPr>
        <w:t>In connection with its engagement, Credit Suisse First Boston was requested to approach, and held preliminary discussions with, third parties to solicit indications of interest in the possible acquisition of all or a part of AT&amp;T Broadband. Although Credit Suisse First Boston evaluated the AT&amp;T Broadband exchange ratio from a financial point of view, Credit Suisse First Boston was not requested to, and did not, recommend the specific consideration payable in the AT&amp;T Broadband merger, which consideration was determined between AT&amp;T and Comcast. Except as described above, AT&amp;T imposed no other limitations on Credit Suisse First Boston with respect to the investigations made or procedures followed in rendering its opinion.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GOLDMAN SACHS' OPINION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December 19, 2001, Goldman Sachs delivered its oral opinion, which it subsequently confirmed in writing as of the same date, to the AT&amp;T Board that, based upon and subject to the matters described in the Goldman Sachs opinion and based upon such other matters as Goldman Sachs considered relevant, as of that date and based on the market conditions of that date, the AT&amp;T Broadband exchange ratio, as defined in the opinion, pursuant to the merger agreement was fair from a financial point of view to the holders, other than Comcast and its affiliates, of AT&amp;T Broadband common stock immediately prior to the mergers.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FULL TEXT OF GOLDMAN SACHS' WRITTEN OPINION, WHICH SETS FORTH THE ASSUMPTIONS MADE, MATTERS CONSIDERED AND LIMITATIONS ON THE REVIEW UNDERTAKEN IN CONNECTION WITH ITS OPINION, IS ATTACHED HERETO AS ANNEX K AND IS INCORPORATED HEREIN BY REFERENCE. GOLDMAN SACHS PROVIDED ITS OPINION AND ITS ADVISORY SERVICES FOR THE INFORMATION AND ASSISTANCE OF THE AT&amp;T BOARD IN CONNECTION WITH ITS CONSIDERATION OF THE AT&amp;T BROADBAND MERGER. GOLDMAN SACHS EXPRESSED NO OPINION AS TO, AMONG OTHER THINGS, ANY RELATED TRANSACTION, INCLUDING THE AT&amp;T BROADBAND SPIN-OFF, AND ITS OPINION DOES NOT CONSTITUTE A RECOMMENDATION TO ANY SHAREHOLDER AS TO ANY MATTER RELATING TO THE MERGERS OR ANY RELATED TRANSACTIONS. THE GOLDMAN SACHS OPINION IS NECESSARILY BASED UPON INFORMATION AVAILABLE TO GOLDMAN SACHS AND FINANCIAL, ECONOMIC, MARKET AND OTHER CONDITIONS AS THEY EXIST AND CAN BE EVALUATED AS OF THE DATE OF ITS OPINION, AND GOLDMAN SACHS ASSUMES NO DUTY TO UPDATE OR REVISE ITS OPINION BASED ON CIRCUMSTANCES OR EVENTS AFTER THE DATE OF THE OPINION. WE URGE YOU TO READ THE GOLDMAN SACHS OPINION IN ITS ENTIRETY.</w:t>
      </w:r>
    </w:p>
    <w:p>
      <w:pPr>
        <w:spacing w:after="0" w:line="200" w:lineRule="exact"/>
        <w:rPr>
          <w:sz w:val="20"/>
          <w:szCs w:val="20"/>
          <w:color w:val="auto"/>
        </w:r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 connection with its opinion, Goldman Sachs reviewed, among other things:</w:t>
      </w:r>
    </w:p>
    <w:p>
      <w:pPr>
        <w:spacing w:after="0" w:line="210" w:lineRule="exact"/>
        <w:rPr>
          <w:sz w:val="20"/>
          <w:szCs w:val="20"/>
          <w:color w:val="auto"/>
        </w:rPr>
      </w:pPr>
    </w:p>
    <w:p>
      <w:pPr>
        <w:ind w:left="740" w:hanging="209"/>
        <w:spacing w:after="0"/>
        <w:tabs>
          <w:tab w:leader="none" w:pos="74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agreement;</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separation and distribution agreement;</w:t>
      </w:r>
    </w:p>
    <w:p>
      <w:pPr>
        <w:spacing w:after="0" w:line="210" w:lineRule="exact"/>
        <w:rPr>
          <w:rFonts w:ascii="Courier New" w:cs="Courier New" w:eastAsia="Courier New" w:hAnsi="Courier New"/>
          <w:sz w:val="17"/>
          <w:szCs w:val="17"/>
          <w:color w:val="auto"/>
        </w:rPr>
      </w:pPr>
    </w:p>
    <w:p>
      <w:pPr>
        <w:ind w:left="740" w:right="2139" w:hanging="209"/>
        <w:spacing w:after="0" w:line="257" w:lineRule="auto"/>
        <w:tabs>
          <w:tab w:leader="none" w:pos="74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reports to shareholders and annual reports on Form 10-K of AT&amp;T and Comcast for the five years ended December 31, 2000;</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preliminary proxy statement of AT&amp;T dated July 3, 2001;</w:t>
      </w:r>
    </w:p>
    <w:p>
      <w:pPr>
        <w:spacing w:after="0" w:line="210" w:lineRule="exact"/>
        <w:rPr>
          <w:rFonts w:ascii="Courier New" w:cs="Courier New" w:eastAsia="Courier New" w:hAnsi="Courier New"/>
          <w:sz w:val="17"/>
          <w:szCs w:val="17"/>
          <w:color w:val="auto"/>
        </w:rPr>
      </w:pPr>
    </w:p>
    <w:p>
      <w:pPr>
        <w:ind w:left="740" w:right="2979" w:hanging="209"/>
        <w:spacing w:after="0" w:line="257" w:lineRule="auto"/>
        <w:tabs>
          <w:tab w:leader="none" w:pos="74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communications from AT&amp;T and Comcast to their respective shareholders;</w:t>
      </w:r>
    </w:p>
    <w:p>
      <w:pPr>
        <w:spacing w:after="0" w:line="191"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internal financial analyses and forecasts for Comcast prepared by its management, as adjusted by AT&amp;T Broadband management and reviewed by AT&amp;T management;</w:t>
      </w:r>
    </w:p>
    <w:p>
      <w:pPr>
        <w:spacing w:after="0" w:line="194"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internal financial analyses and forecasts for AT&amp;T Broadband prepared by AT&amp;T Broadband management and reviewed and/or adjusted by AT&amp;T management; and</w:t>
      </w:r>
    </w:p>
    <w:p>
      <w:pPr>
        <w:spacing w:after="0" w:line="194"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cost savings and operating synergies projected to result from the transactions contemplated by the merger agreement as prepared by the managements of Comcast and AT&amp;T Broadband and as further adjusted by the managements of AT&amp;T Broadband and AT&amp;T.</w:t>
      </w:r>
    </w:p>
    <w:p>
      <w:pPr>
        <w:spacing w:after="0" w:line="195"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Goldman Sachs also held discussions with members of the senior management of AT&amp;T, AT&amp;T Broadband and Comcast regarding their assessment of the strategic rationale for, and the potential benefits</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IV-14</w:t>
      </w:r>
    </w:p>
    <w:p>
      <w:pPr>
        <w:sectPr>
          <w:pgSz w:w="11900" w:h="16838" w:orient="portrait"/>
          <w:cols w:equalWidth="0" w:num="1">
            <w:col w:w="10219"/>
          </w:cols>
          <w:pgMar w:left="240" w:top="719" w:right="1440" w:bottom="1440" w:gutter="0" w:footer="0" w:header="0"/>
        </w:sectPr>
      </w:pPr>
    </w:p>
    <w:bookmarkStart w:id="112" w:name="page113"/>
    <w:bookmarkEnd w:id="112"/>
    <w:p>
      <w:pPr>
        <w:ind w:right="2039"/>
        <w:spacing w:after="0" w:line="254" w:lineRule="auto"/>
        <w:rPr>
          <w:sz w:val="20"/>
          <w:szCs w:val="20"/>
          <w:color w:val="auto"/>
        </w:rPr>
      </w:pPr>
      <w:r>
        <w:rPr>
          <w:rFonts w:ascii="Courier New" w:cs="Courier New" w:eastAsia="Courier New" w:hAnsi="Courier New"/>
          <w:sz w:val="17"/>
          <w:szCs w:val="17"/>
          <w:color w:val="auto"/>
        </w:rPr>
        <w:t>of, the transaction contemplated by the merger agreement and the past and current business operations, financial condition and future prospects of their respective companies. In addition, Goldman Sachs:</w:t>
      </w:r>
    </w:p>
    <w:p>
      <w:pPr>
        <w:spacing w:after="0" w:line="194" w:lineRule="exact"/>
        <w:rPr>
          <w:sz w:val="20"/>
          <w:szCs w:val="20"/>
          <w:color w:val="auto"/>
        </w:rPr>
      </w:pPr>
    </w:p>
    <w:p>
      <w:pPr>
        <w:ind w:left="740" w:right="2039" w:hanging="209"/>
        <w:spacing w:after="0" w:line="254" w:lineRule="auto"/>
        <w:tabs>
          <w:tab w:leader="none" w:pos="74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reported price and trading activity for the shares of AT&amp;T common stock, Comcast Class A common stock and Comcast Class A Special common stock;</w:t>
      </w:r>
    </w:p>
    <w:p>
      <w:pPr>
        <w:spacing w:after="0" w:line="194" w:lineRule="exact"/>
        <w:rPr>
          <w:rFonts w:ascii="Courier New" w:cs="Courier New" w:eastAsia="Courier New" w:hAnsi="Courier New"/>
          <w:sz w:val="17"/>
          <w:szCs w:val="17"/>
          <w:color w:val="auto"/>
        </w:rPr>
      </w:pPr>
    </w:p>
    <w:p>
      <w:pPr>
        <w:jc w:val="both"/>
        <w:ind w:left="740" w:right="1839" w:hanging="209"/>
        <w:spacing w:after="0" w:line="254" w:lineRule="auto"/>
        <w:tabs>
          <w:tab w:leader="none" w:pos="74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financial information for AT&amp;T Broadband and financial and stock market information for Comcast with similar information for various other companies the securities of which are publicly traded; and</w:t>
      </w:r>
    </w:p>
    <w:p>
      <w:pPr>
        <w:spacing w:after="0" w:line="194"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financial terms of various recent business combinations in the cable industry specifically and in other industries generally and performed other studies and analyses as it considered appropriate.</w:t>
      </w:r>
    </w:p>
    <w:p>
      <w:pPr>
        <w:spacing w:after="0" w:line="194"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Goldman Sachs relied upon the accuracy and completeness of all of the financial, accounting and other information and data discussed with or reviewed by it and assumed the accuracy and completeness thereof for purposes of its opinion. In that regard, Goldman Sachs assumed, with the consent of the AT&amp;T Board, that the forecasts and the synergies had been reasonably prepared on a basis reflecting the best currently available judgments and estimates of the managements of AT&amp;T and AT&amp;T Broadband. In addition, Goldman Sachs did not make an independent evaluation or appraisal of the assets and liabilities of AT&amp;T, AT&amp;T Broadband or Comcast or any of their subsidiaries and was not furnished with any evaluation or appraisal.</w:t>
      </w:r>
    </w:p>
    <w:p>
      <w:pPr>
        <w:spacing w:after="0" w:line="201"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For purposes of its analyses, Goldman Sachs was advised and assumed, with the consent of the AT&amp;T Board, that:</w:t>
      </w:r>
    </w:p>
    <w:p>
      <w:pPr>
        <w:spacing w:after="0" w:line="192" w:lineRule="exact"/>
        <w:rPr>
          <w:sz w:val="20"/>
          <w:szCs w:val="20"/>
          <w:color w:val="auto"/>
        </w:rPr>
      </w:pPr>
    </w:p>
    <w:p>
      <w:pPr>
        <w:ind w:left="740" w:right="1939" w:hanging="209"/>
        <w:spacing w:after="0" w:line="252" w:lineRule="auto"/>
        <w:tabs>
          <w:tab w:leader="none" w:pos="740"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governmental, regulatory or other consents and approvals necessary for the consummation of the transactions contemplated by the merger agreement and the separation and distribution agreement will be obtained without any adverse effect on AT&amp;T, AT&amp;T Broadband and Comcast or AT&amp;T Comcast following the mergers or the contemplated benefits of the transactions in any respect meaningful to its analyses;</w:t>
      </w:r>
    </w:p>
    <w:p>
      <w:pPr>
        <w:spacing w:after="0" w:line="196"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and the other transactions contemplated by the merger agreement and the separation and distribution agreement will be consummated in accordance with the terms of these agreements, and without waiver, modification or amendment of any material terms, conditions or agreements and in compliance with all applicable laws including, in the case of the AT&amp;T Broadband spin-off, laws relating to insolvency and fraudulent conveyance and to the payment of dividends; and</w:t>
      </w:r>
    </w:p>
    <w:p>
      <w:pPr>
        <w:spacing w:after="0" w:line="195"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federal income tax purposes, the AT&amp;T Broadband spin-off will qualify as a tax-free distribution and the mergers will be treated as a tax-free reorganization.</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Goldman Sachs expressed no opinion as to:</w:t>
      </w:r>
    </w:p>
    <w:p>
      <w:pPr>
        <w:spacing w:after="0" w:line="210" w:lineRule="exact"/>
        <w:rPr>
          <w:sz w:val="20"/>
          <w:szCs w:val="20"/>
          <w:color w:val="auto"/>
        </w:rPr>
      </w:pPr>
    </w:p>
    <w:p>
      <w:pPr>
        <w:ind w:left="740" w:right="1839" w:hanging="209"/>
        <w:spacing w:after="0" w:line="257" w:lineRule="auto"/>
        <w:tabs>
          <w:tab w:leader="none" w:pos="740"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aspect of the mergers other than the AT&amp;T Broadband exchange ratio to the extent specified in its opinion;</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related transaction, including the AT&amp;T Broadband spin-off;</w:t>
      </w:r>
    </w:p>
    <w:p>
      <w:pPr>
        <w:spacing w:after="0" w:line="210" w:lineRule="exact"/>
        <w:rPr>
          <w:rFonts w:ascii="Courier New" w:cs="Courier New" w:eastAsia="Courier New" w:hAnsi="Courier New"/>
          <w:sz w:val="17"/>
          <w:szCs w:val="17"/>
          <w:color w:val="auto"/>
        </w:rPr>
      </w:pPr>
    </w:p>
    <w:p>
      <w:pPr>
        <w:ind w:left="740" w:right="1939" w:hanging="209"/>
        <w:spacing w:after="0" w:line="257" w:lineRule="auto"/>
        <w:tabs>
          <w:tab w:leader="none" w:pos="740"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underlying business decision to effect the mergers or any related transactions;</w:t>
      </w:r>
    </w:p>
    <w:p>
      <w:pPr>
        <w:spacing w:after="0" w:line="191"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prices at which the shares of AT&amp;T Broadband common stock or of AT&amp;T Comcast Class A common stock, AT&amp;T Comcast Class A Special common stock or AT&amp;T Comcast Class C common stock may trade at any time if and when they are issued and trade publicly; or</w:t>
      </w:r>
    </w:p>
    <w:p>
      <w:pPr>
        <w:spacing w:after="0" w:line="195" w:lineRule="exact"/>
        <w:rPr>
          <w:rFonts w:ascii="Courier New" w:cs="Courier New" w:eastAsia="Courier New" w:hAnsi="Courier New"/>
          <w:sz w:val="17"/>
          <w:szCs w:val="17"/>
          <w:color w:val="auto"/>
        </w:rPr>
      </w:pPr>
    </w:p>
    <w:p>
      <w:pPr>
        <w:ind w:left="740" w:right="2039" w:hanging="209"/>
        <w:spacing w:after="0" w:line="253" w:lineRule="auto"/>
        <w:tabs>
          <w:tab w:leader="none" w:pos="740"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relative merits of the transactions contemplated by the merger agreement and the separation and distribution agreement as compared to any alternative business transaction that might be available to AT&amp;T or to AT&amp;T Broadband.</w:t>
      </w:r>
    </w:p>
    <w:p>
      <w:pPr>
        <w:spacing w:after="0" w:line="195"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Goldman Sachs, as part of its investment banking business, is continually engaged in performing financial analyses with respect to the valuation of businesses and their securities in connection with</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IV-15</w:t>
      </w:r>
    </w:p>
    <w:p>
      <w:pPr>
        <w:sectPr>
          <w:pgSz w:w="11900" w:h="16838" w:orient="portrait"/>
          <w:cols w:equalWidth="0" w:num="1">
            <w:col w:w="10219"/>
          </w:cols>
          <w:pgMar w:left="240" w:top="719" w:right="1440" w:bottom="659" w:gutter="0" w:footer="0" w:header="0"/>
        </w:sectPr>
      </w:pPr>
    </w:p>
    <w:bookmarkStart w:id="113" w:name="page114"/>
    <w:bookmarkEnd w:id="113"/>
    <w:p>
      <w:pPr>
        <w:ind w:right="1839"/>
        <w:spacing w:after="0" w:line="254" w:lineRule="auto"/>
        <w:rPr>
          <w:sz w:val="20"/>
          <w:szCs w:val="20"/>
          <w:color w:val="auto"/>
        </w:rPr>
      </w:pPr>
      <w:r>
        <w:rPr>
          <w:rFonts w:ascii="Courier New" w:cs="Courier New" w:eastAsia="Courier New" w:hAnsi="Courier New"/>
          <w:sz w:val="17"/>
          <w:szCs w:val="17"/>
          <w:color w:val="auto"/>
        </w:rPr>
        <w:t>mergers and acquisitions, negotiated underwritings, competitive biddings, secondary distributions of listed and unlisted securities and private placements as well as for estate, corporate and other purposes.</w:t>
      </w:r>
    </w:p>
    <w:p>
      <w:pPr>
        <w:spacing w:after="0" w:line="194" w:lineRule="exact"/>
        <w:rPr>
          <w:sz w:val="20"/>
          <w:szCs w:val="20"/>
          <w:color w:val="auto"/>
        </w:rPr>
      </w:pPr>
    </w:p>
    <w:p>
      <w:pPr>
        <w:ind w:right="2459" w:firstLine="524"/>
        <w:spacing w:after="0" w:line="254" w:lineRule="auto"/>
        <w:rPr>
          <w:sz w:val="20"/>
          <w:szCs w:val="20"/>
          <w:color w:val="auto"/>
        </w:rPr>
      </w:pPr>
      <w:r>
        <w:rPr>
          <w:rFonts w:ascii="Courier New" w:cs="Courier New" w:eastAsia="Courier New" w:hAnsi="Courier New"/>
          <w:sz w:val="17"/>
          <w:szCs w:val="17"/>
          <w:color w:val="auto"/>
        </w:rPr>
        <w:t>AT&amp;T selected Goldman Sachs as its financial advisor because it is an internationally recognized investment banking firm that has substantial experience in transactions similar to the mergers.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ANALYSES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preparing their respective opinions to the AT&amp;T Board, Credit Suisse First Boston and Goldman Sachs performed a variety of financial and comparative analyses, including those described below. The summary of the analyses of Credit Suisse First Boston and Goldman Sachs described below is not a complete description of the analyses underlying their opinions.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In arriving at their respective opinions, Credit Suisse First Boston and Goldman Sachs made qualitative judgments as to the significance and relevance of each analysis and factor that it considered. Accordingly, Credit Suisse First Boston and Goldman Sachs believe that their analyses must be considered as a whole and that selecting portions of their analyses and factors or focusing on information presented in tabular format, without considering all analyses and factors or the narrative description of the analyses, could create a misleading or incomplete view of the processes underlying their analyses and opinions.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their analyses, Credit Suisse First Boston and Goldman Sachs considered industry performance, general business, economic, market and financial conditions and other matters, many of which are beyond the control of AT&amp;T, AT&amp;T Broadband and Comcast. No company, transaction or business used in Credit Suisse First Boston's and Goldman Sachs' analyses as a comparison is identical to AT&amp;T, AT&amp;T Broadband, Comcast or the proposed mergers,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the analyses of Credit Suisse First Boston and Goldman Sachs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the analyses and estimates of Credit Suisse First Boston and Goldman Sachs are inherently subject to substantial uncertainty.</w:t>
      </w:r>
    </w:p>
    <w:p>
      <w:pPr>
        <w:spacing w:after="0" w:line="20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opinions of Credit Suisse First Boston and Goldman Sachs were only one of many factors considered by the AT&amp;T Board in its evaluation of the proposed mergers and should not be viewed as determinative of the views of the AT&amp;T Board or management with respect to the mergers or the AT&amp;T Broadband exchange ratio.</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following is a summary of the material financial analyses underlying the opinions of Credit Suisse First Boston and Goldman Sachs delivered to the AT&amp;T Board. THE FINANCIAL ANALYSES SUMMARIZED BELOW INCLUDE INFORMATION PRESENTED IN TABULAR FORMAT. IN ORDER TO FULLY UNDERSTAND CREDIT SUISSE FIRST BOSTON'S AND GOLDMAN SACHS'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CREDIT SUISSE FIRST BOSTON'S AND GOLDMAN SACHS' FINANCIAL ANALYSES.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SELECTED COMPANIES ANALYSIS</w:t>
      </w:r>
    </w:p>
    <w:p>
      <w:pPr>
        <w:spacing w:after="0" w:line="210"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Credit Suisse First Boston and Goldman Sachs compared financial and operating data of AT&amp;T Broadband's core cable business, which excludes assets relating to Time Warner Entertainment and various</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IV-16</w:t>
      </w:r>
    </w:p>
    <w:p>
      <w:pPr>
        <w:sectPr>
          <w:pgSz w:w="11900" w:h="16838" w:orient="portrait"/>
          <w:cols w:equalWidth="0" w:num="1">
            <w:col w:w="10219"/>
          </w:cols>
          <w:pgMar w:left="240" w:top="719" w:right="1440" w:bottom="1062" w:gutter="0" w:footer="0" w:header="0"/>
        </w:sectPr>
      </w:pPr>
    </w:p>
    <w:bookmarkStart w:id="114" w:name="page115"/>
    <w:bookmarkEnd w:id="114"/>
    <w:p>
      <w:pPr>
        <w:ind w:right="1839"/>
        <w:spacing w:after="0" w:line="258" w:lineRule="auto"/>
        <w:rPr>
          <w:sz w:val="20"/>
          <w:szCs w:val="20"/>
          <w:color w:val="auto"/>
        </w:rPr>
      </w:pPr>
      <w:r>
        <w:rPr>
          <w:rFonts w:ascii="Courier New" w:cs="Courier New" w:eastAsia="Courier New" w:hAnsi="Courier New"/>
          <w:sz w:val="17"/>
          <w:szCs w:val="17"/>
          <w:color w:val="auto"/>
        </w:rPr>
        <w:t>other cable joint ventures, referred to as AT&amp;T Broadband Cable, to corresponding data for the following five publicly traded companies in the cable industry:</w:t>
      </w:r>
    </w:p>
    <w:p>
      <w:pPr>
        <w:spacing w:after="0" w:line="392" w:lineRule="exact"/>
        <w:rPr>
          <w:sz w:val="20"/>
          <w:szCs w:val="20"/>
          <w:color w:val="auto"/>
        </w:rPr>
      </w:pPr>
    </w:p>
    <w:p>
      <w:pPr>
        <w:ind w:left="740" w:hanging="209"/>
        <w:spacing w:after="0"/>
        <w:tabs>
          <w:tab w:leader="none" w:pos="74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Adelphia Communications Corporation</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Cablevision Systems Corporation</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Charter Communications, Inc.</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Corporation</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Cox Communications, Inc.</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Credit Suisse First Boston and Goldman Sachs reviewed enterprise values, calculated as equity value plus net debt, as a multiple of calendar years 2002 and 2003 estimated earnings before interest, taxes, depreciation and amortization, commonly referred to as EBITDA. All multiples were based on closing stock prices on December 18, 2001. Credit Suisse First Boston and Goldman Sachs then applied a range of selected multiples derived from the selected companies of calendar years 2002 and 2003 estimated EBITDA to corresponding financial data of AT&amp;T Broadband Cable, both with and without giving effect to, in the case of calendar year 2003, a $7.5 billion potential initial public offering of 19.0% of AT&amp;T Broadband occurring at year-end 2002, referred to as the IPO. Credit Suisse First Boston and Goldman Sachs also applied a range of selected multiples derived from the selected companies to AT&amp;T Broadband Cable's calendar year 2004 estimated EBITDA, after giving effect to the IPO, the result of which was then discounted to 2001 year-end present value using a discount rate of 15%. Estimated financial data for AT&amp;T Broadband Cable were based on internal estimates of AT&amp;T Broadband's management and estimated financial data for the selected companies were based on publicly available research analysts' estimates. This analysis indicated an implied enterprise reference range for AT&amp;T Broadband Cable of approximately $31.0 billion to $60.0 billion. Using this enterprise reference range, Credit Suisse First Boston and Goldman Sachs then derived an implied reference range per 2001 AT&amp;T Broadband Cable subscriber. This analysis indicated the following implied reference range per 2001 AT&amp;T Broadband Cable subscriber, as compared to the per 2001 AT&amp;T Broadband Cable subscriber value implied by the AT&amp;T Broadband merger consideration attributable to AT&amp;T Broadband Cable.</w:t>
      </w:r>
    </w:p>
    <w:p>
      <w:pPr>
        <w:spacing w:after="0" w:line="200" w:lineRule="exact"/>
        <w:rPr>
          <w:sz w:val="20"/>
          <w:szCs w:val="20"/>
          <w:color w:val="auto"/>
        </w:rPr>
      </w:pPr>
    </w:p>
    <w:p>
      <w:pPr>
        <w:spacing w:after="0" w:line="203"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PER 2001 AT&amp;T</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BROADBAND CABLE</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IMPLIED</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REFERENCE RANGE</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SUBSCRIBER VALUE</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IMPLIED BY THE</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AT&amp;T PER 2001</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AT&amp;T BROADBAND</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BROADBAND MERGER</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CONSIDERATION</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CABLE SUBSCRIBER</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ATTRIBUTABLE TO</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AT&amp;T BROADBAND</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CABLE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840" w:hanging="313"/>
        <w:spacing w:after="0"/>
        <w:tabs>
          <w:tab w:leader="none" w:pos="840"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Cable............</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$2,301 - $4,380</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$4,604</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Credit Suisse First Boston and Goldman Sachs also reviewed the per subscriber values for the selected companies for the first three fiscal quarters of 2001 and estimated fiscal fourth quarter of 2001. Credit Suisse First Boston and Goldman Sachs then derived an implied reference range per 2001 subscriber for the selected companies. This analysis indicated the following implied reference range per 2001 subscriber for the selected companies, as compared to the per 2001 AT&amp;T Broadband Cable subscriber value implied by the AT&amp;T Broadband merger consideration attributable to AT&amp;T Broadband Cable:</w:t>
      </w:r>
    </w:p>
    <w:p>
      <w:pPr>
        <w:spacing w:after="0" w:line="201"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PER 2001</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CABLE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IMPLIED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REFERENCE</w:t>
      </w:r>
    </w:p>
    <w:p>
      <w:pPr>
        <w:sectPr>
          <w:pgSz w:w="11900" w:h="16838" w:orient="portrait"/>
          <w:cols w:equalWidth="0" w:num="1">
            <w:col w:w="10219"/>
          </w:cols>
          <w:pgMar w:left="240" w:top="719" w:right="1440" w:bottom="0" w:gutter="0" w:footer="0" w:header="0"/>
        </w:sectPr>
      </w:pPr>
    </w:p>
    <w:bookmarkStart w:id="115" w:name="page116"/>
    <w:bookmarkEnd w:id="115"/>
    <w:p>
      <w:pPr>
        <w:jc w:val="center"/>
        <w:ind w:right="8859"/>
        <w:spacing w:after="0"/>
        <w:rPr>
          <w:sz w:val="20"/>
          <w:szCs w:val="20"/>
          <w:color w:val="auto"/>
        </w:rPr>
      </w:pPr>
      <w:r>
        <w:rPr>
          <w:rFonts w:ascii="Courier New" w:cs="Courier New" w:eastAsia="Courier New" w:hAnsi="Courier New"/>
          <w:sz w:val="17"/>
          <w:szCs w:val="17"/>
          <w:color w:val="auto"/>
        </w:rPr>
        <w:t>RANGE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SUBSCRIBER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VALUE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IMPLIED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 PER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SUBSCRIBER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MERGER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CONSIDERATION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SELECTED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COMPANIES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ATTRIBUTABLE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CABLE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80" w:hanging="623"/>
        <w:spacing w:after="0"/>
        <w:tabs>
          <w:tab w:leader="none" w:pos="680"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$3,250 -</w:t>
      </w:r>
    </w:p>
    <w:p>
      <w:pPr>
        <w:spacing w:after="0" w:line="8" w:lineRule="exact"/>
        <w:rPr>
          <w:rFonts w:ascii="Courier New" w:cs="Courier New" w:eastAsia="Courier New" w:hAnsi="Courier New"/>
          <w:sz w:val="17"/>
          <w:szCs w:val="17"/>
          <w:color w:val="auto"/>
        </w:rPr>
      </w:pPr>
    </w:p>
    <w:p>
      <w:pPr>
        <w:jc w:val="both"/>
        <w:ind w:left="380" w:right="921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$4,000 $4,604</w:t>
      </w:r>
    </w:p>
    <w:p>
      <w:pPr>
        <w:spacing w:after="0" w:line="39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DISCOUNTED CASH FLOW ANALYSIS</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Credit Suisse First Boston and Goldman Sachs calculated the present value of the stand-alone, unlevered, after-tax free cash flows that AT&amp;T Broadband Cable could generate for the fiscal years 2002 to 2005. Credit Suisse First Boston and Goldman Sachs performed this analysis based on four scenarios, AT&amp;T Broadband management case I, AT&amp;T Broadband management case II, AT&amp;T Broadband alternate case I, and AT&amp;T Broadband alternate case II. AT&amp;T Broadband management case I was based</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IV-17</w:t>
      </w:r>
    </w:p>
    <w:p>
      <w:pPr>
        <w:sectPr>
          <w:pgSz w:w="11900" w:h="16838" w:orient="portrait"/>
          <w:cols w:equalWidth="0" w:num="1">
            <w:col w:w="10219"/>
          </w:cols>
          <w:pgMar w:left="240" w:top="142" w:right="1440" w:bottom="1440" w:gutter="0" w:footer="0" w:header="0"/>
        </w:sectPr>
      </w:pPr>
    </w:p>
    <w:bookmarkStart w:id="116" w:name="page117"/>
    <w:bookmarkEnd w:id="116"/>
    <w:p>
      <w:pPr>
        <w:ind w:right="1939"/>
        <w:spacing w:after="0" w:line="251" w:lineRule="auto"/>
        <w:rPr>
          <w:sz w:val="20"/>
          <w:szCs w:val="20"/>
          <w:color w:val="auto"/>
        </w:rPr>
      </w:pPr>
      <w:r>
        <w:rPr>
          <w:rFonts w:ascii="Courier New" w:cs="Courier New" w:eastAsia="Courier New" w:hAnsi="Courier New"/>
          <w:sz w:val="17"/>
          <w:szCs w:val="17"/>
          <w:color w:val="auto"/>
        </w:rPr>
        <w:t>on internal estimates of AT&amp;T Broadband's management. AT&amp;T Broadband management case II included adjustments to AT&amp;T Broadband management case I based on discussions with AT&amp;T's management to reflect, among other things, the dilutive effect of various financing alternatives. AT&amp;T Broadband alternate case I included adjustments to AT&amp;T Broadband management case I based on discussions with AT&amp;T's management to reflect, among other things, the potential for decreased revenue and profitability of AT&amp;T Broadband Cable. AT&amp;T Broadband alternate case II included adjustments to AT&amp;T Broadband alternate case I based on discussions with AT&amp;T's management to reflect, among other things, the dilutive effect of various financing alternatives.</w:t>
      </w:r>
    </w:p>
    <w:p>
      <w:pPr>
        <w:spacing w:after="0" w:line="201"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Credit Suisse First Boston and Goldman Sachs calculated a range of estimated terminal values for AT&amp;T Broadband Cable by applying selected EBITDA multiples ranging from 12.0x to 14.0x to AT&amp;T Broadband Cable's calendar year 2005 estimated EBITDA. The estimated free cash flows and calculated terminal values were then discounted to present value using a discount rate of 11.0%.</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This analysis indicated an implied enterprise reference range for AT&amp;T Broadband Cable of approximately $49.0 billion to $68.0 billion, based on the four scenarios described above. Using this enterprise reference range, Credit Suisse First Boston and Goldman Sachs then derived an implied reference range per 2001 AT&amp;T Broadband Cable subscriber. This analysis indicated the following implied reference range per 2001 AT&amp;T Broadband Cable subscriber, as compared to the per 2001 AT&amp;T Broadband Cable subscriber value implied by the AT&amp;T Broadband merger consideration attributable to AT&amp;T Broadband Cable:</w:t>
      </w:r>
    </w:p>
    <w:p>
      <w:pPr>
        <w:spacing w:after="0" w:line="201"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PER 2001 AT&amp;T</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BROADBAND CABLE</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IMPLIED</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REFERENCE RANGE</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SUBSCRIBER VALUE</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IMPLIED BY THE</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AT&amp;T PER 2001</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AT&amp;T BROADBAND</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BROADBAND MERGER</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CONSIDERATION</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CABLE SUBSCRIBER</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ATTRIBUTABLE TO</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AT&amp;T BROADBAND</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CABLE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840" w:hanging="313"/>
        <w:spacing w:after="0"/>
        <w:tabs>
          <w:tab w:leader="none" w:pos="840"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Cable............</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$3,619 - $4,978</w:t>
      </w:r>
    </w:p>
    <w:p>
      <w:pPr>
        <w:spacing w:after="0" w:line="9"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$4,604</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Credit Suisse First Boston and Goldman Sachs also calculated the present value of the unlevered, after-tax free cash flows that AT&amp;T Broadband could generate for fiscal years 2002 to 2005, on a stand-alone basis, based on AT&amp;T Broadband management case I, and the present value of the unlevered, after-tax free cash flows that AT&amp;T Comcast, pro forma for the mergers, could generate for fiscal years 2002 to 2005. Estimated financial data for AT&amp;T Broadband were based on AT&amp;T Broadband management case I. Estimated financial data for Comcast were based on internal estimates of Comcast's management, as adjusted by AT&amp;T Broadband's management and reviewed by AT&amp;T's management, to reflect, among other things, the potential for decreased revenue and profitability of Comcast, referred to as Comcast adjusted management case.</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Credit Suisse First Boston and Goldman Sachs calculated a range of estimated terminal values for AT&amp;T Broadband, on a stand-alone basis, and AT&amp;T Comcast, after giving effect to the mergers, by applying an EBITDA multiple of 13.0x, the midpoint of the 12.0x to 14.0x range used in calculating the terminal values, to AT&amp;T Broadband's and AT&amp;T Comcast's calendar year 2005 estimated EBITDA. The estimated free cash flows and calculated terminal values were then discounted to present value using a discount rate of 11.0%.</w:t>
      </w:r>
    </w:p>
    <w:p>
      <w:pPr>
        <w:spacing w:after="0" w:line="196"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This analysis indicated the following approximate implied per share equity values for AT&amp;T Broadband common stock on a stand-alone basis, before and after giving effect to the dilutive effect of various financing alternatives which were based on discussions with AT&amp;T's management, and the following implied per share equity value reference range for AT&amp;T Comcast, before and after taking into account various levels of potential cost savings and other synergies anticipated by the managements of AT&amp;T, AT&amp;T Broadband and Comcast to result from the mergers:</w:t>
      </w:r>
    </w:p>
    <w:p>
      <w:pPr>
        <w:sectPr>
          <w:pgSz w:w="11900" w:h="16838" w:orient="portrait"/>
          <w:cols w:equalWidth="0" w:num="1">
            <w:col w:w="10219"/>
          </w:cols>
          <w:pgMar w:left="240" w:top="719" w:right="1440" w:bottom="0" w:gutter="0" w:footer="0" w:header="0"/>
        </w:sectPr>
      </w:pPr>
    </w:p>
    <w:bookmarkStart w:id="117" w:name="page118"/>
    <w:bookmarkEnd w:id="117"/>
    <w:p>
      <w:pPr>
        <w:jc w:val="center"/>
        <w:ind w:right="8859"/>
        <w:spacing w:after="0"/>
        <w:rPr>
          <w:sz w:val="20"/>
          <w:szCs w:val="20"/>
          <w:color w:val="auto"/>
        </w:rPr>
      </w:pPr>
      <w:r>
        <w:rPr>
          <w:rFonts w:ascii="Courier New" w:cs="Courier New" w:eastAsia="Courier New" w:hAnsi="Courier New"/>
          <w:sz w:val="17"/>
          <w:szCs w:val="17"/>
          <w:color w:val="auto"/>
        </w:rPr>
        <w:t>STAND-ALONE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STAND-ALONE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(WITHOUT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FINANCING)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(WITH</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FINANCING)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IMPLIED PER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IMPLIED PER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IMPLIED PER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 EQUITY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VALUE EQUITY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VALUE EQUITY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VALUE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REFERENCE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RANGE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60" w:hanging="203"/>
        <w:spacing w:after="0"/>
        <w:tabs>
          <w:tab w:leader="none" w:pos="26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580" w:hanging="209"/>
        <w:spacing w:after="0"/>
        <w:tabs>
          <w:tab w:leader="none" w:pos="580" w:val="left"/>
        </w:tabs>
        <w:numPr>
          <w:ilvl w:val="1"/>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Broadband</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$13.78</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$12.09</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$14.06 -</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$16.17</w:t>
      </w:r>
    </w:p>
    <w:p>
      <w:pPr>
        <w:spacing w:after="0" w:line="200" w:lineRule="exact"/>
        <w:rPr>
          <w:sz w:val="20"/>
          <w:szCs w:val="20"/>
          <w:color w:val="auto"/>
        </w:rPr>
      </w:pPr>
    </w:p>
    <w:p>
      <w:pPr>
        <w:spacing w:after="0" w:line="212"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IV-18</w:t>
      </w:r>
    </w:p>
    <w:p>
      <w:pPr>
        <w:sectPr>
          <w:pgSz w:w="11900" w:h="16838" w:orient="portrait"/>
          <w:cols w:equalWidth="0" w:num="1">
            <w:col w:w="10219"/>
          </w:cols>
          <w:pgMar w:left="240" w:top="142" w:right="1440" w:bottom="1440" w:gutter="0" w:footer="0" w:header="0"/>
        </w:sectPr>
      </w:pPr>
    </w:p>
    <w:bookmarkStart w:id="118" w:name="page119"/>
    <w:bookmarkEnd w:id="118"/>
    <w:p>
      <w:pPr>
        <w:ind w:left="220"/>
        <w:spacing w:after="0"/>
        <w:rPr>
          <w:sz w:val="20"/>
          <w:szCs w:val="20"/>
          <w:color w:val="auto"/>
        </w:rPr>
      </w:pPr>
      <w:r>
        <w:rPr>
          <w:rFonts w:ascii="Courier New" w:cs="Courier New" w:eastAsia="Courier New" w:hAnsi="Courier New"/>
          <w:sz w:val="17"/>
          <w:szCs w:val="17"/>
          <w:color w:val="auto"/>
        </w:rPr>
        <w:t>CONTRIBUTION ANALYSIS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Credit Suisse First Boston and Goldman Sachs reviewed the relative contributions of AT&amp;T Broadband and of Comcast to AT&amp;T Comcast's unlevered, after-tax free cash flows for calendar years 2002 through 2005. Estimated financial data for AT&amp;T Broadband were based on AT&amp;T Broadband management case I, described above under the caption "Discounted Cash Flow Analysis." Estimated financial data for Comcast were based on the Comcast adjusted management case, described above under the caption "Discounted Cash Flow Analysis."</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Credit Suisse First Boston and Goldman Sachs then computed the relative contribution of AT&amp;T Broadband and of Comcast to the discounted cash flow equity reference range of AT&amp;T Comcast. This analysis indicated the following range of contribution percentages by AT&amp;T Broadband to AT&amp;T Comcast's discounted cash flow equity reference range, as compared to the approximate fully diluted equity ownership percentage of AT&amp;T Broadband's shareholders:</w:t>
      </w:r>
    </w:p>
    <w:p>
      <w:pPr>
        <w:spacing w:after="0" w:line="19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PERCENTAGE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IMPLIED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CONTRIBUTION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TO</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DISCOUNTED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CASH FLOW</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OWNERSHIP</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PERCENTAGE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FOLLOWING</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EQUITY</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REFERENCE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RANGE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CONSUMMATION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MERGERS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50.2%-58.1%</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56.0%</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If the QUIPS exchange transaction described under "Description of the AT&amp;T Comcast Transaction Agreements -- The Exchange Agreement -- QUIPS Exchange" is completed, the ownership percentage of AT&amp;T Comcast attributable to the AT&amp;T Broadband shareholders immediately following the mergers would increase due to the number of AT&amp;T Broadband shares issued to Microsoft as a result of the QUIPS exchange transaction, and the ownership attributable to AT&amp;T Broadband shareholders implied by the contribution analysis would increase accordingly.</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Credit Suisse First Boston and Goldman Sachs also reviewed the relative contributions of AT&amp;T Broadband Cable and of Comcast to AT&amp;T Comcast's first three fiscal quarters of 2001 EBITDA and estimated fiscal fourth quarter of 2001 EBITDA and estimated calendar years 2002 through 2004 EBITDA and to AT&amp;T Comcast's estimated calendar year 2001 cable subscribers and number of homes capable of cable subscription, based on AT&amp;T Broadband management case I and Comcast adjusted management case, both described above under the caption "Discounted Cash Flow Analysis." Credit Suisse First Boston and Goldman Sachs noted that this analysis indicated a range of contribution percentages by AT&amp;T Broadband to AT&amp;T Comcast of 37.9% to 57.0%.</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OTHER FACTORS</w:t>
      </w:r>
    </w:p>
    <w:p>
      <w:pPr>
        <w:spacing w:after="0" w:line="210" w:lineRule="exact"/>
        <w:rPr>
          <w:sz w:val="20"/>
          <w:szCs w:val="20"/>
          <w:color w:val="auto"/>
        </w:rPr>
      </w:pPr>
    </w:p>
    <w:p>
      <w:pPr>
        <w:ind w:right="2359" w:firstLine="524"/>
        <w:spacing w:after="0" w:line="254" w:lineRule="auto"/>
        <w:rPr>
          <w:sz w:val="20"/>
          <w:szCs w:val="20"/>
          <w:color w:val="auto"/>
        </w:rPr>
      </w:pPr>
      <w:r>
        <w:rPr>
          <w:rFonts w:ascii="Courier New" w:cs="Courier New" w:eastAsia="Courier New" w:hAnsi="Courier New"/>
          <w:sz w:val="17"/>
          <w:szCs w:val="17"/>
          <w:color w:val="auto"/>
        </w:rPr>
        <w:t>In the course of preparing its opinion, Credit Suisse First Boston and Goldman Sachs also reviewed and considered other information and data, including:</w:t>
      </w:r>
    </w:p>
    <w:p>
      <w:pPr>
        <w:spacing w:after="0" w:line="194" w:lineRule="exact"/>
        <w:rPr>
          <w:sz w:val="20"/>
          <w:szCs w:val="20"/>
          <w:color w:val="auto"/>
        </w:rPr>
      </w:pPr>
    </w:p>
    <w:p>
      <w:pPr>
        <w:ind w:left="740" w:right="1839" w:hanging="209"/>
        <w:spacing w:after="0" w:line="252" w:lineRule="auto"/>
        <w:tabs>
          <w:tab w:leader="none" w:pos="740"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enterprise reference range and reference range per 2001 AT&amp;T Broadband Cable subscriber of AT&amp;T Comcast, after giving effect to the mergers, implied by a range of selected EBITDA multiples for calendar years 2003 and 2004, after taking into account potential synergies anticipated by the managements of AT&amp;T, AT&amp;T Broadband and Comcast to result from the mergers and discounting the 2004 calendar year results to</w:t>
      </w:r>
    </w:p>
    <w:p>
      <w:pPr>
        <w:sectPr>
          <w:pgSz w:w="11900" w:h="16838" w:orient="portrait"/>
          <w:cols w:equalWidth="0" w:num="1">
            <w:col w:w="10219"/>
          </w:cols>
          <w:pgMar w:left="240" w:top="719" w:right="1440" w:bottom="0" w:gutter="0" w:footer="0" w:header="0"/>
        </w:sectPr>
      </w:pPr>
    </w:p>
    <w:bookmarkStart w:id="119" w:name="page120"/>
    <w:bookmarkEnd w:id="119"/>
    <w:p>
      <w:pPr>
        <w:ind w:left="209"/>
        <w:spacing w:after="0"/>
        <w:rPr>
          <w:sz w:val="20"/>
          <w:szCs w:val="20"/>
          <w:color w:val="auto"/>
        </w:rPr>
      </w:pPr>
      <w:r>
        <w:rPr>
          <w:rFonts w:ascii="Courier New" w:cs="Courier New" w:eastAsia="Courier New" w:hAnsi="Courier New"/>
          <w:sz w:val="17"/>
          <w:szCs w:val="17"/>
          <w:color w:val="auto"/>
        </w:rPr>
        <w:t>2001 year-end present values using a discount rate of 15%;</w:t>
      </w:r>
    </w:p>
    <w:p>
      <w:pPr>
        <w:spacing w:after="0" w:line="210" w:lineRule="exact"/>
        <w:rPr>
          <w:sz w:val="20"/>
          <w:szCs w:val="20"/>
          <w:color w:val="auto"/>
        </w:rPr>
      </w:pPr>
    </w:p>
    <w:p>
      <w:pPr>
        <w:ind w:left="209" w:right="1839" w:hanging="209"/>
        <w:spacing w:after="0" w:line="252" w:lineRule="auto"/>
        <w:tabs>
          <w:tab w:leader="none" w:pos="209"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estimated percentage changes in the current per share price of Comcast common stock after giving effect to the mergers, assuming a range of selected EBITDA multiples for calendar year 2003, before and after taking into account potential synergies anticipated by the managements of AT&amp;T, AT&amp;T Broadband and Comcast to result from the mergers; and</w:t>
      </w:r>
    </w:p>
    <w:p>
      <w:pPr>
        <w:spacing w:after="0" w:line="197" w:lineRule="exact"/>
        <w:rPr>
          <w:rFonts w:ascii="Courier New" w:cs="Courier New" w:eastAsia="Courier New" w:hAnsi="Courier New"/>
          <w:sz w:val="17"/>
          <w:szCs w:val="17"/>
          <w:color w:val="auto"/>
        </w:rPr>
      </w:pPr>
    </w:p>
    <w:p>
      <w:pPr>
        <w:ind w:left="209" w:right="2039" w:hanging="209"/>
        <w:spacing w:after="0" w:line="252" w:lineRule="auto"/>
        <w:tabs>
          <w:tab w:leader="none" w:pos="209"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possible credit rating of AT&amp;T Comcast, taking into account, among other things, AT&amp;T Comcast's estimated debt to EBITDA multiple for calendar years 2002, 2003 and 2004, after taking into account potential synergies anticipated by the managements of AT&amp;T, AT&amp;T Broadband and Comcast to result from the mergers.</w:t>
      </w:r>
    </w:p>
    <w:p>
      <w:pPr>
        <w:spacing w:after="0" w:line="197" w:lineRule="exact"/>
        <w:rPr>
          <w:sz w:val="20"/>
          <w:szCs w:val="20"/>
          <w:color w:val="auto"/>
        </w:rPr>
      </w:pPr>
    </w:p>
    <w:p>
      <w:pPr>
        <w:ind w:left="3449"/>
        <w:spacing w:after="0"/>
        <w:rPr>
          <w:sz w:val="20"/>
          <w:szCs w:val="20"/>
          <w:color w:val="auto"/>
        </w:rPr>
      </w:pPr>
      <w:r>
        <w:rPr>
          <w:rFonts w:ascii="Courier New" w:cs="Courier New" w:eastAsia="Courier New" w:hAnsi="Courier New"/>
          <w:sz w:val="17"/>
          <w:szCs w:val="17"/>
          <w:color w:val="auto"/>
        </w:rPr>
        <w:t>IV-19</w:t>
      </w:r>
    </w:p>
    <w:p>
      <w:pPr>
        <w:sectPr>
          <w:pgSz w:w="11900" w:h="16838" w:orient="portrait"/>
          <w:cols w:equalWidth="0" w:num="1">
            <w:col w:w="9688"/>
          </w:cols>
          <w:pgMar w:left="771" w:top="142"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7"/>
          <w:szCs w:val="17"/>
          <w:color w:val="auto"/>
        </w:rPr>
        <w:t>MISCELLANEOUS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has agreed to pay each of Credit Suisse First Boston and Goldman Sachs customary fees for their financial advisory services in connection with the proposed mergers. AT&amp;T also has agreed to reimburse Credit Suisse First Boston and Goldman Sachs for their reasonable out-of-pocket expenses, including fees and expenses of legal counsel, and to indemnify Credit Suisse First Boston and Goldman Sachs and related parties against liabilities, including liabilities under the federal securities laws, arising out of their respective engagements.</w:t>
      </w:r>
    </w:p>
    <w:p>
      <w:pPr>
        <w:spacing w:after="0" w:line="196"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Credit Suisse First Boston and its affiliates in the past have provided, and currently are providing, financial and investment banking services to AT&amp;T and some of its affiliates, and in the past have provided financial and investment banking services to Comcast and some of its affiliates unrelated to the proposed mergers, for which services Credit Suisse First Boston and its affiliates have received, and expect to receive, compensation.</w:t>
      </w:r>
    </w:p>
    <w:p>
      <w:pPr>
        <w:spacing w:after="0" w:line="197"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Goldman Sachs is familiar with AT&amp;T having provided investment banking services to AT&amp;T from time to time, including:</w:t>
      </w:r>
    </w:p>
    <w:p>
      <w:pPr>
        <w:spacing w:after="0" w:line="192" w:lineRule="exact"/>
        <w:rPr>
          <w:sz w:val="20"/>
          <w:szCs w:val="20"/>
          <w:color w:val="auto"/>
        </w:rPr>
      </w:pPr>
    </w:p>
    <w:p>
      <w:pPr>
        <w:ind w:left="740" w:right="1839" w:hanging="209"/>
        <w:spacing w:after="0" w:line="251" w:lineRule="auto"/>
        <w:tabs>
          <w:tab w:leader="none" w:pos="740"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financial advisor to AT&amp;T in connection with (i) its acquisition of Teleport Communications Group Inc. in July 1998, (ii) its acquisition of Tele-Communications Inc. in March 1999, (iii) its divestiture of a 50% interest in Lenfest Communications Inc. in January 2000, (iv) its divestiture of cable assets to Cox Communications, Inc. in March 2000, (v) its acquisition of MediaOne Group in June 2000, (vi) its acquisition of assets from Cablevision Systems Corporation in January 2001, (vii) its analysis, consideration and negotiation of revisions to AT&amp;T's put arrangements with Cox Communications, Inc. and Comcast involving At Home Corporation in May 2001, (viii) its distribution of the outstanding shares of common stock of AT&amp;T Wireless Inc. held by AT&amp;T to the holders of AT&amp;T common stock in July 2001, (ix) its debt-for-equity exchange offer involving AT&amp;T's remaining stake in AT&amp;T Wireless in July 2001, and (x) its transaction with BT Group plc relating to the unwinding of the Concert joint venture announced in October 2001;</w:t>
      </w:r>
    </w:p>
    <w:p>
      <w:pPr>
        <w:spacing w:after="0" w:line="201"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joint lead arranger in connection with the loan syndication of AT&amp;T's senior credit facility in April 1999, aggregate principal amount $30 billion, and joint lead arranger of its corporate revolving credit facility in December 2000, aggregate principal amount $25 billion, and in December 2001, aggregate principal amount $8 billion;</w:t>
      </w:r>
    </w:p>
    <w:p>
      <w:pPr>
        <w:spacing w:after="0" w:line="197" w:lineRule="exact"/>
        <w:rPr>
          <w:rFonts w:ascii="Courier New" w:cs="Courier New" w:eastAsia="Courier New" w:hAnsi="Courier New"/>
          <w:sz w:val="17"/>
          <w:szCs w:val="17"/>
          <w:color w:val="auto"/>
        </w:rPr>
      </w:pPr>
    </w:p>
    <w:p>
      <w:pPr>
        <w:ind w:left="740" w:right="2259" w:hanging="209"/>
        <w:spacing w:after="0" w:line="251" w:lineRule="auto"/>
        <w:tabs>
          <w:tab w:leader="none" w:pos="740"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joint bookrunner in connection with (i) the public offering of AT&amp;T Wireless Group tracking stock of AT&amp;T in April 2000,</w:t>
      </w:r>
    </w:p>
    <w:p>
      <w:pPr>
        <w:ind w:left="740" w:right="1839" w:firstLine="1"/>
        <w:spacing w:after="0" w:line="251" w:lineRule="auto"/>
        <w:tabs>
          <w:tab w:leader="none" w:pos="1264" w:val="left"/>
        </w:tabs>
        <w:numPr>
          <w:ilvl w:val="1"/>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public offering pursuant to Rule 144A of $1.65 billion aggregate principal amount of Notes of AT&amp;T due August 2002 in August 2001, and</w:t>
      </w:r>
    </w:p>
    <w:p>
      <w:pPr>
        <w:ind w:left="740" w:right="2359" w:firstLine="1"/>
        <w:spacing w:after="0" w:line="254" w:lineRule="auto"/>
        <w:tabs>
          <w:tab w:leader="none" w:pos="1368" w:val="left"/>
        </w:tabs>
        <w:numPr>
          <w:ilvl w:val="1"/>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public offering pursuant to Rule 144A of $10.1 billion aggregate principal amount of Notes of AT&amp;T in multiple tranches and currencies in November 2001;</w:t>
      </w:r>
    </w:p>
    <w:p>
      <w:pPr>
        <w:spacing w:after="0" w:line="194"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sole bookrunner in connection with the public offerings pursuant to Rule 144A of (i) $3.0 billion of aggregate principal amount of Notes of AT&amp;T due July 2000 in July 1999 and (ii) $6.0 billion of aggregate principal amount of Notes of AT&amp;T in multiple tranches due July 2001 in July 2000;</w:t>
      </w:r>
    </w:p>
    <w:p>
      <w:pPr>
        <w:spacing w:after="0" w:line="197"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dealer with respect to AT&amp;T's commercial paper program;</w:t>
      </w:r>
    </w:p>
    <w:p>
      <w:pPr>
        <w:spacing w:after="0" w:line="210" w:lineRule="exact"/>
        <w:rPr>
          <w:rFonts w:ascii="Courier New" w:cs="Courier New" w:eastAsia="Courier New" w:hAnsi="Courier New"/>
          <w:sz w:val="17"/>
          <w:szCs w:val="17"/>
          <w:color w:val="auto"/>
        </w:rPr>
      </w:pPr>
    </w:p>
    <w:p>
      <w:pPr>
        <w:ind w:left="740" w:right="2779" w:hanging="209"/>
        <w:spacing w:after="0" w:line="257" w:lineRule="auto"/>
        <w:tabs>
          <w:tab w:leader="none" w:pos="740"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financial advisor to AT&amp;T in connection with the restructuring announced by AT&amp;T in 2000; and</w:t>
      </w:r>
    </w:p>
    <w:p>
      <w:pPr>
        <w:spacing w:after="0" w:line="191"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a financial advisor to AT&amp;T in connection with, and having participated in some of the negotiations leading up to, the merger agreement, the separation and distribution agreement and the agreements referred to therein.</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IV-20</w:t>
      </w:r>
    </w:p>
    <w:p>
      <w:pPr>
        <w:sectPr>
          <w:pgSz w:w="11900" w:h="16838" w:orient="portrait"/>
          <w:cols w:equalWidth="0" w:num="1">
            <w:col w:w="10219"/>
          </w:cols>
          <w:pgMar w:left="240" w:top="719" w:right="1440" w:bottom="1440" w:gutter="0" w:footer="0" w:header="0"/>
        </w:sectPr>
      </w:pPr>
    </w:p>
    <w:bookmarkStart w:id="121" w:name="page122"/>
    <w:bookmarkEnd w:id="121"/>
    <w:p>
      <w:pPr>
        <w:ind w:right="1939" w:firstLine="524"/>
        <w:spacing w:after="0" w:line="257" w:lineRule="auto"/>
        <w:rPr>
          <w:sz w:val="20"/>
          <w:szCs w:val="20"/>
          <w:color w:val="auto"/>
        </w:rPr>
      </w:pPr>
      <w:r>
        <w:rPr>
          <w:rFonts w:ascii="Courier New" w:cs="Courier New" w:eastAsia="Courier New" w:hAnsi="Courier New"/>
          <w:sz w:val="17"/>
          <w:szCs w:val="17"/>
          <w:color w:val="auto"/>
        </w:rPr>
        <w:t>Goldman Sachs has also provided investment banking services to Comcast and its affiliates from time to time, including:</w:t>
      </w:r>
    </w:p>
    <w:p>
      <w:pPr>
        <w:spacing w:after="0" w:line="192" w:lineRule="exact"/>
        <w:rPr>
          <w:sz w:val="20"/>
          <w:szCs w:val="20"/>
          <w:color w:val="auto"/>
        </w:rPr>
      </w:pPr>
    </w:p>
    <w:p>
      <w:pPr>
        <w:ind w:left="740" w:right="1939" w:hanging="209"/>
        <w:spacing w:after="0" w:line="257" w:lineRule="auto"/>
        <w:tabs>
          <w:tab w:leader="none" w:pos="740"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co-manager with respect to the public offering of PHONES in March 1999, aggregate principal amount $870 million;</w:t>
      </w:r>
    </w:p>
    <w:p>
      <w:pPr>
        <w:spacing w:after="0" w:line="191"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joint lead agent on the $4.45 billion aggregate principal amount consent solicitation for various Comcast debt securities in July 2000; and</w:t>
      </w:r>
    </w:p>
    <w:p>
      <w:pPr>
        <w:spacing w:after="0" w:line="194"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co-manager with respect to the public offerings of (i) $0.5 billion aggregate principal amount of Comcast's 6.375% Senior Unsecured Notes due 2006 and $1.0 billion aggregate principal amount of Comcast's 3.75% Senior Notes due 2011 in January 2001, (ii) $0.75 billion aggregate principal amount of Comcast's 6.875% Senior Notes due 2009 in May 2001, and (iii) $0.75 billion aggregate principal amount of Comcast's 7.125% Senior Notes due 2013 in June 2001. Goldman Sachs may provide investment banking and advisory services to AT&amp;T, Comcast and their respective affiliates in the future.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Pursuant to contracts between AT&amp;T, a subsidiary of AT&amp;T Broadband and affiliates of Credit Suisse First Boston, the subsidiary of AT&amp;T Broadband is obligated to deliver to an affiliate of Credit Suisse First Boston either shares of Comcast Class A Special common stock or, following the mergers, AT&amp;T Comcast Class A Special common stock or cash in an amount derived from the value of the shares that would otherwise be delivered. In the ordinary course of business, each of Credit Suisse First Boston and Goldman Sachs and their affiliates may actively trade securities, including derivative securities, of AT&amp;T and Comcast and their respective affiliates and in the future may actively trade securities, including derivative securities, of AT&amp;T Comcast and its affiliates for their own accounts and for the accounts of customers and, accordingly, may at any time hold long or short positions in those securities.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IV-21</w:t>
      </w:r>
    </w:p>
    <w:p>
      <w:pPr>
        <w:sectPr>
          <w:pgSz w:w="11900" w:h="16838" w:orient="portrait"/>
          <w:cols w:equalWidth="0" w:num="1">
            <w:col w:w="10219"/>
          </w:cols>
          <w:pgMar w:left="240" w:top="719" w:right="1440" w:bottom="1440" w:gutter="0" w:footer="0" w:header="0"/>
        </w:sectPr>
      </w:pPr>
    </w:p>
    <w:bookmarkStart w:id="122" w:name="page123"/>
    <w:bookmarkEnd w:id="122"/>
    <w:p>
      <w:pPr>
        <w:jc w:val="center"/>
        <w:ind w:right="1839"/>
        <w:spacing w:after="0"/>
        <w:rPr>
          <w:sz w:val="20"/>
          <w:szCs w:val="20"/>
          <w:color w:val="auto"/>
        </w:rPr>
      </w:pPr>
      <w:r>
        <w:rPr>
          <w:rFonts w:ascii="Courier New" w:cs="Courier New" w:eastAsia="Courier New" w:hAnsi="Courier New"/>
          <w:sz w:val="17"/>
          <w:szCs w:val="17"/>
          <w:color w:val="auto"/>
        </w:rPr>
        <w:t>CHAPTER FIVE</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DESCRIPTION OF THE AT&amp;T COMCAST TRANSACTION AGREEMENTS</w:t>
      </w:r>
    </w:p>
    <w:p>
      <w:pPr>
        <w:spacing w:after="0" w:line="210" w:lineRule="exact"/>
        <w:rPr>
          <w:sz w:val="20"/>
          <w:szCs w:val="20"/>
          <w:color w:val="auto"/>
        </w:rPr>
      </w:pPr>
    </w:p>
    <w:p>
      <w:pPr>
        <w:ind w:right="2359" w:firstLine="524"/>
        <w:spacing w:after="0" w:line="252" w:lineRule="auto"/>
        <w:rPr>
          <w:sz w:val="20"/>
          <w:szCs w:val="20"/>
          <w:color w:val="auto"/>
        </w:rPr>
      </w:pPr>
      <w:r>
        <w:rPr>
          <w:rFonts w:ascii="Courier New" w:cs="Courier New" w:eastAsia="Courier New" w:hAnsi="Courier New"/>
          <w:sz w:val="17"/>
          <w:szCs w:val="17"/>
          <w:color w:val="auto"/>
        </w:rPr>
        <w:t>Except for the employee benefits agreement, this chapter describes the material terms of each of the AT&amp;T Comcast transaction agreements. For a description of the material terms of the employee benefits agreement, see "Employee Benefits Matters -- Other Benefits Matters -- Employee Benefits Agreement."</w:t>
      </w:r>
    </w:p>
    <w:p>
      <w:pPr>
        <w:spacing w:after="0" w:line="197"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THE MERGER AGREEMENT</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following summary of the merger agreement is qualified in its entirety by reference to the complete text of the merger agreement, which is incorporated by reference and attached as Annex A to this document.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STRUCTURE OF THE MERGERS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Acquisition Corp., a wholly owned subsidiary of AT&amp;T Comcast, will merge with and into AT&amp;T Broadband, with AT&amp;T Broadband continuing as the surviving corporation and a wholly owned subsidiary of AT&amp;T Comcast. This merger is referred to in this document as the "AT&amp;T Broadband merger." At approximately the same time, Comcast Acquisition Corp., a wholly owned subsidiary of AT&amp;T Comcast, will merge with and into Comcast, with Comcast continuing as the surviving corporation and a wholly owned subsidiary of AT&amp;T Comcast. This merger is referred to in this document as the "Comcast merger." After completion of the mergers, the shareholders of Comcast and AT&amp;T Broadband will be shareholders of AT&amp;T Comcast.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TIMING OF CLOSING</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The closing date for the transaction will occur as soon as practicable (and, in any event, within five business days) after satisfaction or waiver of all conditions to the mergers set forth in the merger agreement. The mergers will become effective after the separation and the AT&amp;T Broadband spin-off on the closing date for the transaction at a time that is mutually agreeable to Comcast and AT&amp;T.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 CONSIDERATION</w:t>
      </w:r>
    </w:p>
    <w:p>
      <w:pPr>
        <w:spacing w:after="0" w:line="210" w:lineRule="exact"/>
        <w:rPr>
          <w:sz w:val="20"/>
          <w:szCs w:val="20"/>
          <w:color w:val="auto"/>
        </w:rPr>
      </w:pPr>
    </w:p>
    <w:p>
      <w:pPr>
        <w:ind w:right="2259" w:firstLine="524"/>
        <w:spacing w:after="0" w:line="253" w:lineRule="auto"/>
        <w:rPr>
          <w:sz w:val="20"/>
          <w:szCs w:val="20"/>
          <w:color w:val="auto"/>
        </w:rPr>
      </w:pPr>
      <w:r>
        <w:rPr>
          <w:rFonts w:ascii="Courier New" w:cs="Courier New" w:eastAsia="Courier New" w:hAnsi="Courier New"/>
          <w:sz w:val="17"/>
          <w:szCs w:val="17"/>
          <w:color w:val="auto"/>
        </w:rPr>
        <w:t>The Preferred Structure. If holders of Comcast Class A common stock, voting as a single class, and holders of Comcast Class A common stock and Comcast Class B common stock, voting together as a single class, approve the preferred structure proposal:</w:t>
      </w:r>
    </w:p>
    <w:p>
      <w:pPr>
        <w:spacing w:after="0" w:line="195" w:lineRule="exact"/>
        <w:rPr>
          <w:sz w:val="20"/>
          <w:szCs w:val="20"/>
          <w:color w:val="auto"/>
        </w:rPr>
      </w:pPr>
    </w:p>
    <w:p>
      <w:pPr>
        <w:ind w:left="840" w:right="1939" w:hanging="309"/>
        <w:spacing w:after="0" w:line="251" w:lineRule="auto"/>
        <w:tabs>
          <w:tab w:leader="none" w:pos="840"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AT&amp;T Broadband common stock that is outstanding immediately prior to the completion of the mergers will be converted in</w:t>
      </w:r>
    </w:p>
    <w:tbl>
      <w:tblPr>
        <w:tblLayout w:type="fixed"/>
        <w:tblInd w:w="840" w:type="dxa"/>
        <w:tblCellMar>
          <w:top w:w="0" w:type="dxa"/>
          <w:left w:w="0" w:type="dxa"/>
          <w:bottom w:w="0" w:type="dxa"/>
          <w:right w:w="0" w:type="dxa"/>
        </w:tblCellMar>
      </w:tblPr>
      <w:tr>
        <w:trPr>
          <w:trHeight w:val="197"/>
        </w:trPr>
        <w:tc>
          <w:tcPr>
            <w:tcW w:w="1940" w:type="dxa"/>
            <w:vAlign w:val="bottom"/>
            <w:gridSpan w:val="2"/>
          </w:tcPr>
          <w:p>
            <w:pPr>
              <w:spacing w:after="0"/>
              <w:rPr>
                <w:sz w:val="20"/>
                <w:szCs w:val="20"/>
                <w:color w:val="auto"/>
              </w:rPr>
            </w:pPr>
            <w:r>
              <w:rPr>
                <w:rFonts w:ascii="Courier New" w:cs="Courier New" w:eastAsia="Courier New" w:hAnsi="Courier New"/>
                <w:sz w:val="17"/>
                <w:szCs w:val="17"/>
                <w:color w:val="auto"/>
              </w:rPr>
              <w:t>the AT&amp;T Broadband</w:t>
            </w:r>
          </w:p>
        </w:tc>
        <w:tc>
          <w:tcPr>
            <w:tcW w:w="12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merger into</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right to</w:t>
            </w:r>
          </w:p>
        </w:tc>
        <w:tc>
          <w:tcPr>
            <w:tcW w:w="1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receive a number</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of</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shares</w:t>
            </w:r>
          </w:p>
        </w:tc>
      </w:tr>
      <w:tr>
        <w:trPr>
          <w:trHeight w:val="201"/>
        </w:trPr>
        <w:tc>
          <w:tcPr>
            <w:tcW w:w="2260" w:type="dxa"/>
            <w:vAlign w:val="bottom"/>
            <w:gridSpan w:val="3"/>
          </w:tcPr>
          <w:p>
            <w:pPr>
              <w:spacing w:after="0"/>
              <w:rPr>
                <w:sz w:val="20"/>
                <w:szCs w:val="20"/>
                <w:color w:val="auto"/>
              </w:rPr>
            </w:pPr>
            <w:r>
              <w:rPr>
                <w:rFonts w:ascii="Courier New" w:cs="Courier New" w:eastAsia="Courier New" w:hAnsi="Courier New"/>
                <w:sz w:val="17"/>
                <w:szCs w:val="17"/>
                <w:color w:val="auto"/>
              </w:rPr>
              <w:t>of AT&amp;T Comcast Class</w:t>
            </w:r>
          </w:p>
        </w:tc>
        <w:tc>
          <w:tcPr>
            <w:tcW w:w="9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 common</w:t>
            </w:r>
          </w:p>
        </w:tc>
        <w:tc>
          <w:tcPr>
            <w:tcW w:w="23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stock determined by a</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formula</w:t>
            </w:r>
          </w:p>
        </w:tc>
        <w:tc>
          <w:tcPr>
            <w:tcW w:w="12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described</w:t>
            </w:r>
          </w:p>
        </w:tc>
      </w:tr>
      <w:tr>
        <w:trPr>
          <w:trHeight w:val="201"/>
        </w:trPr>
        <w:tc>
          <w:tcPr>
            <w:tcW w:w="2260" w:type="dxa"/>
            <w:vAlign w:val="bottom"/>
            <w:gridSpan w:val="3"/>
          </w:tcPr>
          <w:p>
            <w:pPr>
              <w:spacing w:after="0"/>
              <w:rPr>
                <w:sz w:val="20"/>
                <w:szCs w:val="20"/>
                <w:color w:val="auto"/>
              </w:rPr>
            </w:pPr>
            <w:r>
              <w:rPr>
                <w:rFonts w:ascii="Courier New" w:cs="Courier New" w:eastAsia="Courier New" w:hAnsi="Courier New"/>
                <w:sz w:val="17"/>
                <w:szCs w:val="17"/>
                <w:color w:val="auto"/>
              </w:rPr>
              <w:t>under "-- Calculation</w:t>
            </w:r>
          </w:p>
        </w:tc>
        <w:tc>
          <w:tcPr>
            <w:tcW w:w="32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9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the AT&amp;T Broadband</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Exchange</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Ratio" (if</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the AT&amp;T</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Broadband</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exchange</w:t>
            </w:r>
          </w:p>
        </w:tc>
        <w:tc>
          <w:tcPr>
            <w:tcW w:w="6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ratio</w:t>
            </w:r>
          </w:p>
        </w:tc>
        <w:tc>
          <w:tcPr>
            <w:tcW w:w="16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were determined</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as</w:t>
            </w:r>
          </w:p>
        </w:tc>
        <w:tc>
          <w:tcPr>
            <w:tcW w:w="21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of the date of this</w:t>
            </w:r>
          </w:p>
        </w:tc>
        <w:tc>
          <w:tcPr>
            <w:tcW w:w="880" w:type="dxa"/>
            <w:vAlign w:val="bottom"/>
          </w:tcPr>
          <w:p>
            <w:pPr>
              <w:spacing w:after="0"/>
              <w:rPr>
                <w:sz w:val="17"/>
                <w:szCs w:val="17"/>
                <w:color w:val="auto"/>
              </w:rPr>
            </w:pP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document,</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it would</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be</w:t>
            </w:r>
          </w:p>
        </w:tc>
        <w:tc>
          <w:tcPr>
            <w:tcW w:w="198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approximately</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and</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205" w:lineRule="exact"/>
        <w:rPr>
          <w:sz w:val="20"/>
          <w:szCs w:val="20"/>
          <w:color w:val="auto"/>
        </w:rPr>
      </w:pPr>
    </w:p>
    <w:p>
      <w:pPr>
        <w:ind w:left="840" w:right="1839" w:hanging="309"/>
        <w:spacing w:after="0" w:line="252" w:lineRule="auto"/>
        <w:tabs>
          <w:tab w:leader="none" w:pos="840"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1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AT&amp;T Comcast capital structure described above is referred to in this document as the "Preferred Structure." The rights of the classes of AT&amp;T Comcast common stock under the Preferred Structure are described under "Certain Legal Information -- Description of AT&amp;T Comcast Capital Stock."</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V-1</w:t>
      </w:r>
    </w:p>
    <w:p>
      <w:pPr>
        <w:sectPr>
          <w:pgSz w:w="11900" w:h="16838" w:orient="portrait"/>
          <w:cols w:equalWidth="0" w:num="1">
            <w:col w:w="10219"/>
          </w:cols>
          <w:pgMar w:left="240" w:top="719" w:right="1440" w:bottom="1440" w:gutter="0" w:footer="0" w:header="0"/>
        </w:sectPr>
      </w:pPr>
    </w:p>
    <w:bookmarkStart w:id="123" w:name="page124"/>
    <w:bookmarkEnd w:id="123"/>
    <w:p>
      <w:pPr>
        <w:ind w:right="1939" w:firstLine="524"/>
        <w:spacing w:after="0" w:line="253" w:lineRule="auto"/>
        <w:rPr>
          <w:sz w:val="20"/>
          <w:szCs w:val="20"/>
          <w:color w:val="auto"/>
        </w:rPr>
      </w:pPr>
      <w:r>
        <w:rPr>
          <w:rFonts w:ascii="Courier New" w:cs="Courier New" w:eastAsia="Courier New" w:hAnsi="Courier New"/>
          <w:sz w:val="17"/>
          <w:szCs w:val="17"/>
          <w:color w:val="auto"/>
        </w:rPr>
        <w:t>The Alternative Structure. If the holders of the Comcast Class A common stock, voting as a single class, or holders of Comcast Class A common stock and Comcast Class B common stock, voting together as a single class, do not approve the preferred structure proposal:</w:t>
      </w:r>
    </w:p>
    <w:p>
      <w:pPr>
        <w:spacing w:after="0" w:line="195" w:lineRule="exact"/>
        <w:rPr>
          <w:sz w:val="20"/>
          <w:szCs w:val="20"/>
          <w:color w:val="auto"/>
        </w:rPr>
      </w:pPr>
    </w:p>
    <w:p>
      <w:pPr>
        <w:ind w:left="840" w:right="1839" w:hanging="309"/>
        <w:spacing w:after="0" w:line="251" w:lineRule="auto"/>
        <w:tabs>
          <w:tab w:leader="none" w:pos="840"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AT&amp;T Broadband common stock that is outstanding immediately prior to the completion of the mergers will be converted in the AT&amp;T Broadband merger into the right to receive a number of shares of AT&amp;T Comcast Class C common stock determined by a formula described under "-- Calculation of the AT&amp;T Broadband Exchange Ratio" (if the AT&amp;T Broadband exchange ratio were determined as of the date of this</w:t>
      </w:r>
    </w:p>
    <w:p>
      <w:pPr>
        <w:ind w:left="840"/>
        <w:spacing w:after="0"/>
        <w:tabs>
          <w:tab w:leader="none" w:pos="5120" w:val="left"/>
        </w:tabs>
        <w:rPr>
          <w:sz w:val="20"/>
          <w:szCs w:val="20"/>
          <w:color w:val="auto"/>
        </w:rPr>
      </w:pPr>
      <w:r>
        <w:rPr>
          <w:rFonts w:ascii="Courier New" w:cs="Courier New" w:eastAsia="Courier New" w:hAnsi="Courier New"/>
          <w:sz w:val="17"/>
          <w:szCs w:val="17"/>
          <w:color w:val="auto"/>
        </w:rPr>
        <w:t>document, it would be approximately</w:t>
      </w:r>
      <w:r>
        <w:rPr>
          <w:sz w:val="20"/>
          <w:szCs w:val="20"/>
          <w:color w:val="auto"/>
        </w:rPr>
        <w:tab/>
      </w:r>
      <w:r>
        <w:rPr>
          <w:rFonts w:ascii="Courier New" w:cs="Courier New" w:eastAsia="Courier New" w:hAnsi="Courier New"/>
          <w:sz w:val="17"/>
          <w:szCs w:val="17"/>
          <w:color w:val="auto"/>
        </w:rPr>
        <w:t>); and</w:t>
      </w:r>
    </w:p>
    <w:p>
      <w:pPr>
        <w:spacing w:after="0" w:line="210" w:lineRule="exact"/>
        <w:rPr>
          <w:sz w:val="20"/>
          <w:szCs w:val="20"/>
          <w:color w:val="auto"/>
        </w:rPr>
      </w:pPr>
    </w:p>
    <w:p>
      <w:pPr>
        <w:ind w:left="840" w:right="1839" w:hanging="309"/>
        <w:spacing w:after="0" w:line="252" w:lineRule="auto"/>
        <w:tabs>
          <w:tab w:leader="none" w:pos="840"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197"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The AT&amp;T Comcast capital structure described above is referred to in this document as the "Alternative Structure." The rights of the classes of AT&amp;T Comcast common stock under the Alternative Structure are described in "Certain Legal Information -- Description of AT&amp;T Comcast Capital Stock."</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Potential Additional Payments. If there is a disparity in the per share value of the class of AT&amp;T Comcast common stock issued in the AT&amp;T Broadband merger and the AT&amp;T Comcast Class A Special common stock such that the shares of AT&amp;T Comcast common stock issued to the AT&amp;T Broadband shareholders in the AT&amp;T Broadband merger do not have a value in excess of 50% of the total value of the shares of AT&amp;T Comcast stock issued in the mergers, AT&amp;T Comcast will issue a number of additional shares of AT&amp;T Comcast stock to the same AT&amp;T Broadband shareholders sufficient to ensure that the AT&amp;T Broadband shareholders will hold shares of AT&amp;T Comcast stock representing more than 50% of the value of all shares of AT&amp;T Comcast stock issued in the mergers.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If, prior to the completion of the mergers, Standard &amp; Poor's has not committed that the class of AT&amp;T Comcast common stock to be issued in the AT&amp;T Broadband merger will be included in the Standard &amp; Poor's 500 Index immediately after completion of the mergers and during 10 trading days randomly selected from a post-closing pricing period the average trading price for such class of AT&amp;T Comcast common stock is less than that of the AT&amp;T Comcast Class A Special common stock, AT&amp;T Comcast will issue additional shares of such class of AT&amp;T Comcast common stock to the same AT&amp;T Broadband shareholders to offset such price differential; provided that (1) AT&amp;T Comcast will not be obligated pursuant to this provision to compensate AT&amp;T Broadband shareholders to the extent the price differential exceeds 3% and (2) the number of shares of AT&amp;T Comcast common stock that would otherwise be issued pursuant to this provision will be reduced by the number of shares (if any) issued by AT&amp;T Comcast as described in the preceding paragraph. Notwithstanding the foregoing, if the class of AT&amp;T Comcast common stock issued in the AT&amp;T Broadband merger is included in the Standard &amp; Poor's 500 Index prior to the close of the pricing period referred to above, AT&amp;T Comcast will have no obligation to issue additional shares of AT&amp;T Comcast common stock pursuant to this provision.</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V-2</w:t>
      </w:r>
    </w:p>
    <w:p>
      <w:pPr>
        <w:sectPr>
          <w:pgSz w:w="11900" w:h="16838" w:orient="portrait"/>
          <w:cols w:equalWidth="0" w:num="1">
            <w:col w:w="10219"/>
          </w:cols>
          <w:pgMar w:left="240" w:top="719"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7"/>
          <w:szCs w:val="17"/>
          <w:color w:val="auto"/>
        </w:rPr>
        <w:t>CALCULATION OF THE AT&amp;T BROADBAND EXCHANGE RATIO</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connection with the transaction, AT&amp;T Comcast will issue up to 1.235 billion shares of AT&amp;T Comcast common stock to the AT&amp;T shareholders who receive shares of AT&amp;T Broadband common stock in the AT&amp;T Broadband spin-off (not including 115 million shares of AT&amp;T Comcast common stock issued to Microsoft as a result of the QUIPS exchange transaction). The number of shares of AT&amp;T Comcast common stock that each holder of AT&amp;T Broadband common stock will receive in the AT&amp;T Broadband merger in exchange for each of such holder's shares of AT&amp;T Broadband common stock will be determined by the following formula: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1,235,000,000</w:t>
      </w:r>
    </w:p>
    <w:p>
      <w:pPr>
        <w:spacing w:after="0" w:line="9" w:lineRule="exact"/>
        <w:rPr>
          <w:sz w:val="20"/>
          <w:szCs w:val="20"/>
          <w:color w:val="auto"/>
        </w:rPr>
      </w:pPr>
    </w:p>
    <w:p>
      <w:pPr>
        <w:jc w:val="both"/>
        <w:ind w:left="60" w:right="8899" w:hanging="3"/>
        <w:spacing w:after="0" w:line="251" w:lineRule="auto"/>
        <w:tabs>
          <w:tab w:leader="none" w:pos="374"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(I+F)/C X = ----------</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800" w:hanging="324"/>
        <w:spacing w:after="0"/>
        <w:tabs>
          <w:tab w:leader="none" w:pos="800" w:val="left"/>
        </w:tabs>
        <w:numPr>
          <w:ilvl w:val="1"/>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exchange ratio (identified as "X" above) is calculated by reference to the number of shares of AT&amp;T Broadband common stock that is outstanding at the completion of the transaction (identified as "O" above). The merger agreement provides that this number "O" will include any outstanding restricted shares of AT&amp;T Broadband common stock that are not forfeited upon completion of the transaction but will exclude any shares of AT&amp;T Broadband common stock issued in the QUIPS exchange transaction, which is described under "Description of the AT&amp;T Comcast Transaction Agreements -- The Exchange Agreement -- QUIPS Exchange" or held by a wholly owned subsidiary of AT&amp;T Broadband and any shares of AT&amp;T Broadband common stock that were not issued on account of the purported exercise by an AT&amp;T shareholder of appraisal rights in connection with the AT&amp;T Comcast transaction (unless such purported exercise has been withdrawn or such rights have been invalidated).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exchange ratio is also calculated by reference to the cost to AT&amp;T Comcast of assuming certain stock options and stock appreciation rights that are held by employees of AT&amp;T Broadband and former employees of AT&amp;T and AT&amp;T Broadband. This latter cost is taken into account in the formula by subtracting the quantity (I+F)/C from 1.235 billion in the numerator where "I" is the value of stock options and stock appreciation rights outstanding on the day the merger agreement was signed and held by employees of AT&amp;T Broadband immediately prior to the closing date, "F" is the value of stock options and stock appreciation rights held by former employees that are being assumed by AT&amp;T Comcast and "C" is the market price of a share of Comcast Class A common stock immediately prior to completion of the transaction.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If the exchange ratio were determined as of the date of this document, it</w:t>
      </w:r>
    </w:p>
    <w:p>
      <w:pPr>
        <w:spacing w:after="0" w:line="9"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7"/>
          <w:szCs w:val="17"/>
          <w:color w:val="auto"/>
        </w:rPr>
        <w:t>would be approximately [</w:t>
      </w:r>
      <w:r>
        <w:rPr>
          <w:sz w:val="20"/>
          <w:szCs w:val="20"/>
          <w:color w:val="auto"/>
        </w:rPr>
        <w:tab/>
      </w:r>
      <w:r>
        <w:rPr>
          <w:rFonts w:ascii="Courier New" w:cs="Courier New" w:eastAsia="Courier New" w:hAnsi="Courier New"/>
          <w:sz w:val="17"/>
          <w:szCs w:val="17"/>
          <w:color w:val="auto"/>
        </w:rPr>
        <w: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As described above,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 The following is solely for purposes of illustrating the effects that certain actions taken in this interim period may have on the exchange ratio. Each paragraph of the following assumes that the only variable of the exchange ratio that changes is the one listed in that paragraph:</w:t>
      </w:r>
    </w:p>
    <w:p>
      <w:pPr>
        <w:spacing w:after="0" w:line="201" w:lineRule="exact"/>
        <w:rPr>
          <w:sz w:val="20"/>
          <w:szCs w:val="20"/>
          <w:color w:val="auto"/>
        </w:rPr>
      </w:pPr>
    </w:p>
    <w:p>
      <w:pPr>
        <w:ind w:left="840" w:right="1839" w:hanging="309"/>
        <w:spacing w:after="0" w:line="251" w:lineRule="auto"/>
        <w:tabs>
          <w:tab w:leader="none" w:pos="840"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AT&amp;T issues additional shares of AT&amp;T common stock before the record date for the AT&amp;T Broadband spin-off, the number of shares of AT&amp;T Broadband common stock distributed in the AT&amp;T Broadband spin-off will increase and the exchange ratio will therefore decrease. The merger agreement requires AT&amp;T to cause its subsidiary, TCI Pacific Communications, Inc., to call for redemption, and redeem, all of the outstanding shares of TCI Pacific Class A Senior Cumulative Exchangeable preferred stock, or the TCI Pacific preferred stock, prior to completion of the AT&amp;T Comcast transaction. If prior to the redemption date, the holders of the TCI Pacific preferred stock elect to exchange their shares for AT&amp;T common stock (as expected), AT&amp;T will be required to issue an estimated 52.3 million shares of AT&amp;T common stock. See</w:t>
      </w: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Covenants -- Redemption of TCI Pacific Preferred Stock." The</w:t>
      </w:r>
    </w:p>
    <w:p>
      <w:pPr>
        <w:spacing w:after="0" w:line="8" w:lineRule="exact"/>
        <w:rPr>
          <w:rFonts w:ascii="Courier New" w:cs="Courier New" w:eastAsia="Courier New" w:hAnsi="Courier New"/>
          <w:sz w:val="17"/>
          <w:szCs w:val="17"/>
          <w:color w:val="auto"/>
        </w:rPr>
      </w:pPr>
    </w:p>
    <w:p>
      <w:pPr>
        <w:ind w:left="840" w:right="18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ratio of [ ] referred to above assumes the issuance of 52.3 million shares of AT&amp;T common stock as discussed in the</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V-3</w:t>
      </w:r>
    </w:p>
    <w:p>
      <w:pPr>
        <w:sectPr>
          <w:pgSz w:w="11900" w:h="16838" w:orient="portrait"/>
          <w:cols w:equalWidth="0" w:num="1">
            <w:col w:w="10219"/>
          </w:cols>
          <w:pgMar w:left="240" w:top="719" w:right="1440" w:bottom="458" w:gutter="0" w:footer="0" w:header="0"/>
        </w:sectPr>
      </w:pPr>
    </w:p>
    <w:bookmarkStart w:id="125" w:name="page126"/>
    <w:bookmarkEnd w:id="125"/>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840" w:right="1939"/>
        <w:spacing w:after="0" w:line="251" w:lineRule="auto"/>
        <w:rPr>
          <w:sz w:val="20"/>
          <w:szCs w:val="20"/>
          <w:color w:val="auto"/>
        </w:rPr>
      </w:pPr>
      <w:r>
        <w:rPr>
          <w:rFonts w:ascii="Courier New" w:cs="Courier New" w:eastAsia="Courier New" w:hAnsi="Courier New"/>
          <w:sz w:val="17"/>
          <w:szCs w:val="17"/>
          <w:color w:val="auto"/>
        </w:rPr>
        <w:t>preceding sentence. In addition, the merger agreement permits AT&amp;T to issue up to 275 million shares of AT&amp;T common stock in connection with certain transactions. If AT&amp;T issues all 275 million shares of AT&amp;T common stock discussed in the preceding sentence prior to completion of</w:t>
      </w:r>
    </w:p>
    <w:p>
      <w:pPr>
        <w:ind w:left="840" w:right="2039"/>
        <w:spacing w:after="0" w:line="253" w:lineRule="auto"/>
        <w:rPr>
          <w:sz w:val="20"/>
          <w:szCs w:val="20"/>
          <w:color w:val="auto"/>
        </w:rPr>
      </w:pPr>
      <w:r>
        <w:rPr>
          <w:rFonts w:ascii="Courier New" w:cs="Courier New" w:eastAsia="Courier New" w:hAnsi="Courier New"/>
          <w:sz w:val="17"/>
          <w:szCs w:val="17"/>
          <w:color w:val="auto"/>
        </w:rPr>
        <w:t>the AT&amp;T Comcast transaction and the exchange ratio were determined as of the date of this document adjusted for such issuances and otherwise using then current information, the exchange ratio would be approximately [ ].</w:t>
      </w:r>
    </w:p>
    <w:p>
      <w:pPr>
        <w:spacing w:after="0" w:line="195" w:lineRule="exact"/>
        <w:rPr>
          <w:sz w:val="20"/>
          <w:szCs w:val="20"/>
          <w:color w:val="auto"/>
        </w:rPr>
      </w:pPr>
    </w:p>
    <w:p>
      <w:pPr>
        <w:ind w:left="840" w:right="1839" w:hanging="309"/>
        <w:spacing w:after="0" w:line="252" w:lineRule="auto"/>
        <w:tabs>
          <w:tab w:leader="none" w:pos="840"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stock price of AT&amp;T immediately prior to the AT&amp;T Broadband spin-off is less than the stock price of AT&amp;T as of the date of execution of the merger agreement, it will cost less for AT&amp;T Comcast to assume certain stock options and stock appreciation rights and the exchange ratio will increase.</w:t>
      </w:r>
    </w:p>
    <w:p>
      <w:pPr>
        <w:spacing w:after="0" w:line="197" w:lineRule="exact"/>
        <w:rPr>
          <w:rFonts w:ascii="Courier New" w:cs="Courier New" w:eastAsia="Courier New" w:hAnsi="Courier New"/>
          <w:sz w:val="17"/>
          <w:szCs w:val="17"/>
          <w:color w:val="auto"/>
        </w:rPr>
      </w:pPr>
    </w:p>
    <w:p>
      <w:pPr>
        <w:ind w:left="840" w:right="1939" w:hanging="309"/>
        <w:spacing w:after="0" w:line="252" w:lineRule="auto"/>
        <w:tabs>
          <w:tab w:leader="none" w:pos="840"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stock price of Comcast Class A common stock prior to the AT&amp;T Broadband spin-off is less than the stock price of Comcast Class A common stock as of the date of execution of the merger agreement, the cost to AT&amp;T Comcast of assuming certain stock options and stock appreciation rights (as expressed in terms of shares of Comcast Class A common stock) will increase and the exchange ratio will decrease.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OF SHARES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and Comcast will jointly designate an exchange agent to coordinate (1) the exchange of Comcast common stock in the Comcast merger for AT&amp;T Comcast common stock, (2) the distribution of AT&amp;T Comcast common stock in respect of the AT&amp;T Broadband common stock converted in the AT&amp;T Broadband merger and (3) the payment of cash to the former holders of AT&amp;T Broadband common stock instead of fractional shares of AT&amp;T Comcast common stock.</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As soon as reasonably practicable after completion of the mergers, the exchange agent will mail to each holder of record of a certificate that immediately prior to the completion of the mergers represented outstanding shares of Comcast common stock (1) a letter of transmittal and (2) instructions for effecting the surrender of the Comcast certificates in exchange for certificates representing shares of AT&amp;T Comcast common stock. Holders of certificates representing shares of Comcast common stock that surrender their certificates for cancellation to the exchange agent, together with a properly completed letter of transmittal and such other documents as may reasonably be required by the exchange agent will receive the appropriate merger consideration. Holders of unexchanged shares of Comcast common stock will not be entitled to receive any dividends or other distributions payable by AT&amp;T Comcast after the completion of the mergers until their certificates are surrendered.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will declare to holders of AT&amp;T common stock, NYSE symbol "T," a dividend of one share of AT&amp;T Broadband common stock for each such share of AT&amp;T common stock immediately prior to the completion of the mergers. Certificates representing these shares of AT&amp;T Broadband common stock will not be delivered. Instead, as soon as reasonably practicable after the completion of the mergers, the exchange agent will deliver to the holders entitled to the dividend of AT&amp;T Broadband common stock the appropriate merger consideration payable to those holders in respect of the AT&amp;T Broadband common stock. Those holders will not be required to deliver to the exchange agent certificates representing shares of AT&amp;T common stock or AT&amp;T Broadband common stock prior to receipt of certificates representing the shares of AT&amp;T Comcast common stock into which their shares of AT&amp;T Broadband common stock are converted in the AT&amp;T Broadband merger. Holders of AT&amp;T common stock, NYSE symbol "T," will continue to hold their certificates which, after completion of the AT&amp;T Broadband spin-off, will represent an interest in AT&amp;T's communications services business or, if AT&amp;T Consumer Services Group tracking stock has been issued, AT&amp;T Business Services Group (and AT&amp;T's retained portion of the value of AT&amp;T Consumer Services Group, if any). No distribution of AT&amp;T Broadband common stock will be made on shares of AT&amp;T Consumer Services Group tracking stock.</w:t>
      </w:r>
    </w:p>
    <w:p>
      <w:pPr>
        <w:spacing w:after="0" w:line="20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AT&amp;T Comcast will not issue any fractional shares in the AT&amp;T Broadband merger. Instead, as promptly as practicable after the completion of the mergers, the exchange agent will sell the "Excess Shares" of AT&amp;T Comcast common stock at then prevailing prices on The Nasdaq Stock Market.</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V-4</w:t>
      </w:r>
    </w:p>
    <w:p>
      <w:pPr>
        <w:sectPr>
          <w:pgSz w:w="11900" w:h="16838" w:orient="portrait"/>
          <w:cols w:equalWidth="0" w:num="1">
            <w:col w:w="10219"/>
          </w:cols>
          <w:pgMar w:left="240" w:top="518" w:right="1440" w:bottom="1440" w:gutter="0" w:footer="0" w:header="0"/>
        </w:sectPr>
      </w:pPr>
    </w:p>
    <w:bookmarkStart w:id="126" w:name="page127"/>
    <w:bookmarkEnd w:id="126"/>
    <w:p>
      <w:pPr>
        <w:ind w:right="1839"/>
        <w:spacing w:after="0" w:line="251" w:lineRule="auto"/>
        <w:rPr>
          <w:sz w:val="20"/>
          <w:szCs w:val="20"/>
          <w:color w:val="auto"/>
        </w:rPr>
      </w:pPr>
      <w:r>
        <w:rPr>
          <w:rFonts w:ascii="Courier New" w:cs="Courier New" w:eastAsia="Courier New" w:hAnsi="Courier New"/>
          <w:sz w:val="17"/>
          <w:szCs w:val="17"/>
          <w:color w:val="auto"/>
        </w:rPr>
        <w:t>"Excess Shares" means (1) the number of shares of AT&amp;T Comcast common stock delivered to the exchange agent by AT&amp;T Comcast in respect of the AT&amp;T Broadband merger less (2) the aggregate number of whole shares of AT&amp;T Comcast common stock to be distributed to the holders of AT&amp;T Broadband common stock in the AT&amp;T Broadband merger. As soon as practicable after the determination of the amount of cash to be paid to the holders of AT&amp;T Broadband common stock in lieu of any fractional share interests, the exchange agent will deliver such amounts to the applicable holders of AT&amp;T Broadband common stock.</w:t>
      </w:r>
    </w:p>
    <w:p>
      <w:pPr>
        <w:spacing w:after="0" w:line="201"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No fractional shares will be issuable in the Comcast merger because the Comcast exchange ratio is 1:1.</w:t>
      </w:r>
    </w:p>
    <w:p>
      <w:pPr>
        <w:spacing w:after="0" w:line="192"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In the event that any additional shares of AT&amp;T Comcast common stock will be issued as described under "-- Merger Consideration -- Potential Additional Payments," AT&amp;T Comcast will enter into appropriate arrangements with the exchange agent providing for the delivery of such additional shares.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TREATMENT OF STOCK OPTIONS AND EQUITY-BASED AWARDS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Stock Options. Immediately prior to the AT&amp;T Comcast transaction, as a part of the AT&amp;T Broadband spin-off, AT&amp;T stock options will be converted as described below pursuant to the employee benefits agreement (see "Employee Benefits Matters -- Other Benefits Matters"). In connection with the conversions, adjustments will be made to maintain the intrinsic value of the original AT&amp;T options immediately before and after the AT&amp;T Broadband spin-off:</w:t>
      </w:r>
    </w:p>
    <w:p>
      <w:pPr>
        <w:spacing w:after="0" w:line="197" w:lineRule="exact"/>
        <w:rPr>
          <w:sz w:val="20"/>
          <w:szCs w:val="20"/>
          <w:color w:val="auto"/>
        </w:rPr>
      </w:pPr>
    </w:p>
    <w:p>
      <w:pPr>
        <w:ind w:left="740" w:right="1839" w:hanging="209"/>
        <w:spacing w:after="0" w:line="253" w:lineRule="auto"/>
        <w:tabs>
          <w:tab w:leader="none" w:pos="740" w:val="left"/>
        </w:tabs>
        <w:numPr>
          <w:ilvl w:val="0"/>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held by current employees of AT&amp;T Broadband (including any AT&amp;T employees who become employees of AT&amp;T Broadband in connection with the AT&amp;T Broadband spin-off) will be converted into AT&amp;T Broadband stock options;</w:t>
      </w:r>
    </w:p>
    <w:p>
      <w:pPr>
        <w:spacing w:after="0" w:line="195"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held by current employees of AT&amp;T (other than employees of AT&amp;T Broadband) will be converted into adjusted AT&amp;T stock options; and</w:t>
      </w:r>
    </w:p>
    <w:p>
      <w:pPr>
        <w:spacing w:after="0" w:line="194" w:lineRule="exact"/>
        <w:rPr>
          <w:rFonts w:ascii="Courier New" w:cs="Courier New" w:eastAsia="Courier New" w:hAnsi="Courier New"/>
          <w:sz w:val="17"/>
          <w:szCs w:val="17"/>
          <w:color w:val="auto"/>
        </w:rPr>
      </w:pPr>
    </w:p>
    <w:p>
      <w:pPr>
        <w:ind w:left="740" w:right="2139" w:hanging="209"/>
        <w:spacing w:after="0" w:line="254" w:lineRule="auto"/>
        <w:tabs>
          <w:tab w:leader="none" w:pos="740" w:val="left"/>
        </w:tabs>
        <w:numPr>
          <w:ilvl w:val="0"/>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held by former employees of AT&amp;T and AT&amp;T Broadband will be converted into (1) adjusted AT&amp;T stock options and (2) AT&amp;T Broadband stock options.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Stock Options. As of completion of the AT&amp;T Comcast transaction, each outstanding AT&amp;T Broadband stock option will be converted, on the same terms and conditions, into an option to acquire that number of shares of AT&amp;T Comcast Indexed Stock that has the same fair market value immediately after the completion of the AT&amp;T Comcast transaction as the aggregate fair market value of shares of AT&amp;T common stock subject to the existing AT&amp;T Broadband stock option prior to the AT&amp;T Broadband spin-off less, in the case of former employees of AT&amp;T or AT&amp;T Broadband, the aggregate fair market value of the AT&amp;T common stock subject to the adjusted AT&amp;T stock option granted pursuant to the employee benefits agreement. The per share exercise price for each newly converted option will be equal to the aggregate exercise price of the applicable AT&amp;T Broadband stock option prior to the AT&amp;T Broadband spin-off (less, in the case of a former employee of AT&amp;T or AT&amp;T Broadband, the aggregate exercise price of the adjusted AT&amp;T stock option referred to above) divided by the number of shares of AT&amp;T Comcast Indexed Stock underlying such option. As of completion of the AT&amp;T Comcast transaction, each AT&amp;T Broadband stock option held by current AT&amp;T Broadband employees (including AT&amp;T employees who become AT&amp;T Broadband employees in the AT&amp;T Broadband spin-off) will have vested and will remain exercisable for the remainder of its original term (except for awards held by any AT&amp;T executive officer who has waived rights to vesting of certain equity awards as a result of the AT&amp;T Comcast transaction).</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Restricted Stock and other AT&amp;T Equity-Based Awards. Immediately prior to the AT&amp;T Comcast transaction, as a part of the AT&amp;T Broadband spin-off, AT&amp;T restricted stock and other equity-based awards will be converted as described below, pursuant to the employee benefits agreement (see "Employee Benefits Matters -- Other Benefits Matters"). In connection with the conversions, adjustments will be made to maintain the fair market value of the original AT&amp;T restricted stock or other equity-based award immediately before and after the AT&amp;T Broadband spin-off:</w:t>
      </w:r>
    </w:p>
    <w:p>
      <w:pPr>
        <w:spacing w:after="0" w:line="3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V-5</w:t>
      </w:r>
    </w:p>
    <w:p>
      <w:pPr>
        <w:sectPr>
          <w:pgSz w:w="11900" w:h="16838" w:orient="portrait"/>
          <w:cols w:equalWidth="0" w:num="1">
            <w:col w:w="10219"/>
          </w:cols>
          <w:pgMar w:left="240" w:top="719" w:right="1440" w:bottom="1440" w:gutter="0" w:footer="0" w:header="0"/>
        </w:sectPr>
      </w:pPr>
    </w:p>
    <w:bookmarkStart w:id="127" w:name="page128"/>
    <w:bookmarkEnd w:id="127"/>
    <w:p>
      <w:pPr>
        <w:ind w:left="740" w:right="2259" w:hanging="209"/>
        <w:spacing w:after="0" w:line="253" w:lineRule="auto"/>
        <w:tabs>
          <w:tab w:leader="none" w:pos="740"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restricted shares held by current employees of AT&amp;T (other than employees of AT&amp;T Broadband) will be converted into (1) adjusted AT&amp;T restricted shares and (2) equity-based awards based on AT&amp;T Broadband common stock;</w:t>
      </w:r>
    </w:p>
    <w:p>
      <w:pPr>
        <w:spacing w:after="0" w:line="195"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restricted shares held by current employees of AT&amp;T Broadband (including AT&amp;T employees who become employees of AT&amp;T Broadband in connection with the AT&amp;T Broadband spin-off) will be converted into (1) adjusted AT&amp;T restricted shares and (2) AT&amp;T Broadband restricted shares; and</w:t>
      </w:r>
    </w:p>
    <w:p>
      <w:pPr>
        <w:spacing w:after="0" w:line="197"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Restricted Stock and other AT&amp;T Broadband Equity-Based Awards. As of the completion of the AT&amp;T Comcast transaction, shares of AT&amp;T Broadband restricted stock will be converted into the right to receive AT&amp;T Comcast common stock on the terms and conditions applicable to AT&amp;T Broadband shareholders described above under "Merger Consideration." As of the completion of the AT&amp;T Comcast transaction, all other awards based on shares of AT&amp;T Broadband common stock will be converted, on the same terms and conditions, into equivalent awards based on that number of shares of AT&amp;T Comcast Indexed Stock having the same fair market value immediately after the completion of the AT&amp;T Comcast transaction as the aggregate fair market value of shares of AT&amp;T common stock subject to the original AT&amp;T equity awards. As of completion of the AT&amp;T Comcast transaction, each AT&amp;T Broadband restricted share will have become free of restrictions and each other equity-based award (based on AT&amp;T or AT&amp;T Broadband common stock) held by current and former AT&amp;T Broadband employees (including AT&amp;T employees who become AT&amp;T Broadband employees in the AT&amp;T Broadband spin-off) will have vested (except for awards held by any AT&amp;T executive officer who has waived rights to vesting of certain equity awards as a result of the AT&amp;T Comcast transaction).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Comcast Stock Options. As of the completion of the AT&amp;T Comcast transaction each outstanding Comcast stock option will be converted into an option to acquire, on the same terms and conditions, that number of shares of AT&amp;T Comcast Indexed Stock that has the same fair market value immediately after the completion of the AT&amp;T Comcast transaction as the aggregate fair market value of shares of Comcast Class A Special common stock subject to the existing Comcast stock option. The per share exercise price for each newly converted option will be equal to the aggregate exercise price of the applicable Comcast stock option divided by the number of shares of AT&amp;T Comcast Indexed Stock underlying such option.</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Comcast Restricted Stock and the Comcast Equity-Based Awards. As of the completion of the AT&amp;T Comcast transaction, shares of Comcast restricted stock will be converted into the right to receive AT&amp;T Comcast common stock on the terms and conditions applicable to Comcast shareholders described above under "Merger Consideration." As of the completion of the AT&amp;T Comcast transaction, other awards based on shares of Comcast Class A Special common stock will be converted, on the same terms and conditions, into equivalent awards based on that number of shares of AT&amp;T Comcast Indexed Stock having the same fair market value immediately after the completion of the transaction as the aggregate fair market value of shares of Comcast Class A Special common stock subject to the existing Comcast equity awards.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COVENANTS</w:t>
      </w:r>
    </w:p>
    <w:p>
      <w:pPr>
        <w:spacing w:after="0" w:line="210" w:lineRule="exact"/>
        <w:rPr>
          <w:sz w:val="20"/>
          <w:szCs w:val="20"/>
          <w:color w:val="auto"/>
        </w:rPr>
      </w:pPr>
    </w:p>
    <w:p>
      <w:pPr>
        <w:jc w:val="both"/>
        <w:ind w:right="2259" w:firstLine="524"/>
        <w:spacing w:after="0" w:line="257" w:lineRule="auto"/>
        <w:rPr>
          <w:sz w:val="20"/>
          <w:szCs w:val="20"/>
          <w:color w:val="auto"/>
        </w:rPr>
      </w:pPr>
      <w:r>
        <w:rPr>
          <w:rFonts w:ascii="Courier New" w:cs="Courier New" w:eastAsia="Courier New" w:hAnsi="Courier New"/>
          <w:sz w:val="17"/>
          <w:szCs w:val="17"/>
          <w:color w:val="auto"/>
        </w:rPr>
        <w:t>Each of Comcast and AT&amp;T has undertaken certain covenants in the merger agreement. The following summarizes the more significant of these covenants.</w:t>
      </w:r>
    </w:p>
    <w:p>
      <w:pPr>
        <w:spacing w:after="0" w:line="192"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Interim Operations. Comcast and AT&amp;T (with respect to its broadband business) have agreed to conduct their business in the ordinary course consistent with past practice and to not engage in specified material transactions, in each case prior to the completion of the transaction, without the prior written consent of the other party (which consent will not be unreasonably withheld). AT&amp;T has also agreed not to enter into any material agreement or arrangement relating to its interest in amend or modify in any</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V-6</w:t>
      </w:r>
    </w:p>
    <w:p>
      <w:pPr>
        <w:sectPr>
          <w:pgSz w:w="11900" w:h="16838" w:orient="portrait"/>
          <w:cols w:equalWidth="0" w:num="1">
            <w:col w:w="10219"/>
          </w:cols>
          <w:pgMar w:left="240" w:top="719" w:right="1440" w:bottom="1062" w:gutter="0" w:footer="0" w:header="0"/>
        </w:sectPr>
      </w:pPr>
    </w:p>
    <w:bookmarkStart w:id="128" w:name="page129"/>
    <w:bookmarkEnd w:id="128"/>
    <w:p>
      <w:pPr>
        <w:ind w:right="1839"/>
        <w:spacing w:after="0" w:line="251" w:lineRule="auto"/>
        <w:rPr>
          <w:sz w:val="20"/>
          <w:szCs w:val="20"/>
          <w:color w:val="auto"/>
        </w:rPr>
      </w:pPr>
      <w:r>
        <w:rPr>
          <w:rFonts w:ascii="Courier New" w:cs="Courier New" w:eastAsia="Courier New" w:hAnsi="Courier New"/>
          <w:sz w:val="17"/>
          <w:szCs w:val="17"/>
          <w:color w:val="auto"/>
        </w:rPr>
        <w:t>material respect any of its existing material contracts relating to Time Warner Entertainment, acquire (other than pursuant to a cashless exercise of an option currently held by AT&amp;T) additional interests in Time Warner Entertainment or sell any part of its interest in Time Warner Entertainment, except solely for cash or pursuant to the registration provisions of the Time Warner Entertainment partnership agreement, in each case prior to the completion of the AT&amp;T Comcast transaction, without the prior written consent of Comcast (which consent will not be unreasonably withheld). AT&amp;T has further agreed to run its broadband business for the benefit of the broadband business prior to the completion of the AT&amp;T Comcast transaction.</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Covenant to Obtain Regulatory Approvals. AT&amp;T and Comcast have agreed to use their best efforts to promptly take all actions and to do all things necessary, proper or advisable under applicable laws and regulations to complete the AT&amp;T Comcast transaction as soon as practicable. In addition, AT&amp;T and Comcast have agreed to take all actions necessary to obtain all required FCC approvals and the expiration or termination of the waiting period under the Hart-Scott-Rodino Antitrust Improvements Act of 1976.</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Board's Covenant to Recommend and Hold Meeting. The AT&amp;T Board has agreed to recommend approval and adoption of the merger agreement and the transactions contemplated by the merger agreement to AT&amp;T shareholders. However, the AT&amp;T Board is permitted to withdraw or modify, in a manner adverse to Comcast, this recommendation if:</w:t>
      </w:r>
    </w:p>
    <w:p>
      <w:pPr>
        <w:spacing w:after="0" w:line="197" w:lineRule="exact"/>
        <w:rPr>
          <w:sz w:val="20"/>
          <w:szCs w:val="20"/>
          <w:color w:val="auto"/>
        </w:rPr>
      </w:pPr>
    </w:p>
    <w:p>
      <w:pPr>
        <w:ind w:left="740" w:right="1939" w:hanging="209"/>
        <w:spacing w:after="0" w:line="253" w:lineRule="auto"/>
        <w:tabs>
          <w:tab w:leader="none" w:pos="740"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is in compliance with its obligations to notify Comcast promptly after its receipt of an Acquisition Proposal (as described below) and to keep Comcast fully informed of the status and details of any such Acquisition Proposal;</w:t>
      </w:r>
    </w:p>
    <w:p>
      <w:pPr>
        <w:spacing w:after="0" w:line="195" w:lineRule="exact"/>
        <w:rPr>
          <w:rFonts w:ascii="Courier New" w:cs="Courier New" w:eastAsia="Courier New" w:hAnsi="Courier New"/>
          <w:sz w:val="17"/>
          <w:szCs w:val="17"/>
          <w:color w:val="auto"/>
        </w:rPr>
      </w:pPr>
    </w:p>
    <w:p>
      <w:pPr>
        <w:ind w:left="740" w:right="2259" w:hanging="209"/>
        <w:spacing w:after="0" w:line="254" w:lineRule="auto"/>
        <w:tabs>
          <w:tab w:leader="none" w:pos="740"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determines, after consulting with AT&amp;T's outside legal counsel, that it must take such action to comply with its fiduciary duties under applicable law; and</w:t>
      </w:r>
    </w:p>
    <w:p>
      <w:pPr>
        <w:spacing w:after="0" w:line="194"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has delivered to Comcast a prior written notice advising Comcast that it intends to take such action and describing its reasons for taking such action (such notice to be delivered not less than two business days prior to the time such action is taken).</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An "Acquisition Proposal" is defined in the merger agreement generally as any offer or proposal by any third party for, or any indication of interest in, certain transactions, including any transaction (1) the entering into or consummation of which would reasonably be expected to be inconsistent in any material respect with the AT&amp;T Comcast transaction or (2) that would reasonably be expected to prevent or materially delay, impede or adversely affect the AT&amp;T Comcast transaction (provided that certain transactions involving AT&amp;T's communications business that might delay completion of the AT&amp;T Comcast transaction will not be considered "Acquisition Proposals").</w:t>
      </w:r>
    </w:p>
    <w:p>
      <w:pPr>
        <w:spacing w:after="0" w:line="201"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Subject to applicable law, AT&amp;T is required to submit the merger agreement to AT&amp;T shareholders at the AT&amp;T meeting even if the AT&amp;T Board determines at any time after the date of this document and prior to the AT&amp;T meeting that it is no longer advisable or recommends that AT&amp;T shareholders reject it.</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No Solicitation. AT&amp;T is prohibited from soliciting or encouraging Acquisition Proposals from third parties or from providing nonpublic information to or engaging in negotiations with any third party that has made or is known by AT&amp;T to be considering making an Acquisition Proposal. However, AT&amp;T may furnish nonpublic information and engage in negotiations with a third party that has made an unsolicited Acquisition Proposal if the AT&amp;T Board determines, after consultation with its financial advisors and outside legal counsel, that such Acquisition Proposal would reasonably be expected to lead to a proposal that would be more favorable to the AT&amp;T shareholders than the AT&amp;T Comcast transaction; provided that prior to taking any of such actions:</w:t>
      </w:r>
    </w:p>
    <w:p>
      <w:pPr>
        <w:spacing w:after="0" w:line="201" w:lineRule="exact"/>
        <w:rPr>
          <w:sz w:val="20"/>
          <w:szCs w:val="20"/>
          <w:color w:val="auto"/>
        </w:rPr>
      </w:pPr>
    </w:p>
    <w:p>
      <w:pPr>
        <w:ind w:left="740" w:right="2139" w:hanging="209"/>
        <w:spacing w:after="0" w:line="254" w:lineRule="auto"/>
        <w:tabs>
          <w:tab w:leader="none" w:pos="740"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is in compliance with its obligations to notify Comcast promptly after its receipt of an Acquisition Proposal and to keep Comcast fully informed of the status and details of any such Acquisition Proposal;</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V-7</w:t>
      </w:r>
    </w:p>
    <w:p>
      <w:pPr>
        <w:sectPr>
          <w:pgSz w:w="11900" w:h="16838" w:orient="portrait"/>
          <w:cols w:equalWidth="0" w:num="1">
            <w:col w:w="10219"/>
          </w:cols>
          <w:pgMar w:left="240" w:top="719" w:right="1440" w:bottom="1440" w:gutter="0" w:footer="0" w:header="0"/>
        </w:sectPr>
      </w:pPr>
    </w:p>
    <w:bookmarkStart w:id="129" w:name="page130"/>
    <w:bookmarkEnd w:id="129"/>
    <w:p>
      <w:pPr>
        <w:ind w:left="740" w:right="2259" w:hanging="209"/>
        <w:spacing w:after="0" w:line="254" w:lineRule="auto"/>
        <w:tabs>
          <w:tab w:leader="none" w:pos="740"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determines, after consulting with AT&amp;T's outside legal counsel, that it must take such action to comply with its fiduciary duties under applicable law; and</w:t>
      </w:r>
    </w:p>
    <w:p>
      <w:pPr>
        <w:spacing w:after="0" w:line="194"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third party executes a confidentiality agreement with terms no less favorable in the aggregate to AT&amp;T than those contained in the confidentiality agreement between AT&amp;T and Comcast.</w:t>
      </w:r>
    </w:p>
    <w:p>
      <w:pPr>
        <w:spacing w:after="0" w:line="194" w:lineRule="exact"/>
        <w:rPr>
          <w:sz w:val="20"/>
          <w:szCs w:val="20"/>
          <w:color w:val="auto"/>
        </w:rPr>
      </w:pPr>
    </w:p>
    <w:p>
      <w:pPr>
        <w:jc w:val="both"/>
        <w:ind w:right="2259" w:firstLine="524"/>
        <w:spacing w:after="0" w:line="254" w:lineRule="auto"/>
        <w:rPr>
          <w:sz w:val="20"/>
          <w:szCs w:val="20"/>
          <w:color w:val="auto"/>
        </w:rPr>
      </w:pPr>
      <w:r>
        <w:rPr>
          <w:rFonts w:ascii="Courier New" w:cs="Courier New" w:eastAsia="Courier New" w:hAnsi="Courier New"/>
          <w:sz w:val="17"/>
          <w:szCs w:val="17"/>
          <w:color w:val="auto"/>
        </w:rPr>
        <w:t>Comcast Board's Covenant to Recommend. The Comcast Board has agreed to recommend approval and adoption of the merger agreement and the transactions contemplated by the merger agreement to Comcast shareholders.</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Interim Finance Committee. Comcast and AT&amp;T have agreed to establish an Interim Finance Committee composed of Lawrence S. Smith, Executive Vice President of Comcast, and Charles H. Noski, Senior Executive Vice President and Chief Financial Officer of AT&amp;T, for the purpose of engaging in financial planning for AT&amp;T Broadband. The Interim Finance Committee will seek to arrange financing in an amount sufficient to:</w:t>
      </w:r>
    </w:p>
    <w:p>
      <w:pPr>
        <w:spacing w:after="0" w:line="197" w:lineRule="exact"/>
        <w:rPr>
          <w:sz w:val="20"/>
          <w:szCs w:val="20"/>
          <w:color w:val="auto"/>
        </w:rPr>
      </w:pPr>
    </w:p>
    <w:p>
      <w:pPr>
        <w:ind w:left="740" w:right="1839" w:hanging="209"/>
        <w:spacing w:after="0" w:line="257" w:lineRule="auto"/>
        <w:tabs>
          <w:tab w:leader="none" w:pos="740"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to AT&amp;T at the closing of the transaction all debt owed to it by AT&amp;T Broadband;</w:t>
      </w:r>
    </w:p>
    <w:p>
      <w:pPr>
        <w:spacing w:after="0" w:line="191" w:lineRule="exact"/>
        <w:rPr>
          <w:rFonts w:ascii="Courier New" w:cs="Courier New" w:eastAsia="Courier New" w:hAnsi="Courier New"/>
          <w:sz w:val="17"/>
          <w:szCs w:val="17"/>
          <w:color w:val="auto"/>
        </w:rPr>
      </w:pPr>
    </w:p>
    <w:p>
      <w:pPr>
        <w:ind w:left="740" w:right="1939" w:hanging="209"/>
        <w:spacing w:after="0" w:line="251" w:lineRule="auto"/>
        <w:tabs>
          <w:tab w:leader="none" w:pos="740"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refinance certain AT&amp;T Broadband debt that will be called for redemption on the closing date for the transaction or shortly thereafter (see</w:t>
      </w: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TOPrS Covenant"); and</w:t>
      </w:r>
    </w:p>
    <w:p>
      <w:pPr>
        <w:spacing w:after="0" w:line="210" w:lineRule="exact"/>
        <w:rPr>
          <w:rFonts w:ascii="Courier New" w:cs="Courier New" w:eastAsia="Courier New" w:hAnsi="Courier New"/>
          <w:sz w:val="17"/>
          <w:szCs w:val="17"/>
          <w:color w:val="auto"/>
        </w:rPr>
      </w:pPr>
    </w:p>
    <w:p>
      <w:pPr>
        <w:ind w:left="740" w:right="2779" w:hanging="209"/>
        <w:spacing w:after="0" w:line="257" w:lineRule="auto"/>
        <w:tabs>
          <w:tab w:leader="none" w:pos="740"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appropriate cash reserves to fund the operations of AT&amp;T Broadband after the completion of the transaction.</w:t>
      </w:r>
    </w:p>
    <w:p>
      <w:pPr>
        <w:spacing w:after="0" w:line="19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If Comcast is unable to obtain the financing described above on the terms agreed upon by the Interim Finance Committee or the Interim Finance Committee is unable to agree on the terms of such financing, Comcast will arrange for a senior credit facility with a term not exceeding five years to provide such financing.</w:t>
      </w:r>
    </w:p>
    <w:p>
      <w:pPr>
        <w:spacing w:after="0" w:line="3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TOPrS Covenant. AT&amp;T Comcast has agreed that on the closing date for the transaction, it will either call for redemption the AT&amp;T Broadband debt known by the acronym TOPrS that is then redeemable (and which has not been redeemed prior to that date) and as to which AT&amp;T has guaranteed certain obligations, cause AT&amp;T to be released from any such guarantee or post a letter of credit in respect of such debt. With respect to any series of TOPrS that is not redeemable on the closing date for the transaction and as to which AT&amp;T has guaranteed certain obligations, AT&amp;T Comcast has agreed on the earliest date on which such series of TOPrS may be redeemed to either redeem such series of TOPrS, cause AT&amp;T to be released from any such guarantee or post a letter of credit in respect of such debt. As of the date of this filing, AT&amp;T has announced that approximately $1.3 billion of the outstanding TOPrS will be redeemed in February and March 2002.</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QUIPS Failure. Comcast and AT&amp;T have agreed that if on the date that would otherwise be the closing date for the AT&amp;T Comcast transaction the QUIPS exchange transaction does not occur (the "QUIPS Failure Date"), the closing date for the AT&amp;T Comcast transaction may be delayed for up to 180 days after the QUIPS Failure Date. During this period, AT&amp;T and Comcast will use commercially reasonable efforts to complete the QUIPS exchange transaction or, if it appears reasonably likely that the QUIPS exchange transaction will not occur, the transfer of the obligations under the QUIPS (the "QUIPS Transfer") from AT&amp;T to AT&amp;T Broadband, in either case on the closing date for the AT&amp;T Comcast transaction. If neither the QUIPS exchange transaction nor the QUIPS Transfer occurs on the closing date for the AT&amp;T Comcast transaction during such period, AT&amp;T Broadband will pay AT&amp;T an additional amount at closing equal to the fair market value of the QUIPS, as determined pursuant to an appraisal process specified in the merger agreement. In such event, Comcast will be permitted to sell assets and take any other actions that are necessary or reasonably designed to enable it to provide AT&amp;T Broadband with sufficient funds to pay AT&amp;T the QUIPS fair market value.</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Covenant Regarding Standard &amp; Poor's 500 Index. AT&amp;T Comcast, Comcast and AT&amp;T have each agreed to use their reasonable best efforts to cause the AT&amp;T Comcast common stock to be issued in the AT&amp;T Broadband merger (i.e., AT&amp;T Comcast Class A common stock under the Preferred Structure and AT&amp;T Comcast Class C common stock under the Alternative Structure) to be included in the</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V-8</w:t>
      </w:r>
    </w:p>
    <w:p>
      <w:pPr>
        <w:sectPr>
          <w:pgSz w:w="11900" w:h="16838" w:orient="portrait"/>
          <w:cols w:equalWidth="0" w:num="1">
            <w:col w:w="10219"/>
          </w:cols>
          <w:pgMar w:left="240" w:top="719" w:right="1440" w:bottom="659" w:gutter="0" w:footer="0" w:header="0"/>
        </w:sectPr>
      </w:pPr>
    </w:p>
    <w:bookmarkStart w:id="130" w:name="page131"/>
    <w:bookmarkEnd w:id="130"/>
    <w:p>
      <w:pPr>
        <w:ind w:right="2039"/>
        <w:spacing w:after="0" w:line="257" w:lineRule="auto"/>
        <w:rPr>
          <w:sz w:val="20"/>
          <w:szCs w:val="20"/>
          <w:color w:val="auto"/>
        </w:rPr>
      </w:pPr>
      <w:r>
        <w:rPr>
          <w:rFonts w:ascii="Courier New" w:cs="Courier New" w:eastAsia="Courier New" w:hAnsi="Courier New"/>
          <w:sz w:val="17"/>
          <w:szCs w:val="17"/>
          <w:color w:val="auto"/>
        </w:rPr>
        <w:t>Standard &amp; Poor's 500 Index upon completion of the AT&amp;T Comcast transaction or as promptly thereafter as possible.</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Covenant Permitting Certain AT&amp;T Transactions. Comcast and AT&amp;T have agreed that AT&amp;T may enter into an agreement relating to a transaction providing for the sale or disposition of more than 50% of AT&amp;T's communications businesses that would delay completion of the mergers (a "Significant Excepted Transaction") if such Significant Excepted Transaction would not reasonably be expected to result in a delay in the completion of the mergers past March 1, 2003, the date on or after which Comcast or AT&amp;T may elect to terminate the merger agreement if the mergers have not closed (the "End Date"); provided that, in such event, at the request of Comcast, the End Date will be extended by the reasonably expected period of delay in the completion of the mergers caused by such Significant Excepted Transaction up to sixty days.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Comcast and AT&amp;T have also agreed that AT&amp;T may enter into an agreement relating to a Significant Excepted Transaction that would reasonably be expected to result in a delay in the completion of the mergers past the End Date but which would not reasonably be expected to result in a delay in the completion of the mergers to a date that is more than sixty days after the End Date; provided that (1) Microsoft consents to extend the "end" date for the QUIPS exchange transaction to the date after the End Date (which date will be no later than sixty days after the End Date) on which it is reasonably anticipated that the mergers would be completed if the Significant Excepted Transaction were to occur, (2) the End Date is extended to the new "end" date for the QUIPS exchange transaction and (3) AT&amp;T (and not AT&amp;T Broadband) agrees to pay any costs, expenses or fees payable in connection with obtaining Microsoft's consent to the extension of the "end" date for the QUIPS exchange transaction.</w:t>
      </w:r>
    </w:p>
    <w:p>
      <w:pPr>
        <w:spacing w:after="0" w:line="201"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AT&amp;T has agreed that it will not enter into any agreement relating to a Significant Excepted Transaction that would reasonably be expected to result in a delay in the completion of the mergers to a date that is more than sixty days after the End Date.</w:t>
      </w:r>
    </w:p>
    <w:p>
      <w:pPr>
        <w:spacing w:after="0" w:line="195"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Headquarters. Upon completion of the transaction, Comcast and AT&amp;T have agreed that AT&amp;T Comcast's headquarters will be in Philadelphia, Pennsylvania. Until the 2005 annual meeting of AT&amp;T Comcast shareholders, AT&amp;T Comcast will maintain an executive office in the New York City metropolitan area.</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Alternative Structure. Comcast and AT&amp;T have agreed that, at the request of the other party, it will consider amending the terms of the merger agreement to the extent necessary to provide for a structure or a sequencing of the mergers that is more tax efficient or otherwise more advantageous than the structure and sequencing of the mergers described in this document and is not adverse to the other party.</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Shareholder Rights Plan. Comcast and AT&amp;T have agreed to cause AT&amp;T Comcast to adopt a shareholder rights plan upon completion of the AT&amp;T Comcast transaction. For a description of the terms of the shareholder rights plan that AT&amp;T Comcast will adopt, see "Certain Legal Information -- Description of AT&amp;T Comcast Shareholder Rights Plan."</w:t>
      </w:r>
    </w:p>
    <w:p>
      <w:pPr>
        <w:spacing w:after="0" w:line="1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Post-Transaction Governance Arrangements. Comcast and AT&amp;T have agreed to various governance arrangements for AT&amp;T Comcast after the completion of the AT&amp;T Comcast transaction. For a description of these arrangements, see "Description of Governance Arrangements Following the AT&amp;T Comcast Transaction."</w:t>
      </w:r>
    </w:p>
    <w:p>
      <w:pPr>
        <w:spacing w:after="0" w:line="195"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Indemnification and Insurance. Comcast and AT&amp;T have agreed to various indemnification and insurance arrangements for officers and directors of AT&amp;T, Comcast and their respective subsidiaries after the completion of the AT&amp;T Comcast transaction. For a description of these arrangements, see "Employee Benefits Matters -- Interests of Directors and Officers in the AT&amp;T Comcast Transaction -- Indemnification and Insurance."</w:t>
      </w:r>
    </w:p>
    <w:p>
      <w:pPr>
        <w:spacing w:after="0" w:line="197" w:lineRule="exact"/>
        <w:rPr>
          <w:sz w:val="20"/>
          <w:szCs w:val="20"/>
          <w:color w:val="auto"/>
        </w:rPr>
      </w:pPr>
    </w:p>
    <w:p>
      <w:pPr>
        <w:ind w:right="2259" w:firstLine="524"/>
        <w:spacing w:after="0" w:line="254" w:lineRule="auto"/>
        <w:rPr>
          <w:sz w:val="20"/>
          <w:szCs w:val="20"/>
          <w:color w:val="auto"/>
        </w:rPr>
      </w:pPr>
      <w:r>
        <w:rPr>
          <w:rFonts w:ascii="Courier New" w:cs="Courier New" w:eastAsia="Courier New" w:hAnsi="Courier New"/>
          <w:sz w:val="17"/>
          <w:szCs w:val="17"/>
          <w:color w:val="auto"/>
        </w:rPr>
        <w:t>Employee Benefits Matters. Comcast and AT&amp;T have agreed to various employee benefits matters. For a description of these matters, see "Employee Benefits Matters."</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V-9</w:t>
      </w:r>
    </w:p>
    <w:p>
      <w:pPr>
        <w:sectPr>
          <w:pgSz w:w="11900" w:h="16838" w:orient="portrait"/>
          <w:cols w:equalWidth="0" w:num="1">
            <w:col w:w="10219"/>
          </w:cols>
          <w:pgMar w:left="240" w:top="719" w:right="1440" w:bottom="1440" w:gutter="0" w:footer="0" w:header="0"/>
        </w:sectPr>
      </w:pPr>
    </w:p>
    <w:bookmarkStart w:id="131" w:name="page132"/>
    <w:bookmarkEnd w:id="131"/>
    <w:p>
      <w:pPr>
        <w:ind w:right="2139" w:firstLine="524"/>
        <w:spacing w:after="0" w:line="257" w:lineRule="auto"/>
        <w:rPr>
          <w:sz w:val="20"/>
          <w:szCs w:val="20"/>
          <w:color w:val="auto"/>
        </w:rPr>
      </w:pPr>
      <w:r>
        <w:rPr>
          <w:rFonts w:ascii="Courier New" w:cs="Courier New" w:eastAsia="Courier New" w:hAnsi="Courier New"/>
          <w:sz w:val="17"/>
          <w:szCs w:val="17"/>
          <w:color w:val="auto"/>
        </w:rPr>
        <w:t>Agreement to Vote. Comcast has agreed to vote its shares of AT&amp;T common stock in favor of the AT&amp;T Comcast transaction.</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Covenant Regarding Comcast's AT&amp;T Stock. Comcast and AT&amp;T have agreed that, prior to the AT&amp;T Broadband spin-off, Comcast will exchange all of its shares of AT&amp;T common stock for shares of a newly created series of AT&amp;T exchangeable preferred stock. The AT&amp;T exchangeable preferred stock will be mandatorily exchangeable after the completion of the AT&amp;T Comcast transaction into shares of AT&amp;T common stock. The exchange formula included in the merger agreement will provide Comcast with an interest in the communications business of AT&amp;T that, subject to the next sentence, is equal in value to the interest Comcast held in the combined communications and broadband business of AT&amp;T prior to the AT&amp;T Comcast transaction. Comcast has agreed to cap the shares of AT&amp;T common stock (or shares of any class of AT&amp;T stock issued as a dividend on shares of AT&amp;T common stock) it is eligible to receive pursuant to the exchange formula included in the merger agreement at 10% of the outstanding shares of AT&amp;T common stock (or any class of stock issued as a dividend on AT&amp;T common stock). Comcast has also agreed that if as a result of the mandatory exchange it holds in excess of 5% of the outstanding shares of AT&amp;T common stock (or any class of stock issued as a dividend on AT&amp;T common stock), then (1) it will sell the excess shares within a year of the exchange and (2) prior to the sale of the excess shares it will vote them on any matter submitted to shareholders in the same proportion as all other shareholders.</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Redemption of TCI Pacific Preferred Stock. AT&amp;T has agreed that prior to the completion of the AT&amp;T Comcast transaction, it will cause TCI Pacific (1) to call for redemption all of the outstanding shares of TCI Pacific preferred stock and (2) to the extent any of such shares are not exchanged for shares of AT&amp;T common stock prior to the applicable redemption date, to redeem all of such shares remaining outstanding in exchange for shares of AT&amp;T common stock.</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Sural. Comcast and AT&amp;T have agreed that Sural LLC, which is controlled by Brian L. Roberts, President of Comcast, may elect to merge with and into AT&amp;T Comcast or one of its subsidiaries immediately prior to the mergers. If such election is made, the members of Sural LLC, in exchange for their outstanding interests in Sural LLC, would receive in the aggregate the same number of AT&amp;T Comcast shares of each class that Sural LLC would have received in the Comcast merger had it not made such election.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REPRESENTATIONS AND WARRANTIES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merger agreement includes substantially reciprocal representations and warranties made by Comcast and AT&amp;T customary for a transaction similar to the AT&amp;T Comcast transaction. The representations and warranties contained in the merger agreement will not survive the completion of the AT&amp;T Comcast transaction or a termination of the merger agreement.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CONDITIONS TO THE COMPLETION OF THE MERGERS</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Conditions to the Obligations of Comcast and AT&amp;T. The obligations of each party to the merger agreement to complete the mergers are subject to the satisfaction or waiver (to the extent permissible) of the following conditions:</w:t>
      </w:r>
    </w:p>
    <w:p>
      <w:pPr>
        <w:spacing w:after="0" w:line="194" w:lineRule="exact"/>
        <w:rPr>
          <w:sz w:val="20"/>
          <w:szCs w:val="20"/>
          <w:color w:val="auto"/>
        </w:rPr>
      </w:pPr>
    </w:p>
    <w:p>
      <w:pPr>
        <w:ind w:left="740" w:right="1839" w:hanging="209"/>
        <w:spacing w:after="0" w:line="257" w:lineRule="auto"/>
        <w:tabs>
          <w:tab w:leader="none" w:pos="74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of the AT&amp;T Comcast transaction by the AT&amp;T shareholders and the Comcast shareholders;</w:t>
      </w:r>
    </w:p>
    <w:p>
      <w:pPr>
        <w:spacing w:after="0" w:line="191" w:lineRule="exact"/>
        <w:rPr>
          <w:rFonts w:ascii="Courier New" w:cs="Courier New" w:eastAsia="Courier New" w:hAnsi="Courier New"/>
          <w:sz w:val="17"/>
          <w:szCs w:val="17"/>
          <w:color w:val="auto"/>
        </w:rPr>
      </w:pPr>
    </w:p>
    <w:p>
      <w:pPr>
        <w:ind w:left="740" w:right="2359" w:hanging="209"/>
        <w:spacing w:after="0" w:line="257" w:lineRule="auto"/>
        <w:tabs>
          <w:tab w:leader="none" w:pos="74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expiration or termination of any applicable waiting period under the Hart-Scott-Rodino Antitrust Improvements Act of 1976;</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a material legal prohibition on the transaction;</w:t>
      </w:r>
    </w:p>
    <w:p>
      <w:pPr>
        <w:spacing w:after="0" w:line="210"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for the listing on The Nasdaq Stock Market of the shares of AT&amp;T Comcast common stock to be issued in the mergers (other than the shares of AT&amp;T Comcast Class B common stock) or to be reserved for issuance in connection with the mergers;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V-10</w:t>
      </w:r>
    </w:p>
    <w:p>
      <w:pPr>
        <w:sectPr>
          <w:pgSz w:w="11900" w:h="16838" w:orient="portrait"/>
          <w:cols w:equalWidth="0" w:num="1">
            <w:col w:w="10219"/>
          </w:cols>
          <w:pgMar w:left="240" w:top="719" w:right="1440" w:bottom="1440" w:gutter="0" w:footer="0" w:header="0"/>
        </w:sectPr>
      </w:pPr>
    </w:p>
    <w:bookmarkStart w:id="132" w:name="page133"/>
    <w:bookmarkEnd w:id="132"/>
    <w:p>
      <w:pPr>
        <w:ind w:left="740" w:right="1839" w:hanging="209"/>
        <w:spacing w:after="0" w:line="253" w:lineRule="auto"/>
        <w:tabs>
          <w:tab w:leader="none" w:pos="74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of all required regulatory approvals other than those the failure of which to be obtained would not reasonably be expected to have a Material Adverse Effect (as described below) on Comcast or AT&amp;T's broadband business;</w:t>
      </w:r>
    </w:p>
    <w:p>
      <w:pPr>
        <w:spacing w:after="0" w:line="195"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any order or statute, rule or regulation restraining or prohibiting the effective operation of the business of AT&amp;T Comcast, AT&amp;T Broadband or Comcast after the completion of the mergers that would reasonably be expected to have a Material Adverse Effect on Comcast or AT&amp;T's broadband business;</w:t>
      </w:r>
    </w:p>
    <w:p>
      <w:pPr>
        <w:spacing w:after="0" w:line="197"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completion of the separation and the AT&amp;T Broadband spin-off;</w:t>
      </w:r>
    </w:p>
    <w:p>
      <w:pPr>
        <w:spacing w:after="0" w:line="210" w:lineRule="exact"/>
        <w:rPr>
          <w:rFonts w:ascii="Courier New" w:cs="Courier New" w:eastAsia="Courier New" w:hAnsi="Courier New"/>
          <w:sz w:val="17"/>
          <w:szCs w:val="17"/>
          <w:color w:val="auto"/>
        </w:rPr>
      </w:pPr>
    </w:p>
    <w:p>
      <w:pPr>
        <w:ind w:left="740" w:right="2039" w:hanging="209"/>
        <w:spacing w:after="0" w:line="257" w:lineRule="auto"/>
        <w:tabs>
          <w:tab w:leader="none" w:pos="74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execution of all of the transaction agreements described or referred to in this document;</w:t>
      </w:r>
    </w:p>
    <w:p>
      <w:pPr>
        <w:spacing w:after="0" w:line="191" w:lineRule="exact"/>
        <w:rPr>
          <w:rFonts w:ascii="Courier New" w:cs="Courier New" w:eastAsia="Courier New" w:hAnsi="Courier New"/>
          <w:sz w:val="17"/>
          <w:szCs w:val="17"/>
          <w:color w:val="auto"/>
        </w:rPr>
      </w:pPr>
    </w:p>
    <w:p>
      <w:pPr>
        <w:ind w:left="740" w:right="1939" w:hanging="209"/>
        <w:spacing w:after="0" w:line="251" w:lineRule="auto"/>
        <w:tabs>
          <w:tab w:leader="none" w:pos="74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and continuing effectiveness of an Internal Revenue Service ruling or rulings (or, if Comcast and AT&amp;T mutually agree, an opinion from tax counsel acceptable to AT&amp;T and Comcast) to the effect that, for U.S. federal income tax purposes, the separation and the AT&amp;T Broadband spin-off will be tax-free, the mergers will not cause the separation and the AT&amp;T Broadband spin-off to fail to qualify as tax-free, and the separation and the AT&amp;T Broadband spin-off will not cause the distribution by AT&amp;T of all of the common stock of AT&amp;T Wireless or of Liberty Media to fail to qualify as tax-free transactions; and</w:t>
      </w:r>
    </w:p>
    <w:p>
      <w:pPr>
        <w:spacing w:after="0" w:line="201" w:lineRule="exact"/>
        <w:rPr>
          <w:rFonts w:ascii="Courier New" w:cs="Courier New" w:eastAsia="Courier New" w:hAnsi="Courier New"/>
          <w:sz w:val="17"/>
          <w:szCs w:val="17"/>
          <w:color w:val="auto"/>
        </w:rPr>
      </w:pPr>
    </w:p>
    <w:p>
      <w:pPr>
        <w:ind w:left="740" w:right="2139" w:hanging="209"/>
        <w:spacing w:after="0" w:line="252" w:lineRule="auto"/>
        <w:tabs>
          <w:tab w:leader="none" w:pos="74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shall have obtained Note Consents, or defeased, purchased or acquired debt, in respect of series representing at least 90% in aggregate principal amount of the securities issued under the AT&amp;T indenture, dated September 7, 1990, and outstanding as of December 19, 2001. At December 19, 2001, there was approximately $12.7 billion in aggregate principal amount subject to this condition.</w:t>
      </w:r>
    </w:p>
    <w:p>
      <w:pPr>
        <w:spacing w:after="0" w:line="197"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Additional Conditions to the Obligations of AT&amp;T. The obligations of AT&amp;T to consummate the AT&amp;T Broadband merger are also subject to the satisfaction or waiver (to the extent permissible) of the following conditions:</w:t>
      </w:r>
    </w:p>
    <w:p>
      <w:pPr>
        <w:spacing w:after="0" w:line="194" w:lineRule="exact"/>
        <w:rPr>
          <w:sz w:val="20"/>
          <w:szCs w:val="20"/>
          <w:color w:val="auto"/>
        </w:rPr>
      </w:pPr>
    </w:p>
    <w:p>
      <w:pPr>
        <w:ind w:left="740" w:right="2259" w:hanging="209"/>
        <w:spacing w:after="0" w:line="254" w:lineRule="auto"/>
        <w:tabs>
          <w:tab w:leader="none" w:pos="74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accuracy of the representations and warranties of Comcast, including with respect to the absence of a Material Adverse Effect on Comcast;</w:t>
      </w:r>
    </w:p>
    <w:p>
      <w:pPr>
        <w:spacing w:after="0" w:line="194" w:lineRule="exact"/>
        <w:rPr>
          <w:rFonts w:ascii="Courier New" w:cs="Courier New" w:eastAsia="Courier New" w:hAnsi="Courier New"/>
          <w:sz w:val="17"/>
          <w:szCs w:val="17"/>
          <w:color w:val="auto"/>
        </w:rPr>
      </w:pPr>
    </w:p>
    <w:p>
      <w:pPr>
        <w:ind w:left="740" w:right="1939" w:hanging="209"/>
        <w:spacing w:after="0" w:line="257" w:lineRule="auto"/>
        <w:tabs>
          <w:tab w:leader="none" w:pos="74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by Comcast in all material respects of its obligations under the merger agreement;</w:t>
      </w:r>
    </w:p>
    <w:p>
      <w:pPr>
        <w:spacing w:after="0" w:line="191"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by AT&amp;T of an opinion of Wachtell, Lipton, Rosen &amp; Katz to the effect that the combination of AT&amp;T Broadband and Comcast will qualify as a tax-free transaction; and</w:t>
      </w:r>
    </w:p>
    <w:p>
      <w:pPr>
        <w:spacing w:after="0" w:line="194" w:lineRule="exact"/>
        <w:rPr>
          <w:rFonts w:ascii="Courier New" w:cs="Courier New" w:eastAsia="Courier New" w:hAnsi="Courier New"/>
          <w:sz w:val="17"/>
          <w:szCs w:val="17"/>
          <w:color w:val="auto"/>
        </w:rPr>
      </w:pPr>
    </w:p>
    <w:p>
      <w:pPr>
        <w:ind w:left="740" w:right="2139" w:hanging="209"/>
        <w:spacing w:after="0" w:line="257" w:lineRule="auto"/>
        <w:tabs>
          <w:tab w:leader="none" w:pos="74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by Sural in all material respects of its obligations under the support agreement.</w:t>
      </w:r>
    </w:p>
    <w:p>
      <w:pPr>
        <w:spacing w:after="0" w:line="192"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Additional Conditions to the Obligations of Comcast. The obligations of Comcast to consummate the Comcast merger are also subject to the satisfaction or waiver (to the extent permissible) of the following conditions:</w:t>
      </w:r>
    </w:p>
    <w:p>
      <w:pPr>
        <w:spacing w:after="0" w:line="194" w:lineRule="exact"/>
        <w:rPr>
          <w:sz w:val="20"/>
          <w:szCs w:val="20"/>
          <w:color w:val="auto"/>
        </w:rPr>
      </w:pPr>
    </w:p>
    <w:p>
      <w:pPr>
        <w:ind w:left="740" w:right="2259" w:hanging="209"/>
        <w:spacing w:after="0" w:line="254" w:lineRule="auto"/>
        <w:tabs>
          <w:tab w:leader="none" w:pos="740"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accuracy of the representations and warranties of AT&amp;T, including with respect to the absence of a Material Adverse Effect on AT&amp;T Broadband;</w:t>
      </w:r>
    </w:p>
    <w:p>
      <w:pPr>
        <w:spacing w:after="0" w:line="194" w:lineRule="exact"/>
        <w:rPr>
          <w:rFonts w:ascii="Courier New" w:cs="Courier New" w:eastAsia="Courier New" w:hAnsi="Courier New"/>
          <w:sz w:val="17"/>
          <w:szCs w:val="17"/>
          <w:color w:val="auto"/>
        </w:rPr>
      </w:pPr>
    </w:p>
    <w:p>
      <w:pPr>
        <w:ind w:left="740" w:right="1839" w:hanging="209"/>
        <w:spacing w:after="0" w:line="257" w:lineRule="auto"/>
        <w:tabs>
          <w:tab w:leader="none" w:pos="740"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by AT&amp;T in all material respects of its obligations under the merger agreement; and</w:t>
      </w:r>
    </w:p>
    <w:p>
      <w:pPr>
        <w:spacing w:after="0" w:line="191"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by Comcast of an opinion of Davis Polk &amp; Wardwell to the effect that the combination of AT&amp;T Broadband and Comcast will qualify as a tax-free transaction.</w:t>
      </w:r>
    </w:p>
    <w:p>
      <w:pPr>
        <w:spacing w:after="0" w:line="194"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"Material Adverse Effect" with respect to Comcast or AT&amp;T's broadband business means a material adverse effect on the financial condition, assets or results of operations of Comcast or AT&amp;T's broadband business, as applicable, taken as a whole, excluding any effect resulting from or arising in connection with (1) changes or conditions generally affecting the industries in which Comcast or AT&amp;T's broadband business, as applicable, operate, (2) changes in general economic, regulatory or political conditions or (3) the announcement of the merger agreement or of the transactions contemplated by the merger agreement.</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V-11</w:t>
      </w:r>
    </w:p>
    <w:p>
      <w:pPr>
        <w:sectPr>
          <w:pgSz w:w="11900" w:h="16838" w:orient="portrait"/>
          <w:cols w:equalWidth="0" w:num="1">
            <w:col w:w="10219"/>
          </w:cols>
          <w:pgMar w:left="240" w:top="719" w:right="1440" w:bottom="55" w:gutter="0" w:footer="0" w:header="0"/>
        </w:sectPr>
      </w:pPr>
    </w:p>
    <w:bookmarkStart w:id="133" w:name="page134"/>
    <w:bookmarkEnd w:id="133"/>
    <w:p>
      <w:pPr>
        <w:spacing w:after="0"/>
        <w:rPr>
          <w:sz w:val="20"/>
          <w:szCs w:val="20"/>
          <w:color w:val="auto"/>
        </w:rPr>
      </w:pPr>
      <w:r>
        <w:rPr>
          <w:rFonts w:ascii="Courier New" w:cs="Courier New" w:eastAsia="Courier New" w:hAnsi="Courier New"/>
          <w:sz w:val="17"/>
          <w:szCs w:val="17"/>
          <w:color w:val="auto"/>
        </w:rPr>
        <w:t>TERMINATION OF THE MERGER AGREEMENT</w:t>
      </w:r>
    </w:p>
    <w:p>
      <w:pPr>
        <w:spacing w:after="0" w:line="210" w:lineRule="exact"/>
        <w:rPr>
          <w:sz w:val="20"/>
          <w:szCs w:val="20"/>
          <w:color w:val="auto"/>
        </w:rPr>
      </w:pPr>
    </w:p>
    <w:p>
      <w:pPr>
        <w:ind w:right="3199" w:firstLine="524"/>
        <w:spacing w:after="0" w:line="257" w:lineRule="auto"/>
        <w:rPr>
          <w:sz w:val="20"/>
          <w:szCs w:val="20"/>
          <w:color w:val="auto"/>
        </w:rPr>
      </w:pPr>
      <w:r>
        <w:rPr>
          <w:rFonts w:ascii="Courier New" w:cs="Courier New" w:eastAsia="Courier New" w:hAnsi="Courier New"/>
          <w:sz w:val="17"/>
          <w:szCs w:val="17"/>
          <w:color w:val="auto"/>
        </w:rPr>
        <w:t>The merger agreement may be terminated in any of the following circumstances:</w:t>
      </w:r>
    </w:p>
    <w:p>
      <w:pPr>
        <w:spacing w:after="0" w:line="192" w:lineRule="exact"/>
        <w:rPr>
          <w:sz w:val="20"/>
          <w:szCs w:val="20"/>
          <w:color w:val="auto"/>
        </w:rPr>
      </w:pPr>
    </w:p>
    <w:p>
      <w:pPr>
        <w:ind w:left="740" w:right="2259" w:hanging="209"/>
        <w:spacing w:after="0" w:line="257" w:lineRule="auto"/>
        <w:tabs>
          <w:tab w:leader="none" w:pos="740"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agreement may be terminated by mutual written agreement of Comcast and AT&amp;T.</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agreement may be terminated by either Comcast or AT&amp;T if:</w:t>
      </w:r>
    </w:p>
    <w:p>
      <w:pPr>
        <w:spacing w:after="0" w:line="210" w:lineRule="exact"/>
        <w:rPr>
          <w:rFonts w:ascii="Courier New" w:cs="Courier New" w:eastAsia="Courier New" w:hAnsi="Courier New"/>
          <w:sz w:val="17"/>
          <w:szCs w:val="17"/>
          <w:color w:val="auto"/>
        </w:rPr>
      </w:pPr>
    </w:p>
    <w:p>
      <w:pPr>
        <w:ind w:left="960" w:hanging="324"/>
        <w:spacing w:after="0"/>
        <w:tabs>
          <w:tab w:leader="none" w:pos="960" w:val="left"/>
        </w:tabs>
        <w:numPr>
          <w:ilvl w:val="1"/>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 party's shareholders fail to approve the transaction;</w:t>
      </w:r>
    </w:p>
    <w:p>
      <w:pPr>
        <w:spacing w:after="0" w:line="210" w:lineRule="exact"/>
        <w:rPr>
          <w:rFonts w:ascii="Courier New" w:cs="Courier New" w:eastAsia="Courier New" w:hAnsi="Courier New"/>
          <w:sz w:val="17"/>
          <w:szCs w:val="17"/>
          <w:color w:val="auto"/>
        </w:rPr>
      </w:pPr>
    </w:p>
    <w:p>
      <w:pPr>
        <w:ind w:left="960" w:right="1839" w:hanging="324"/>
        <w:spacing w:after="0" w:line="253" w:lineRule="auto"/>
        <w:tabs>
          <w:tab w:leader="none" w:pos="960" w:val="left"/>
        </w:tabs>
        <w:numPr>
          <w:ilvl w:val="1"/>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have not been completed by March 1, 2003; provided that the party seeking to terminate the merger agreement pursuant to this provision has not breached any provision of the merger agreement resulting in the failure of the mergers to be completed by such date;</w:t>
      </w:r>
    </w:p>
    <w:p>
      <w:pPr>
        <w:spacing w:after="0" w:line="195" w:lineRule="exact"/>
        <w:rPr>
          <w:rFonts w:ascii="Courier New" w:cs="Courier New" w:eastAsia="Courier New" w:hAnsi="Courier New"/>
          <w:sz w:val="17"/>
          <w:szCs w:val="17"/>
          <w:color w:val="auto"/>
        </w:rPr>
      </w:pPr>
    </w:p>
    <w:p>
      <w:pPr>
        <w:ind w:left="960" w:right="2259" w:hanging="324"/>
        <w:spacing w:after="0" w:line="257" w:lineRule="auto"/>
        <w:tabs>
          <w:tab w:leader="none" w:pos="960" w:val="left"/>
        </w:tabs>
        <w:numPr>
          <w:ilvl w:val="1"/>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other party breaches the merger agreement such that the related closing conditions cannot be satisfied by March 1, 2003; or</w:t>
      </w:r>
    </w:p>
    <w:p>
      <w:pPr>
        <w:spacing w:after="0" w:line="191" w:lineRule="exact"/>
        <w:rPr>
          <w:rFonts w:ascii="Courier New" w:cs="Courier New" w:eastAsia="Courier New" w:hAnsi="Courier New"/>
          <w:sz w:val="17"/>
          <w:szCs w:val="17"/>
          <w:color w:val="auto"/>
        </w:rPr>
      </w:pPr>
    </w:p>
    <w:p>
      <w:pPr>
        <w:ind w:left="960" w:right="2359" w:hanging="324"/>
        <w:spacing w:after="0" w:line="254" w:lineRule="auto"/>
        <w:tabs>
          <w:tab w:leader="none" w:pos="960" w:val="left"/>
        </w:tabs>
        <w:numPr>
          <w:ilvl w:val="1"/>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law or regulation makes completion of the transaction illegal or a permanent injunction prohibiting completion of the transaction is entered.</w:t>
      </w:r>
    </w:p>
    <w:p>
      <w:pPr>
        <w:spacing w:after="0" w:line="194" w:lineRule="exact"/>
        <w:rPr>
          <w:rFonts w:ascii="Courier New" w:cs="Courier New" w:eastAsia="Courier New" w:hAnsi="Courier New"/>
          <w:sz w:val="17"/>
          <w:szCs w:val="17"/>
          <w:color w:val="auto"/>
        </w:rPr>
      </w:pPr>
    </w:p>
    <w:p>
      <w:pPr>
        <w:ind w:left="740" w:right="1939" w:hanging="209"/>
        <w:spacing w:after="0" w:line="252" w:lineRule="auto"/>
        <w:tabs>
          <w:tab w:leader="none" w:pos="740"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may terminate the merger agreement if the closing date for the transaction has not occurred within 30 days of the QUIPS Failure Date; provided that AT&amp;T may terminate the merger agreement pursuant to this provision only (1) on two business days' notice delivered to Comcast prior to the 45th day after the QUIPS Failure Date and (2) if prior to the effectiveness of the termination Comcast does not agree to close the transaction by the 60th day after the QUIPS Failure Date.</w:t>
      </w:r>
    </w:p>
    <w:p>
      <w:pPr>
        <w:spacing w:after="0" w:line="195"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may terminate the merger agreement if:</w:t>
      </w:r>
    </w:p>
    <w:p>
      <w:pPr>
        <w:spacing w:after="0" w:line="210" w:lineRule="exact"/>
        <w:rPr>
          <w:rFonts w:ascii="Courier New" w:cs="Courier New" w:eastAsia="Courier New" w:hAnsi="Courier New"/>
          <w:sz w:val="17"/>
          <w:szCs w:val="17"/>
          <w:color w:val="auto"/>
        </w:rPr>
      </w:pPr>
    </w:p>
    <w:p>
      <w:pPr>
        <w:ind w:left="960" w:right="2039" w:hanging="324"/>
        <w:spacing w:after="0" w:line="257" w:lineRule="auto"/>
        <w:tabs>
          <w:tab w:leader="none" w:pos="960" w:val="left"/>
        </w:tabs>
        <w:numPr>
          <w:ilvl w:val="1"/>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withdraws or modifies, in a manner adverse to Comcast, its recommendation of the AT&amp;T Comcast transaction; or</w:t>
      </w:r>
    </w:p>
    <w:p>
      <w:pPr>
        <w:spacing w:after="0" w:line="191" w:lineRule="exact"/>
        <w:rPr>
          <w:rFonts w:ascii="Courier New" w:cs="Courier New" w:eastAsia="Courier New" w:hAnsi="Courier New"/>
          <w:sz w:val="17"/>
          <w:szCs w:val="17"/>
          <w:color w:val="auto"/>
        </w:rPr>
      </w:pPr>
    </w:p>
    <w:p>
      <w:pPr>
        <w:ind w:left="960" w:right="1939" w:hanging="324"/>
        <w:spacing w:after="0" w:line="254" w:lineRule="auto"/>
        <w:tabs>
          <w:tab w:leader="none" w:pos="960" w:val="left"/>
        </w:tabs>
        <w:numPr>
          <w:ilvl w:val="1"/>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willfully and materially breaches its obligations set forth under "-- Covenants -- AT&amp;T Board's Covenant to Recommend and Hold Meeting" or "-- Covenants -- No Solicitation."</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If the merger agreement is terminated as provided above, the merger agreement will become void without liability on the part of any party unless such party has intentionally breached a covenant or other agreement included in the merger agreement or knowingly breached a representation or warranty included in the merger agreement. However, the provisions of the merger agreement described below relating to termination fees and expenses will continue in effect after any termination of the merger agreement.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FEES</w:t>
      </w:r>
    </w:p>
    <w:p>
      <w:pPr>
        <w:spacing w:after="0" w:line="210"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AT&amp;T will pay Comcast a termination fee in the amount of $1.5 billion in cash if the merger agreement is terminated because:</w:t>
      </w:r>
    </w:p>
    <w:p>
      <w:pPr>
        <w:spacing w:after="0" w:line="192" w:lineRule="exact"/>
        <w:rPr>
          <w:sz w:val="20"/>
          <w:szCs w:val="20"/>
          <w:color w:val="auto"/>
        </w:rPr>
      </w:pPr>
    </w:p>
    <w:p>
      <w:pPr>
        <w:ind w:left="1260" w:right="2359" w:hanging="205"/>
        <w:spacing w:after="0" w:line="257" w:lineRule="auto"/>
        <w:tabs>
          <w:tab w:leader="none" w:pos="1260"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withdraws or modifies, in a manner adverse to Comcast, its recommendation of the AT&amp;T Comcast transaction; or</w:t>
      </w:r>
    </w:p>
    <w:p>
      <w:pPr>
        <w:spacing w:after="0" w:line="191" w:lineRule="exact"/>
        <w:rPr>
          <w:rFonts w:ascii="Courier New" w:cs="Courier New" w:eastAsia="Courier New" w:hAnsi="Courier New"/>
          <w:sz w:val="17"/>
          <w:szCs w:val="17"/>
          <w:color w:val="auto"/>
        </w:rPr>
      </w:pPr>
    </w:p>
    <w:p>
      <w:pPr>
        <w:ind w:left="1260" w:right="2039" w:hanging="205"/>
        <w:spacing w:after="0" w:line="254" w:lineRule="auto"/>
        <w:tabs>
          <w:tab w:leader="none" w:pos="1260"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willfully and materially breaches its obligations set forth under "-- Covenants -- AT&amp;T Board's Covenant to Recommend and Hold Meeting" or "-- Covenants -- No Solicitation."</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addition, AT&amp;T will pay Comcast the termination fee specified above if the merger agreement is terminated as a result of AT&amp;T shareholders having failed to approve the AT&amp;T Comcast transaction at the AT&amp;T shareholders meeting, an Acquisition Proposal was pending at the time of the AT&amp;T shareholders meeting and, within one year of the AT&amp;T shareholders meeting, AT&amp;T enters into an agreement relating to an alternative material transaction.</w:t>
      </w:r>
    </w:p>
    <w:p>
      <w:pPr>
        <w:spacing w:after="0" w:line="197"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Comcast will pay AT&amp;T a termination fee in the amount of $1.5 billion in cash if the merger agreement is terminated because the Comcast Board withdraws or modifies, in a manner adverse to</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V-12</w:t>
      </w:r>
    </w:p>
    <w:p>
      <w:pPr>
        <w:sectPr>
          <w:pgSz w:w="11900" w:h="16838" w:orient="portrait"/>
          <w:cols w:equalWidth="0" w:num="1">
            <w:col w:w="10219"/>
          </w:cols>
          <w:pgMar w:left="240" w:top="719" w:right="1440" w:bottom="860" w:gutter="0" w:footer="0" w:header="0"/>
        </w:sectPr>
      </w:pPr>
    </w:p>
    <w:bookmarkStart w:id="134" w:name="page135"/>
    <w:bookmarkEnd w:id="134"/>
    <w:p>
      <w:pPr>
        <w:ind w:right="2879"/>
        <w:spacing w:after="0" w:line="257" w:lineRule="auto"/>
        <w:rPr>
          <w:sz w:val="20"/>
          <w:szCs w:val="20"/>
          <w:color w:val="auto"/>
        </w:rPr>
      </w:pPr>
      <w:r>
        <w:rPr>
          <w:rFonts w:ascii="Courier New" w:cs="Courier New" w:eastAsia="Courier New" w:hAnsi="Courier New"/>
          <w:sz w:val="17"/>
          <w:szCs w:val="17"/>
          <w:color w:val="auto"/>
        </w:rPr>
        <w:t>AT&amp;T, its recommendation of the AT&amp;T Comcast transaction or if Comcast shareholders fail to approve the AT&amp;T Comcast transaction.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All costs and expenses incurred in connection with the transaction will be paid by the party incurring the cost or expense; provided that (1) AT&amp;T will pay any costs and expenses incurred by AT&amp;T Broadband that are in excess of $120 million (exclusive of any costs and expenses incurred by AT&amp;T Broadband as described in clauses (2), (3), (4) and (5) of this sentence), (2) AT&amp;T Broadband will pay any costs and expenses incurred in connection with any financing arrangement entered into by AT&amp;T Broadband as described under</w:t>
      </w:r>
    </w:p>
    <w:p>
      <w:pPr>
        <w:ind w:right="1939"/>
        <w:spacing w:after="0" w:line="251" w:lineRule="auto"/>
        <w:rPr>
          <w:sz w:val="20"/>
          <w:szCs w:val="20"/>
          <w:color w:val="auto"/>
        </w:rPr>
      </w:pPr>
      <w:r>
        <w:rPr>
          <w:rFonts w:ascii="Courier New" w:cs="Courier New" w:eastAsia="Courier New" w:hAnsi="Courier New"/>
          <w:sz w:val="17"/>
          <w:szCs w:val="17"/>
          <w:color w:val="auto"/>
        </w:rPr>
        <w:t>"Covenants -- Interim Finance Committee," (3) AT&amp;T Broadband will pay any costs and expenses (to the extent not paid by AT&amp;T Comcast) incurred in connection with redeeming or refinancing the TOPrS, releasing AT&amp;T from any obligations in respect of the TOPrS or posting a letter of credit in support of such AT&amp;T obligations, in each case as described under "-- Covenants -- TOPrS Covenant,"</w:t>
      </w:r>
    </w:p>
    <w:p>
      <w:pPr>
        <w:ind w:right="1839" w:firstLine="7"/>
        <w:spacing w:after="0" w:line="251" w:lineRule="auto"/>
        <w:tabs>
          <w:tab w:leader="none" w:pos="419"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will pay 50% of any costs and expenses in excess of $50 million incurred by AT&amp;T or any of its subsidiaries in connection with obtaining the Note Consents (through either a one-time cash payment of a consent fee or through a coupon increase or a combination thereof), and (5) AT&amp;T (and not AT&amp;T Broadband) and Comcast each will pay 50% of any fees and expenses, other than attorneys' and accounting fees and expenses, incurred in relation to the printing, filing and mailing of this document and the registration statement in which this document is included.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AMENDMENTS AND WAIVERS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Any provision of the merger agreement may be amended or waived prior to the completion of the mergers if, but only if, such amendment or waiver is in writing and is signed, in the case of an amendment, by each of the parties to the merger agreement or, in the case of a waiver, by each of the parties to the merger agreement against whom the waiver is to be effective. After the adoption of the merger agreement by the shareholders of Comcast or AT&amp;T, no amendment or waiver of any provision of the merger agreement may be made or given that requires the approval of the shareholders of Comcast or AT&amp;T, respectively, unless such required approval is obtained.</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V-13</w:t>
      </w:r>
    </w:p>
    <w:p>
      <w:pPr>
        <w:sectPr>
          <w:pgSz w:w="11900" w:h="16838" w:orient="portrait"/>
          <w:cols w:equalWidth="0" w:num="1">
            <w:col w:w="10219"/>
          </w:cols>
          <w:pgMar w:left="240" w:top="719" w:right="1440" w:bottom="1440" w:gutter="0" w:footer="0" w:header="0"/>
        </w:sectPr>
      </w:pPr>
    </w:p>
    <w:bookmarkStart w:id="135" w:name="page136"/>
    <w:bookmarkEnd w:id="135"/>
    <w:p>
      <w:pPr>
        <w:jc w:val="center"/>
        <w:ind w:right="1939"/>
        <w:spacing w:after="0"/>
        <w:rPr>
          <w:sz w:val="20"/>
          <w:szCs w:val="20"/>
          <w:color w:val="auto"/>
        </w:rPr>
      </w:pPr>
      <w:r>
        <w:rPr>
          <w:rFonts w:ascii="Courier New" w:cs="Courier New" w:eastAsia="Courier New" w:hAnsi="Courier New"/>
          <w:sz w:val="17"/>
          <w:szCs w:val="17"/>
          <w:color w:val="auto"/>
        </w:rPr>
        <w:t>THE SEPARATION AND DISTRIBUTION AGREEMENT</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The following summary of the separation and distribution agreement is qualified in its entirety by reference to the complete text of the separation and distribution agreement, which is incorporated by reference and attached as Annex B to this document.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SEPARATION</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Assignment. AT&amp;T will assign and transfer to AT&amp;T Broadband all of AT&amp;T's and its subsidiaries' right, title and interest in all of the assets of AT&amp;T's broadband business which are not already held by AT&amp;T Broadband or an AT&amp;T Broadband subsidiary. The assets comprising AT&amp;T's broadband business are generally determined in the following manner:</w:t>
      </w:r>
    </w:p>
    <w:p>
      <w:pPr>
        <w:spacing w:after="0" w:line="197" w:lineRule="exact"/>
        <w:rPr>
          <w:sz w:val="20"/>
          <w:szCs w:val="20"/>
          <w:color w:val="auto"/>
        </w:rPr>
      </w:pPr>
    </w:p>
    <w:p>
      <w:pPr>
        <w:ind w:left="740" w:right="2139" w:hanging="209"/>
        <w:spacing w:after="0" w:line="254" w:lineRule="auto"/>
        <w:tabs>
          <w:tab w:leader="none" w:pos="74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Assets reflected in the AT&amp;T Broadband Group balance sheet dated as of December 31, 2000 are assets of AT&amp;T's broadband business, except as described below.</w:t>
      </w:r>
    </w:p>
    <w:p>
      <w:pPr>
        <w:spacing w:after="0" w:line="194"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Assets reflected in the AT&amp;T Communications balance sheet dated as of December 31, 2000 are assets of AT&amp;T's communications business, except as described below.</w:t>
      </w:r>
    </w:p>
    <w:p>
      <w:pPr>
        <w:spacing w:after="0" w:line="194" w:lineRule="exact"/>
        <w:rPr>
          <w:rFonts w:ascii="Courier New" w:cs="Courier New" w:eastAsia="Courier New" w:hAnsi="Courier New"/>
          <w:sz w:val="17"/>
          <w:szCs w:val="17"/>
          <w:color w:val="auto"/>
        </w:rPr>
      </w:pPr>
    </w:p>
    <w:p>
      <w:pPr>
        <w:jc w:val="both"/>
        <w:ind w:left="740" w:right="2259" w:hanging="209"/>
        <w:spacing w:after="0" w:line="254" w:lineRule="auto"/>
        <w:tabs>
          <w:tab w:leader="none" w:pos="74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assets are specifically assigned to AT&amp;T's broadband business regardless of whether or not they are reflected in the AT&amp;T Broadband Group balance sheet dated as of December 31, 2000.</w:t>
      </w:r>
    </w:p>
    <w:p>
      <w:pPr>
        <w:spacing w:after="0" w:line="194" w:lineRule="exact"/>
        <w:rPr>
          <w:rFonts w:ascii="Courier New" w:cs="Courier New" w:eastAsia="Courier New" w:hAnsi="Courier New"/>
          <w:sz w:val="17"/>
          <w:szCs w:val="17"/>
          <w:color w:val="auto"/>
        </w:rPr>
      </w:pPr>
    </w:p>
    <w:p>
      <w:pPr>
        <w:ind w:left="740" w:right="2359" w:hanging="209"/>
        <w:spacing w:after="0" w:line="254" w:lineRule="auto"/>
        <w:tabs>
          <w:tab w:leader="none" w:pos="74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assets are specifically assigned to AT&amp;T's communications business regardless of whether or not they are reflected in the AT&amp;T Communications balance sheet dated as of December 31, 2000.</w:t>
      </w:r>
    </w:p>
    <w:p>
      <w:pPr>
        <w:spacing w:after="0" w:line="194" w:lineRule="exact"/>
        <w:rPr>
          <w:rFonts w:ascii="Courier New" w:cs="Courier New" w:eastAsia="Courier New" w:hAnsi="Courier New"/>
          <w:sz w:val="17"/>
          <w:szCs w:val="17"/>
          <w:color w:val="auto"/>
        </w:rPr>
      </w:pPr>
    </w:p>
    <w:p>
      <w:pPr>
        <w:ind w:left="740" w:right="1939" w:hanging="209"/>
        <w:spacing w:after="0" w:line="252" w:lineRule="auto"/>
        <w:tabs>
          <w:tab w:leader="none" w:pos="74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Assets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Assumption. At the same time as the assignment, AT&amp;T Broadband will assume all of the liabilities of AT&amp;T's broadband business that are not already liabilities of AT&amp;T Broadband or an AT&amp;T Broadband subsidiary. The liabilities of AT&amp;T's broadband business are generally determined in the following manner:</w:t>
      </w:r>
    </w:p>
    <w:p>
      <w:pPr>
        <w:spacing w:after="0" w:line="195" w:lineRule="exact"/>
        <w:rPr>
          <w:sz w:val="20"/>
          <w:szCs w:val="20"/>
          <w:color w:val="auto"/>
        </w:rPr>
      </w:pPr>
    </w:p>
    <w:p>
      <w:pPr>
        <w:ind w:left="740" w:right="1839" w:hanging="209"/>
        <w:spacing w:after="0" w:line="254" w:lineRule="auto"/>
        <w:tabs>
          <w:tab w:leader="none" w:pos="740" w:val="left"/>
        </w:tabs>
        <w:numPr>
          <w:ilvl w:val="0"/>
          <w:numId w:val="1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reflected in the AT&amp;T Broadband Group balance sheet dated as of December 31, 2000 are liabilities of AT&amp;T's broadband business, except as described below.</w:t>
      </w:r>
    </w:p>
    <w:p>
      <w:pPr>
        <w:spacing w:after="0" w:line="194" w:lineRule="exact"/>
        <w:rPr>
          <w:rFonts w:ascii="Courier New" w:cs="Courier New" w:eastAsia="Courier New" w:hAnsi="Courier New"/>
          <w:sz w:val="17"/>
          <w:szCs w:val="17"/>
          <w:color w:val="auto"/>
        </w:rPr>
      </w:pPr>
    </w:p>
    <w:p>
      <w:pPr>
        <w:jc w:val="both"/>
        <w:ind w:left="740" w:right="2039" w:hanging="209"/>
        <w:spacing w:after="0" w:line="254" w:lineRule="auto"/>
        <w:tabs>
          <w:tab w:leader="none" w:pos="740" w:val="left"/>
        </w:tabs>
        <w:numPr>
          <w:ilvl w:val="0"/>
          <w:numId w:val="1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reflected in the AT&amp;T Communications balance sheet dated as of December 31, 2000 are liabilities of AT&amp;T's communications business, except as described below.</w:t>
      </w:r>
    </w:p>
    <w:p>
      <w:pPr>
        <w:spacing w:after="0" w:line="194" w:lineRule="exact"/>
        <w:rPr>
          <w:rFonts w:ascii="Courier New" w:cs="Courier New" w:eastAsia="Courier New" w:hAnsi="Courier New"/>
          <w:sz w:val="17"/>
          <w:szCs w:val="17"/>
          <w:color w:val="auto"/>
        </w:rPr>
      </w:pPr>
    </w:p>
    <w:p>
      <w:pPr>
        <w:ind w:left="740" w:right="2359" w:hanging="209"/>
        <w:spacing w:after="0" w:line="254" w:lineRule="auto"/>
        <w:tabs>
          <w:tab w:leader="none" w:pos="740" w:val="left"/>
        </w:tabs>
        <w:numPr>
          <w:ilvl w:val="0"/>
          <w:numId w:val="1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liabilities are specifically assigned to AT&amp;T's broadband business regardless of whether or not they are reflected in the AT&amp;T Broadband Group balance sheet dated as of December 31, 2000.</w:t>
      </w:r>
    </w:p>
    <w:p>
      <w:pPr>
        <w:spacing w:after="0" w:line="194" w:lineRule="exact"/>
        <w:rPr>
          <w:rFonts w:ascii="Courier New" w:cs="Courier New" w:eastAsia="Courier New" w:hAnsi="Courier New"/>
          <w:sz w:val="17"/>
          <w:szCs w:val="17"/>
          <w:color w:val="auto"/>
        </w:rPr>
      </w:pPr>
    </w:p>
    <w:p>
      <w:pPr>
        <w:ind w:left="740" w:right="2139" w:hanging="209"/>
        <w:spacing w:after="0" w:line="254" w:lineRule="auto"/>
        <w:tabs>
          <w:tab w:leader="none" w:pos="740" w:val="left"/>
        </w:tabs>
        <w:numPr>
          <w:ilvl w:val="0"/>
          <w:numId w:val="1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liabilities are specifically assigned to AT&amp;T's communications business regardless of whether or not they are reflected in the AT&amp;T Communications balance sheet dated as of December 31, 2000.</w:t>
      </w:r>
    </w:p>
    <w:p>
      <w:pPr>
        <w:spacing w:after="0" w:line="194"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1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balance sheet, in each case dated as of December 31, 2000.</w:t>
      </w:r>
    </w:p>
    <w:p>
      <w:pPr>
        <w:spacing w:after="0" w:line="195" w:lineRule="exact"/>
        <w:rPr>
          <w:rFonts w:ascii="Courier New" w:cs="Courier New" w:eastAsia="Courier New" w:hAnsi="Courier New"/>
          <w:sz w:val="17"/>
          <w:szCs w:val="17"/>
          <w:color w:val="auto"/>
        </w:rPr>
      </w:pPr>
    </w:p>
    <w:p>
      <w:pPr>
        <w:ind w:left="740" w:right="1939" w:hanging="209"/>
        <w:spacing w:after="0" w:line="252" w:lineRule="auto"/>
        <w:tabs>
          <w:tab w:leader="none" w:pos="740" w:val="left"/>
        </w:tabs>
        <w:numPr>
          <w:ilvl w:val="0"/>
          <w:numId w:val="1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V-14</w:t>
      </w:r>
    </w:p>
    <w:p>
      <w:pPr>
        <w:sectPr>
          <w:pgSz w:w="11900" w:h="16838" w:orient="portrait"/>
          <w:cols w:equalWidth="0" w:num="1">
            <w:col w:w="10219"/>
          </w:cols>
          <w:pgMar w:left="240" w:top="719" w:right="1440" w:bottom="860" w:gutter="0" w:footer="0" w:header="0"/>
        </w:sectPr>
      </w:pPr>
    </w:p>
    <w:bookmarkStart w:id="136" w:name="page137"/>
    <w:bookmarkEnd w:id="136"/>
    <w:p>
      <w:pPr>
        <w:spacing w:after="0"/>
        <w:rPr>
          <w:sz w:val="20"/>
          <w:szCs w:val="20"/>
          <w:color w:val="auto"/>
        </w:rPr>
      </w:pPr>
      <w:r>
        <w:rPr>
          <w:rFonts w:ascii="Courier New" w:cs="Courier New" w:eastAsia="Courier New" w:hAnsi="Courier New"/>
          <w:sz w:val="17"/>
          <w:szCs w:val="17"/>
          <w:color w:val="auto"/>
        </w:rPr>
        <w:t>THE AT&amp;T BROADBAND SPIN-OFF</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After the separation, AT&amp;T will spin off AT&amp;T Broadband by distributing to each holder of record of a share of AT&amp;T common stock, NYSE symbol "T," on the record date for the AT&amp;T Broadband spin-off, except for those holders that have purported to exercise appraisal rights under New York Law, one share of AT&amp;T Broadband common stock for each share of AT&amp;T common stock held. The record date for the AT&amp;T Broadband spin-off will be the close of business on the date of completion of the mergers unless otherwise agreed by AT&amp;T and Comcast. No distribution of AT&amp;T Broadband common stock will be made upon AT&amp;T Consumer Services Group tracking stock.</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Since the AT&amp;T Broadband merger will occur shortly after the AT&amp;T Broadband spin-off, AT&amp;T shareholders will not be sent stock certificates representing the shares of AT&amp;T Broadband common stock distributed to them in the AT&amp;T Broadband spin-off. Instead, AT&amp;T will cause the distribution agent for AT&amp;T Broadband common stock issued in the AT&amp;T Broadband spin-off to hold AT&amp;T Broadband common stock in trust for AT&amp;T shareholders as of the record date pending conversion of AT&amp;T Broadband common stock into shares of AT&amp;T Comcast common stock pursuant to the AT&amp;T Broadband merger. After the AT&amp;T Broadband merger, the applicable AT&amp;T shareholders will be mailed stock certificates representing the shares of AT&amp;T Comcast common stock into which their shares of AT&amp;T Broadband common stock were converted, and cash in lieu of fractional shares, as described under "The Merger Agreement -- Exchange of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TIMING OF THE SEPARATION AND THE AT&amp;T BROADBAND SPIN-OFF</w:t>
      </w:r>
    </w:p>
    <w:p>
      <w:pPr>
        <w:spacing w:after="0" w:line="210"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The separation and the AT&amp;T Broadband spin-off are scheduled to occur on the closing date for the mergers. See "-- The Merger Agreement -- Timing of Closing." On the closing date, the separation will occur prior to the AT&amp;T Broadband spin-off which will occur prior to the mergers. With the consent of Comcast, which consent will not be unreasonably withheld, AT&amp;T may effect the separation and the AT&amp;T Broadband spin-off prior to the closing date for the mergers.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REPAYMENT OF INTRACOMPANY DEBT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Broadband has agreed to repay at the completion of the AT&amp;T Comcast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 any debt that it or any AT&amp;T Broadband subsidiary owes to AT&amp;T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AT&amp;T subsidiary (other than AT&amp;T Broadband or any AT&amp;T Broadband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subsidiary). As described under "-- The Merger Agreement -- Covenants -- Interim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Finance Committee," Comcast has agreed to arrange for the financing necessary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permit AT&amp;T Broadband to repay debt owed by AT&amp;T Broadband and its subsidiaries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AT&amp;T and its subsidiaries (other than AT&amp;T Broadband and its subsidiaries).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has also agreed to repay at the completion of the AT&amp;T Comcast transaction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debt that it or any of its subsidiaries (other than AT&amp;T Broadband or 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Broadband subsidiary) owes to AT&amp;T Broadband or any AT&amp;T Broadband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subsidiary. As of September 30, 2001, the aggregate amount of indebtedness owed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AT&amp;T Broadband and its subsidiaries to AT&amp;T and its subsidiaries (other than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Broadband and its subsidiaries) was $5.39 billion. Absent additional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deleveraging activities, it is expected that this figure will grow to fund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expenditures, operations and third party debt maturities and redemptions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through the completion of the AT&amp;T Comcast transaction.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POST-SPIN-OFF TRANSACTIONS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ability of AT&amp;T and AT&amp;T Broadband to engage in certain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AT&amp;T or AT&amp;T Broadband or otherwise jeopardize the non-recognition of taxable gain or loss for U.S. federal income tax purposes to AT&amp;T, AT&amp;T affiliates and AT&amp;T shareholders in connection with the separation and the AT&amp;T Broadband spin-off may be limited for a period of 25 months following the AT&amp;T Broadband spin-off.</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V-15</w:t>
      </w:r>
    </w:p>
    <w:p>
      <w:pPr>
        <w:sectPr>
          <w:pgSz w:w="11900" w:h="16838" w:orient="portrait"/>
          <w:cols w:equalWidth="0" w:num="1">
            <w:col w:w="10219"/>
          </w:cols>
          <w:pgMar w:left="240" w:top="719"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7"/>
          <w:szCs w:val="17"/>
          <w:color w:val="auto"/>
        </w:rPr>
        <w:t>DISPOSITION OF TIME WARNER ENTERTAINMENT INTEREST</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Upon any disposition of all or any portion of its interest in Time Warner Entertainment after the signing of the merger agreement, AT&amp;T Broadband has agreed to pay AT&amp;T 50% of the proceeds received from such disposition in excess of the threshold amount described in the next sentence reduced by taxes on 50% of such excess. The threshold amount is equal to the balance (plus 7% simple interest per annum on the balance) of $10.2 billion reduced by the aggregate proceeds of any previous dispositions of any portion of the Time Warner Entertainment interest.</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If the Time Warner Entertainment interest has not been fully disposed of within 54 months of the completion of the transaction, the remaining Time Warner Entertainment interest will be appraised at fair market value. To the extent that the amount of such appraisal exceeds the threshold amount specified above, AT&amp;T Broadband has agreed to pay AT&amp;T 50% of such excess (on a tax-adjusted basis).</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CONDITIONS TO THE COMPLETION OF THE SEPARATION AND THE AT&amp;T BROADBAND SPIN-OFF</w:t>
      </w:r>
    </w:p>
    <w:p>
      <w:pPr>
        <w:spacing w:after="0" w:line="210" w:lineRule="exact"/>
        <w:rPr>
          <w:sz w:val="20"/>
          <w:szCs w:val="20"/>
          <w:color w:val="auto"/>
        </w:rPr>
      </w:pPr>
    </w:p>
    <w:p>
      <w:pPr>
        <w:jc w:val="both"/>
        <w:ind w:right="2039" w:firstLine="524"/>
        <w:spacing w:after="0" w:line="254" w:lineRule="auto"/>
        <w:rPr>
          <w:sz w:val="20"/>
          <w:szCs w:val="20"/>
          <w:color w:val="auto"/>
        </w:rPr>
      </w:pPr>
      <w:r>
        <w:rPr>
          <w:rFonts w:ascii="Courier New" w:cs="Courier New" w:eastAsia="Courier New" w:hAnsi="Courier New"/>
          <w:sz w:val="17"/>
          <w:szCs w:val="17"/>
          <w:color w:val="auto"/>
        </w:rPr>
        <w:t>The obligations of AT&amp;T to complete the separation and the AT&amp;T Broadband spin-off are subject to the satisfaction or waiver (to the extent permissible) of certain conditions, including:</w:t>
      </w:r>
    </w:p>
    <w:p>
      <w:pPr>
        <w:spacing w:after="0" w:line="194" w:lineRule="exact"/>
        <w:rPr>
          <w:sz w:val="20"/>
          <w:szCs w:val="20"/>
          <w:color w:val="auto"/>
        </w:rPr>
      </w:pPr>
    </w:p>
    <w:p>
      <w:pPr>
        <w:ind w:left="740" w:right="1839" w:hanging="209"/>
        <w:spacing w:after="0" w:line="252" w:lineRule="auto"/>
        <w:tabs>
          <w:tab w:leader="none" w:pos="740"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of all required regulatory approvals other than those the failure of which to be obtained would not reasonably be expected to have a Material Adverse Effect with respect to AT&amp;T's broadband business or AT&amp;T's communications business (as defined under "-- The Merger Agreement -- Conditions to the Completion of the Mergers" but with respect to AT&amp;T's communications business);</w:t>
      </w:r>
    </w:p>
    <w:p>
      <w:pPr>
        <w:spacing w:after="0" w:line="196"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satisfaction of all conditions necessary to permit the AT&amp;T Broadband spin-off to qualify as a tax-free distribution to AT&amp;T, AT&amp;T Broadband and the AT&amp;T shareholders and absence of any condition likely to prevent the AT&amp;T Broadband spin-off from qualifying as a tax-free distribution to AT&amp;T, AT&amp;T Broadband and the AT&amp;T shareholders;</w:t>
      </w:r>
    </w:p>
    <w:p>
      <w:pPr>
        <w:spacing w:after="0" w:line="197" w:lineRule="exact"/>
        <w:rPr>
          <w:rFonts w:ascii="Courier New" w:cs="Courier New" w:eastAsia="Courier New" w:hAnsi="Courier New"/>
          <w:sz w:val="17"/>
          <w:szCs w:val="17"/>
          <w:color w:val="auto"/>
        </w:rPr>
      </w:pPr>
    </w:p>
    <w:p>
      <w:pPr>
        <w:ind w:left="740" w:right="2139" w:hanging="209"/>
        <w:spacing w:after="0" w:line="257" w:lineRule="auto"/>
        <w:tabs>
          <w:tab w:leader="none" w:pos="740"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a legal prohibition on the separation or the AT&amp;T Broadband spin-off;</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of the transaction by AT&amp;T shareholders; and</w:t>
      </w:r>
    </w:p>
    <w:p>
      <w:pPr>
        <w:spacing w:after="0" w:line="210" w:lineRule="exact"/>
        <w:rPr>
          <w:rFonts w:ascii="Courier New" w:cs="Courier New" w:eastAsia="Courier New" w:hAnsi="Courier New"/>
          <w:sz w:val="17"/>
          <w:szCs w:val="17"/>
          <w:color w:val="auto"/>
        </w:rPr>
      </w:pPr>
    </w:p>
    <w:p>
      <w:pPr>
        <w:ind w:left="740" w:right="2359" w:hanging="209"/>
        <w:spacing w:after="0" w:line="252" w:lineRule="auto"/>
        <w:tabs>
          <w:tab w:leader="none" w:pos="740"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satisfaction of all of the other conditions to the mergers specified under "-- The Merger Agreement-Conditions to the Completion of the Mergers" other than the condition that the separation and the AT&amp;T Broadband spin-off have been completed and other than the additional conditions to Comcast's obligations to effect the mergers.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MUTUAL RELEASE; INDEMNIFICATION</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Mutual Release of Pre-Closing Claims. AT&amp;T and AT&amp;T Broadband have each agreed to release the other from any and all claims that it may have against the other party arising from any acts or events occurring or failing to occur prior to the completion of the AT&amp;T Broadband spin-off, subject to certain exceptions specified in the separation and distribution agreement.</w:t>
      </w:r>
    </w:p>
    <w:p>
      <w:pPr>
        <w:spacing w:after="0" w:line="197"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Indemnification by AT&amp;T. After completion of the AT&amp;T Broadband spin-off, AT&amp;T will indemnify AT&amp;T Broadband from any and all liabilities relating to, arising out of or resulting from any of the following:</w:t>
      </w:r>
    </w:p>
    <w:p>
      <w:pPr>
        <w:spacing w:after="0" w:line="194" w:lineRule="exact"/>
        <w:rPr>
          <w:sz w:val="20"/>
          <w:szCs w:val="20"/>
          <w:color w:val="auto"/>
        </w:rPr>
      </w:pPr>
    </w:p>
    <w:p>
      <w:pPr>
        <w:jc w:val="both"/>
        <w:ind w:left="740" w:right="1839" w:hanging="209"/>
        <w:spacing w:after="0" w:line="254" w:lineRule="auto"/>
        <w:tabs>
          <w:tab w:leader="none" w:pos="740"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of AT&amp;T or any of its subsidiaries or any other person to pay any liabilities, or perform under any contracts, of AT&amp;T's communications business;</w:t>
      </w:r>
    </w:p>
    <w:p>
      <w:pPr>
        <w:spacing w:after="0" w:line="194"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assets or contracts of AT&amp;T's communications business; and</w:t>
      </w:r>
    </w:p>
    <w:p>
      <w:pPr>
        <w:spacing w:after="0" w:line="210" w:lineRule="exact"/>
        <w:rPr>
          <w:rFonts w:ascii="Courier New" w:cs="Courier New" w:eastAsia="Courier New" w:hAnsi="Courier New"/>
          <w:sz w:val="17"/>
          <w:szCs w:val="17"/>
          <w:color w:val="auto"/>
        </w:rPr>
      </w:pPr>
    </w:p>
    <w:p>
      <w:pPr>
        <w:ind w:left="740" w:right="2259" w:hanging="209"/>
        <w:spacing w:after="0" w:line="257" w:lineRule="auto"/>
        <w:tabs>
          <w:tab w:leader="none" w:pos="740"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the separation and distribution agreement or any of the ancillary agreements by AT&amp;T.</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V-16</w:t>
      </w:r>
    </w:p>
    <w:p>
      <w:pPr>
        <w:sectPr>
          <w:pgSz w:w="11900" w:h="16838" w:orient="portrait"/>
          <w:cols w:equalWidth="0" w:num="1">
            <w:col w:w="10219"/>
          </w:cols>
          <w:pgMar w:left="240" w:top="719" w:right="1440" w:bottom="1440" w:gutter="0" w:footer="0" w:header="0"/>
        </w:sectPr>
      </w:pPr>
    </w:p>
    <w:bookmarkStart w:id="138" w:name="page139"/>
    <w:bookmarkEnd w:id="138"/>
    <w:p>
      <w:pPr>
        <w:ind w:right="2139" w:firstLine="524"/>
        <w:spacing w:after="0" w:line="254" w:lineRule="auto"/>
        <w:rPr>
          <w:sz w:val="20"/>
          <w:szCs w:val="20"/>
          <w:color w:val="auto"/>
        </w:rPr>
      </w:pPr>
      <w:r>
        <w:rPr>
          <w:rFonts w:ascii="Courier New" w:cs="Courier New" w:eastAsia="Courier New" w:hAnsi="Courier New"/>
          <w:sz w:val="17"/>
          <w:szCs w:val="17"/>
          <w:color w:val="auto"/>
        </w:rPr>
        <w:t>Indemnification by AT&amp;T Broadband. After completion of the transaction, AT&amp;T Broadband will indemnify AT&amp;T from any and all liabilities relating to, arising out of or resulting from any of the following:</w:t>
      </w:r>
    </w:p>
    <w:p>
      <w:pPr>
        <w:spacing w:after="0" w:line="194" w:lineRule="exact"/>
        <w:rPr>
          <w:sz w:val="20"/>
          <w:szCs w:val="20"/>
          <w:color w:val="auto"/>
        </w:rPr>
      </w:pPr>
    </w:p>
    <w:p>
      <w:pPr>
        <w:jc w:val="both"/>
        <w:ind w:left="740" w:right="2259" w:hanging="209"/>
        <w:spacing w:after="0" w:line="254" w:lineRule="auto"/>
        <w:tabs>
          <w:tab w:leader="none" w:pos="740"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of AT&amp;T Broadband or any of its subsidiaries or any other person to pay any liabilities, or perform under any contracts, of the AT&amp;T Broadband business;</w:t>
      </w:r>
    </w:p>
    <w:p>
      <w:pPr>
        <w:spacing w:after="0" w:line="194"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assets or contracts of AT&amp;T's broadband business;</w:t>
      </w:r>
    </w:p>
    <w:p>
      <w:pPr>
        <w:spacing w:after="0" w:line="210" w:lineRule="exact"/>
        <w:rPr>
          <w:rFonts w:ascii="Courier New" w:cs="Courier New" w:eastAsia="Courier New" w:hAnsi="Courier New"/>
          <w:sz w:val="17"/>
          <w:szCs w:val="17"/>
          <w:color w:val="auto"/>
        </w:rPr>
      </w:pPr>
    </w:p>
    <w:p>
      <w:pPr>
        <w:ind w:left="740" w:right="2259" w:hanging="209"/>
        <w:spacing w:after="0" w:line="257" w:lineRule="auto"/>
        <w:tabs>
          <w:tab w:leader="none" w:pos="740"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the separation and distribution agreement or any of the ancillary agreements by AT&amp;T Broadband; and</w:t>
      </w:r>
    </w:p>
    <w:p>
      <w:pPr>
        <w:spacing w:after="0" w:line="191"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neither the QUIPS exchange transaction nor the QUIPS Transfer occurs, any liabilities relating to, arising out of or resulting from any action commenced by Microsoft claiming that the transaction violates the terms of the QUIPS; however, in the event that AT&amp;T is required to repay the QUIPS as a result of such action, the indemnified liability in respect of the repayment will be reduced by the amount of the QUIPS fair market value plus any accrued interest on the QUIPS since the date of determination of the QUIPS fair market value. See "-- The Merger Agreement -- Covenants -- QUIPS Failure."</w:t>
      </w:r>
    </w:p>
    <w:p>
      <w:pPr>
        <w:spacing w:after="0" w:line="201"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Tax Indemnification. Subject to the exceptions described below, AT&amp;T Broadband will indemnify AT&amp;T against 50% of the taxes and related costs assessed against AT&amp;T resulting from the disqualification of the separation and the AT&amp;T Broadband spin-off as tax-free transactions under Section 355 of the Code.</w:t>
      </w:r>
    </w:p>
    <w:p>
      <w:pPr>
        <w:spacing w:after="0" w:line="396"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If such disqualification results from a transaction involving the stock or assets of AT&amp;T Broadband occurring after the AT&amp;T Broadband spin-off, from AT&amp;T Broadband's failure to remain actively engaged in a trade or business or from the failure of any representation made with respect to AT&amp;T Broadband in connection with certain tax opinions and Internal Revenue Service rulings, then AT&amp;T Broadband will be required to indemnify AT&amp;T against all such taxes and related costs.</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If such disqualification results from a transaction involving the stock or assets of AT&amp;T occurring after the AT&amp;T Broadband spin-off, from AT&amp;T's failure to remain actively engaged in a trade or business or from the failure of any representation made with respect to AT&amp;T in connection with certain tax opinions and Internal Revenue Service rulings, then AT&amp;T Broadband is not required to indemnify AT&amp;T against any such taxes or related costs.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will also indemnify AT&amp;T against 50% of the taxes and related costs resulting from the Liberty Media or AT&amp;T Wireless spin-offs failing to be tax-free, unless either spin-off becomes taxable as a result of an action taken by AT&amp;T or AT&amp;T Broadband, in which case the acting party bears full responsibility for any resulting AT&amp;T liabilities. AT&amp;T Broadband's obligation described in the preceding sentence is reduced by AT&amp;T Broadband's share of any indemnification that AT&amp;T receives from Liberty Media or AT&amp;T Wireless as a result of the relevant spin-off failing to qualify as tax-free.</w:t>
      </w:r>
    </w:p>
    <w:p>
      <w:pPr>
        <w:spacing w:after="0" w:line="201"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Other Indemnification. AT&amp;T and AT&amp;T Broadband will indemnify each other for 50% of any liability resulting from any untrue statement or omission of a material fact in any registration statement relating to the AT&amp;T Broadband spin-off or in any other filing made by AT&amp;T or AT&amp;T Broadband with the Securities and Exchange Commission in connection with the separation, the AT&amp;T Broadband spin-off, the AT&amp;T Broadband merger or any related agreements.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The separation and distribution agreement may be terminated by AT&amp;T if the merger agreement has terminated.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AMENDMENTS AND WAIVERS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Any provision of the separation and distribution agreement may be amended or waived prior to the completion of the transaction if, but only if, such amendment or waiver is in writing and is signed, in the case of an amendment, by AT&amp;T, AT&amp;T Broadband and Comcast or, in the case of a waiver, by the party to the separation and distribution agreement against whom the waiver is to be effective and Comcast.</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V-17</w:t>
      </w:r>
    </w:p>
    <w:p>
      <w:pPr>
        <w:sectPr>
          <w:pgSz w:w="11900" w:h="16838" w:orient="portrait"/>
          <w:cols w:equalWidth="0" w:num="1">
            <w:col w:w="10219"/>
          </w:cols>
          <w:pgMar w:left="240" w:top="719" w:right="1440" w:bottom="458" w:gutter="0" w:footer="0" w:header="0"/>
        </w:sectPr>
      </w:pPr>
    </w:p>
    <w:bookmarkStart w:id="139" w:name="page140"/>
    <w:bookmarkEnd w:id="139"/>
    <w:p>
      <w:pPr>
        <w:ind w:left="3040"/>
        <w:spacing w:after="0"/>
        <w:rPr>
          <w:sz w:val="20"/>
          <w:szCs w:val="20"/>
          <w:color w:val="auto"/>
        </w:rPr>
      </w:pPr>
      <w:r>
        <w:rPr>
          <w:rFonts w:ascii="Courier New" w:cs="Courier New" w:eastAsia="Courier New" w:hAnsi="Courier New"/>
          <w:sz w:val="17"/>
          <w:szCs w:val="17"/>
          <w:color w:val="auto"/>
        </w:rPr>
        <w:t>THE SUPPORT AGREEMENT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connection with the merger agreement, AT&amp;T, Comcast, AT&amp;T Comcast, Sural LLC and Brian L. Roberts have entered into a support agreement relating to the shares of Comcast voting stock held by Sural prior to the completion of the AT&amp;T Comcast transaction and the shares of AT&amp;T Comcast voting stock that will be held by Sural after completion of the AT&amp;T Comcast transaction (all of such shares are referred to in this section as the "Comcast Shares"). As of the date of this document, Sural held shares of Comcast voting stock representing approximately 86.7% of Comcast's outstanding voting power. The following summary of the support agreement is qualified in its entirety by reference to the complete text of the support agreement, which is incorporated by reference and attached as an exhibit to the registration statement in which this document is included.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AGREEMENT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Sural has agreed to vote the Comcast Shares:</w:t>
      </w:r>
    </w:p>
    <w:p>
      <w:pPr>
        <w:spacing w:after="0" w:line="210" w:lineRule="exact"/>
        <w:rPr>
          <w:sz w:val="20"/>
          <w:szCs w:val="20"/>
          <w:color w:val="auto"/>
        </w:rPr>
      </w:pPr>
    </w:p>
    <w:p>
      <w:pPr>
        <w:ind w:left="740" w:right="2779" w:hanging="209"/>
        <w:spacing w:after="0" w:line="257" w:lineRule="auto"/>
        <w:tabs>
          <w:tab w:leader="none" w:pos="740"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favor of adoption of the merger agreement and approval of the transactions contemplated by the merger agreement;</w:t>
      </w:r>
    </w:p>
    <w:p>
      <w:pPr>
        <w:spacing w:after="0" w:line="191" w:lineRule="exact"/>
        <w:rPr>
          <w:rFonts w:ascii="Courier New" w:cs="Courier New" w:eastAsia="Courier New" w:hAnsi="Courier New"/>
          <w:sz w:val="17"/>
          <w:szCs w:val="17"/>
          <w:color w:val="auto"/>
        </w:rPr>
      </w:pPr>
    </w:p>
    <w:p>
      <w:pPr>
        <w:ind w:left="740" w:right="2039" w:hanging="209"/>
        <w:spacing w:after="0" w:line="252" w:lineRule="auto"/>
        <w:tabs>
          <w:tab w:leader="none" w:pos="740"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against any action or agreement that would reasonably be expected to result in a breach of any covenant, representation or warranty or any other obligation or agreement of Comcast under the merger agreement or that would reasonably be expected to result in any of the conditions to the obligations of the parties under the merger agreement not being fulfilled;</w:t>
      </w:r>
    </w:p>
    <w:p>
      <w:pPr>
        <w:spacing w:after="0" w:line="196"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favor of any other matter relating to the consummation of the transactions contemplated by the merger agreement with respect to which Sural may be entitled to vote; and</w:t>
      </w:r>
    </w:p>
    <w:p>
      <w:pPr>
        <w:spacing w:after="0" w:line="194"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against any other matter that would reasonably be expected to prevent, interfere with or delay consummation of the transactions contemplated by the merger agreement.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COVENANTS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No Inconsistent Agreements. Sural has agreed that it will not enter into any voting agreement or grant a proxy or power of attorney or take any other action with respect to the Comcast Shares which is inconsistent with the terms of the support agreement. Brian L. Roberts has agreed that he will not enter into any voting agreement or grant a proxy or power of attorney or take any other action with respect to any units of membership interests in Sural which is inconsistent with the terms of the support agreement.</w:t>
      </w:r>
    </w:p>
    <w:p>
      <w:pPr>
        <w:spacing w:after="0" w:line="196"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Dispositions Prior to Completion of the AT&amp;T Comcast Transaction. Sural has agreed that prior to the completion of the transaction it will not transfer ownership of any of the Comcast Shares, except to certain permitted transferees who agree to be bound by the same transfer restrictions.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Dispositions After Completion of the AT&amp;T Comcast Transaction. Sural has agreed that from and after the completion of the AT&amp;T Comcast transaction until the tenth anniversary of the completion of the AT&amp;T Comcast transaction it will not transfer ownership of any of its shares of AT&amp;T Comcast Class B common stock, except to certain permitted transferees who agree to be bound by the same transfer restrictions or in a transaction that (1) permits AT&amp;T Comcast's other shareholders to dispose of all of their shares of AT&amp;T Comcast stock for the same per share consideration as Sural receives for its shares of AT&amp;T Comcast Class B common stock (or, if higher, any of its shares of any other class of AT&amp;T Comcast common stock) and (2) is approved by the disinterested holders of AT&amp;T Comcast's voting stock. Brian L. Roberts has also agreed that from and after the completion of the AT&amp;T Comcast transaction until the tenth anniversary of the completion of the AT&amp;T Comcast transaction he will not transfer ownership of any of his securities or other equity interests in Sural, except to certain permitted transferees who agree to be bound by the same transfer restrictions or in a transaction that (1) permits AT&amp;T Comcast's other shareholders to dispose of all of their shares of AT&amp;T Comcast stock for the same per share consideration as the effective per share consideration that Brian L. Roberts receives (as a result of his ownership interest in Sural) for each of the shares of AT&amp;T Comcast Class B common stock held</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V-18</w:t>
      </w:r>
    </w:p>
    <w:p>
      <w:pPr>
        <w:sectPr>
          <w:pgSz w:w="11900" w:h="16838" w:orient="portrait"/>
          <w:cols w:equalWidth="0" w:num="1">
            <w:col w:w="10219"/>
          </w:cols>
          <w:pgMar w:left="240" w:top="719" w:right="1440" w:bottom="659" w:gutter="0" w:footer="0" w:header="0"/>
        </w:sectPr>
      </w:pPr>
    </w:p>
    <w:bookmarkStart w:id="140" w:name="page141"/>
    <w:bookmarkEnd w:id="140"/>
    <w:p>
      <w:pPr>
        <w:ind w:right="1839"/>
        <w:spacing w:after="0" w:line="251" w:lineRule="auto"/>
        <w:rPr>
          <w:sz w:val="20"/>
          <w:szCs w:val="20"/>
          <w:color w:val="auto"/>
        </w:rPr>
      </w:pPr>
      <w:r>
        <w:rPr>
          <w:rFonts w:ascii="Courier New" w:cs="Courier New" w:eastAsia="Courier New" w:hAnsi="Courier New"/>
          <w:sz w:val="17"/>
          <w:szCs w:val="17"/>
          <w:color w:val="auto"/>
        </w:rPr>
        <w:t>by Sural (or, if higher, any of the shares of any other class of AT&amp;T Comcast common stock), and (2) is approved by the disinterested holders of AT&amp;T Comcast's voting stock. Following the tenth anniversary of the completion of the AT&amp;T Comcast transaction, subject to applicable law, the holders of the AT&amp;T Comcast Class B common stock will be permitted to transfer their shares of AT&amp;T Comcast Class B common stock in a transaction in which they receive a premium that is disproportionate to the premium (if any) received by the other holders of AT&amp;T Comcast stock for their shares of AT&amp;T Comcast stock.</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Interested Party Transactions. AT&amp;T Comcast has agreed that, except as described in the next sentence, after the completion of the AT&amp;T Comcast transaction neither it nor any of its subsidiaries will enter into any material transaction with Brian L. Roberts or any of his associates or any permitted transferee unless such transaction is approved by AT&amp;T Comcast's disinterested directors. Compensation arrangements between Brian L. Roberts or any of his associates on the one hand and AT&amp;T Comcast or any of its subsidiaries on the other hand will require the approval of the disinterested directors of the compensation committee of the AT&amp;T Comcast Board.</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Additional Voting Agreements. Sural has agreed that from and after the completion of the AT&amp;T Comcast transaction until the 2005 annual meeting of AT&amp;T Comcast shareholders, it will vote its shares of AT&amp;T Comcast Class B common stock against any proposed amendment to the governance arrangements set forth in the AT&amp;T Comcast charter. See "Description of Governance Arrangements Following the AT&amp;T Comcast Transaction."</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Sural has further agreed that if Brian L. Roberts dies or becomes incapable of performing his duties prior to the fifth anniversary of the completion of the AT&amp;T Comcast transaction, then, unless Ralph J. Roberts has sole voting power in respect of the election of directors with respect to all outstanding shares of AT&amp;T Comcast Class B common stock, from the date of Brian L. Roberts's death or inability to perform his duties until the fifth anniversary of the completion of the AT&amp;T Comcast transaction, Sural will vote its shares of AT&amp;T Comcast Class B common stock in any election of AT&amp;T Comcast directors in the same proportion as the holders of shares of AT&amp;T Comcast common stock (other than AT&amp;T Comcast Class B common stock and any other voting shares of AT&amp;T Comcast owned by Brian L. Roberts or Sural or any permitted transferee) vote in such election of directors. Each permitted transferee of any of such securities will also be required to agree, as a condition to such transfer, to the same voting obligations.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ENFORCEMENT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support agreement provides that any determination with respect to Sural's, Brian L. Roberts's or AT&amp;T Comcast's compliance with the support agreement or otherwise with respect to the items described in "-- Covenants," in each case after the completion of the AT&amp;T Comcast transaction, including any determination as to the enforcement action to be taken by AT&amp;T Comcast in connection with such determination, will be made for AT&amp;T Comcast by the disinterested, independent persons on the AT&amp;T Comcast Board; provided that any Comcast director designee (including any replacement Comcast director designee) or any director who was a Comcast director designee or any spouse, parent, sibling, lineal descendant, aunt, uncle, cousin, other close relative of Brian L. Roberts or their respective spouses will not be considered a disinterested, independent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AMENDMENTS</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Any provision of the support agreement may be amended if such amendment is in writing and is signed by each of the parties to the support agreement. However, no amendment of any provision described under "-- Covenants" or "-- Enforcement" will be effective without the approval of:</w:t>
      </w:r>
    </w:p>
    <w:p>
      <w:pPr>
        <w:spacing w:after="0" w:line="195" w:lineRule="exact"/>
        <w:rPr>
          <w:sz w:val="20"/>
          <w:szCs w:val="20"/>
          <w:color w:val="auto"/>
        </w:rPr>
      </w:pPr>
    </w:p>
    <w:p>
      <w:pPr>
        <w:ind w:left="740" w:right="1939" w:hanging="209"/>
        <w:spacing w:after="0" w:line="252" w:lineRule="auto"/>
        <w:tabs>
          <w:tab w:leader="none" w:pos="740"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majority of the disinterested, independent persons on the AT&amp;T Comcast Board; provided that any Comcast director designee (including any replacement Comcast director designee) or any director who was a Comcast director designee or any spouse, parent, sibling, lineal descendant, aunt, uncle, cousin, other close relative of Brian L. Roberts or their respective spouses will not be considered disinterested, independent persons; and</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V-19</w:t>
      </w:r>
    </w:p>
    <w:p>
      <w:pPr>
        <w:sectPr>
          <w:pgSz w:w="11900" w:h="16838" w:orient="portrait"/>
          <w:cols w:equalWidth="0" w:num="1">
            <w:col w:w="10219"/>
          </w:cols>
          <w:pgMar w:left="240" w:top="719" w:right="1440" w:bottom="1062" w:gutter="0" w:footer="0" w:header="0"/>
        </w:sectPr>
      </w:pPr>
    </w:p>
    <w:bookmarkStart w:id="141" w:name="page142"/>
    <w:bookmarkEnd w:id="141"/>
    <w:p>
      <w:pPr>
        <w:ind w:left="740" w:right="2139" w:hanging="209"/>
        <w:spacing w:after="0" w:line="253" w:lineRule="auto"/>
        <w:tabs>
          <w:tab w:leader="none" w:pos="740"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a majority of the votes cast by the holders of all of the classes of AT&amp;T Comcast capital stock entitled to vote (other than the AT&amp;T Comcast Class B common stock and any other voting shares of AT&amp;T Comcast owned by Brian L. Roberts, Sural or any permitted transferee).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w:t>
      </w:r>
    </w:p>
    <w:p>
      <w:pPr>
        <w:spacing w:after="0" w:line="210" w:lineRule="exact"/>
        <w:rPr>
          <w:sz w:val="20"/>
          <w:szCs w:val="20"/>
          <w:color w:val="auto"/>
        </w:rPr>
      </w:pPr>
    </w:p>
    <w:p>
      <w:pPr>
        <w:jc w:val="both"/>
        <w:ind w:right="2259" w:firstLine="524"/>
        <w:spacing w:after="0" w:line="254" w:lineRule="auto"/>
        <w:rPr>
          <w:sz w:val="20"/>
          <w:szCs w:val="20"/>
          <w:color w:val="auto"/>
        </w:rPr>
      </w:pPr>
      <w:r>
        <w:rPr>
          <w:rFonts w:ascii="Courier New" w:cs="Courier New" w:eastAsia="Courier New" w:hAnsi="Courier New"/>
          <w:sz w:val="17"/>
          <w:szCs w:val="17"/>
          <w:color w:val="auto"/>
        </w:rPr>
        <w:t>The support agreement terminates on the earlier to occur of (1) one day after the tenth anniversary of the completion of the transaction and (2) any termination of the merger agreement.</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V-20</w:t>
      </w:r>
    </w:p>
    <w:p>
      <w:pPr>
        <w:sectPr>
          <w:pgSz w:w="11900" w:h="16838" w:orient="portrait"/>
          <w:cols w:equalWidth="0" w:num="1">
            <w:col w:w="10219"/>
          </w:cols>
          <w:pgMar w:left="240" w:top="719" w:right="1440" w:bottom="1440" w:gutter="0" w:footer="0" w:header="0"/>
        </w:sectPr>
      </w:pPr>
    </w:p>
    <w:bookmarkStart w:id="142" w:name="page143"/>
    <w:bookmarkEnd w:id="142"/>
    <w:p>
      <w:pPr>
        <w:jc w:val="center"/>
        <w:ind w:right="1839"/>
        <w:spacing w:after="0"/>
        <w:rPr>
          <w:sz w:val="20"/>
          <w:szCs w:val="20"/>
          <w:color w:val="auto"/>
        </w:rPr>
      </w:pPr>
      <w:r>
        <w:rPr>
          <w:rFonts w:ascii="Courier New" w:cs="Courier New" w:eastAsia="Courier New" w:hAnsi="Courier New"/>
          <w:sz w:val="17"/>
          <w:szCs w:val="17"/>
          <w:color w:val="auto"/>
        </w:rPr>
        <w:t>THE EXCHANGE AGREEMENT</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connection with the AT&amp;T Comcast transaction, Comcast and Microsoft entered into an exchange agreement dated December 7, 2001. On December 19, 2001, following execution of the merger agreement, AT&amp;T and AT&amp;T Comcast each became a party to the exchange agreement. The following summary of the exchange agreement is qualified in its entirety by reference to the complete text of the exchange agreement, which is incorporated by reference and attached as an exhibit to the registration statement in which this document is included.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QUIPS EXCHANGE</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QUIPS. Microsoft (through a wholly owned subsidiary) holds $5 billion in aggregate liquidation preference amount of 5% Convertible Quarterly Income Preferred Securities (referred to in this document by their acronym "QUIPS") of AT&amp;T Finance Trust I, a Delaware business trust. The QUIPS are convertible into $5 billion aggregate face amount of 5% Junior Convertible Subordinated Debentures due 2029 of AT&amp;T, which are in turn convertible into AT&amp;T common stock.</w:t>
      </w:r>
    </w:p>
    <w:p>
      <w:pPr>
        <w:spacing w:after="0" w:line="398"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Exchange. In connection with the AT&amp;T Broadband spin-off, Microsoft has agreed to exchange the QUIPS for a number of shares of AT&amp;T Broadband common stock that will be converted in the AT&amp;T Broadband merger into 115 million shares of AT&amp;T Comcast Class A common stock under the Preferred Structure (or AT&amp;T Comcast Class C common stock under the Alternative Structure). This transaction is referred to in this document as the "QUIPS exchange transaction."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INTERNET ACCESS</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Until the fifth anniversary of the QUIPS exchange transaction, subject to the completion of the QUIPS exchange transaction, AT&amp;T Comcast has agreed that if AT&amp;T Comcast offers a high-speed Internet access agreement to any third party, then it will be obligated to offer an agreement on nondiscriminatory terms with respect to the same cable systems to Microsoft for its Internet service provider, The Microsoft Network.</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COVENANTS</w:t>
      </w:r>
    </w:p>
    <w:p>
      <w:pPr>
        <w:spacing w:after="0" w:line="210"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Each of Comcast, Microsoft, AT&amp;T and AT&amp;T Comcast has undertaken certain covenants in the exchange agreement. The following summarizes the more significant of these covenants.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Merger Documentation. Comcast has agreed that, without the prior written consent of Microsoft (which consent will not be unreasonably withheld), Comcast will not agree to any amendment or waiver of any provision of any of the AT&amp;T Comcast transaction agreements that would reasonably be expected to (1) conflict with any provision of the exchange agreement, the agreements relating to the set-top box commitment described below or any access agreement entered into between Microsoft and AT&amp;T Comcast pursuant to the most favored nation provision described above or (2) be materially adverse to Microsoft's rights under the exchange agreement or the benefits that Microsoft reasonably expects to realize from the exchange agreement, in the case of (2), to the extent that any such amendment or waiver would have an effect on Microsoft that is materially disproportionate to the effect it would have on other AT&amp;T Broadband or AT&amp;T Comcast shareholders.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Lockup. Prior to six months after completion of the QUIPS exchange transaction, subject to certain exceptions, Microsoft has agreed that it will not sell, or enter into any agreement, arrangement or negotiations relating to the sale of, any of the shares of AT&amp;T Comcast common stock that it receives in connection with the QUIPS exchange transaction.</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Indemnity. Comcast has agreed to indemnify Microsoft against any claim by Comcast, AT&amp;T or any shareholder of Comcast, AT&amp;T or AT&amp;T Comcast for any loss arising as a result of the AT&amp;T Broadband spin-off or the mergers failing to be tax-free, except to the extent such a failure results directly from a breach by Microsoft of its covenant described under "-- Lockup" or of the failure of a related representation and warranty made by Microsoft in the exchange agreement.</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V-21</w:t>
      </w:r>
    </w:p>
    <w:p>
      <w:pPr>
        <w:sectPr>
          <w:pgSz w:w="11900" w:h="16838" w:orient="portrait"/>
          <w:cols w:equalWidth="0" w:num="1">
            <w:col w:w="10219"/>
          </w:cols>
          <w:pgMar w:left="240" w:top="719"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7"/>
          <w:szCs w:val="17"/>
          <w:color w:val="auto"/>
        </w:rPr>
        <w:t>CONDITIONS TO THE COMPLETION OF THE QUIPS EXCHANGE</w:t>
      </w:r>
    </w:p>
    <w:p>
      <w:pPr>
        <w:spacing w:after="0" w:line="210"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Conditions to the Obligations of Microsoft. The obligations of Microsoft to complete the QUIPS exchange transaction are subject to the satisfaction or waiver (to the extent permissible) of the following conditions:</w:t>
      </w:r>
    </w:p>
    <w:p>
      <w:pPr>
        <w:spacing w:after="0" w:line="194" w:lineRule="exact"/>
        <w:rPr>
          <w:sz w:val="20"/>
          <w:szCs w:val="20"/>
          <w:color w:val="auto"/>
        </w:rPr>
      </w:pPr>
    </w:p>
    <w:p>
      <w:pPr>
        <w:ind w:left="740" w:right="1839" w:hanging="209"/>
        <w:spacing w:after="0" w:line="257" w:lineRule="auto"/>
        <w:tabs>
          <w:tab w:leader="none" w:pos="74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a material legal prohibition on the QUIPS exchange transaction or the mergers;</w:t>
      </w:r>
    </w:p>
    <w:p>
      <w:pPr>
        <w:spacing w:after="0" w:line="191" w:lineRule="exact"/>
        <w:rPr>
          <w:rFonts w:ascii="Courier New" w:cs="Courier New" w:eastAsia="Courier New" w:hAnsi="Courier New"/>
          <w:sz w:val="17"/>
          <w:szCs w:val="17"/>
          <w:color w:val="auto"/>
        </w:rPr>
      </w:pPr>
    </w:p>
    <w:p>
      <w:pPr>
        <w:ind w:left="740" w:right="2139" w:hanging="209"/>
        <w:spacing w:after="0" w:line="253" w:lineRule="auto"/>
        <w:tabs>
          <w:tab w:leader="none" w:pos="74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in the next bullet point, satisfaction or waiver of all conditions to the mergers and the reasonable satisfaction of Microsoft that the mergers will occur immediately following the QUIPS exchange transaction;</w:t>
      </w:r>
    </w:p>
    <w:p>
      <w:pPr>
        <w:spacing w:after="0" w:line="195"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satisfaction (but not waiver) of the condition to the mergers that there has been no Material Adverse Effect with respect to AT&amp;T's broadband business;</w:t>
      </w:r>
    </w:p>
    <w:p>
      <w:pPr>
        <w:spacing w:after="0" w:line="194" w:lineRule="exact"/>
        <w:rPr>
          <w:rFonts w:ascii="Courier New" w:cs="Courier New" w:eastAsia="Courier New" w:hAnsi="Courier New"/>
          <w:sz w:val="17"/>
          <w:szCs w:val="17"/>
          <w:color w:val="auto"/>
        </w:rPr>
      </w:pPr>
    </w:p>
    <w:p>
      <w:pPr>
        <w:jc w:val="both"/>
        <w:ind w:left="740" w:right="1939" w:hanging="209"/>
        <w:spacing w:after="0" w:line="254" w:lineRule="auto"/>
        <w:tabs>
          <w:tab w:leader="none" w:pos="74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accuracy of the representations and warranties of Comcast, AT&amp;T and AT&amp;T Comcast contained in the exchange agreement or made pursuant to the exchange agreement;</w:t>
      </w:r>
    </w:p>
    <w:p>
      <w:pPr>
        <w:spacing w:after="0" w:line="194" w:lineRule="exact"/>
        <w:rPr>
          <w:rFonts w:ascii="Courier New" w:cs="Courier New" w:eastAsia="Courier New" w:hAnsi="Courier New"/>
          <w:sz w:val="17"/>
          <w:szCs w:val="17"/>
          <w:color w:val="auto"/>
        </w:rPr>
      </w:pPr>
    </w:p>
    <w:p>
      <w:pPr>
        <w:ind w:left="740" w:right="1939" w:hanging="209"/>
        <w:spacing w:after="0" w:line="257" w:lineRule="auto"/>
        <w:tabs>
          <w:tab w:leader="none" w:pos="74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by Comcast, AT&amp;T and AT&amp;T Comcast of all of their respective obligations under the exchange agreement;</w:t>
      </w:r>
    </w:p>
    <w:p>
      <w:pPr>
        <w:spacing w:after="0" w:line="191"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for the listing on The Nasdaq Stock Market of the shares of AT&amp;T Comcast common stock to be issued in the mergers (other than the shares of AT&amp;T Comcast Class B common stock);</w:t>
      </w:r>
    </w:p>
    <w:p>
      <w:pPr>
        <w:spacing w:after="0" w:line="194" w:lineRule="exact"/>
        <w:rPr>
          <w:rFonts w:ascii="Courier New" w:cs="Courier New" w:eastAsia="Courier New" w:hAnsi="Courier New"/>
          <w:sz w:val="17"/>
          <w:szCs w:val="17"/>
          <w:color w:val="auto"/>
        </w:rPr>
      </w:pPr>
    </w:p>
    <w:p>
      <w:pPr>
        <w:ind w:left="740" w:right="2039" w:hanging="209"/>
        <w:spacing w:after="0" w:line="257" w:lineRule="auto"/>
        <w:tabs>
          <w:tab w:leader="none" w:pos="74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by AT&amp;T and Comcast of opinions of counsel relating to various corporate matters; and</w:t>
      </w:r>
    </w:p>
    <w:p>
      <w:pPr>
        <w:spacing w:after="0" w:line="191" w:lineRule="exact"/>
        <w:rPr>
          <w:rFonts w:ascii="Courier New" w:cs="Courier New" w:eastAsia="Courier New" w:hAnsi="Courier New"/>
          <w:sz w:val="17"/>
          <w:szCs w:val="17"/>
          <w:color w:val="auto"/>
        </w:rPr>
      </w:pPr>
    </w:p>
    <w:p>
      <w:pPr>
        <w:ind w:left="740" w:right="2259" w:hanging="209"/>
        <w:spacing w:after="0" w:line="254" w:lineRule="auto"/>
        <w:tabs>
          <w:tab w:leader="none" w:pos="74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completion of the AT&amp;T Broadband spin-off, AT&amp;T Broadband holds substantially all of the assets and liabilities of AT&amp;T's broadband business.</w:t>
      </w:r>
    </w:p>
    <w:p>
      <w:pPr>
        <w:spacing w:after="0" w:line="194"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Conditions to the Obligations of Comcast and AT&amp;T. The obligations of Comcast and AT&amp;T to complete the QUIPS exchange transaction are subject to the satisfaction or waiver (to the extent permissible) of the following conditions:</w:t>
      </w:r>
    </w:p>
    <w:p>
      <w:pPr>
        <w:spacing w:after="0" w:line="194" w:lineRule="exact"/>
        <w:rPr>
          <w:sz w:val="20"/>
          <w:szCs w:val="20"/>
          <w:color w:val="auto"/>
        </w:rPr>
      </w:pPr>
    </w:p>
    <w:p>
      <w:pPr>
        <w:jc w:val="both"/>
        <w:ind w:left="740" w:right="2879" w:hanging="209"/>
        <w:spacing w:after="0" w:line="257" w:lineRule="auto"/>
        <w:tabs>
          <w:tab w:leader="none" w:pos="74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satisfaction or waiver of all conditions to the mergers and the reasonable satisfaction of Comcast that the mergers will occur;</w:t>
      </w:r>
    </w:p>
    <w:p>
      <w:pPr>
        <w:spacing w:after="0" w:line="191" w:lineRule="exact"/>
        <w:rPr>
          <w:rFonts w:ascii="Courier New" w:cs="Courier New" w:eastAsia="Courier New" w:hAnsi="Courier New"/>
          <w:sz w:val="17"/>
          <w:szCs w:val="17"/>
          <w:color w:val="auto"/>
        </w:rPr>
      </w:pPr>
    </w:p>
    <w:p>
      <w:pPr>
        <w:ind w:left="740" w:right="2359" w:hanging="209"/>
        <w:spacing w:after="0" w:line="257" w:lineRule="auto"/>
        <w:tabs>
          <w:tab w:leader="none" w:pos="74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accuracy of the representations and warranties of Microsoft contained in the exchange agreement;</w:t>
      </w:r>
    </w:p>
    <w:p>
      <w:pPr>
        <w:spacing w:after="0" w:line="191" w:lineRule="exact"/>
        <w:rPr>
          <w:rFonts w:ascii="Courier New" w:cs="Courier New" w:eastAsia="Courier New" w:hAnsi="Courier New"/>
          <w:sz w:val="17"/>
          <w:szCs w:val="17"/>
          <w:color w:val="auto"/>
        </w:rPr>
      </w:pPr>
    </w:p>
    <w:p>
      <w:pPr>
        <w:ind w:left="740" w:right="2259" w:hanging="209"/>
        <w:spacing w:after="0" w:line="257" w:lineRule="auto"/>
        <w:tabs>
          <w:tab w:leader="none" w:pos="74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by Microsoft of all of its obligations under the exchange agreement; and</w:t>
      </w:r>
    </w:p>
    <w:p>
      <w:pPr>
        <w:spacing w:after="0" w:line="191" w:lineRule="exact"/>
        <w:rPr>
          <w:rFonts w:ascii="Courier New" w:cs="Courier New" w:eastAsia="Courier New" w:hAnsi="Courier New"/>
          <w:sz w:val="17"/>
          <w:szCs w:val="17"/>
          <w:color w:val="auto"/>
        </w:rPr>
      </w:pPr>
    </w:p>
    <w:p>
      <w:pPr>
        <w:ind w:left="740" w:right="2559" w:hanging="209"/>
        <w:spacing w:after="0" w:line="257" w:lineRule="auto"/>
        <w:tabs>
          <w:tab w:leader="none" w:pos="74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by Microsoft of an opinion of counsel relating to various corporate matters.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The exchange agreement may be terminated by either Comcast or Microsoft in any of the following circumstances:</w:t>
      </w:r>
    </w:p>
    <w:p>
      <w:pPr>
        <w:spacing w:after="0" w:line="192" w:lineRule="exact"/>
        <w:rPr>
          <w:sz w:val="20"/>
          <w:szCs w:val="20"/>
          <w:color w:val="auto"/>
        </w:rPr>
      </w:pPr>
    </w:p>
    <w:p>
      <w:pPr>
        <w:ind w:left="740" w:hanging="209"/>
        <w:spacing w:after="0"/>
        <w:tabs>
          <w:tab w:leader="none" w:pos="74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agreement has been terminated;</w:t>
      </w:r>
    </w:p>
    <w:p>
      <w:pPr>
        <w:spacing w:after="0" w:line="210"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law or regulation makes completion of the QUIPS exchange transaction illegal or a permanent injunction prohibiting completion of the QUIPS exchange transaction is entered; or</w:t>
      </w:r>
    </w:p>
    <w:p>
      <w:pPr>
        <w:spacing w:after="0" w:line="194"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have not been completed by March 1, 2003.</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INTERACTIVE TECHNOLOGY AGREEMENT</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 connection with the exchange agreement, Microsoft and Comcast Cable Communications, Inc. have entered into a three-year agreement pursuant to which the parties will conduct a trial during 2002 of an interactive television platform, including set-top box middleware. If the trial results meet agreed</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V-22</w:t>
      </w:r>
    </w:p>
    <w:p>
      <w:pPr>
        <w:sectPr>
          <w:pgSz w:w="11900" w:h="16838" w:orient="portrait"/>
          <w:cols w:equalWidth="0" w:num="1">
            <w:col w:w="10219"/>
          </w:cols>
          <w:pgMar w:left="240" w:top="719" w:right="1440" w:bottom="860" w:gutter="0" w:footer="0" w:header="0"/>
        </w:sectPr>
      </w:pPr>
    </w:p>
    <w:bookmarkStart w:id="144" w:name="page145"/>
    <w:bookmarkEnd w:id="144"/>
    <w:p>
      <w:pPr>
        <w:jc w:val="both"/>
        <w:ind w:right="1939"/>
        <w:spacing w:after="0" w:line="253" w:lineRule="auto"/>
        <w:rPr>
          <w:sz w:val="20"/>
          <w:szCs w:val="20"/>
          <w:color w:val="auto"/>
        </w:rPr>
      </w:pPr>
      <w:r>
        <w:rPr>
          <w:rFonts w:ascii="Courier New" w:cs="Courier New" w:eastAsia="Courier New" w:hAnsi="Courier New"/>
          <w:sz w:val="17"/>
          <w:szCs w:val="17"/>
          <w:color w:val="auto"/>
        </w:rPr>
        <w:t>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95"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THE TAX SHARING AGREEMENT</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The following summary of the tax sharing agreement is qualified in its entirety by reference to the complete text of the tax sharing agreement, which is incorporated by reference into this document and attached as an exhibit to the registration statement in which this document is included.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GENERAL</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is currently included in AT&amp;T's federal consolidated income tax group and AT&amp;T Broadband's tax liability will be included in the consolidated federal income tax liability of AT&amp;T for 2002 until the time of the AT&amp;T Broadband spin-off. The tax sharing agreement provides for tax sharing payments between AT&amp;T Broadband and AT&amp;T for periods prior to the AT&amp;T Broadband spin-off, based on the taxes or tax benefits of hypothetical affiliated groups consisting of the businesses, assets and liabilities that make up AT&amp;T Broadband, on the one hand, and all other businesses, assets and liabilities of AT&amp;T, on the other hand. Each group is generally responsible for the taxes attributable to its lines of business and entities comprising its group.</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and AT&amp;T Broadband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AT&amp;T Broadband consistent with the allocations under the tax sharing agreement. As between AT&amp;T and AT&amp;T Broadband, certain tax items are specially allocated to the AT&amp;T group and AT&amp;T Broadband group under the tax sharing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BROADBAND SPIN-OFF</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AT&amp;T and AT&amp;T Broadband have agreed that taxes related to intercompany transactions that are triggered by the AT&amp;T Broadband spin-off will be generally allocated to AT&amp;T Broadband.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NON-INCOME TAX LIABILITIES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and AT&amp;T Broadband have agreed that joint non-income tax liabilities will generally be allocated between AT&amp;T and AT&amp;T Broadband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AUDIT ADJUSTMENTS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AT&amp;T and AT&amp;T Broadband have agreed that taxes resulting from audit adjustments will generally be allocated between the two groups based on line of business. In general, AT&amp;T controls audits and administrative matters related to pre-spin-off periods.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POST-SPIN-OFF TAX ATTRIBUTES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Generally, AT&amp;T Broadband may not carry back a loss, credit or other tax attribute from a post-spin-off period to a pre-spin-off period, unless AT&amp;T Broadband obtains AT&amp;T's consent (which, in the case of significant net operating or capital loss carrybacks, may not be unreasonably withheld) and then only to the extent permitted by applicable law.</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V-23</w:t>
      </w:r>
    </w:p>
    <w:p>
      <w:pPr>
        <w:sectPr>
          <w:pgSz w:w="11900" w:h="16838" w:orient="portrait"/>
          <w:cols w:equalWidth="0" w:num="1">
            <w:col w:w="10219"/>
          </w:cols>
          <w:pgMar w:left="240" w:top="719"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7"/>
          <w:szCs w:val="17"/>
          <w:color w:val="auto"/>
        </w:rPr>
        <w:t>AMENDMENTS AND WAIVERS</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Any provision of the tax sharing agreement may be amended or waived prior to the completion of the transaction if, but only if, such amendment or waiver is in writing and is signed, in the case of an amendment, by AT&amp;T, AT&amp;T Broadband and Comcast or, in the case of a waiver, by the party to the tax sharing agreement against whom the waiver is to be effective and Comcast.</w:t>
      </w:r>
    </w:p>
    <w:p>
      <w:pPr>
        <w:spacing w:after="0" w:line="197"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THE ANCILLARY AGREEMENTS</w:t>
      </w:r>
    </w:p>
    <w:p>
      <w:pPr>
        <w:spacing w:after="0" w:line="210"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In addition to the other agreements described in this section, AT&amp;T and AT&amp;T Broadband have entered into various other commercial agreements in connection with the transaction. A brief summary of these agreements follows: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NETWORK SERVICE AGREEMENTS.</w:t>
      </w:r>
    </w:p>
    <w:p>
      <w:pPr>
        <w:spacing w:after="0" w:line="210"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AT&amp;T and AT&amp;T Broadband have entered into four principal network service agreements as follows.</w:t>
      </w:r>
    </w:p>
    <w:p>
      <w:pPr>
        <w:spacing w:after="0" w:line="192" w:lineRule="exact"/>
        <w:rPr>
          <w:sz w:val="20"/>
          <w:szCs w:val="20"/>
          <w:color w:val="auto"/>
        </w:rPr>
      </w:pPr>
    </w:p>
    <w:p>
      <w:pPr>
        <w:ind w:left="740" w:right="2039" w:hanging="209"/>
        <w:spacing w:after="0" w:line="252" w:lineRule="auto"/>
        <w:tabs>
          <w:tab w:leader="none" w:pos="740"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Master Carrier Agreement. This agreement reflects the rates, terms and conditions on which AT&amp;T's business services group will provide voice, data and Internet services to AT&amp;T Broadband, including both wholesale services (those used as a component in AT&amp;T Broadband's services to its customers) and "administrative" services (for internal AT&amp;T Broadband usage). Pricing is market based, with provisions defining an ongoing process to ensure that the prices remain competitive.</w:t>
      </w:r>
    </w:p>
    <w:p>
      <w:pPr>
        <w:spacing w:after="0" w:line="195" w:lineRule="exact"/>
        <w:rPr>
          <w:rFonts w:ascii="Courier New" w:cs="Courier New" w:eastAsia="Courier New" w:hAnsi="Courier New"/>
          <w:sz w:val="17"/>
          <w:szCs w:val="17"/>
          <w:color w:val="auto"/>
        </w:rPr>
      </w:pPr>
    </w:p>
    <w:p>
      <w:pPr>
        <w:ind w:left="740" w:right="2039" w:hanging="209"/>
        <w:spacing w:after="0" w:line="252" w:lineRule="auto"/>
        <w:tabs>
          <w:tab w:leader="none" w:pos="740"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Amended and Restated Local Network Connectivity Services Agreement. This agreement reflects the rates, terms and conditions on which AT&amp;T's business services group will provide certain local network connectivity services to AT&amp;T Broadband for use in providing local telephone services to AT&amp;T Broadband's subscribers. This agreement consists of two parts:</w:t>
      </w:r>
    </w:p>
    <w:p>
      <w:pPr>
        <w:spacing w:after="0" w:line="196" w:lineRule="exact"/>
        <w:rPr>
          <w:rFonts w:ascii="Courier New" w:cs="Courier New" w:eastAsia="Courier New" w:hAnsi="Courier New"/>
          <w:sz w:val="17"/>
          <w:szCs w:val="17"/>
          <w:color w:val="auto"/>
        </w:rPr>
      </w:pPr>
    </w:p>
    <w:p>
      <w:pPr>
        <w:ind w:left="960" w:right="1839" w:hanging="324"/>
        <w:spacing w:after="0" w:line="253" w:lineRule="auto"/>
        <w:tabs>
          <w:tab w:leader="none" w:pos="960" w:val="left"/>
        </w:tabs>
        <w:numPr>
          <w:ilvl w:val="1"/>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capital lease from AT&amp;T's business services group to AT&amp;T Broadband of certain network switching and transport assets to be used exclusively by AT&amp;T Broadband for a term of up to ten years (commencing January 1, 2001 for initial assets leased under the agreement); and</w:t>
      </w:r>
    </w:p>
    <w:p>
      <w:pPr>
        <w:spacing w:after="0" w:line="195" w:lineRule="exact"/>
        <w:rPr>
          <w:rFonts w:ascii="Courier New" w:cs="Courier New" w:eastAsia="Courier New" w:hAnsi="Courier New"/>
          <w:sz w:val="17"/>
          <w:szCs w:val="17"/>
          <w:color w:val="auto"/>
        </w:rPr>
      </w:pPr>
    </w:p>
    <w:p>
      <w:pPr>
        <w:ind w:left="960" w:right="1839" w:hanging="324"/>
        <w:spacing w:after="0" w:line="253" w:lineRule="auto"/>
        <w:tabs>
          <w:tab w:leader="none" w:pos="960" w:val="left"/>
        </w:tabs>
        <w:numPr>
          <w:ilvl w:val="1"/>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operating agreement for the provision of local network connectivity, management and operational services in support of AT&amp;T Broadband's local cable telephone services, with a minimum term of five years commencing January 1, 2001.</w:t>
      </w:r>
    </w:p>
    <w:p>
      <w:pPr>
        <w:spacing w:after="0" w:line="195" w:lineRule="exact"/>
        <w:rPr>
          <w:rFonts w:ascii="Courier New" w:cs="Courier New" w:eastAsia="Courier New" w:hAnsi="Courier New"/>
          <w:sz w:val="17"/>
          <w:szCs w:val="17"/>
          <w:color w:val="auto"/>
        </w:rPr>
      </w:pPr>
    </w:p>
    <w:p>
      <w:pPr>
        <w:ind w:left="740" w:right="1939" w:hanging="209"/>
        <w:spacing w:after="0" w:line="251" w:lineRule="auto"/>
        <w:tabs>
          <w:tab w:leader="none" w:pos="740"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Master Facilities Agreement. This agreement permits AT&amp;T or any of its subsidiaries to use existing fiber facilities owned or leased by AT&amp;T Broadband or its controlled affiliates, together with related services. In addition, AT&amp;T Broadband will construct and lease to AT&amp;T new fiber facilities in the areas served by AT&amp;T Broadband's cable systems for use in providing telecommunications services. The term of the build-out period will expire on January 8, 2012. Subject to certain termination rights specified in this agreement, the term of AT&amp;T's right to use facilities leased under this agreement will expire on January 8, 2028, renewable at AT&amp;T's option for successive 20-year terms in perpetuity.</w:t>
      </w:r>
    </w:p>
    <w:p>
      <w:pPr>
        <w:spacing w:after="0" w:line="201"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Interconnection and Intercarrier Compensation Term Sheet. This agreement, which has a five-year initial term commencing January 1, 2001, specifies the terms of interconnection of the parties' networks, and compensation for:</w:t>
      </w:r>
    </w:p>
    <w:p>
      <w:pPr>
        <w:spacing w:after="0" w:line="195" w:lineRule="exact"/>
        <w:rPr>
          <w:rFonts w:ascii="Courier New" w:cs="Courier New" w:eastAsia="Courier New" w:hAnsi="Courier New"/>
          <w:sz w:val="17"/>
          <w:szCs w:val="17"/>
          <w:color w:val="auto"/>
        </w:rPr>
      </w:pPr>
    </w:p>
    <w:p>
      <w:pPr>
        <w:ind w:left="960" w:right="2039" w:hanging="324"/>
        <w:spacing w:after="0" w:line="257" w:lineRule="auto"/>
        <w:tabs>
          <w:tab w:leader="none" w:pos="960" w:val="left"/>
        </w:tabs>
        <w:numPr>
          <w:ilvl w:val="1"/>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origination or termination of interexchange traffic for the other party; and</w:t>
      </w:r>
    </w:p>
    <w:p>
      <w:pPr>
        <w:spacing w:after="0" w:line="191" w:lineRule="exact"/>
        <w:rPr>
          <w:rFonts w:ascii="Courier New" w:cs="Courier New" w:eastAsia="Courier New" w:hAnsi="Courier New"/>
          <w:sz w:val="17"/>
          <w:szCs w:val="17"/>
          <w:color w:val="auto"/>
        </w:rPr>
      </w:pPr>
    </w:p>
    <w:p>
      <w:pPr>
        <w:ind w:left="960" w:hanging="324"/>
        <w:spacing w:after="0"/>
        <w:tabs>
          <w:tab w:leader="none" w:pos="960" w:val="left"/>
        </w:tabs>
        <w:numPr>
          <w:ilvl w:val="1"/>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of local traffic between the parties' local customers.</w:t>
      </w:r>
    </w:p>
    <w:p>
      <w:pPr>
        <w:spacing w:after="0" w:line="210"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High Speed Internet Services Binding Term Sheet. This agreement reflects the rates, terms and conditions on which AT&amp;T will provide specified processes, procedures and services to support AT&amp;T</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V-24</w:t>
      </w:r>
    </w:p>
    <w:p>
      <w:pPr>
        <w:sectPr>
          <w:pgSz w:w="11900" w:h="16838" w:orient="portrait"/>
          <w:cols w:equalWidth="0" w:num="1">
            <w:col w:w="10219"/>
          </w:cols>
          <w:pgMar w:left="240" w:top="719" w:right="1440" w:bottom="1440" w:gutter="0" w:footer="0" w:header="0"/>
        </w:sectPr>
      </w:pPr>
    </w:p>
    <w:bookmarkStart w:id="146" w:name="page147"/>
    <w:bookmarkEnd w:id="146"/>
    <w:p>
      <w:pPr>
        <w:ind w:right="1939"/>
        <w:spacing w:after="0" w:line="254" w:lineRule="auto"/>
        <w:rPr>
          <w:sz w:val="20"/>
          <w:szCs w:val="20"/>
          <w:color w:val="auto"/>
        </w:rPr>
      </w:pPr>
      <w:r>
        <w:rPr>
          <w:rFonts w:ascii="Courier New" w:cs="Courier New" w:eastAsia="Courier New" w:hAnsi="Courier New"/>
          <w:sz w:val="17"/>
          <w:szCs w:val="17"/>
          <w:color w:val="auto"/>
        </w:rPr>
        <w:t>Broadband in its provision of broadband Internet services to AT&amp;T Broadband subscribers. This agreement has a four-year initial term commencing December 4, 2001.</w:t>
      </w:r>
    </w:p>
    <w:p>
      <w:pPr>
        <w:spacing w:after="0" w:line="194"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Intellectual Property Agreement. This agreement specifies the ownership and license rights granted by each party to the other in specified patents, software, copyrights and trade secrets. Among other rights granted, the effect of this agreement is to allow AT&amp;T Broadband and AT&amp;T to continue to have the same rights to use the intellectual property that they had at the time of the separation and AT&amp;T Broadband spin-off.</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Other Agreements to be Executed. AT&amp;T and AT&amp;T Comcast will enter into a corporate name agreement immediately prior to the completion of the transaction pursuant to which AT&amp;T will grant to AT&amp;T Comcast the right to use the term "AT&amp;T" as part of its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w:t>
      </w:r>
    </w:p>
    <w:p>
      <w:pPr>
        <w:spacing w:after="0" w:line="201"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Subject to the terms of the separation and distribution agreement, prior to the completion of the transaction, AT&amp;T and AT&amp;T Broadband may also enter into other agreements in connection with the transaction.</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V-25</w:t>
      </w:r>
    </w:p>
    <w:p>
      <w:pPr>
        <w:sectPr>
          <w:pgSz w:w="11900" w:h="16838" w:orient="portrait"/>
          <w:cols w:equalWidth="0" w:num="1">
            <w:col w:w="10219"/>
          </w:cols>
          <w:pgMar w:left="240" w:top="719" w:right="1440" w:bottom="1440" w:gutter="0" w:footer="0" w:header="0"/>
        </w:sectPr>
      </w:pPr>
    </w:p>
    <w:bookmarkStart w:id="147" w:name="page148"/>
    <w:bookmarkEnd w:id="147"/>
    <w:p>
      <w:pPr>
        <w:jc w:val="center"/>
        <w:ind w:right="1939"/>
        <w:spacing w:after="0"/>
        <w:rPr>
          <w:sz w:val="20"/>
          <w:szCs w:val="20"/>
          <w:color w:val="auto"/>
        </w:rPr>
      </w:pPr>
      <w:r>
        <w:rPr>
          <w:rFonts w:ascii="Courier New" w:cs="Courier New" w:eastAsia="Courier New" w:hAnsi="Courier New"/>
          <w:sz w:val="17"/>
          <w:szCs w:val="17"/>
          <w:color w:val="auto"/>
        </w:rPr>
        <w:t>CHAPTER SIX</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AT&amp;T CORP. MANAGEMENT'S DISCUSSION AND ANALYSIS OF FINANCIAL</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CONDITION AND RESULTS OF OPERATIONS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AT&amp;T Corp. Management's Discussion and Analysis of Financial Condition and Results of Operations set forth below was included in AT&amp;T's Annual Report on Form 10-K/A for the year ended December 31, 2000, and AT&amp;T's Current Report on Form 8-K filed on September 24, 2001 restating the company's financial results to reflect AT&amp;T Wireless as a discontinued operation and Quarterly Report on Form 10-Q for the nine months ended September 30, 2001. The AT&amp;T groups referred to in this joint proxy statement/prospectus differ in various financial and other respects from the segments described in this section. For financial and other information on the AT&amp;T groups, see the information set forth elsewhere in this joint proxy statement/prospectus.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Corp. (AT&amp;T) is among the world's communications leaders, providing voice, data, video and broadband telecommunications services to large and small businesses, consumers and government agencies. AT&amp;T provides domestic and international long distance; regional and local communications services; cable television and Internet communications services. AT&amp;T also provides directory and calling-card services to support its communications business.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 WITH MEDIAONE GROUP, INC.</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AT&amp;T completed the merger with MediaOne Group, Inc. (MediaOne) on June 15, 2000, in a cash and stock transaction valued at approximately $45 billion. AT&amp;T issued approximately 603 million shares, of which 60 million were treasury shares, and made cash payments of approximately $24 billion.</w:t>
      </w:r>
    </w:p>
    <w:p>
      <w:pPr>
        <w:spacing w:after="0" w:line="195"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The merger was recorded under the purchase method of accounting, and accordingly, the results of MediaOne have been included with the financial results of AT&amp;T, within its Broadband segment, since the date of acquisition. Periods prior to the merger were not restated to include the results of MediaOne.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TRACKING STOCKS</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On April 27, 2000, AT&amp;T issued a new class of stock to track the performance of AT&amp;T Wireless Group. AT&amp;T sold 360 million shares of AT&amp;T Wireless Group tracking shares at a price of $29.50 per share. The 360 million shares tracked approximately 16% of the financial performance of AT&amp;T Wireless Group.</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addition, in connection with the 1999 acquisition of Tele-Communications, Inc. (TCI), renamed AT&amp;T Broadband (Broadband), AT&amp;T issued a separate tracking stock to reflect the financial performance of Liberty Media Group (LMG), TCI's former programming and technology investment businesses. The outstanding Liberty Media Group tracking stock tracks 100% of the financial performance of LMG.</w:t>
      </w:r>
    </w:p>
    <w:p>
      <w:pPr>
        <w:spacing w:after="0" w:line="399"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AT&amp;T Wireless and Liberty Media Group were split off on July 9, 2001 and August 10, 2001, respectively.</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remaining results of operations of AT&amp;T, including the financial performance of AT&amp;T Wireless Group not represented by the tracking stock, are referred to as the AT&amp;T Common Stock Group and are represented by AT&amp;T common stock. The results of AT&amp;T Wireless Group, both the financial performance reflected in the AWE tracking stock and the financial performance reflected in AT&amp;T common stock, are reported as income (loss) from discontinued operations in AT&amp;T's Consolidated Statements of Income.</w:t>
      </w:r>
    </w:p>
    <w:p>
      <w:pPr>
        <w:spacing w:after="0" w:line="196"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 tracking stock is designed to provide financial returns to its holders based on the financial performance and economic value of the assets it tracks. Ownership of shares of AT&amp;T common stock, AT&amp;T Wireless Group tracking stock or Liberty Media Class A or B tracking stock did not represent a</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VI-1</w:t>
      </w:r>
    </w:p>
    <w:p>
      <w:pPr>
        <w:sectPr>
          <w:pgSz w:w="11900" w:h="16838" w:orient="portrait"/>
          <w:cols w:equalWidth="0" w:num="1">
            <w:col w:w="10219"/>
          </w:cols>
          <w:pgMar w:left="240" w:top="719" w:right="1440" w:bottom="1440" w:gutter="0" w:footer="0" w:header="0"/>
        </w:sectPr>
      </w:pPr>
    </w:p>
    <w:bookmarkStart w:id="148" w:name="page149"/>
    <w:bookmarkEnd w:id="148"/>
    <w:p>
      <w:pPr>
        <w:ind w:right="1839"/>
        <w:spacing w:after="0" w:line="252" w:lineRule="auto"/>
        <w:rPr>
          <w:sz w:val="20"/>
          <w:szCs w:val="20"/>
          <w:color w:val="auto"/>
        </w:rPr>
      </w:pPr>
      <w:r>
        <w:rPr>
          <w:rFonts w:ascii="Courier New" w:cs="Courier New" w:eastAsia="Courier New" w:hAnsi="Courier New"/>
          <w:sz w:val="17"/>
          <w:szCs w:val="17"/>
          <w:color w:val="auto"/>
        </w:rPr>
        <w:t>direct legal interest in the assets and liabilities of any of the groups, but an ownership of AT&amp;T in total. The specific shares represented an interest in the economic performance of the net assets of each of the groups. AT&amp;T Wireless and Liberty Media Group were split off on July 9, 2001 and August 10, 2001, respectively.</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earnings attributable to AT&amp;T Wireless Group are excluded from the earnings available to AT&amp;T Common Stock Group and are reflected as earnings from discontinued operations of AT&amp;T Wireless group. Similarly, the earnings and losses related to LMG are excluded from the earnings available to AT&amp;T Common Stock Group.</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did not have a controlling financial interest in LMG for financial accounting purposes; therefore, AT&amp;T's ownership in LMG is reflected as an investment accounted for under the equity method in AT&amp;T's consolidated financial statements. The amounts attributable to LMG are reflected in the accompanying consolidated financial statements as "Equity earnings (losses) from Liberty Media Group" and "Investment in Liberty Media Group and related receivables, net."</w:t>
      </w:r>
    </w:p>
    <w:p>
      <w:pPr>
        <w:spacing w:after="0" w:line="398"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Wireless Group was an integrated business of AT&amp;T and Liberty Media Group was a combination of certain assets and businesses of AT&amp;T, neither of which was a stand-alone entity. As AT&amp;T Wireless Group and Liberty Media Group were tracking stocks of AT&amp;T, separate financial statements are not required to be filed. The tracking stocks were governed by a common board of directors, the AT&amp;T board of directors could make operational and financial decisions or implement policies that affect disproportionately the businesses of any group. For example, AT&amp;T's board of directors may decide to transfer funds or to reallocate assets, liabilities, revenue, expenses and cash flows among groups, without the consent of shareholders. All actions by the board of directors are subject to the board members' fiduciary duties to all shareholders of AT&amp;T as a group and not just to holders of a particular class of tracking stock and to AT&amp;T's charter, policy statements, by-laws and inter-company agreements.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AT&amp;T's board of directors may change or supplement the policies set forth in the tracking stock policy statements and AT&amp;T's by-laws in the sole discretion of AT&amp;T's board of directors, subject to the provisions of any inter-group agreement but without approval of AT&amp;T's shareholders. In addition, the fact that AT&amp;T has separate classes of common stock could give rise to occasions when the interests of the holders of AT&amp;T common stock, AT&amp;T Wireless Group common stock and Liberty Media Group tracking stock diverge, conflict or appear to diverge or conflict. AT&amp;T's board of directors would make any change or addition to the policies set forth in the tracking stock policy statements or AT&amp;T's by-laws, and would respond to any actual or apparent divergence of interest among AT&amp;T's groups, in a manner consistent with its fiduciary duties to AT&amp;T and all of its shareholders after giving consideration to the potentially divergent interests and all other relevant interests of the holders of the separate classes of AT&amp;T's shares.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You should consider that as a result of the flexibility provided to AT&amp;T's board of directors, it may be difficult for investors to assess the future prospects of a tracking stock group based on that group's past performance.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RESTRUCTURING OF AT&amp;T</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On October 25, 2000, AT&amp;T announced a restructuring plan designed to fully separate or issue separately tracked stocks intended to reflect the financial performance and economic value of each of AT&amp;T's four major operating units.</w:t>
      </w:r>
    </w:p>
    <w:p>
      <w:pPr>
        <w:spacing w:after="0" w:line="194"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December 19, 2001, AT&amp;T and Comcast Corporation announced an agreement to combine AT&amp;T Broadband with Comcast in a transaction valuing AT&amp;T Broadband. Under the terms of the agreement, AT&amp;T will spin-off AT&amp;T Broadband and simultaneously merge it with Comcast, forming a new company to be called AT&amp;T Comcast Corporation. AT&amp;T shareholders will receive a number of shares of AT&amp;T Comcast common stock calculated pursuant to a formula specified in the merger agreement. If determined as of the date of the merger agreement, the exchange ratio would have been approximately .34, assuming the AT&amp;T shares held by Comcast are included in the number of shares of</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VI-2</w:t>
      </w:r>
    </w:p>
    <w:p>
      <w:pPr>
        <w:sectPr>
          <w:pgSz w:w="11900" w:h="16838" w:orient="portrait"/>
          <w:cols w:equalWidth="0" w:num="1">
            <w:col w:w="10219"/>
          </w:cols>
          <w:pgMar w:left="240" w:top="719" w:right="1440" w:bottom="1440" w:gutter="0" w:footer="0" w:header="0"/>
        </w:sectPr>
      </w:pPr>
    </w:p>
    <w:bookmarkStart w:id="149" w:name="page150"/>
    <w:bookmarkEnd w:id="149"/>
    <w:p>
      <w:pPr>
        <w:ind w:right="1939"/>
        <w:spacing w:after="0" w:line="251" w:lineRule="auto"/>
        <w:rPr>
          <w:sz w:val="20"/>
          <w:szCs w:val="20"/>
          <w:color w:val="auto"/>
        </w:rPr>
      </w:pPr>
      <w:r>
        <w:rPr>
          <w:rFonts w:ascii="Courier New" w:cs="Courier New" w:eastAsia="Courier New" w:hAnsi="Courier New"/>
          <w:sz w:val="17"/>
          <w:szCs w:val="17"/>
          <w:color w:val="auto"/>
        </w:rPr>
        <w:t>AT&amp;T common stock outstanding. Assuming Comcast retains its AT&amp;T shares and converts them into exchangeable preferred stock of AT&amp;T as contemplated by the merger agreement, the exchange ratio would be approximately 0.35 as of the date of the execution of the merger agreement. AT&amp;T shareowners will own a 56% economic stake and have a 66% voting interest in the new company, calculated as of the date of the merger agreement. The merger remains subject to regulatory review, shareholder approval by both companies and certain other conditions and is expected to close by the end of 2002. AT&amp;T also reaffirmed its commitment to create a tracking stock designed to reflect the economic value and financial performance of its AT&amp;T Consumer business. The tracking stock is expected to be distributed to AT&amp;T shareholders following shareholder approval in 2002.</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AT&amp;T's restructuring plan is complicated and involves a substantial number of steps and transactions, including obtaining various conditions, such as Internal Revenue Service rulings. AT&amp;T expects that the transactions associated with AT&amp;T's restructuring plan will be tax-free to U.S. shareowners. Future financial conditions, superior alternatives or other factors may arise or occur that make it inadvisable to proceed with part or all of AT&amp;T's restructuring plans. Any or all of the elements of AT&amp;T's restructuring plan may not occur as AT&amp;T currently expects or in the time frames that AT&amp;T currently contemplates, or at all. Alternative forms of restructuring, including sales of interests in these businesses, would reduce what is available for distribution to shareowners in the restructuring.</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May 25, 2001, AT&amp;T completed an exchange offer of AT&amp;T common stock for AT&amp;T Wireless stock. Under the terms of the exchange offer, AT&amp;T issued 1.176 shares of AT&amp;T Wireless Group tracking stock in exchange for each share of AT&amp;T common stock validly tendered. A total of 372.2 million shares of AT&amp;T common stock were tendered in exchange for 437.7 million shares of AT&amp;T Wireless Group tracking stock.</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July 9, 2001, AT&amp;T completed the split-off of AT&amp;T Wireless as a separate, independently traded company. All AT&amp;T Wireless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Internal Revenue Service (IRS) ruled that the transaction qualified as tax-free for AT&amp;T and its shareowners for U.S. federal income tax purposes, with the exception of cash received for fractional shares. For accounting purposes, the deemed effective split-off date is June 30, 2001. AT&amp;T retained approximately $3 billion, or 7.3%, of AT&amp;T Wireless common stock, about half of which was used in a debt-for-equity exchange in July and approximately $1.3 billion was monetized in the fourth quarter of 2001. The split-off of AT&amp;T Wireless resulted in a noncash tax-free gain of $13,503 million, which represents the difference between the fair value of the Wireless tracking stock at the date of the split-off and AT&amp;T's book value in AT&amp;T Wireless Services. This gain was recorded in the third quarter of 2001 as a "Gain on disposition of discontinued operations."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August 10, 2001, AT&amp;T completed the split-off of Liberty Media Corporation as an independent, publicly-traded company. AT&amp;T redeemed each outstanding share of Class A and Class B Liberty Media Group (LMG) tracking stock for one share of Liberty Media Corporation's Series A and Series B common stock, respectively. In the redemption, shares of Liberty Media Corporation were issued to former holders of Liberty Media Group tracking stock in exchange for their shares of Liberty Media Group tracking stock. The IRS ruled that the split-off of Liberty Media Corporation qualified as a tax-free transaction for AT&amp;T, Liberty Media and their shareowners. For accounting purposes, the deemed effective split-off date is July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STATEMENTS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This document may contain forward-looking statements with respect to AT&amp;T's restructuring plan, financial condition, results of operations, cash flows, dividends, financing plans, business strategies, operating efficiencies or synergies, budgets, capital and other expenditures, network build out and upgrade, competitive positions, availability of capital, growth opportunities for existing products, benefits from new</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VI-3</w:t>
      </w:r>
    </w:p>
    <w:p>
      <w:pPr>
        <w:sectPr>
          <w:pgSz w:w="11900" w:h="16838" w:orient="portrait"/>
          <w:cols w:equalWidth="0" w:num="1">
            <w:col w:w="10219"/>
          </w:cols>
          <w:pgMar w:left="240" w:top="719" w:right="1440" w:bottom="1440" w:gutter="0" w:footer="0" w:header="0"/>
        </w:sectPr>
      </w:pPr>
    </w:p>
    <w:bookmarkStart w:id="150" w:name="page151"/>
    <w:bookmarkEnd w:id="150"/>
    <w:p>
      <w:pPr>
        <w:ind w:right="2679"/>
        <w:spacing w:after="0" w:line="257" w:lineRule="auto"/>
        <w:rPr>
          <w:sz w:val="20"/>
          <w:szCs w:val="20"/>
          <w:color w:val="auto"/>
        </w:rPr>
      </w:pPr>
      <w:r>
        <w:rPr>
          <w:rFonts w:ascii="Courier New" w:cs="Courier New" w:eastAsia="Courier New" w:hAnsi="Courier New"/>
          <w:sz w:val="17"/>
          <w:szCs w:val="17"/>
          <w:color w:val="auto"/>
        </w:rPr>
        <w:t>technologies, availability and deployment of new technologies, plans and objectives of management, and other matters.</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These forward-looking statements, including, without limitation, those relating to the future business prospects, revenue, working capital, liquidity, capital needs, network build out, interest costs and income, are necessarily estimates reflecting the best judgment of senior management and involve a number of risks and uncertainties that could cause actual results to differ materially from those suggested by the forward-looking statements. These forward-looking statements should, therefore, be considered in light of various important factors that could cause actual results to differ materially from estimates or projections contained in the forward-looking statements including, without limitation:</w:t>
      </w:r>
    </w:p>
    <w:p>
      <w:pPr>
        <w:spacing w:after="0" w:line="200" w:lineRule="exact"/>
        <w:rPr>
          <w:sz w:val="20"/>
          <w:szCs w:val="20"/>
          <w:color w:val="auto"/>
        </w:rPr>
      </w:pPr>
    </w:p>
    <w:p>
      <w:pPr>
        <w:spacing w:after="0" w:line="203" w:lineRule="exact"/>
        <w:rPr>
          <w:sz w:val="20"/>
          <w:szCs w:val="20"/>
          <w:color w:val="auto"/>
        </w:rPr>
      </w:pPr>
    </w:p>
    <w:p>
      <w:pPr>
        <w:ind w:left="740" w:right="1839" w:hanging="209"/>
        <w:spacing w:after="0" w:line="252" w:lineRule="auto"/>
        <w:tabs>
          <w:tab w:leader="none" w:pos="7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risks associated with the implementation of AT&amp;T's restructuring plan and the AT&amp;T Comcast transaction, which are complicated and involve a substantial number of different transactions each with separate conditions, any or all of which may not occur as AT&amp;T currently intends, or which may not occur in the timeframe AT&amp;T currently expects,</w:t>
      </w:r>
    </w:p>
    <w:p>
      <w:pPr>
        <w:spacing w:after="0" w:line="197"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risks associated with each of AT&amp;T's main business units, operating as independent entities as opposed to as part of an integrated telecommunications provider following completion of AT&amp;T's restructuring plan, including the inability of these groups to rely on the financial and operational resources of the combined company and these groups having to provide services that were previously provided by a different part of the combined company,</w:t>
      </w:r>
    </w:p>
    <w:p>
      <w:pPr>
        <w:spacing w:after="0" w:line="195"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impact of existing and new competitors in the markets in which these groups compete, including competitors that may offer less expensive products and services, desirable or innovative products, technological substitutes, or have extensive resources or better financing,</w:t>
      </w:r>
    </w:p>
    <w:p>
      <w:pPr>
        <w:spacing w:after="0" w:line="195" w:lineRule="exact"/>
        <w:rPr>
          <w:rFonts w:ascii="Courier New" w:cs="Courier New" w:eastAsia="Courier New" w:hAnsi="Courier New"/>
          <w:sz w:val="17"/>
          <w:szCs w:val="17"/>
          <w:color w:val="auto"/>
        </w:rPr>
      </w:pPr>
    </w:p>
    <w:p>
      <w:pPr>
        <w:ind w:left="740" w:right="1939" w:hanging="209"/>
        <w:spacing w:after="0" w:line="257" w:lineRule="auto"/>
        <w:tabs>
          <w:tab w:leader="none" w:pos="7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impact of oversupply of capacity resulting from excessive deployment of network capacity,</w:t>
      </w:r>
    </w:p>
    <w:p>
      <w:pPr>
        <w:spacing w:after="0" w:line="191"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ongoing global and domestic trend towards consolidation in the telecommunications industry, which may have the effect of making the competitors of these entities larger and better financed and afford these competitors with extensive resources and greater geographic reach, allowing them to compete more effectively,</w:t>
      </w:r>
    </w:p>
    <w:p>
      <w:pPr>
        <w:spacing w:after="0" w:line="197"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effects of vigorous competition in the markets in which the company operates, which may decrease prices charged, increase churn and change customer mix, profitability and average revenue per user,</w:t>
      </w:r>
    </w:p>
    <w:p>
      <w:pPr>
        <w:spacing w:after="0" w:line="194" w:lineRule="exact"/>
        <w:rPr>
          <w:rFonts w:ascii="Courier New" w:cs="Courier New" w:eastAsia="Courier New" w:hAnsi="Courier New"/>
          <w:sz w:val="17"/>
          <w:szCs w:val="17"/>
          <w:color w:val="auto"/>
        </w:rPr>
      </w:pPr>
    </w:p>
    <w:p>
      <w:pPr>
        <w:ind w:left="740" w:right="1839" w:hanging="209"/>
        <w:spacing w:after="0" w:line="257" w:lineRule="auto"/>
        <w:tabs>
          <w:tab w:leader="none" w:pos="7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ability to enter into agreements to provide, and the cost of entering new markets necessary to provide, services,</w:t>
      </w:r>
    </w:p>
    <w:p>
      <w:pPr>
        <w:spacing w:after="0" w:line="191" w:lineRule="exact"/>
        <w:rPr>
          <w:rFonts w:ascii="Courier New" w:cs="Courier New" w:eastAsia="Courier New" w:hAnsi="Courier New"/>
          <w:sz w:val="17"/>
          <w:szCs w:val="17"/>
          <w:color w:val="auto"/>
        </w:rPr>
      </w:pPr>
    </w:p>
    <w:p>
      <w:pPr>
        <w:ind w:left="740" w:right="1939" w:hanging="209"/>
        <w:spacing w:after="0" w:line="257" w:lineRule="auto"/>
        <w:tabs>
          <w:tab w:leader="none" w:pos="7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ability to establish a significant market presence in new geographic and service markets,</w:t>
      </w:r>
    </w:p>
    <w:p>
      <w:pPr>
        <w:spacing w:after="0" w:line="191" w:lineRule="exact"/>
        <w:rPr>
          <w:rFonts w:ascii="Courier New" w:cs="Courier New" w:eastAsia="Courier New" w:hAnsi="Courier New"/>
          <w:sz w:val="17"/>
          <w:szCs w:val="17"/>
          <w:color w:val="auto"/>
        </w:rPr>
      </w:pPr>
    </w:p>
    <w:p>
      <w:pPr>
        <w:ind w:left="740" w:right="2139" w:hanging="209"/>
        <w:spacing w:after="0" w:line="257" w:lineRule="auto"/>
        <w:tabs>
          <w:tab w:leader="none" w:pos="7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availability and cost of capital and the consequences of increased leverage,</w:t>
      </w:r>
    </w:p>
    <w:p>
      <w:pPr>
        <w:spacing w:after="0" w:line="191" w:lineRule="exact"/>
        <w:rPr>
          <w:rFonts w:ascii="Courier New" w:cs="Courier New" w:eastAsia="Courier New" w:hAnsi="Courier New"/>
          <w:sz w:val="17"/>
          <w:szCs w:val="17"/>
          <w:color w:val="auto"/>
        </w:rPr>
      </w:pPr>
    </w:p>
    <w:p>
      <w:pPr>
        <w:ind w:left="740" w:right="2039" w:hanging="209"/>
        <w:spacing w:after="0" w:line="257" w:lineRule="auto"/>
        <w:tabs>
          <w:tab w:leader="none" w:pos="7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successful execution of plans to dispose of non-strategic assets as part of an overall corporate deleveraging plan,</w:t>
      </w:r>
    </w:p>
    <w:p>
      <w:pPr>
        <w:spacing w:after="0" w:line="191" w:lineRule="exact"/>
        <w:rPr>
          <w:rFonts w:ascii="Courier New" w:cs="Courier New" w:eastAsia="Courier New" w:hAnsi="Courier New"/>
          <w:sz w:val="17"/>
          <w:szCs w:val="17"/>
          <w:color w:val="auto"/>
        </w:rPr>
      </w:pPr>
    </w:p>
    <w:p>
      <w:pPr>
        <w:ind w:left="740" w:right="1839" w:hanging="209"/>
        <w:spacing w:after="0" w:line="257" w:lineRule="auto"/>
        <w:tabs>
          <w:tab w:leader="none" w:pos="7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impact of any unusual items resulting from ongoing evaluations of the business strategies of the company,</w:t>
      </w:r>
    </w:p>
    <w:p>
      <w:pPr>
        <w:spacing w:after="0" w:line="191"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requirements imposed on the company or latitude allowed to competitors by the Federal Communications Commission (FCC) or state regulatory commissions under the Telecommunications Act of 1996 or other applicable laws and regulations,</w:t>
      </w:r>
    </w:p>
    <w:p>
      <w:pPr>
        <w:spacing w:after="0" w:line="195" w:lineRule="exact"/>
        <w:rPr>
          <w:rFonts w:ascii="Courier New" w:cs="Courier New" w:eastAsia="Courier New" w:hAnsi="Courier New"/>
          <w:sz w:val="17"/>
          <w:szCs w:val="17"/>
          <w:color w:val="auto"/>
        </w:rPr>
      </w:pPr>
    </w:p>
    <w:p>
      <w:pPr>
        <w:ind w:left="740" w:right="2779" w:hanging="209"/>
        <w:spacing w:after="0" w:line="257" w:lineRule="auto"/>
        <w:tabs>
          <w:tab w:leader="none" w:pos="7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risks associated with technological requirements, technology substitution and changes and other technological developments,</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litigation filed or to be filed against the company,</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VI-4</w:t>
      </w:r>
    </w:p>
    <w:p>
      <w:pPr>
        <w:sectPr>
          <w:pgSz w:w="11900" w:h="16838" w:orient="portrait"/>
          <w:cols w:equalWidth="0" w:num="1">
            <w:col w:w="10219"/>
          </w:cols>
          <w:pgMar w:left="240" w:top="719" w:right="1440" w:bottom="1062" w:gutter="0" w:footer="0" w:header="0"/>
        </w:sectPr>
      </w:pPr>
    </w:p>
    <w:bookmarkStart w:id="151" w:name="page152"/>
    <w:bookmarkEnd w:id="151"/>
    <w:p>
      <w:pPr>
        <w:ind w:left="740" w:right="2039" w:hanging="209"/>
        <w:spacing w:after="0" w:line="253" w:lineRule="auto"/>
        <w:tabs>
          <w:tab w:leader="none" w:pos="740"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possibility of one or more of the markets in which the company competes being impacted by changes in political, economic or other factors, such as monetary policy, legal and regulatory changes or other external factors over which these groups have no control, and</w:t>
      </w:r>
    </w:p>
    <w:p>
      <w:pPr>
        <w:spacing w:after="0" w:line="195"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risks related to AT&amp;T's joint ventures.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words "estimate," "project," "intend," "expect," "believe," "plan" and similar expressions are intended to identify forward-looking statements. Readers are cautioned not to place undue reliance on these forward-looking statements, which speak only as of the date of this document. Moreover, in the future, AT&amp;T, through its senior management, may make forward-looking statements about the matters described in this document or other matters concerning AT&amp;T.</w:t>
      </w:r>
    </w:p>
    <w:p>
      <w:pPr>
        <w:spacing w:after="0" w:line="197"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The discussion and analysis that follows provides information management believes is relevant to an assessment and understanding of AT&amp;T's consolidated results of operations and financial condition.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RESULTS OF OPERATIONS</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The comparison of third quarter and year-to-date 2001 results with the corresponding periods in 2000 was impacted by events, such as acquisitions and dispositions, that occurred during these two years. For example, on June 15, 2000, AT&amp;T acquired MediaOne, which was included in AT&amp;T's year-to-date 2001 results, but was only included in AT&amp;T's prior year results since the date of acquisition.</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Year-over-year comparison was also impacted by the consolidation of At Home Corporation (Excite@Home) beginning September 1, 2000, due to corporate-governance changes, which gave AT&amp;T a controlling interest. On September 30, 2001, AT&amp;T had an approximate 23% economic interest and 74% voting interest in Excite@Home. The consolidation of Excite@Home resulted in the inclusion of 100% of its results in each line item of AT&amp;T's Consolidated Statement of Operations for the three and nine months ended September 30, 2001 and for the one month ended September 30, 2000. Losses attributable to the other shareholders of Excite@Home were reflected within "Minority Interest Income (Expense)" in the Consolidated Statement of Operations and "Minority Interest" in the Consolidated Balance Sheet. As a result of the significant losses incurred by Excite@Home, the minority interest balance was fully utilized, therefore, in the third quarter of 2001 AT&amp;T recognized more than its 23% of the losses of Excite@Home. On September 28, 2001, Excite@Home filed for Chapter 11 bankruptcy protection. As a result, AT&amp;T no longer consolidated Excite@Home's results in AT&amp;T's Consolidated Balance Sheet as of September 30, 2001.</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Effective July 1, 2000, the Federal Communication Commission (FCC) eliminated Primary Interexchange Carrier Charges (PICC or per-line charges) that AT&amp;T pays for residential and single-line businesses. The elimination of these per-line charges resulted in lower access expense as well as lower revenue, since AT&amp;T has historically billed its customers for these charges.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comparison of 2000 results with 1999 was also impacted by events, such as acquisitions and dispositions that occurred during these two years. In 2000 AT&amp;T acquired MediaOne, which was included in AT&amp;T's 2000 results for part of the year, but was not in 1999 results. In 1999, AT&amp;T acquired TCI and the IBM Global Network (now AT&amp;T Global Network Services, or AGNS). These businesses were included in 2000 results for a full year, but only a part of 1999 (since their respective dates of acquisition). Further, AT&amp;T disposed of certain international businesses during 1999 and 2000. The results of businesses sold in 1999 were included in 1999 results for part of the year, and were not in 2000 results. Likewise, businesses sold in 2000 were included in 1999 results for the full year and in 2000 results for part of the year.</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January 5, 2000, AT&amp;T launched Concert, its global joint venture with British Telecommunications plc (BT). AT&amp;T contributed all of its international gateway-to-gateway assets and the economic value of approximately 270 multinational customers specifically targeted for direct sales by Concert. As a result, 2000 results do not include the revenue and expenses associated with these customers and businesses, while 1999 does, and 2000 results include AT&amp;T's proportionate share of Concert's earnings in "Net losses from other equity investments."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VI-5</w:t>
      </w:r>
    </w:p>
    <w:p>
      <w:pPr>
        <w:sectPr>
          <w:pgSz w:w="11900" w:h="16838" w:orient="portrait"/>
          <w:cols w:equalWidth="0" w:num="1">
            <w:col w:w="10219"/>
          </w:cols>
          <w:pgMar w:left="240" w:top="719" w:right="1440" w:bottom="1062" w:gutter="0" w:footer="0" w:header="0"/>
        </w:sectPr>
      </w:pPr>
    </w:p>
    <w:bookmarkStart w:id="152" w:name="page153"/>
    <w:bookmarkEnd w:id="152"/>
    <w:p>
      <w:pPr>
        <w:ind w:right="1939" w:firstLine="524"/>
        <w:spacing w:after="0" w:line="254" w:lineRule="auto"/>
        <w:rPr>
          <w:sz w:val="20"/>
          <w:szCs w:val="20"/>
          <w:color w:val="auto"/>
        </w:rPr>
      </w:pPr>
      <w:r>
        <w:rPr>
          <w:rFonts w:ascii="Courier New" w:cs="Courier New" w:eastAsia="Courier New" w:hAnsi="Courier New"/>
          <w:sz w:val="17"/>
          <w:szCs w:val="17"/>
          <w:color w:val="auto"/>
        </w:rPr>
        <w:t>The comparison of 2000 results with 1999 was also impacted by the elimination of Primary Interexchange Carrier Charges (PICC or per-line charges) that AT&amp;T pays for residential and single-line business customers.</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comparison of 1999 results with 1998 was also impacted by the 1999 acquisitions of TCI and AGNS, since 1999 results include these businesses for part of the year, while 1998 does not include them. This comparison is also impacted by the 1999 dispositions of international businesses, which were included in 1999 results for part of the year, but were in 1998 results for the full year.</w:t>
      </w:r>
    </w:p>
    <w:p>
      <w:pPr>
        <w:spacing w:after="0" w:line="197" w:lineRule="exact"/>
        <w:rPr>
          <w:sz w:val="20"/>
          <w:szCs w:val="20"/>
          <w:color w:val="auto"/>
        </w:rPr>
      </w:pPr>
    </w:p>
    <w:p>
      <w:pPr>
        <w:ind w:left="420" w:right="1939"/>
        <w:spacing w:after="0" w:line="257" w:lineRule="auto"/>
        <w:rPr>
          <w:sz w:val="20"/>
          <w:szCs w:val="20"/>
          <w:color w:val="auto"/>
        </w:rPr>
      </w:pPr>
      <w:r>
        <w:rPr>
          <w:rFonts w:ascii="Courier New" w:cs="Courier New" w:eastAsia="Courier New" w:hAnsi="Courier New"/>
          <w:sz w:val="17"/>
          <w:szCs w:val="17"/>
          <w:color w:val="auto"/>
        </w:rPr>
        <w:t>THREE AND NINE MONTHS ENDED SEPTEMBER 30, 2001 COMPARED WITH THREE AND NINE MONTHS ENDED SEPTEMBER 30, 2000</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210"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7"/>
          <w:szCs w:val="17"/>
          <w:color w:val="auto"/>
        </w:rPr>
        <w:t>FOR THE THREE MONTHS FOR THE NINE MONTHS ENDED</w:t>
      </w:r>
    </w:p>
    <w:p>
      <w:pPr>
        <w:spacing w:after="0" w:line="9"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7"/>
          <w:szCs w:val="17"/>
          <w:color w:val="auto"/>
        </w:rPr>
        <w:t>SEPTEMBER 30, ENDED SEPTEMBER 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------------------- 2001 2000 2001 2000 --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 -------- (DOLLARS IN</w:t>
      </w:r>
    </w:p>
    <w:p>
      <w:pPr>
        <w:spacing w:after="0" w:line="9"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7"/>
          <w:szCs w:val="17"/>
          <w:color w:val="auto"/>
        </w:rPr>
        <w:t>MILLIONS) AT&amp;T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w:t>
      </w:r>
    </w:p>
    <w:p>
      <w:pPr>
        <w:spacing w:after="0" w:line="9" w:lineRule="exact"/>
        <w:rPr>
          <w:sz w:val="20"/>
          <w:szCs w:val="20"/>
          <w:color w:val="auto"/>
        </w:rPr>
      </w:pPr>
    </w:p>
    <w:p>
      <w:pPr>
        <w:ind w:right="4979" w:firstLine="740"/>
        <w:spacing w:after="0" w:line="251" w:lineRule="auto"/>
        <w:tabs>
          <w:tab w:leader="none" w:pos="942" w:val="left"/>
        </w:tabs>
        <w:numPr>
          <w:ilvl w:val="0"/>
          <w:numId w:val="2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6,885 $ 7,222 $21,147 $21,701 AT&amp;T Consumer..........................................</w:t>
      </w:r>
    </w:p>
    <w:p>
      <w:pPr>
        <w:ind w:left="1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3,822 4,651 11,614 14,651 AT&amp;T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Broadband.........................................</w:t>
      </w:r>
    </w:p>
    <w:p>
      <w:pPr>
        <w:spacing w:after="0" w:line="8" w:lineRule="exact"/>
        <w:rPr>
          <w:rFonts w:ascii="Courier New" w:cs="Courier New" w:eastAsia="Courier New" w:hAnsi="Courier New"/>
          <w:sz w:val="17"/>
          <w:szCs w:val="17"/>
          <w:color w:val="auto"/>
        </w:rPr>
      </w:pPr>
    </w:p>
    <w:p>
      <w:pPr>
        <w:ind w:left="6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2,393 2,420 7,423 5,693 Corporate and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Other....................................</w:t>
            </w:r>
          </w:p>
        </w:tc>
        <w:tc>
          <w:tcPr>
            <w:tcW w:w="8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201"/>
        </w:trPr>
        <w:tc>
          <w:tcPr>
            <w:tcW w:w="2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(117) (220)</w:t>
            </w:r>
          </w:p>
        </w:tc>
        <w:tc>
          <w:tcPr>
            <w:tcW w:w="24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(422) Total</w:t>
            </w:r>
          </w:p>
        </w:tc>
      </w:tr>
      <w:tr>
        <w:trPr>
          <w:trHeight w:val="201"/>
        </w:trPr>
        <w:tc>
          <w:tcPr>
            <w:tcW w:w="25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revenue..........................................</w:t>
            </w: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1780" w:type="dxa"/>
            <w:vAlign w:val="bottom"/>
          </w:tcPr>
          <w:p>
            <w:pPr>
              <w:jc w:val="right"/>
              <w:ind w:right="24"/>
              <w:spacing w:after="0"/>
              <w:rPr>
                <w:sz w:val="20"/>
                <w:szCs w:val="20"/>
                <w:color w:val="auto"/>
              </w:rPr>
            </w:pPr>
            <w:r>
              <w:rPr>
                <w:rFonts w:ascii="Courier New" w:cs="Courier New" w:eastAsia="Courier New" w:hAnsi="Courier New"/>
                <w:sz w:val="17"/>
                <w:szCs w:val="17"/>
                <w:color w:val="auto"/>
              </w:rPr>
              <w:t>$13,087</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$14,176</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$39,964</w:t>
            </w:r>
          </w:p>
        </w:tc>
        <w:tc>
          <w:tcPr>
            <w:tcW w:w="1580" w:type="dxa"/>
            <w:vAlign w:val="bottom"/>
          </w:tcPr>
          <w:p>
            <w:pPr>
              <w:jc w:val="right"/>
              <w:ind w:right="713"/>
              <w:spacing w:after="0"/>
              <w:rPr>
                <w:sz w:val="20"/>
                <w:szCs w:val="20"/>
                <w:color w:val="auto"/>
              </w:rPr>
            </w:pPr>
            <w:r>
              <w:rPr>
                <w:rFonts w:ascii="Courier New" w:cs="Courier New" w:eastAsia="Courier New" w:hAnsi="Courier New"/>
                <w:sz w:val="17"/>
                <w:szCs w:val="17"/>
                <w:color w:val="auto"/>
              </w:rPr>
              <w:t>$41,623</w:t>
            </w: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Total revenue for the three months ended September 30, 2001 decreased 7.7%, or $1.1 billion, compared with the corresponding prior year period. The decline was primarily driven by lower revenue resulting from accelerating declines in long distance voice revenue of approximately $1.5 billion and decreased revenue of approximately $0.3 billion primarily due to the impact of net dispositions and the consolidation of Excite@Home. Partially offsetting the decrease was increased revenue primarily from telephony and high speed data at AT&amp;T Broadband and increased revenue primarily from data and Internet protocol (IP) services within AT&amp;T Business.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Total revenue for the nine months ended September 30, 2001 decreased 4.0%, or $1.7 billion, compared with the corresponding prior year period. The decline was largely driven by accelerating declines in long distance voice revenue of approximately $4.4 billion. Partially offsetting the decline was growth primarily from data and Internet protocol (IP) within AT&amp;T Business and increased revenue primarily from telephony and high speed data at AT&amp;T Broadband. Also offsetting the decline was revenue of approximately $0.9 billion largely due to net acquisitions, primarily MediaOne, the consolidation of Excite@Home and the elimination of PICC.</w:t>
      </w:r>
    </w:p>
    <w:p>
      <w:pPr>
        <w:spacing w:after="0" w:line="201"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AT&amp;T expects long distance revenue to continue to be negatively impacted by ongoing competition and product substitution.</w:t>
      </w:r>
    </w:p>
    <w:p>
      <w:pPr>
        <w:spacing w:after="0" w:line="192"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Revenue by segment is discussed in more detail in the segment results section.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EXPENSES</w:t>
      </w:r>
    </w:p>
    <w:p>
      <w:pPr>
        <w:spacing w:after="0" w:line="210"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FOR THE THREE MONTHS FOR THE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NINE MONTHS ENDED SEPTEMBER 30,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ENDED SEPTEMBER 30,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2001 2000 ------- ----</w:t>
      </w:r>
    </w:p>
    <w:p>
      <w:pPr>
        <w:spacing w:after="0" w:line="9" w:lineRule="exact"/>
        <w:rPr>
          <w:sz w:val="20"/>
          <w:szCs w:val="20"/>
          <w:color w:val="auto"/>
        </w:rPr>
      </w:pPr>
    </w:p>
    <w:p>
      <w:pPr>
        <w:jc w:val="both"/>
        <w:ind w:left="160" w:right="6859" w:hanging="51"/>
        <w:spacing w:after="0" w:line="251" w:lineRule="auto"/>
        <w:tabs>
          <w:tab w:leader="none" w:pos="527" w:val="left"/>
        </w:tabs>
        <w:numPr>
          <w:ilvl w:val="0"/>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(DOLLARS IN MILLIONS) Costs of services</w:t>
      </w:r>
    </w:p>
    <w:p>
      <w:pPr>
        <w:jc w:val="center"/>
        <w:ind w:right="6759"/>
        <w:spacing w:after="0"/>
        <w:rPr>
          <w:sz w:val="20"/>
          <w:szCs w:val="20"/>
          <w:color w:val="auto"/>
        </w:rPr>
      </w:pPr>
      <w:r>
        <w:rPr>
          <w:rFonts w:ascii="Courier New" w:cs="Courier New" w:eastAsia="Courier New" w:hAnsi="Courier New"/>
          <w:sz w:val="17"/>
          <w:szCs w:val="17"/>
          <w:color w:val="auto"/>
        </w:rPr>
        <w:t>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$3,476 $3,282 $10,458 $9,249</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Costs of services and products increased $0.2 billion, or 5.9%, in the third quarter of 2001 compared with the third quarter of 2000. Approximately $0.4 billion of the increase was due to higher costs associated with AT&amp;T's growth businesses, primarily data/IP, local voice services and broadband services, and a higher pension credit in 2000, primarily driven by a higher pension trust asset base resulting from increased investment returns. Partially</w:t>
      </w:r>
    </w:p>
    <w:p>
      <w:pPr>
        <w:sectPr>
          <w:pgSz w:w="11900" w:h="16838" w:orient="portrait"/>
          <w:cols w:equalWidth="0" w:num="1">
            <w:col w:w="10219"/>
          </w:cols>
          <w:pgMar w:left="240" w:top="719" w:right="1440" w:bottom="0" w:gutter="0" w:footer="0" w:header="0"/>
        </w:sectPr>
      </w:pPr>
    </w:p>
    <w:bookmarkStart w:id="153" w:name="page154"/>
    <w:bookmarkEnd w:id="153"/>
    <w:p>
      <w:pPr>
        <w:spacing w:after="0"/>
        <w:rPr>
          <w:sz w:val="20"/>
          <w:szCs w:val="20"/>
          <w:color w:val="auto"/>
        </w:rPr>
      </w:pPr>
      <w:r>
        <w:rPr>
          <w:rFonts w:ascii="Courier New" w:cs="Courier New" w:eastAsia="Courier New" w:hAnsi="Courier New"/>
          <w:sz w:val="17"/>
          <w:szCs w:val="17"/>
          <w:color w:val="auto"/>
        </w:rPr>
        <w:t>offsetting the increase was $0.2 billion of lower costs associated with</w:t>
      </w:r>
    </w:p>
    <w:p>
      <w:pPr>
        <w:sectPr>
          <w:pgSz w:w="11900" w:h="16838" w:orient="portrait"/>
          <w:cols w:equalWidth="0" w:num="1">
            <w:col w:w="10219"/>
          </w:cols>
          <w:pgMar w:left="240" w:top="142" w:right="1440" w:bottom="1440" w:gutter="0" w:footer="0" w:header="0"/>
        </w:sectPr>
      </w:pP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VI-6</w:t>
      </w:r>
    </w:p>
    <w:p>
      <w:pPr>
        <w:sectPr>
          <w:pgSz w:w="11900" w:h="16838" w:orient="portrait"/>
          <w:cols w:equalWidth="0" w:num="1">
            <w:col w:w="10219"/>
          </w:cols>
          <w:pgMar w:left="240" w:top="142" w:right="1440" w:bottom="1440" w:gutter="0" w:footer="0" w:header="0"/>
          <w:type w:val="continuous"/>
        </w:sectPr>
      </w:pPr>
    </w:p>
    <w:bookmarkStart w:id="154" w:name="page155"/>
    <w:bookmarkEnd w:id="154"/>
    <w:p>
      <w:pPr>
        <w:ind w:right="2259"/>
        <w:spacing w:after="0" w:line="257" w:lineRule="auto"/>
        <w:rPr>
          <w:sz w:val="20"/>
          <w:szCs w:val="20"/>
          <w:color w:val="auto"/>
        </w:rPr>
      </w:pPr>
      <w:r>
        <w:rPr>
          <w:rFonts w:ascii="Courier New" w:cs="Courier New" w:eastAsia="Courier New" w:hAnsi="Courier New"/>
          <w:sz w:val="17"/>
          <w:szCs w:val="17"/>
          <w:color w:val="auto"/>
        </w:rPr>
        <w:t>lower revenue, primarily long distance voice and $0.1 billion due to the net impact of net dispositions and the consolidation of Excite@Home.</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Costs of services and products increased $1.2 billion, or 13.1%, for the nine months ended September 30, 2001 compared with the same period in 2000. Approximately $0.9 billion of the increase was driven by the net acquisitions, primarily MediaOne and the consolidation of Excite@Home. Also contributing to the increase was approximately $0.8 billion of higher costs associated with AT&amp;T's growth businesses, primarily at AT&amp;T Broadband and AT&amp;T's outsourcing business, as well as a higher pension credit in 2000. Partially offsetting these increases were $0.3 billion of lower costs associated with lower volumes, primarily from AT&amp;T's international ventures, AT&amp;T Consumer long distance and lower payphone compensation costs, $0.1 billion of lower costs associated with lower long distance revenue from AT&amp;T Business and $0.1 billion of AT&amp;T's reduction efforts.</w:t>
      </w:r>
    </w:p>
    <w:p>
      <w:pPr>
        <w:spacing w:after="0" w:line="200" w:lineRule="exact"/>
        <w:rPr>
          <w:sz w:val="20"/>
          <w:szCs w:val="20"/>
          <w:color w:val="auto"/>
        </w:rPr>
      </w:pPr>
    </w:p>
    <w:p>
      <w:pPr>
        <w:spacing w:after="0" w:line="203"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FOR THE THREE MONTHS FOR THE NINE</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MONTHS ENDED SEPTEMBER 30, ENDED</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SEPTEMBER 30, -------------------- --</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------------------ 2001 2000 2001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 ------- -------- -------</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 (DOLLARS IN MILLIONS) Access and</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connection............................</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$3,033 $3,147 $9,289 $10,180</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Access and other connection expenses decreased 3.6% in the third quarter of 2001 compared with the third quarter of 2000. Approximately $0.2 billion of this reduction was due to lower international connection rates, per-line charges for multi-line business customers and per minute access rates. These reductions were partially offset by a $0.1 billion increase due to overall volume growth primarily related to local service.</w:t>
      </w:r>
    </w:p>
    <w:p>
      <w:pPr>
        <w:spacing w:after="0" w:line="197"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Access and other connection expenses decreased 8.8% for the nine months ended September 30, 2001, compared with the same period in 2000. Approximately $1.3 billion of the decrease was due to lower per-line charges and mandated reductions in per minute access rates. In July 2000 per line charges that AT&amp;T paid for residential and single-line business customers were eliminated by the FCC. These reductions were offset by a $0.4 billion increase due to overall volume growth primarily related to local service and higher universal service fund contributions.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FOR THE THREE MONTHS FOR THE</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520" w:type="dxa"/>
            <w:vAlign w:val="bottom"/>
          </w:tcPr>
          <w:p>
            <w:pPr>
              <w:spacing w:after="0"/>
              <w:rPr>
                <w:sz w:val="20"/>
                <w:szCs w:val="20"/>
                <w:color w:val="auto"/>
              </w:rPr>
            </w:pPr>
            <w:r>
              <w:rPr>
                <w:rFonts w:ascii="Courier New" w:cs="Courier New" w:eastAsia="Courier New" w:hAnsi="Courier New"/>
                <w:sz w:val="17"/>
                <w:szCs w:val="17"/>
                <w:color w:val="auto"/>
              </w:rPr>
              <w:t>NINE</w:t>
            </w:r>
          </w:p>
        </w:tc>
        <w:tc>
          <w:tcPr>
            <w:tcW w:w="2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MONTHS ENDED SEPTEMBER 30,</w:t>
            </w:r>
          </w:p>
        </w:tc>
      </w:tr>
      <w:tr>
        <w:trPr>
          <w:trHeight w:val="201"/>
        </w:trPr>
        <w:tc>
          <w:tcPr>
            <w:tcW w:w="2040" w:type="dxa"/>
            <w:vAlign w:val="bottom"/>
            <w:gridSpan w:val="2"/>
          </w:tcPr>
          <w:p>
            <w:pPr>
              <w:spacing w:after="0"/>
              <w:rPr>
                <w:sz w:val="20"/>
                <w:szCs w:val="20"/>
                <w:color w:val="auto"/>
              </w:rPr>
            </w:pPr>
            <w:r>
              <w:rPr>
                <w:rFonts w:ascii="Courier New" w:cs="Courier New" w:eastAsia="Courier New" w:hAnsi="Courier New"/>
                <w:sz w:val="17"/>
                <w:szCs w:val="17"/>
                <w:color w:val="auto"/>
              </w:rPr>
              <w:t>ENDED SEPTEMBER 30,</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20" w:type="dxa"/>
            <w:vAlign w:val="bottom"/>
          </w:tcPr>
          <w:p>
            <w:pPr>
              <w:jc w:val="right"/>
              <w:spacing w:after="0"/>
              <w:rPr>
                <w:sz w:val="20"/>
                <w:szCs w:val="20"/>
                <w:color w:val="auto"/>
              </w:rPr>
            </w:pPr>
            <w:r>
              <w:rPr>
                <w:rFonts w:ascii="Courier New" w:cs="Courier New" w:eastAsia="Courier New" w:hAnsi="Courier New"/>
                <w:sz w:val="13"/>
                <w:szCs w:val="13"/>
                <w:color w:val="auto"/>
                <w:w w:val="71"/>
              </w:rPr>
              <w:t>---------</w:t>
            </w:r>
          </w:p>
        </w:tc>
        <w:tc>
          <w:tcPr>
            <w:tcW w:w="2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20" w:type="dxa"/>
            <w:vAlign w:val="bottom"/>
          </w:tcPr>
          <w:p>
            <w:pPr>
              <w:spacing w:after="0"/>
              <w:rPr>
                <w:sz w:val="20"/>
                <w:szCs w:val="20"/>
                <w:color w:val="auto"/>
              </w:rPr>
            </w:pPr>
            <w:r>
              <w:rPr>
                <w:rFonts w:ascii="Courier New" w:cs="Courier New" w:eastAsia="Courier New" w:hAnsi="Courier New"/>
                <w:sz w:val="17"/>
                <w:szCs w:val="17"/>
                <w:color w:val="auto"/>
              </w:rPr>
              <w:t>2001</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2000 2001 2000</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r>
    </w:tbl>
    <w:p>
      <w:pPr>
        <w:spacing w:after="0" w:line="4" w:lineRule="exact"/>
        <w:rPr>
          <w:sz w:val="20"/>
          <w:szCs w:val="20"/>
          <w:color w:val="auto"/>
        </w:rPr>
      </w:pPr>
    </w:p>
    <w:p>
      <w:pPr>
        <w:jc w:val="both"/>
        <w:ind w:left="160" w:right="7019"/>
        <w:spacing w:after="0" w:line="251" w:lineRule="auto"/>
        <w:tabs>
          <w:tab w:leader="none" w:pos="684" w:val="left"/>
        </w:tabs>
        <w:numPr>
          <w:ilvl w:val="0"/>
          <w:numId w:val="2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(DOLLARS IN MILLIONS) Selling, general</w:t>
      </w:r>
    </w:p>
    <w:p>
      <w:pPr>
        <w:ind w:left="1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administrative..................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$2,540 $2,461 $8,144 $7,366</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Selling, general and administrative (SG&amp;A) expenses increased $0.1 billion, or 3.2%, in the third quarter of 2001, compared with the third quarter of 2000. Increased customer care, advertising, sales and other general and administrative expenses in support of growth businesses, primarily data/IP, local voice and broadband services drove approximately $0.2 billion of the increase. Lower pension credit resulting from decreased return on plan assets accounted for approximately $0.1 billion of the increase. Partially offsetting these increases were lower costs associated with the impact of decreased long distance voice volume and cost control efforts of approximately $0.3 billion primarily from AT&amp;T Consumer and AT&amp;T Broadband.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Selling, general and administrative (SG&amp;A) expenses increased $0.8 billion, or 10.5%, for the nine months ended September 30, 2001 as compared with the corresponding prior year period. Approximately $0.3 billion of the increase was due to net acquisitions, primarily MediaOne and the consolidation of Excite@Home. Increased customer care, sales, advertising and other general and administrative expenses in support of growth businesses, primarily data/IP, local voice and broadband services drove approximately $0.5 billion of the increase. In addition, costs associated with the exchange offer of AT&amp;T common stock for AT&amp;T Wireless stock, combined with a lower pension credit resulting from decreased return on plan assets accounted for approximately $0.3 billion of the increase. Partially offsetting these increases were lower costs associated with the impact of decreased long distance voice volume and cost control efforts of approximately $0.5 billion primarily from AT&amp;T Consumer and AT&amp;T Broadband.</w:t>
      </w:r>
    </w:p>
    <w:p>
      <w:pPr>
        <w:sectPr>
          <w:pgSz w:w="11900" w:h="16838" w:orient="portrait"/>
          <w:cols w:equalWidth="0" w:num="1">
            <w:col w:w="10219"/>
          </w:cols>
          <w:pgMar w:left="240" w:top="719" w:right="1440" w:bottom="0" w:gutter="0" w:footer="0" w:header="0"/>
        </w:sectPr>
      </w:pPr>
    </w:p>
    <w:bookmarkStart w:id="155" w:name="page156"/>
    <w:bookmarkEnd w:id="155"/>
    <w:p>
      <w:pPr>
        <w:ind w:left="2900"/>
        <w:spacing w:after="0"/>
        <w:rPr>
          <w:sz w:val="20"/>
          <w:szCs w:val="20"/>
          <w:color w:val="auto"/>
        </w:rPr>
      </w:pPr>
      <w:r>
        <w:rPr>
          <w:rFonts w:ascii="Courier New" w:cs="Courier New" w:eastAsia="Courier New" w:hAnsi="Courier New"/>
          <w:sz w:val="17"/>
          <w:szCs w:val="17"/>
          <w:color w:val="auto"/>
        </w:rPr>
        <w:t>VI-7</w:t>
      </w:r>
    </w:p>
    <w:p>
      <w:pPr>
        <w:sectPr>
          <w:pgSz w:w="11900" w:h="16838" w:orient="portrait"/>
          <w:cols w:equalWidth="0" w:num="1">
            <w:col w:w="9019"/>
          </w:cols>
          <w:pgMar w:left="1440" w:top="343" w:right="1440" w:bottom="1440" w:gutter="0" w:footer="0" w:header="0"/>
        </w:sectPr>
      </w:pPr>
    </w:p>
    <w:bookmarkStart w:id="156" w:name="page157"/>
    <w:bookmarkEnd w:id="156"/>
    <w:p>
      <w:pPr>
        <w:jc w:val="center"/>
        <w:ind w:right="7079"/>
        <w:spacing w:after="0"/>
        <w:rPr>
          <w:sz w:val="20"/>
          <w:szCs w:val="20"/>
          <w:color w:val="auto"/>
        </w:rPr>
      </w:pPr>
      <w:r>
        <w:rPr>
          <w:rFonts w:ascii="Courier New" w:cs="Courier New" w:eastAsia="Courier New" w:hAnsi="Courier New"/>
          <w:sz w:val="17"/>
          <w:szCs w:val="17"/>
          <w:color w:val="auto"/>
        </w:rPr>
        <w:t>FOR THE THREE MONTHS FOR THE</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NINE MONTHS ENDED SEPTEMBER</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30, ENDED SEPTEMBER 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------- 2001 2000 2001 2000 -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jc w:val="both"/>
        <w:ind w:left="420" w:right="7439" w:hanging="46"/>
        <w:spacing w:after="0" w:line="251" w:lineRule="auto"/>
        <w:tabs>
          <w:tab w:leader="none" w:pos="577" w:val="left"/>
        </w:tabs>
        <w:numPr>
          <w:ilvl w:val="0"/>
          <w:numId w:val="2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Depreciation and other</w:t>
      </w:r>
    </w:p>
    <w:p>
      <w:pPr>
        <w:spacing w:after="0"/>
        <w:rPr>
          <w:sz w:val="20"/>
          <w:szCs w:val="20"/>
          <w:color w:val="auto"/>
        </w:rPr>
      </w:pPr>
      <w:r>
        <w:rPr>
          <w:rFonts w:ascii="Courier New" w:cs="Courier New" w:eastAsia="Courier New" w:hAnsi="Courier New"/>
          <w:sz w:val="17"/>
          <w:szCs w:val="17"/>
          <w:color w:val="auto"/>
        </w:rPr>
        <w:t>amortization..................</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$1,682 $1,568 $5,116 $4,204</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Depreciation and other amortization expenses increased $0.1 billion, or 7.3%, in the third quarter of 2001 compared with the corresponding prior year period. The increase was largely due to a higher asset base primarily resulting from infrastructure investment in 2000 and 2001, as well as the consolidation of Excite@Home, partially offset by cable system dispositions. Capital expenditures were $1.7 billion and $2.7 billion for the third quarter of 2001 and 2000, respectively. The primary focus of capital spending continues to be on the growth areas of broadband, data and IP, and local.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Depreciation and other amortization expenses increased $0.9 billion,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21.7%, for the nine months ended September 30, 2001 compared with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corresponding prior year period. Approximately one-half of the increase was due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acquisition of MediaOne. The remaining increase was largely due to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higher asset base primarily resulting from infrastructure investment in 2000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2001, as well as the consolidation of Excite@Home. Capital expenditures were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$6.0 billion and $7.0 billion for the nine months ended September 30, 2001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 respectively. The primary focus for capital expenditures continues to be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the growth areas of broadband, data and IP, and local.</w:t>
      </w:r>
    </w:p>
    <w:p>
      <w:pPr>
        <w:spacing w:after="0" w:line="210"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7"/>
          <w:szCs w:val="17"/>
          <w:color w:val="auto"/>
        </w:rPr>
        <w:t>FOR THE THREE MONTHS FOR THE NINE MONTHS</w:t>
      </w:r>
    </w:p>
    <w:p>
      <w:pPr>
        <w:spacing w:after="0" w:line="9"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7"/>
          <w:szCs w:val="17"/>
          <w:color w:val="auto"/>
        </w:rPr>
        <w:t>ENDED SEPTEMBER 30, ENDED SEPTEMBER 30, --</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2001 2000 2001 2000 ------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(DOLLARS IN MILLIONS) Amortization</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of goodwill, franchise costs and other</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purchased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intangibles................................</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$592 $787 $1,920 $1,433</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Amortization of goodwill, franchise costs and other purchased intangibles decreased $0.2 billion, or 24.7%, in the third quarter of 2001 compared with the corresponding prior year period. This decrease was primarily due to lower goodwill associated with Excite@Home resulting from an impairment of goodwill recorded subsequent to September 30, 2000.</w:t>
      </w:r>
    </w:p>
    <w:p>
      <w:pPr>
        <w:spacing w:after="0" w:line="197"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Amortization of goodwill, franchise costs and other purchased intangibles increased $0.5 billion, or 34.0%, for the nine months ended September 30, 2001 compared with the nine months ended September 30, 2000. This increase was primarily due to the acquisition of MediaOne.</w:t>
      </w:r>
    </w:p>
    <w:p>
      <w:pPr>
        <w:spacing w:after="0" w:line="195"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FOR THE THREE MONTHS FOR</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THE NINE MONTHS ENDED</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SEPTEMBER 30, ENDED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SEPTEMBER 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580" w:hanging="524"/>
        <w:spacing w:after="0"/>
        <w:tabs>
          <w:tab w:leader="none" w:pos="580" w:val="left"/>
        </w:tabs>
        <w:numPr>
          <w:ilvl w:val="0"/>
          <w:numId w:val="2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2001 2000 2001 2000 -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restructuring and</w:t>
      </w:r>
    </w:p>
    <w:p>
      <w:pPr>
        <w:spacing w:after="0" w:line="8" w:lineRule="exact"/>
        <w:rPr>
          <w:rFonts w:ascii="Courier New" w:cs="Courier New" w:eastAsia="Courier New" w:hAnsi="Courier New"/>
          <w:sz w:val="17"/>
          <w:szCs w:val="17"/>
          <w:color w:val="auto"/>
        </w:rPr>
      </w:pPr>
    </w:p>
    <w:p>
      <w:pPr>
        <w:ind w:left="1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other</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charges....................</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$399 $24 $1,494 $797</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the third quarter of 2001, $399 million of net restructuring and other charges were recorded by Excite@Home. Included in these charges were $376 million of asset impairment charges and $23 million of restructuring and exit costs, primarily due to continued weakness in the on-line media market and the recent bankruptcy filing. These charges included the write-off of goodwill and other intangible assets, warrants granted in connection with distributing the @Home service and fixed assets. The restructuring and exits costs, consisted of $4 million for severance costs, $14 million related to facility closings and $5 million primarily related to termination of contractual obligations. The severance costs, for approximately 860 employees, primarily resulted from continued cost reduction efforts by Excite@Home. Since AT&amp;T consolidates, but only owns approximately 23% of Excite@Home, a portion of the charges recorded by</w:t>
      </w:r>
    </w:p>
    <w:p>
      <w:pPr>
        <w:sectPr>
          <w:pgSz w:w="11900" w:h="16838" w:orient="portrait"/>
          <w:cols w:equalWidth="0" w:num="1">
            <w:col w:w="10219"/>
          </w:cols>
          <w:pgMar w:left="240" w:top="719" w:right="1440" w:bottom="0" w:gutter="0" w:footer="0" w:header="0"/>
        </w:sectPr>
      </w:pPr>
    </w:p>
    <w:bookmarkStart w:id="157" w:name="page158"/>
    <w:bookmarkEnd w:id="157"/>
    <w:p>
      <w:pPr>
        <w:ind w:right="1939"/>
        <w:spacing w:after="0" w:line="254" w:lineRule="auto"/>
        <w:rPr>
          <w:sz w:val="20"/>
          <w:szCs w:val="20"/>
          <w:color w:val="auto"/>
        </w:rPr>
      </w:pPr>
      <w:r>
        <w:rPr>
          <w:rFonts w:ascii="Courier New" w:cs="Courier New" w:eastAsia="Courier New" w:hAnsi="Courier New"/>
          <w:sz w:val="17"/>
          <w:szCs w:val="17"/>
          <w:color w:val="auto"/>
        </w:rPr>
        <w:t>Excite@Home was not included as a reduction to AT&amp;T's net income, but rather eliminated in AT&amp;T's September 30, 2001 Consolidated Statement of Operations as a component of "Minority interest income (expense)."</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Net restructuring and other charges for the nine months ended September 30, 2001, totaled $1,494 million. The charge includes $1,171 million of asset impairment charges related to Excite@Home,</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VI-8</w:t>
      </w:r>
    </w:p>
    <w:p>
      <w:pPr>
        <w:sectPr>
          <w:pgSz w:w="11900" w:h="16838" w:orient="portrait"/>
          <w:cols w:equalWidth="0" w:num="1">
            <w:col w:w="10219"/>
          </w:cols>
          <w:pgMar w:left="240" w:top="142" w:right="1440" w:bottom="1440" w:gutter="0" w:footer="0" w:header="0"/>
        </w:sectPr>
      </w:pPr>
    </w:p>
    <w:bookmarkStart w:id="158" w:name="page159"/>
    <w:bookmarkEnd w:id="158"/>
    <w:p>
      <w:pPr>
        <w:ind w:right="2139"/>
        <w:spacing w:after="0" w:line="254" w:lineRule="auto"/>
        <w:rPr>
          <w:sz w:val="20"/>
          <w:szCs w:val="20"/>
          <w:color w:val="auto"/>
        </w:rPr>
      </w:pPr>
      <w:r>
        <w:rPr>
          <w:rFonts w:ascii="Courier New" w:cs="Courier New" w:eastAsia="Courier New" w:hAnsi="Courier New"/>
          <w:sz w:val="17"/>
          <w:szCs w:val="17"/>
          <w:color w:val="auto"/>
        </w:rPr>
        <w:t>$323 million for restructuring and exit costs which consisted of $151 million for severance costs, $156 million for facility closings and $16 million primarily related to termination of contractual obligations.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asset impairment charges recorded during the nine months ended September 30, 2001 included $1,032 million recorded by Excite@Home primarily due to continued weakness in the on-line media market and the recent bankruptcy filing. These charges included the write-down of goodwill and other intangible assets related to various acquisitions, primarily Excite, warrants granted in connection with distributing the @Home service, and fixed assets. In addition, AT&amp;T recorded a related goodwill impairment charge of $139 million associated with its acquisition goodwill of Excite@Home. Since AT&amp;T consolidates, but only own approximately 23% of Excite@Home, a portion of the charges recorded by Excite@Home was not included as a reduction to AT&amp;T's net income, but rather eliminated in its September 30, 2001 Consolidated Statement of Operations as a component of "Minority interest income (expense)."</w:t>
      </w:r>
    </w:p>
    <w:p>
      <w:pPr>
        <w:spacing w:after="0" w:line="201"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The severance costs, for approximately 7,700 employees, primarily resulted from synergies created by the MediaOne merger as well as continued cost reduction efforts by Excite@Home. Approximately 36% of the affected employees are management employees and 64% are non-management employees.</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This restructuring initiative is projected to yield cash savings of approximately $1 million in 2001 (net of severance benefit pay-outs of approximately $151 million) and approximately $260 million per year thereafter. The initiative will yield no EBIT savings, net of restructuring charges in 2001, and is projected to yield approximately $260 million per year thereafter. The cost savings, primarily attributable to reduced personnel-related expenses, will be realized in costs of services and products and SG&amp;A expenses.</w:t>
      </w:r>
    </w:p>
    <w:p>
      <w:pPr>
        <w:spacing w:after="0" w:line="196"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During the third quarter of 2000, AT&amp;T recorded $24 million of net restructuring and other charges. The charge resulted from synergies associated with the MediaOne merger and related to cash termination benefits associated with the involuntary separation of approximately 490 employees. Approximately one-half of the individuals were management employees and one-half were non-management employees.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During the nine months ended September 30, 2000, AT&amp;T recorded $797 million of net restructuring and other charges, which included $706 million of restructuring and exit costs primarily associated with AT&amp;T's initiative to reduce costs by the end of 2000, and $91 million related to the government-mandated disposition of AT&amp;T Communications (U.K.) Ltd., which would have competed directly with Concert.</w:t>
      </w:r>
    </w:p>
    <w:p>
      <w:pPr>
        <w:spacing w:after="0" w:line="1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charge for the nine months ended September 30, 2000 included cash termination benefits of $482 million associated with the involuntary separation of approximately 6,700 employees. Approximately one-half of the individuals were management employees and one-half were non-management employees.</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charge also included $62 million of network lease and other contract termination costs associated with penalties incurred as part of notifying vendors of the termination of these contracts during the first quarter 2000 and $144 million of benefit curtailment costs associated with employee separations as part of these exit plans.</w:t>
      </w:r>
    </w:p>
    <w:p>
      <w:pPr>
        <w:spacing w:after="0" w:line="197"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During the nine months ended September 30, 2000, AT&amp;T also recorded an asset impairment charge of $18 million related to the write-down of unrecoverable assets in certain businesses in which the carrying value was no longer supported by estimated future cash flows.</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As a result of AT&amp;T's commitment to managing and reducing costs across all areas of the business to remain cost competitive, AT&amp;T expects to record a restructuring charge in the fourth quarter of 2001. This restructuring charge is primarily associated with a series of cost-control initiatives being undertaken largely in AT&amp;T Business.</w:t>
      </w:r>
    </w:p>
    <w:p>
      <w:pPr>
        <w:spacing w:after="0" w:line="197"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FOR THE THREE MONTHS FOR THE NINE MONTHS</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ENDED SEPTEMBER 30, ENDED SEPTEMBER 30, ---</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560" w:type="dxa"/>
            <w:vAlign w:val="bottom"/>
          </w:tcPr>
          <w:p>
            <w:pPr>
              <w:jc w:val="right"/>
              <w:spacing w:after="0"/>
              <w:rPr>
                <w:sz w:val="20"/>
                <w:szCs w:val="20"/>
                <w:color w:val="auto"/>
              </w:rPr>
            </w:pPr>
            <w:r>
              <w:rPr>
                <w:rFonts w:ascii="Courier New" w:cs="Courier New" w:eastAsia="Courier New" w:hAnsi="Courier New"/>
                <w:sz w:val="17"/>
                <w:szCs w:val="17"/>
                <w:color w:val="auto"/>
              </w:rPr>
              <w:t>------------------- 2001</w:t>
            </w:r>
          </w:p>
        </w:tc>
      </w:tr>
      <w:tr>
        <w:trPr>
          <w:trHeight w:val="201"/>
        </w:trPr>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w w:val="85"/>
              </w:rPr>
              <w:t>2000 2001 2000 -------</w:t>
            </w:r>
          </w:p>
        </w:tc>
        <w:tc>
          <w:tcPr>
            <w:tcW w:w="2560" w:type="dxa"/>
            <w:vAlign w:val="bottom"/>
          </w:tcPr>
          <w:p>
            <w:pPr>
              <w:jc w:val="right"/>
              <w:spacing w:after="0"/>
              <w:rPr>
                <w:sz w:val="20"/>
                <w:szCs w:val="20"/>
                <w:color w:val="auto"/>
              </w:rPr>
            </w:pPr>
            <w:r>
              <w:rPr>
                <w:rFonts w:ascii="Courier New" w:cs="Courier New" w:eastAsia="Courier New" w:hAnsi="Courier New"/>
                <w:sz w:val="17"/>
                <w:szCs w:val="17"/>
                <w:color w:val="auto"/>
              </w:rPr>
              <w:t>------- ------- ----</w:t>
            </w:r>
          </w:p>
        </w:tc>
      </w:tr>
    </w:tbl>
    <w:p>
      <w:pPr>
        <w:spacing w:after="0" w:line="4" w:lineRule="exact"/>
        <w:rPr>
          <w:sz w:val="20"/>
          <w:szCs w:val="20"/>
          <w:color w:val="auto"/>
        </w:rPr>
      </w:pPr>
    </w:p>
    <w:p>
      <w:pPr>
        <w:ind w:right="5599" w:firstLine="477"/>
        <w:spacing w:after="0" w:line="251" w:lineRule="auto"/>
        <w:tabs>
          <w:tab w:leader="none" w:pos="889" w:val="left"/>
        </w:tabs>
        <w:numPr>
          <w:ilvl w:val="0"/>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Operating income......................................</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$1,365 $2,907 $3,543 $8,394</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VI-9</w:t>
      </w:r>
    </w:p>
    <w:p>
      <w:pPr>
        <w:sectPr>
          <w:pgSz w:w="11900" w:h="16838" w:orient="portrait"/>
          <w:cols w:equalWidth="0" w:num="1">
            <w:col w:w="10219"/>
          </w:cols>
          <w:pgMar w:left="240" w:top="719" w:right="1440" w:bottom="256" w:gutter="0" w:footer="0" w:header="0"/>
        </w:sectPr>
      </w:pPr>
    </w:p>
    <w:bookmarkStart w:id="159" w:name="page160"/>
    <w:bookmarkEnd w:id="159"/>
    <w:p>
      <w:pPr>
        <w:ind w:right="1939" w:firstLine="524"/>
        <w:spacing w:after="0" w:line="251" w:lineRule="auto"/>
        <w:rPr>
          <w:sz w:val="20"/>
          <w:szCs w:val="20"/>
          <w:color w:val="auto"/>
        </w:rPr>
      </w:pPr>
      <w:r>
        <w:rPr>
          <w:rFonts w:ascii="Courier New" w:cs="Courier New" w:eastAsia="Courier New" w:hAnsi="Courier New"/>
          <w:sz w:val="17"/>
          <w:szCs w:val="17"/>
          <w:color w:val="auto"/>
        </w:rPr>
        <w:t>Operating income decreased $1.5 billion, or 53.0%, in the third quarter of 2001 compared with the third quarter of 2000. Approximately $0.2 billion of the third quarter decrease was due to the consolidation of Excite@Home and the impact of net dispositions. The remaining decrease largely reflects declines in long distance voice revenue and spending in growth areas as well as higher restructuring and other charges recorded by Excite@Home. The decrease was partially offset by lower amortization of goodwill and lower access and connection rates AT&amp;T paid to connect domestic calls on the facilities of other service providers. A portion of the impact of the operating loss generated by Excite@Home was offset in minority interest income (expense), reflecting the interest of Excite@Home AT&amp;T does not own.</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Operating income decreased $4.9 billion, or 57.8%, for the nine months ended September 30, 2001, compared with the same period in 2000. Approximately $2.0 billion of the decrease was due to the consolidation of Excite@Home, and the impact of net acquisitions, primarily MediaOne. The remaining decrease reflects declines in long distance voice business and spending in growth areas. The decrease was partially offset by the impact of lower access and connection rates, lower restructuring and other charges and lower amortization of goodwill. A majority of the impact of the operating loss generated by Excite@Home was offset in minority interest income (expense), reflecting the portion of Excite@Home AT&amp;T does not own.</w:t>
      </w:r>
    </w:p>
    <w:p>
      <w:pPr>
        <w:spacing w:after="0" w:line="201"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FOR THE THREE MONTHS FOR THE NINE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MONTHS ENDED SEPTEMBER 30, ENDED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SEPTEMBER 30, --------------------- -</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------------------ 2001 2000 2001</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2000 --------- ------ -------- ------</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 (DOLLARS IN MILLIONS) Other</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(expense)</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$(4,966) $365 $(7,195) $1,358</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Other (expense) income for the third quarter of 2001 was an expense of $5.0 billion, an increase in expense of $5.3 billion from the third quarter of 2000. The increase in expense was primarily driven by a charge of $3.5 billion related to the discontinuation of Concert, AT&amp;T's global joint venture with BT, including approximately $0.6 billion associated with an agreement with BT in which AT&amp;T will assume BT's ownership in AT&amp;T Canada and certain other obligations. In addition, AT&amp;T recorded a $1.8 billion charge related to the estimated loss on AT&amp;T's commitment to purchase the remaining public shares of AT&amp;T Canada. Also contributing to the higher expense was a $0.4 billion mark-to-market loss on Vodaphone ADRs, which were used to settle exchangeable notes that matured during the third quarter of 2001. These expenses were partially offset by a $0.5 billion tax-free gain associated with the disposal of a portion of AT&amp;T's retained interest in AT&amp;T Wireless in a debt-for-equity exchange.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Other (expense) income for the nine months ended September 30, 2001 was an expense of $7.2 billion, an increase in expense of $8.6 billion compared with the same period in 2000. The higher expense was in part driven by $5.3 billion of charges associated with the discontinuation of Concert and AT&amp;T's obligation to purchase the public shares of AT&amp;T Canada and impairment charges of approximately $1.3 billion primarily relating to AT&amp;T's investment in Net2Phone. In addition, effective January 1, 2001, in conjunction with the adoption of SFAS No. 133, "Accounting for Derivative Instruments and Hedging Activities," AT&amp;T reclassified certain investment securities, which support debt that is indexed to those securities, from "available-for-sale" to "trading." As a result, AT&amp;T recorded a charge of $0.8 billion reflecting the initial reclassification impact of the adoption of SFAS No. 133 as well as the ongoing investment and derivative revaluation. Also contributing to the higher expense was a $0.8 billion loss on the Excite@Home put obligation settlement with Cox and Comcast and $0.2 billion of lower net gains on the sales and dispositions of businesses and investments.</w:t>
      </w:r>
    </w:p>
    <w:p>
      <w:pPr>
        <w:spacing w:after="0" w:line="202"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FOR THE THREE MONTHS FOR THE NINE MONTHS</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ENDED SEPTEMBER 30, ENDED SEPTEMBER 30, -----</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 ------------------- 2001 2000</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2001 2000 ------ ------ ------- -------</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(DOLLARS IN MILLIONS) Interest</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expense.......................................</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$786 $896 $2,426 $2,000</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Interest expense decreased 12.2%, or $0.1 billion, in the third quarter of 2001 compared with the same period in 2000. The decrease was primarily due to the lower average debt balance reflecting the Company's debt reduction efforts in 2001.</w:t>
      </w:r>
    </w:p>
    <w:p>
      <w:pPr>
        <w:sectPr>
          <w:pgSz w:w="11900" w:h="16838" w:orient="portrait"/>
          <w:cols w:equalWidth="0" w:num="1">
            <w:col w:w="10219"/>
          </w:cols>
          <w:pgMar w:left="240" w:top="720" w:right="1440" w:bottom="0" w:gutter="0" w:footer="0" w:header="0"/>
        </w:sectPr>
      </w:pPr>
    </w:p>
    <w:bookmarkStart w:id="160" w:name="page161"/>
    <w:bookmarkEnd w:id="160"/>
    <w:p>
      <w:pPr>
        <w:ind w:left="2780"/>
        <w:spacing w:after="0"/>
        <w:rPr>
          <w:sz w:val="20"/>
          <w:szCs w:val="20"/>
          <w:color w:val="auto"/>
        </w:rPr>
      </w:pPr>
      <w:r>
        <w:rPr>
          <w:rFonts w:ascii="Courier New" w:cs="Courier New" w:eastAsia="Courier New" w:hAnsi="Courier New"/>
          <w:sz w:val="17"/>
          <w:szCs w:val="17"/>
          <w:color w:val="auto"/>
        </w:rPr>
        <w:t>VI-10</w:t>
      </w:r>
    </w:p>
    <w:p>
      <w:pPr>
        <w:sectPr>
          <w:pgSz w:w="11900" w:h="16838" w:orient="portrait"/>
          <w:cols w:equalWidth="0" w:num="1">
            <w:col w:w="9019"/>
          </w:cols>
          <w:pgMar w:left="1440" w:top="343" w:right="1440" w:bottom="1440" w:gutter="0" w:footer="0" w:header="0"/>
        </w:sectPr>
      </w:pPr>
    </w:p>
    <w:bookmarkStart w:id="161" w:name="page162"/>
    <w:bookmarkEnd w:id="161"/>
    <w:p>
      <w:pPr>
        <w:ind w:right="1839" w:firstLine="524"/>
        <w:spacing w:after="0" w:line="251" w:lineRule="auto"/>
        <w:rPr>
          <w:sz w:val="20"/>
          <w:szCs w:val="20"/>
          <w:color w:val="auto"/>
        </w:rPr>
      </w:pPr>
      <w:r>
        <w:rPr>
          <w:rFonts w:ascii="Courier New" w:cs="Courier New" w:eastAsia="Courier New" w:hAnsi="Courier New"/>
          <w:sz w:val="17"/>
          <w:szCs w:val="17"/>
          <w:color w:val="auto"/>
        </w:rPr>
        <w:t>Interest expense increased 21.3%, or $0.4 billion, for the nine months ended September 30, 2001, compared with the same period in 2000. The increase was largely due to the higher average debt balance primarily as a result of AT&amp;T's June 2000 acquisition of MediaOne, including outstanding debt of MediaOne and debt issued to fund the MediaOne acquisition. The impact of MediaOne was partially offset by the Company's debt reduction efforts in 2001. Also contributing to the increase was the higher average interest rate for the nine months ended September 30, 2001 versus the same period in 2000.</w:t>
      </w:r>
    </w:p>
    <w:p>
      <w:pPr>
        <w:spacing w:after="0" w:line="201"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FOR THE THREE MONTHS</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FOR THE NINE MONTHS</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ENDED SEPTEMBER 30,</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ENDED SEPTEMBER 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-------------- 2001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2001 2000 --------</w:t>
      </w:r>
    </w:p>
    <w:p>
      <w:pPr>
        <w:spacing w:after="0" w:line="9" w:lineRule="exact"/>
        <w:rPr>
          <w:sz w:val="20"/>
          <w:szCs w:val="20"/>
          <w:color w:val="auto"/>
        </w:rPr>
      </w:pPr>
    </w:p>
    <w:p>
      <w:pPr>
        <w:ind w:left="260" w:hanging="202"/>
        <w:spacing w:after="0"/>
        <w:tabs>
          <w:tab w:leader="none" w:pos="260" w:val="left"/>
        </w:tabs>
        <w:numPr>
          <w:ilvl w:val="0"/>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260" w:right="7959" w:firstLine="270"/>
        <w:spacing w:after="0" w:line="251" w:lineRule="auto"/>
        <w:tabs>
          <w:tab w:leader="none" w:pos="836" w:val="left"/>
        </w:tabs>
        <w:numPr>
          <w:ilvl w:val="1"/>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(Benefit)</w:t>
      </w:r>
    </w:p>
    <w:p>
      <w:pPr>
        <w:jc w:val="center"/>
        <w:ind w:right="7699"/>
        <w:spacing w:after="0"/>
        <w:rPr>
          <w:sz w:val="20"/>
          <w:szCs w:val="20"/>
          <w:color w:val="auto"/>
        </w:rPr>
      </w:pPr>
      <w:r>
        <w:rPr>
          <w:rFonts w:ascii="Courier New" w:cs="Courier New" w:eastAsia="Courier New" w:hAnsi="Courier New"/>
          <w:sz w:val="17"/>
          <w:szCs w:val="17"/>
          <w:color w:val="auto"/>
        </w:rPr>
        <w:t>provision for income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$(2,092) $939 $(2,746)</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$2,532</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provision for income taxes decreased $3.0 billion to a benefit of $2.1 billion in the third quarter of 2001 compared with a provision of $0.9 billion in the third quarter of 2000. The decrease was primarily due to a loss before income taxes in the third quarter of 2001, compared with earnings before income taxes in the third quarter of 2000. The effective tax rate for the third quarter of 2001 was 47.7%, compared with 39.5% for the prior year third quarter. The third quarter effective tax benefit rate was favorably impacted by a significant net tax benefit related to Excite@Home, including a benefit from the deconsolidation, partially offset by the prior consolidation of its operating losses, for which the company was unable to record tax benefits. Also favorably impacting the effective tax benefit rate was the tax-free gain associated with the disposal of a portion of AT&amp;T's retained interest in AT&amp;T Wireless in a debt-for-equity exchange.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provision for income taxes decreased $5.3 billion, or 208.5%, to a benefit of $2.7 billion for the nine months ended September 30, 2001 compared with a provision of $2.5 billion for the same period in 2000. The decrease was primarily due to a loss before income taxes for the nine months ended September 30, 2001, compared with earnings before income taxes for the same prior year period. The effective tax rate for the nine months ended September 30, 2001 was 45.2%, compared with 32.7% for the same period in 2000. The 2001 effective tax rate was favorably impacted by a significant net tax benefit related to Excite@Home, including a benefit from the deconsolidation and the put obligation settlement with Cox and Comcast, partially offset by the prior consolidation of its operating losses, for which the company was unable to record tax benefits. Also favorably impacting the effective tax benefit rate was the redemption of AT&amp;T stock held by Comcast in exchange for certain cable systems and the tax-free gain associated with the disposal of a portion of AT&amp;T's retained interest in AT&amp;T Wireless in a debt-for-equity exchange. These impacts were partially offset by higher non tax-deductible goodwill amortization. The 2000 effective tax rate was positively impacted by a tax-free gain resulting from an exchange of AT&amp;T stock for an entity owning certain cable systems and other assets with Cox and the benefit of the write-off of the related deferred tax liability.</w:t>
      </w:r>
    </w:p>
    <w:p>
      <w:pPr>
        <w:spacing w:after="0" w:line="200" w:lineRule="exact"/>
        <w:rPr>
          <w:sz w:val="20"/>
          <w:szCs w:val="20"/>
          <w:color w:val="auto"/>
        </w:rPr>
      </w:pPr>
    </w:p>
    <w:p>
      <w:pPr>
        <w:spacing w:after="0" w:line="203"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FOR THE THREE MONTHS FOR THE</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NINE MONTHS ENDED SEPTEMBER</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30, ENDED SEPTEMBER 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------ 2001 2000 2001 2000 --</w:t>
      </w:r>
    </w:p>
    <w:p>
      <w:pPr>
        <w:spacing w:after="0" w:line="9" w:lineRule="exact"/>
        <w:rPr>
          <w:sz w:val="20"/>
          <w:szCs w:val="20"/>
          <w:color w:val="auto"/>
        </w:rPr>
      </w:pPr>
    </w:p>
    <w:p>
      <w:pPr>
        <w:ind w:left="800" w:hanging="531"/>
        <w:spacing w:after="0"/>
        <w:tabs>
          <w:tab w:leader="none" w:pos="800"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Minority interest income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$177 $103 $1,015 $11</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Minority interest income, which is recorded net of income taxes, represents an adjustment to AT&amp;T's income to reflect the less than 100% ownership of consolidated subsidiaries as well as dividends on preferred stock issued by subsidiaries of AT&amp;T. The Company recorded $0.2 billion of minority interest income in the third quarter of 2001 and $0.1 billion of minority interest expense in the third quarter of 2000. Minority interest income was $1.0 billion of income for the nine months ended September 30, 2001 and $11 million of income</w:t>
      </w:r>
    </w:p>
    <w:p>
      <w:pPr>
        <w:sectPr>
          <w:pgSz w:w="11900" w:h="16838" w:orient="portrait"/>
          <w:cols w:equalWidth="0" w:num="1">
            <w:col w:w="10219"/>
          </w:cols>
          <w:pgMar w:left="240" w:top="719" w:right="1440" w:bottom="0" w:gutter="0" w:footer="0" w:header="0"/>
        </w:sectPr>
      </w:pPr>
    </w:p>
    <w:bookmarkStart w:id="162" w:name="page163"/>
    <w:bookmarkEnd w:id="162"/>
    <w:p>
      <w:pPr>
        <w:ind w:right="1839"/>
        <w:spacing w:after="0" w:line="252" w:lineRule="auto"/>
        <w:rPr>
          <w:sz w:val="20"/>
          <w:szCs w:val="20"/>
          <w:color w:val="auto"/>
        </w:rPr>
      </w:pPr>
      <w:r>
        <w:rPr>
          <w:rFonts w:ascii="Courier New" w:cs="Courier New" w:eastAsia="Courier New" w:hAnsi="Courier New"/>
          <w:sz w:val="17"/>
          <w:szCs w:val="17"/>
          <w:color w:val="auto"/>
        </w:rPr>
        <w:t>for the nine months ended September 30, 2000. The increase in both periods is primarily due to the consolidation of Excite@Home effective September 1, 2000. The minority interest income in both periods primarily reflects a loss generated by Excite@Home, including business restructuring and asset impairment charges, that were attributable to the other shareholders of Excite@Home. The income tax benefit recorded on minority interest income was $6 million and $39</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VI-11</w:t>
      </w:r>
    </w:p>
    <w:p>
      <w:pPr>
        <w:sectPr>
          <w:pgSz w:w="11900" w:h="16838" w:orient="portrait"/>
          <w:cols w:equalWidth="0" w:num="1">
            <w:col w:w="10219"/>
          </w:cols>
          <w:pgMar w:left="240" w:top="142" w:right="1440" w:bottom="1440" w:gutter="0" w:footer="0" w:header="0"/>
        </w:sectPr>
      </w:pPr>
    </w:p>
    <w:bookmarkStart w:id="163" w:name="page164"/>
    <w:bookmarkEnd w:id="163"/>
    <w:p>
      <w:pPr>
        <w:ind w:right="1839"/>
        <w:spacing w:after="0" w:line="254" w:lineRule="auto"/>
        <w:rPr>
          <w:sz w:val="20"/>
          <w:szCs w:val="20"/>
          <w:color w:val="auto"/>
        </w:rPr>
      </w:pPr>
      <w:r>
        <w:rPr>
          <w:rFonts w:ascii="Courier New" w:cs="Courier New" w:eastAsia="Courier New" w:hAnsi="Courier New"/>
          <w:sz w:val="17"/>
          <w:szCs w:val="17"/>
          <w:color w:val="auto"/>
        </w:rPr>
        <w:t>million for the third quarter of 2001 and 2000, respectively. The income tax benefit recorded on minority interest income was $93 million and $98 million for the nine months ended September 30, 2001 and September 30, 2000, respectively.</w:t>
      </w:r>
    </w:p>
    <w:p>
      <w:pPr>
        <w:spacing w:after="0" w:line="194"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FOR THE</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THREE</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MONTHS FOR</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THE NINE</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MONTHS</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ENDED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SEPTEMBER</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30, ENDED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SEPTEMBER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80" w:hanging="526"/>
        <w:spacing w:after="0"/>
        <w:tabs>
          <w:tab w:leader="none" w:pos="580"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40" w:hanging="533"/>
        <w:spacing w:after="0"/>
        <w:tabs>
          <w:tab w:leader="none" w:pos="640" w:val="left"/>
        </w:tabs>
        <w:numPr>
          <w:ilvl w:val="1"/>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2001</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2000 2001</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2000 -----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(DOLLARS</w:t>
      </w:r>
    </w:p>
    <w:p>
      <w:pPr>
        <w:spacing w:after="0" w:line="8" w:lineRule="exact"/>
        <w:rPr>
          <w:rFonts w:ascii="Courier New" w:cs="Courier New" w:eastAsia="Courier New" w:hAnsi="Courier New"/>
          <w:sz w:val="17"/>
          <w:szCs w:val="17"/>
          <w:color w:val="auto"/>
        </w:rPr>
      </w:pPr>
    </w:p>
    <w:p>
      <w:pPr>
        <w:ind w:left="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Equity</w:t>
      </w:r>
    </w:p>
    <w:p>
      <w:pPr>
        <w:spacing w:after="0" w:line="8" w:lineRule="exact"/>
        <w:rPr>
          <w:rFonts w:ascii="Courier New" w:cs="Courier New" w:eastAsia="Courier New" w:hAnsi="Courier New"/>
          <w:sz w:val="17"/>
          <w:szCs w:val="17"/>
          <w:color w:val="auto"/>
        </w:rPr>
      </w:pPr>
    </w:p>
    <w:p>
      <w:pPr>
        <w:jc w:val="center"/>
        <w:ind w:right="9059" w:firstLine="1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(losses) from Liberty Media Group......</w:t>
      </w: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$111</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$1,756</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$(2,711)</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$2,965</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Equity earnings (losses) from Liberty Media Group (LMG), which is recorded net of income taxes, decreased $1.6 billion for the third quarter of 2001 compared with the third quarter of 2000. The decrease largely reflects lower gains on dispositions in the third quarter of 2001, partially offset by earnings of affiliates in 2001 compared with losses in 2000 as well as the write-down of impaired investments in 2000.</w:t>
      </w:r>
    </w:p>
    <w:p>
      <w:pPr>
        <w:spacing w:after="0" w:line="197"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Equity earnings (losses) from LMG, which is recorded net of income taxes, decreased $5.7 billion for the year-to-date period through July 31, 2001, compared with the year-to-date period ended September 30, 2000. The decrease largely reflects lower gains on dispositions, higher losses of affiliates and higher unrealized losses on financial instruments of LMG.</w:t>
      </w:r>
    </w:p>
    <w:p>
      <w:pPr>
        <w:spacing w:after="0" w:line="197"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FOR THE THREE MONTHS FOR</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THE NINE MONTHS ENDED</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SEPTEMBER 30, ENDED</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SEPTEMBER 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-------- 2001 2000 2001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 ------ -----</w:t>
      </w:r>
    </w:p>
    <w:p>
      <w:pPr>
        <w:spacing w:after="0" w:line="9" w:lineRule="exact"/>
        <w:rPr>
          <w:sz w:val="20"/>
          <w:szCs w:val="20"/>
          <w:color w:val="auto"/>
        </w:rPr>
      </w:pPr>
    </w:p>
    <w:p>
      <w:pPr>
        <w:ind w:left="260" w:right="7859" w:firstLine="9"/>
        <w:spacing w:after="0" w:line="251" w:lineRule="auto"/>
        <w:tabs>
          <w:tab w:leader="none" w:pos="469" w:val="left"/>
        </w:tabs>
        <w:numPr>
          <w:ilvl w:val="0"/>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Net losses from other equity</w:t>
      </w: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$88 $222 $423 $615</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Net losses from other equity investments, recorded net of income taxes, were $0.1 billion in the third quarter of 2001 and $0.2 billion for the same period of 2000, a decrease of 60.3%. The decrease in losses is primarily due to lower losses related to Time Warner Entertainment (TWE) and Cablevision Systems Corporation (Cablevision) as a result of these investments being accounted for under the equity method in third quarter of 2000 and the cost method in the third quarter of 2001. TWE was reclassified to an asset held for sale in the fourth quarter of 2000, and accordingly earnings or losses, including amortization of goodwill, were no longer recorded. Likewise, in the second quarter of 2001, AT&amp;T began accounting for its investment in Cablevision as a cost method investment as a result of AT&amp;T no longer having representation on the board of directors. In addition, Excite@Home also contributed to the decrease. These decreases were partially offset by higher losses related to</w:t>
      </w:r>
    </w:p>
    <w:p>
      <w:pPr>
        <w:sectPr>
          <w:pgSz w:w="11900" w:h="16838" w:orient="portrait"/>
          <w:cols w:equalWidth="0" w:num="1">
            <w:col w:w="10219"/>
          </w:cols>
          <w:pgMar w:left="240" w:top="719" w:right="1440" w:bottom="0" w:gutter="0" w:footer="0" w:header="0"/>
        </w:sectPr>
      </w:pPr>
    </w:p>
    <w:bookmarkStart w:id="164" w:name="page165"/>
    <w:bookmarkEnd w:id="164"/>
    <w:p>
      <w:pPr>
        <w:ind w:right="1939"/>
        <w:spacing w:after="0" w:line="252" w:lineRule="auto"/>
        <w:rPr>
          <w:sz w:val="20"/>
          <w:szCs w:val="20"/>
          <w:color w:val="auto"/>
        </w:rPr>
      </w:pPr>
      <w:r>
        <w:rPr>
          <w:rFonts w:ascii="Courier New" w:cs="Courier New" w:eastAsia="Courier New" w:hAnsi="Courier New"/>
          <w:sz w:val="17"/>
          <w:szCs w:val="17"/>
          <w:color w:val="auto"/>
        </w:rPr>
        <w:t>Concert. The income tax benefit recorded on net losses from other equity investments was $136 million and $152 million for the third quarter of 2001 and 2000, respectively. Also included in this line is amortization of goodwill associated with non-consolidated investments. This totaled $23 million and $233 million for the third quarter of 2001 and 2000, respectively.</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Net losses from other equity investments were $0.4 billion for the nine months ended September 30, 2001, a decrease of $0.2 billion, or 31.3%, compared with the same period of 2000. This decrease was primarily due to the consolidation of Excite@Home and higher earnings relating to Cablevision, primarily reflecting a gain associated with the sale of cable properties. In addition, the change in accounting treatment for TWE from an equity method investment to a cost method investment also contributed to the decrease. These decreases were partially offset by higher equity losses from Concert and Net2Phone. The income tax benefit recorded on net losses from other equity investments for the first nine months of 2001 was $302 million and $419 million for the same period of 2000. Amortization of goodwill associated with non-consolidated investments, recorded as a reduction of income, totaled $179 million and $458 million for the nine months ended September 30, 2001 and 2000, respectively.</w:t>
      </w:r>
    </w:p>
    <w:p>
      <w:pPr>
        <w:spacing w:after="0" w:line="202"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FOR THE THREE</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MONTHS FOR THE</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NINE MONTHS ENDED</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SEPTEMBER 30,</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ENDED SEPTEMBER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--------- 2001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2001 2000 ---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ind w:left="1000" w:hanging="523"/>
        <w:spacing w:after="0"/>
        <w:tabs>
          <w:tab w:leader="none" w:pos="1000"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MILLIONS) Gain on</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disposition of</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discontinued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$13,503 $--</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$13,503 $--</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VI-12</w:t>
      </w:r>
    </w:p>
    <w:p>
      <w:pPr>
        <w:sectPr>
          <w:pgSz w:w="11900" w:h="16838" w:orient="portrait"/>
          <w:cols w:equalWidth="0" w:num="1">
            <w:col w:w="10219"/>
          </w:cols>
          <w:pgMar w:left="240" w:top="142" w:right="1440" w:bottom="1440" w:gutter="0" w:footer="0" w:header="0"/>
        </w:sectPr>
      </w:pPr>
    </w:p>
    <w:bookmarkStart w:id="165" w:name="page166"/>
    <w:bookmarkEnd w:id="165"/>
    <w:p>
      <w:pPr>
        <w:ind w:right="2359" w:firstLine="524"/>
        <w:spacing w:after="0" w:line="253" w:lineRule="auto"/>
        <w:rPr>
          <w:sz w:val="20"/>
          <w:szCs w:val="20"/>
          <w:color w:val="auto"/>
        </w:rPr>
      </w:pPr>
      <w:r>
        <w:rPr>
          <w:rFonts w:ascii="Courier New" w:cs="Courier New" w:eastAsia="Courier New" w:hAnsi="Courier New"/>
          <w:sz w:val="17"/>
          <w:szCs w:val="17"/>
          <w:color w:val="auto"/>
        </w:rPr>
        <w:t>The gain on disposition of discontinued operations represents the difference between the fair value of the Wireless tracking stock on July 9, 2001, the date of the split-off, and AT&amp;T's book value in AT&amp;T Wireless Services.</w:t>
      </w:r>
    </w:p>
    <w:p>
      <w:pPr>
        <w:spacing w:after="0" w:line="195"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7"/>
          <w:szCs w:val="17"/>
          <w:color w:val="auto"/>
        </w:rPr>
        <w:t>FOR THE THREE MONTHS</w:t>
      </w:r>
    </w:p>
    <w:p>
      <w:pPr>
        <w:spacing w:after="0" w:line="9"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7"/>
          <w:szCs w:val="17"/>
          <w:color w:val="auto"/>
        </w:rPr>
        <w:t>FOR THE NINE MONTHS</w:t>
      </w:r>
    </w:p>
    <w:p>
      <w:pPr>
        <w:spacing w:after="0" w:line="9"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7"/>
          <w:szCs w:val="17"/>
          <w:color w:val="auto"/>
        </w:rPr>
        <w:t>ENDED SEPTEMBER 30,</w:t>
      </w:r>
    </w:p>
    <w:p>
      <w:pPr>
        <w:spacing w:after="0" w:line="9"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7"/>
          <w:szCs w:val="17"/>
          <w:color w:val="auto"/>
        </w:rPr>
        <w:t>ENDED SEPTEMBER 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2001 2000 --</w:t>
      </w:r>
    </w:p>
    <w:p>
      <w:pPr>
        <w:spacing w:after="0" w:line="9" w:lineRule="exact"/>
        <w:rPr>
          <w:sz w:val="20"/>
          <w:szCs w:val="20"/>
          <w:color w:val="auto"/>
        </w:rPr>
      </w:pPr>
    </w:p>
    <w:p>
      <w:pPr>
        <w:ind w:left="580" w:hanging="523"/>
        <w:spacing w:after="0"/>
        <w:tabs>
          <w:tab w:leader="none" w:pos="580" w:val="left"/>
        </w:tabs>
        <w:numPr>
          <w:ilvl w:val="0"/>
          <w:numId w:val="2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160" w:right="7959" w:firstLine="263"/>
        <w:spacing w:after="0" w:line="251" w:lineRule="auto"/>
        <w:tabs>
          <w:tab w:leader="none" w:pos="841" w:val="left"/>
        </w:tabs>
        <w:numPr>
          <w:ilvl w:val="1"/>
          <w:numId w:val="2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Cumulative effect of accounting</w:t>
      </w:r>
    </w:p>
    <w:p>
      <w:pPr>
        <w:spacing w:after="0"/>
        <w:rPr>
          <w:sz w:val="20"/>
          <w:szCs w:val="20"/>
          <w:color w:val="auto"/>
        </w:rPr>
      </w:pPr>
      <w:r>
        <w:rPr>
          <w:rFonts w:ascii="Courier New" w:cs="Courier New" w:eastAsia="Courier New" w:hAnsi="Courier New"/>
          <w:sz w:val="17"/>
          <w:szCs w:val="17"/>
          <w:color w:val="auto"/>
        </w:rPr>
        <w:t>change.................</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 $-- $904 $--</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Cumulative effect of accounting change, net of applicable income taxes, is comprised of $0.4 billion for AT&amp;T Group (other than LMG) and $0.5 billion for LMG for the nine months ended September 30, 2001. The $0.4 billion recorded by AT&amp;T, excluding LMG represents fair value adjustments of debt instruments including those acquired in conjunction with the MediaOne merger, as well as to AT&amp;T's warrant portfolio due to the adoption of SFAS No. 133.</w:t>
      </w:r>
    </w:p>
    <w:p>
      <w:pPr>
        <w:spacing w:after="0" w:line="197"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The $0.5 billion recorded by Liberty Media Group represents the impact of separately recording the embedded call option obligations associated with LMG's senior exchangeable debentures due to the adoption of SFAS No. 133.</w:t>
      </w:r>
    </w:p>
    <w:p>
      <w:pPr>
        <w:spacing w:after="0" w:line="19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THREE MONTHS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FOR THE NINE MONTHS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ENDED SEPTEMBER 30,</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ENDED SEPTEMBER 30,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7"/>
          <w:szCs w:val="17"/>
          <w:color w:val="auto"/>
        </w:rPr>
        <w:t>2001 2000 2001 2000</w:t>
      </w:r>
    </w:p>
    <w:p>
      <w:pPr>
        <w:spacing w:after="0" w:line="9"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7"/>
          <w:szCs w:val="17"/>
          <w:color w:val="auto"/>
        </w:rPr>
        <w:t>------ (DOLLARS IN</w:t>
      </w:r>
    </w:p>
    <w:p>
      <w:pPr>
        <w:spacing w:after="0" w:line="9"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7"/>
          <w:szCs w:val="17"/>
          <w:color w:val="auto"/>
        </w:rPr>
        <w:t>MILLIONS) Dividend</w:t>
      </w:r>
    </w:p>
    <w:p>
      <w:pPr>
        <w:spacing w:after="0" w:line="9"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7"/>
          <w:szCs w:val="17"/>
          <w:color w:val="auto"/>
        </w:rPr>
        <w:t>requirements of</w:t>
      </w:r>
    </w:p>
    <w:p>
      <w:pPr>
        <w:spacing w:after="0" w:line="9"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7"/>
          <w:szCs w:val="17"/>
          <w:color w:val="auto"/>
        </w:rPr>
        <w:t>preferred</w:t>
      </w:r>
    </w:p>
    <w:p>
      <w:pPr>
        <w:spacing w:after="0" w:line="9"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7"/>
          <w:szCs w:val="17"/>
          <w:color w:val="auto"/>
        </w:rPr>
        <w:t>$235 $-- $652 $--</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Dividend requirements of preferred stock were $0.2 billion in the third quarter of 2001 and $0.7 billion for the nine months ended September 30, 2001. The preferred stock dividend represented interest in connection with convertible preferred stock issued to NTT DoCoMo in January of 2001 as well as accretion of the beneficial conversion feature. On July 9, 2001, in conjunction with the split-off of AT&amp;T Wireless Group, these preferred shares were converted into AT&amp;T Wireless common stock. As a result, AT&amp;T fully amortized, in the third quarter, the remaining beneficial conversion feature balance of $0.2 billion.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THREE MONTHS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NINE MONTHS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ENDED SEPTEMBER 30,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ENDED SEPTEMBER 30,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20" w:hanging="213"/>
        <w:spacing w:after="0"/>
        <w:tabs>
          <w:tab w:leader="none" w:pos="220" w:val="left"/>
        </w:tabs>
        <w:numPr>
          <w:ilvl w:val="0"/>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420" w:hanging="203"/>
        <w:spacing w:after="0"/>
        <w:tabs>
          <w:tab w:leader="none" w:pos="420" w:val="left"/>
        </w:tabs>
        <w:numPr>
          <w:ilvl w:val="1"/>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2001 2000 2001</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2000 ------ ------ -</w:t>
      </w:r>
    </w:p>
    <w:p>
      <w:pPr>
        <w:spacing w:after="0" w:line="8" w:lineRule="exact"/>
        <w:rPr>
          <w:rFonts w:ascii="Courier New" w:cs="Courier New" w:eastAsia="Courier New" w:hAnsi="Courier New"/>
          <w:sz w:val="17"/>
          <w:szCs w:val="17"/>
          <w:color w:val="auto"/>
        </w:rPr>
      </w:pPr>
    </w:p>
    <w:p>
      <w:pPr>
        <w:jc w:val="center"/>
        <w:ind w:right="8119" w:firstLine="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(DOLLARS IN MILLIONS) Premium on wireless tracking stock exchange............</w:t>
      </w: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$80 $--</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VI-13</w:t>
      </w:r>
    </w:p>
    <w:p>
      <w:pPr>
        <w:sectPr>
          <w:pgSz w:w="11900" w:h="16838" w:orient="portrait"/>
          <w:cols w:equalWidth="0" w:num="1">
            <w:col w:w="10219"/>
          </w:cols>
          <w:pgMar w:left="240" w:top="719" w:right="1440" w:bottom="860" w:gutter="0" w:footer="0" w:header="0"/>
        </w:sectPr>
      </w:pPr>
    </w:p>
    <w:bookmarkStart w:id="166" w:name="page167"/>
    <w:bookmarkEnd w:id="166"/>
    <w:p>
      <w:pPr>
        <w:ind w:right="1839" w:firstLine="524"/>
        <w:spacing w:after="0" w:line="252" w:lineRule="auto"/>
        <w:rPr>
          <w:sz w:val="20"/>
          <w:szCs w:val="20"/>
          <w:color w:val="auto"/>
        </w:rPr>
      </w:pPr>
      <w:r>
        <w:rPr>
          <w:rFonts w:ascii="Courier New" w:cs="Courier New" w:eastAsia="Courier New" w:hAnsi="Courier New"/>
          <w:sz w:val="17"/>
          <w:szCs w:val="17"/>
          <w:color w:val="auto"/>
        </w:rPr>
        <w:t>The premium on the wireless tracking stock exchange was $80 million for the nine months ended September 30, 2001. The premium represents the excess of fair value of the Wireless tracking stock issued over the fair value of the AT&amp;T common stock exchanged and was calculated based on the closing share prices of AT&amp;T common stock and AT&amp;T Wireless tracking stock on May 25, 2001.</w:t>
      </w:r>
    </w:p>
    <w:p>
      <w:pPr>
        <w:spacing w:after="0" w:line="197"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FOR THE THREE FOR THE NINE MONTHS ENDED</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MONTHS ENDED SEPTEMBER 30, SEPTEMBER 30,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2001 2000 2001 2000 --------- ---------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 -------- (DOLLARS IN MILLIONS,</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EXCEPT PER SHARE AMOUNTS) AT&amp;T Common Stock</w:t>
      </w:r>
    </w:p>
    <w:p>
      <w:pPr>
        <w:spacing w:after="0" w:line="210"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 continuing operations.................</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$(0.69) $ 0.35 $(0.94) $1.35 Earnings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discontinued</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operations...................... -- -- 0.03</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0.06 Gain on disposition of discontinued</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operations........... 3.82 -- 3.67 --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Cumulative effect of accounting</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change................... -- -- 0.10 --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AT&amp;T Common Stock Group</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earnings......................... $ 3.13 $</w:t>
      </w:r>
    </w:p>
    <w:p>
      <w:pPr>
        <w:spacing w:after="0" w:line="210" w:lineRule="exact"/>
        <w:rPr>
          <w:sz w:val="20"/>
          <w:szCs w:val="20"/>
          <w:color w:val="auto"/>
        </w:rPr>
      </w:pPr>
    </w:p>
    <w:p>
      <w:pPr>
        <w:jc w:val="both"/>
        <w:ind w:left="320" w:right="5859" w:hanging="52"/>
        <w:spacing w:after="0" w:line="251" w:lineRule="auto"/>
        <w:tabs>
          <w:tab w:leader="none" w:pos="477" w:val="left"/>
        </w:tabs>
        <w:numPr>
          <w:ilvl w:val="0"/>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diluted share: (Loss) earnings -- continuing operations.................</w:t>
      </w:r>
    </w:p>
    <w:tbl>
      <w:tblPr>
        <w:tblLayout w:type="fixed"/>
        <w:tblInd w:w="60" w:type="dxa"/>
        <w:tblCellMar>
          <w:top w:w="0" w:type="dxa"/>
          <w:left w:w="0" w:type="dxa"/>
          <w:bottom w:w="0" w:type="dxa"/>
          <w:right w:w="0" w:type="dxa"/>
        </w:tblCellMar>
      </w:tblPr>
      <w:tr>
        <w:trPr>
          <w:trHeight w:val="197"/>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$(0.69) $ 0.35</w:t>
            </w: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$(0.94) $1.34 Earnings --</w:t>
            </w:r>
          </w:p>
        </w:tc>
        <w:tc>
          <w:tcPr>
            <w:tcW w:w="160" w:type="dxa"/>
            <w:vAlign w:val="bottom"/>
          </w:tcPr>
          <w:p>
            <w:pPr>
              <w:spacing w:after="0"/>
              <w:rPr>
                <w:sz w:val="17"/>
                <w:szCs w:val="17"/>
                <w:color w:val="auto"/>
              </w:rPr>
            </w:pPr>
          </w:p>
        </w:tc>
      </w:tr>
      <w:tr>
        <w:trPr>
          <w:trHeight w:val="201"/>
        </w:trPr>
        <w:tc>
          <w:tcPr>
            <w:tcW w:w="1620" w:type="dxa"/>
            <w:vAlign w:val="bottom"/>
          </w:tcPr>
          <w:p>
            <w:pPr>
              <w:spacing w:after="0"/>
              <w:rPr>
                <w:sz w:val="17"/>
                <w:szCs w:val="17"/>
                <w:color w:val="auto"/>
              </w:rPr>
            </w:pPr>
          </w:p>
        </w:tc>
        <w:tc>
          <w:tcPr>
            <w:tcW w:w="2720" w:type="dxa"/>
            <w:vAlign w:val="bottom"/>
          </w:tcPr>
          <w:p>
            <w:pPr>
              <w:jc w:val="center"/>
              <w:ind w:right="1373"/>
              <w:spacing w:after="0"/>
              <w:rPr>
                <w:sz w:val="20"/>
                <w:szCs w:val="20"/>
                <w:color w:val="auto"/>
              </w:rPr>
            </w:pPr>
            <w:r>
              <w:rPr>
                <w:rFonts w:ascii="Courier New" w:cs="Courier New" w:eastAsia="Courier New" w:hAnsi="Courier New"/>
                <w:sz w:val="17"/>
                <w:szCs w:val="17"/>
                <w:color w:val="auto"/>
              </w:rPr>
              <w:t>discontinued</w:t>
            </w:r>
          </w:p>
        </w:tc>
        <w:tc>
          <w:tcPr>
            <w:tcW w:w="160" w:type="dxa"/>
            <w:vAlign w:val="bottom"/>
          </w:tcPr>
          <w:p>
            <w:pPr>
              <w:spacing w:after="0"/>
              <w:rPr>
                <w:sz w:val="17"/>
                <w:szCs w:val="17"/>
                <w:color w:val="auto"/>
              </w:rPr>
            </w:pPr>
          </w:p>
        </w:tc>
      </w:tr>
      <w:tr>
        <w:trPr>
          <w:trHeight w:val="201"/>
        </w:trPr>
        <w:tc>
          <w:tcPr>
            <w:tcW w:w="1620" w:type="dxa"/>
            <w:vAlign w:val="bottom"/>
          </w:tcPr>
          <w:p>
            <w:pPr>
              <w:jc w:val="right"/>
              <w:spacing w:after="0"/>
              <w:rPr>
                <w:sz w:val="20"/>
                <w:szCs w:val="20"/>
                <w:color w:val="auto"/>
              </w:rPr>
            </w:pPr>
            <w:r>
              <w:rPr>
                <w:rFonts w:ascii="Courier New" w:cs="Courier New" w:eastAsia="Courier New" w:hAnsi="Courier New"/>
                <w:sz w:val="11"/>
                <w:szCs w:val="11"/>
                <w:color w:val="auto"/>
                <w:w w:val="75"/>
              </w:rPr>
              <w:t>operations......................</w:t>
            </w:r>
          </w:p>
        </w:tc>
        <w:tc>
          <w:tcPr>
            <w:tcW w:w="2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-- 0.03</w:t>
            </w:r>
          </w:p>
        </w:tc>
      </w:tr>
      <w:tr>
        <w:trPr>
          <w:trHeight w:val="201"/>
        </w:trPr>
        <w:tc>
          <w:tcPr>
            <w:tcW w:w="4340" w:type="dxa"/>
            <w:vAlign w:val="bottom"/>
            <w:gridSpan w:val="2"/>
          </w:tcPr>
          <w:p>
            <w:pPr>
              <w:jc w:val="center"/>
              <w:ind w:left="80"/>
              <w:spacing w:after="0"/>
              <w:rPr>
                <w:sz w:val="20"/>
                <w:szCs w:val="20"/>
                <w:color w:val="auto"/>
              </w:rPr>
            </w:pPr>
            <w:r>
              <w:rPr>
                <w:rFonts w:ascii="Courier New" w:cs="Courier New" w:eastAsia="Courier New" w:hAnsi="Courier New"/>
                <w:sz w:val="17"/>
                <w:szCs w:val="17"/>
                <w:color w:val="auto"/>
              </w:rPr>
              <w:t>0.06 Gain on disposition of discontinued</w:t>
            </w:r>
          </w:p>
        </w:tc>
        <w:tc>
          <w:tcPr>
            <w:tcW w:w="160" w:type="dxa"/>
            <w:vAlign w:val="bottom"/>
          </w:tcPr>
          <w:p>
            <w:pPr>
              <w:spacing w:after="0"/>
              <w:rPr>
                <w:sz w:val="17"/>
                <w:szCs w:val="17"/>
                <w:color w:val="auto"/>
              </w:rPr>
            </w:pPr>
          </w:p>
        </w:tc>
      </w:tr>
      <w:tr>
        <w:trPr>
          <w:trHeight w:val="201"/>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w w:val="74"/>
              </w:rPr>
              <w:t>operations...........</w:t>
            </w:r>
          </w:p>
        </w:tc>
        <w:tc>
          <w:tcPr>
            <w:tcW w:w="2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3.82 -- 3.67 --</w:t>
            </w:r>
          </w:p>
        </w:tc>
        <w:tc>
          <w:tcPr>
            <w:tcW w:w="160" w:type="dxa"/>
            <w:vAlign w:val="bottom"/>
          </w:tcPr>
          <w:p>
            <w:pPr>
              <w:spacing w:after="0"/>
              <w:rPr>
                <w:sz w:val="17"/>
                <w:szCs w:val="17"/>
                <w:color w:val="auto"/>
              </w:rPr>
            </w:pPr>
          </w:p>
        </w:tc>
      </w:tr>
      <w:tr>
        <w:trPr>
          <w:trHeight w:val="201"/>
        </w:trPr>
        <w:tc>
          <w:tcPr>
            <w:tcW w:w="4340" w:type="dxa"/>
            <w:vAlign w:val="bottom"/>
            <w:gridSpan w:val="2"/>
          </w:tcPr>
          <w:p>
            <w:pPr>
              <w:jc w:val="center"/>
              <w:ind w:left="80"/>
              <w:spacing w:after="0"/>
              <w:rPr>
                <w:sz w:val="20"/>
                <w:szCs w:val="20"/>
                <w:color w:val="auto"/>
              </w:rPr>
            </w:pPr>
            <w:r>
              <w:rPr>
                <w:rFonts w:ascii="Courier New" w:cs="Courier New" w:eastAsia="Courier New" w:hAnsi="Courier New"/>
                <w:sz w:val="17"/>
                <w:szCs w:val="17"/>
                <w:color w:val="auto"/>
              </w:rPr>
              <w:t>Cumulative effect of accounting</w:t>
            </w:r>
          </w:p>
        </w:tc>
        <w:tc>
          <w:tcPr>
            <w:tcW w:w="160" w:type="dxa"/>
            <w:vAlign w:val="bottom"/>
          </w:tcPr>
          <w:p>
            <w:pPr>
              <w:spacing w:after="0"/>
              <w:rPr>
                <w:sz w:val="17"/>
                <w:szCs w:val="17"/>
                <w:color w:val="auto"/>
              </w:rPr>
            </w:pPr>
          </w:p>
        </w:tc>
      </w:tr>
      <w:tr>
        <w:trPr>
          <w:trHeight w:val="201"/>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71"/>
              </w:rPr>
              <w:t>change...................</w:t>
            </w: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 -- 0.10 --</w:t>
            </w:r>
          </w:p>
        </w:tc>
        <w:tc>
          <w:tcPr>
            <w:tcW w:w="160" w:type="dxa"/>
            <w:vAlign w:val="bottom"/>
          </w:tcPr>
          <w:p>
            <w:pPr>
              <w:spacing w:after="0"/>
              <w:rPr>
                <w:sz w:val="17"/>
                <w:szCs w:val="17"/>
                <w:color w:val="auto"/>
              </w:rPr>
            </w:pPr>
          </w:p>
        </w:tc>
      </w:tr>
      <w:tr>
        <w:trPr>
          <w:trHeight w:val="201"/>
        </w:trPr>
        <w:tc>
          <w:tcPr>
            <w:tcW w:w="4340" w:type="dxa"/>
            <w:vAlign w:val="bottom"/>
            <w:gridSpan w:val="2"/>
          </w:tcPr>
          <w:p>
            <w:pPr>
              <w:jc w:val="center"/>
              <w:ind w:left="80"/>
              <w:spacing w:after="0"/>
              <w:rPr>
                <w:sz w:val="20"/>
                <w:szCs w:val="20"/>
                <w:color w:val="auto"/>
              </w:rPr>
            </w:pPr>
            <w:r>
              <w:rPr>
                <w:rFonts w:ascii="Courier New" w:cs="Courier New" w:eastAsia="Courier New" w:hAnsi="Courier New"/>
                <w:sz w:val="17"/>
                <w:szCs w:val="17"/>
                <w:color w:val="auto"/>
              </w:rPr>
              <w:t>AT&amp;T Common Stock Group</w:t>
            </w:r>
          </w:p>
        </w:tc>
        <w:tc>
          <w:tcPr>
            <w:tcW w:w="160" w:type="dxa"/>
            <w:vAlign w:val="bottom"/>
          </w:tcPr>
          <w:p>
            <w:pPr>
              <w:spacing w:after="0"/>
              <w:rPr>
                <w:sz w:val="17"/>
                <w:szCs w:val="17"/>
                <w:color w:val="auto"/>
              </w:rPr>
            </w:pPr>
          </w:p>
        </w:tc>
      </w:tr>
      <w:tr>
        <w:trPr>
          <w:trHeight w:val="201"/>
        </w:trPr>
        <w:tc>
          <w:tcPr>
            <w:tcW w:w="1620" w:type="dxa"/>
            <w:vAlign w:val="bottom"/>
          </w:tcPr>
          <w:p>
            <w:pPr>
              <w:jc w:val="right"/>
              <w:spacing w:after="0"/>
              <w:rPr>
                <w:sz w:val="20"/>
                <w:szCs w:val="20"/>
                <w:color w:val="auto"/>
              </w:rPr>
            </w:pPr>
            <w:r>
              <w:rPr>
                <w:rFonts w:ascii="Courier New" w:cs="Courier New" w:eastAsia="Courier New" w:hAnsi="Courier New"/>
                <w:sz w:val="11"/>
                <w:szCs w:val="11"/>
                <w:color w:val="auto"/>
                <w:w w:val="73"/>
              </w:rPr>
              <w:t>earnings.........................</w:t>
            </w:r>
          </w:p>
        </w:tc>
        <w:tc>
          <w:tcPr>
            <w:tcW w:w="2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$ 3.13</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r>
      <w:tr>
        <w:trPr>
          <w:trHeight w:val="201"/>
        </w:trPr>
        <w:tc>
          <w:tcPr>
            <w:tcW w:w="4340" w:type="dxa"/>
            <w:vAlign w:val="bottom"/>
            <w:gridSpan w:val="2"/>
          </w:tcPr>
          <w:p>
            <w:pPr>
              <w:jc w:val="center"/>
              <w:ind w:left="80"/>
              <w:spacing w:after="0"/>
              <w:rPr>
                <w:sz w:val="20"/>
                <w:szCs w:val="20"/>
                <w:color w:val="auto"/>
              </w:rPr>
            </w:pPr>
            <w:r>
              <w:rPr>
                <w:rFonts w:ascii="Courier New" w:cs="Courier New" w:eastAsia="Courier New" w:hAnsi="Courier New"/>
                <w:sz w:val="17"/>
                <w:szCs w:val="17"/>
                <w:color w:val="auto"/>
              </w:rPr>
              <w:t>0.35 $ 2.86 $1.40 AT&amp;T Wireless Group --</w:t>
            </w:r>
          </w:p>
        </w:tc>
        <w:tc>
          <w:tcPr>
            <w:tcW w:w="160" w:type="dxa"/>
            <w:vAlign w:val="bottom"/>
          </w:tcPr>
          <w:p>
            <w:pPr>
              <w:spacing w:after="0"/>
              <w:rPr>
                <w:sz w:val="17"/>
                <w:szCs w:val="17"/>
                <w:color w:val="auto"/>
              </w:rPr>
            </w:pPr>
          </w:p>
        </w:tc>
      </w:tr>
      <w:tr>
        <w:trPr>
          <w:trHeight w:val="201"/>
        </w:trPr>
        <w:tc>
          <w:tcPr>
            <w:tcW w:w="4340" w:type="dxa"/>
            <w:vAlign w:val="bottom"/>
            <w:gridSpan w:val="2"/>
          </w:tcPr>
          <w:p>
            <w:pPr>
              <w:jc w:val="center"/>
              <w:ind w:left="80"/>
              <w:spacing w:after="0"/>
              <w:rPr>
                <w:sz w:val="20"/>
                <w:szCs w:val="20"/>
                <w:color w:val="auto"/>
              </w:rPr>
            </w:pPr>
            <w:r>
              <w:rPr>
                <w:rFonts w:ascii="Courier New" w:cs="Courier New" w:eastAsia="Courier New" w:hAnsi="Courier New"/>
                <w:sz w:val="17"/>
                <w:szCs w:val="17"/>
                <w:color w:val="auto"/>
              </w:rPr>
              <w:t>per basic and diluted share: Earnings</w:t>
            </w:r>
          </w:p>
        </w:tc>
        <w:tc>
          <w:tcPr>
            <w:tcW w:w="160" w:type="dxa"/>
            <w:vAlign w:val="bottom"/>
          </w:tcPr>
          <w:p>
            <w:pPr>
              <w:spacing w:after="0"/>
              <w:rPr>
                <w:sz w:val="17"/>
                <w:szCs w:val="17"/>
                <w:color w:val="auto"/>
              </w:rPr>
            </w:pPr>
          </w:p>
        </w:tc>
      </w:tr>
      <w:tr>
        <w:trPr>
          <w:trHeight w:val="201"/>
        </w:trPr>
        <w:tc>
          <w:tcPr>
            <w:tcW w:w="4340" w:type="dxa"/>
            <w:vAlign w:val="bottom"/>
            <w:gridSpan w:val="2"/>
          </w:tcPr>
          <w:p>
            <w:pPr>
              <w:jc w:val="center"/>
              <w:ind w:left="80"/>
              <w:spacing w:after="0"/>
              <w:rPr>
                <w:sz w:val="20"/>
                <w:szCs w:val="20"/>
                <w:color w:val="auto"/>
              </w:rPr>
            </w:pPr>
            <w:r>
              <w:rPr>
                <w:rFonts w:ascii="Courier New" w:cs="Courier New" w:eastAsia="Courier New" w:hAnsi="Courier New"/>
                <w:sz w:val="17"/>
                <w:szCs w:val="17"/>
                <w:color w:val="auto"/>
              </w:rPr>
              <w:t>(loss) from discontinued</w:t>
            </w:r>
          </w:p>
        </w:tc>
        <w:tc>
          <w:tcPr>
            <w:tcW w:w="160" w:type="dxa"/>
            <w:vAlign w:val="bottom"/>
          </w:tcPr>
          <w:p>
            <w:pPr>
              <w:spacing w:after="0"/>
              <w:rPr>
                <w:sz w:val="17"/>
                <w:szCs w:val="17"/>
                <w:color w:val="auto"/>
              </w:rPr>
            </w:pPr>
          </w:p>
        </w:tc>
      </w:tr>
      <w:tr>
        <w:trPr>
          <w:trHeight w:val="201"/>
        </w:trPr>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w w:val="72"/>
              </w:rPr>
              <w:t>operations.............</w:t>
            </w:r>
          </w:p>
        </w:tc>
        <w:tc>
          <w:tcPr>
            <w:tcW w:w="2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 $(0.01) $ 0.08</w:t>
            </w:r>
          </w:p>
        </w:tc>
      </w:tr>
    </w:tbl>
    <w:p>
      <w:pPr>
        <w:spacing w:after="0" w:line="4"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$0.05 Liberty Media Group -- per basic and</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diluted share: Earnings (loss) -- before</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cumulative effect of accounting</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change......................................</w:t>
      </w:r>
    </w:p>
    <w:p>
      <w:pPr>
        <w:spacing w:after="0" w:line="9" w:lineRule="exact"/>
        <w:rPr>
          <w:sz w:val="20"/>
          <w:szCs w:val="20"/>
          <w:color w:val="auto"/>
        </w:rPr>
      </w:pPr>
    </w:p>
    <w:p>
      <w:pPr>
        <w:ind w:left="1260" w:right="5919" w:hanging="940"/>
        <w:spacing w:after="0" w:line="251" w:lineRule="auto"/>
        <w:tabs>
          <w:tab w:leader="none" w:pos="527" w:val="left"/>
        </w:tabs>
        <w:numPr>
          <w:ilvl w:val="0"/>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0.04 $ 0.68 $(1.05) $1.15 Cumulative effect of accounting</w:t>
      </w:r>
    </w:p>
    <w:tbl>
      <w:tblPr>
        <w:tblLayout w:type="fixed"/>
        <w:tblInd w:w="120" w:type="dxa"/>
        <w:tblCellMar>
          <w:top w:w="0" w:type="dxa"/>
          <w:left w:w="0" w:type="dxa"/>
          <w:bottom w:w="0" w:type="dxa"/>
          <w:right w:w="0" w:type="dxa"/>
        </w:tblCellMar>
      </w:tblPr>
      <w:tr>
        <w:trPr>
          <w:trHeight w:val="197"/>
        </w:trPr>
        <w:tc>
          <w:tcPr>
            <w:tcW w:w="2340" w:type="dxa"/>
            <w:vAlign w:val="bottom"/>
          </w:tcPr>
          <w:p>
            <w:pPr>
              <w:jc w:val="right"/>
              <w:spacing w:after="0"/>
              <w:rPr>
                <w:sz w:val="20"/>
                <w:szCs w:val="20"/>
                <w:color w:val="auto"/>
              </w:rPr>
            </w:pPr>
            <w:r>
              <w:rPr>
                <w:rFonts w:ascii="Courier New" w:cs="Courier New" w:eastAsia="Courier New" w:hAnsi="Courier New"/>
                <w:sz w:val="17"/>
                <w:szCs w:val="17"/>
                <w:color w:val="auto"/>
                <w:w w:val="90"/>
              </w:rPr>
              <w:t>change...................</w:t>
            </w:r>
          </w:p>
        </w:tc>
        <w:tc>
          <w:tcPr>
            <w:tcW w:w="20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 -- 0.21 --</w:t>
            </w:r>
          </w:p>
        </w:tc>
      </w:tr>
      <w:tr>
        <w:trPr>
          <w:trHeight w:val="201"/>
        </w:trPr>
        <w:tc>
          <w:tcPr>
            <w:tcW w:w="37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Liberty Media Group earnings</w:t>
            </w:r>
          </w:p>
        </w:tc>
        <w:tc>
          <w:tcPr>
            <w:tcW w:w="680" w:type="dxa"/>
            <w:vAlign w:val="bottom"/>
          </w:tcPr>
          <w:p>
            <w:pPr>
              <w:spacing w:after="0"/>
              <w:rPr>
                <w:sz w:val="17"/>
                <w:szCs w:val="17"/>
                <w:color w:val="auto"/>
              </w:rPr>
            </w:pPr>
          </w:p>
        </w:tc>
      </w:tr>
      <w:tr>
        <w:trPr>
          <w:trHeight w:val="201"/>
        </w:trPr>
        <w:tc>
          <w:tcPr>
            <w:tcW w:w="2340" w:type="dxa"/>
            <w:vAlign w:val="bottom"/>
          </w:tcPr>
          <w:p>
            <w:pPr>
              <w:jc w:val="right"/>
              <w:spacing w:after="0"/>
              <w:rPr>
                <w:sz w:val="20"/>
                <w:szCs w:val="20"/>
                <w:color w:val="auto"/>
              </w:rPr>
            </w:pPr>
            <w:r>
              <w:rPr>
                <w:rFonts w:ascii="Courier New" w:cs="Courier New" w:eastAsia="Courier New" w:hAnsi="Courier New"/>
                <w:sz w:val="17"/>
                <w:szCs w:val="17"/>
                <w:color w:val="auto"/>
                <w:w w:val="81"/>
              </w:rPr>
              <w:t>(loss)......................</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$ 0.04</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$ 0.68</w:t>
            </w:r>
          </w:p>
        </w:tc>
      </w:tr>
      <w:tr>
        <w:trPr>
          <w:trHeight w:val="201"/>
        </w:trPr>
        <w:tc>
          <w:tcPr>
            <w:tcW w:w="2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$(0.84)</w:t>
            </w:r>
          </w:p>
        </w:tc>
        <w:tc>
          <w:tcPr>
            <w:tcW w:w="136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$1.15</w:t>
            </w:r>
          </w:p>
        </w:tc>
        <w:tc>
          <w:tcPr>
            <w:tcW w:w="68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loss from continuing operations per diluted share attributable to the AT&amp;T Common Stock Group was $0.69 in the third quarter of 2001 compared with earnings per share (EPS) on a diluted basis of $0.35 in the third quarter of 2000. The year over year decline was largely driven by charges recorded in conjunction with AT&amp;T's agreement to unwind its Concert joint venture and AT&amp;T's obligation to purchase the public shares of AT&amp;T Canada. Also contributing to the decline was lower operating income, the acceleration of the amortization of the beneficial conversion feature associated with conversion of NTT DoCoMo preferred stock, as well as a mark-to-market loss recorded in conjunction with the settlement of certain exchangeable notes that matured during the quarter. These losses were partially offset by a tax free gain associated with the disposal of a portion of AT&amp;T's retained interest in AT&amp;T Wireless Services and the net impact of the deconsolidation of Excite@Home.</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loss from continuing operations per diluted share attributable to the AT&amp;T Common Stock Group was $0.94 for the nine months ended September 30, 2001 compared with earnings per diluted share of $1.35 for the nine months ended September 30, 2000. The year over year loss was primarily driven by lower operating income, charges relating to the agreement to unwind AT&amp;T's Concert joint venture and AT&amp;T's obligation to purchase the public shares of AT&amp;T Canada. In addition, the decline reflects an impairment charge reflecting an other than temporary decline on AT&amp;T's investment in Net2Phone, a charge relating to the initial reclassification impact of the adoption of SFAS No. 133 which revalued certain securities reclassified from "available-for-sale" to "trading," and dividends and associated amortization of the beneficial conversion feature on NTT DoCoMo preferred stock, partially offset by the net impact of the deconsolidation of Excite@Home.</w:t>
      </w:r>
    </w:p>
    <w:p>
      <w:pPr>
        <w:sectPr>
          <w:pgSz w:w="11900" w:h="16838" w:orient="portrait"/>
          <w:cols w:equalWidth="0" w:num="1">
            <w:col w:w="10219"/>
          </w:cols>
          <w:pgMar w:left="240" w:top="719" w:right="1440" w:bottom="0" w:gutter="0" w:footer="0" w:header="0"/>
        </w:sectPr>
      </w:pPr>
    </w:p>
    <w:bookmarkStart w:id="167" w:name="page168"/>
    <w:bookmarkEnd w:id="167"/>
    <w:p>
      <w:pPr>
        <w:ind w:left="2780"/>
        <w:spacing w:after="0"/>
        <w:rPr>
          <w:sz w:val="20"/>
          <w:szCs w:val="20"/>
          <w:color w:val="auto"/>
        </w:rPr>
      </w:pPr>
      <w:r>
        <w:rPr>
          <w:rFonts w:ascii="Courier New" w:cs="Courier New" w:eastAsia="Courier New" w:hAnsi="Courier New"/>
          <w:sz w:val="17"/>
          <w:szCs w:val="17"/>
          <w:color w:val="auto"/>
        </w:rPr>
        <w:t>VI-14</w:t>
      </w:r>
    </w:p>
    <w:p>
      <w:pPr>
        <w:sectPr>
          <w:pgSz w:w="11900" w:h="16838" w:orient="portrait"/>
          <w:cols w:equalWidth="0" w:num="1">
            <w:col w:w="9019"/>
          </w:cols>
          <w:pgMar w:left="1440" w:top="343" w:right="1440" w:bottom="1440" w:gutter="0" w:footer="0" w:header="0"/>
        </w:sectPr>
      </w:pPr>
    </w:p>
    <w:bookmarkStart w:id="168" w:name="page169"/>
    <w:bookmarkEnd w:id="168"/>
    <w:p>
      <w:pPr>
        <w:ind w:right="1839" w:firstLine="524"/>
        <w:spacing w:after="0" w:line="251" w:lineRule="auto"/>
        <w:rPr>
          <w:sz w:val="20"/>
          <w:szCs w:val="20"/>
          <w:color w:val="auto"/>
        </w:rPr>
      </w:pPr>
      <w:r>
        <w:rPr>
          <w:rFonts w:ascii="Courier New" w:cs="Courier New" w:eastAsia="Courier New" w:hAnsi="Courier New"/>
          <w:sz w:val="17"/>
          <w:szCs w:val="17"/>
          <w:color w:val="auto"/>
        </w:rPr>
        <w:t>The Consolidated Financial Statements of AT&amp;T reflect AT&amp;T Wireless as a discontinued operation. Accordingly, for periods prior to the split-off of AT&amp;T Wireless, revenue, costs and expenses of AT&amp;T Wireless have been excluded from the respective captions in the Consolidated Statements of Operations, and have been reported as "Income from discontinued operations" for all periods presented. Earnings from discontinued operations per diluted share attributable to the AT&amp;T Common Stock Group were $0.03 for the year-to-date period through June 30, 2001, the deemed effective AT&amp;T Wireless split-off date for accounting purposes and $0.06 for the nine months ended September 30, 2000. Upon the split-off of AT&amp;T Wireless Group in the third quarter 2001, AT&amp;T recorded $13.5 billion, or $3.82 per diluted share, as "Gain on the disposition of discontinued operations."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earnings (loss) per share from discontinued operations attributable to AT&amp;T Wireless Group for the year-to-date period through June 30, 2001, the deemed effective AT&amp;T Wireless group split-off date for accounting purposes, the third quarter of 2000 and from April 27, 2000, the date of the stock offering, through September 30, 2000, were $0.08, $(0.01) and $0.05, respectively.</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earnings (loss) per diluted share attributable to Liberty Media Group (LMG) were earnings of $0.04 and a loss of $0.84 for the third quarter and year to date periods through July 31, 2001, the deemed effective LMG split-off date for accounting purposes, respectively. This compares with earnings of $0.68 and $1.15 in the third quarter and nine months ended September 30, 2000, respectively.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SEGMENT RESULTS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support of the services AT&amp;T provides, AT&amp;T segments its results by the business units that support its primary lines of business: AT&amp;T Business, AT&amp;T Consumer and AT&amp;T Broadband. The balance of AT&amp;T's continuing operations, excluding LMG is included in a Corporate and Other category. Although not a segment, AT&amp;T also discusses the results of LMG prior to its split-off as an independent company.</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EBIT is the primary measure used by AT&amp;T's chief operating decision makers to measure AT&amp;T's operating results and to measure segment profitability and performance. AT&amp;T calculates EBIT as operating (loss) income plus net pretax losses from equity investments, pretax minority interest income (expense) and other income. In addition, AT&amp;T management also uses EBITDA as a measure of segment profitability and performance, and is defined as EBIT, excluding minority interest (expense) income other than Excite@Home's minority interest (expense) income, plus depreciation and amortization. Interest and taxes are not factored into the segment profitability measure used by the chief operating decision makers; therefore, trends for these items are discussed on a consolidated basis. AT&amp;T management believes EBIT and EBITDA are meaningful to investors because they provide analysis of operating results using the same measures used by AT&amp;T's chief operating decision makers. In addition, AT&amp;T believes that both EBIT and EBITDA allow investors a means to evaluate the financial results of each segment in relation to total AT&amp;T. EBIT for AT&amp;T was a deficit of $3,654 million and earnings of $2,962 million, and EBITDA was a deficit of $1,347 million and earnings of $5,430 million for the three months ended September 30, 2001 and 2000, respectively. EBIT was a deficit of $3,455 million and earnings of $8,631 million, and EBITDA was earnings of $3,705 million and $14,757 million for the first nine months of 2001 and 2000, respectively. EBIT for AT&amp;T was $8,364 million, $10,881 million and $8,266 million for the years ended December 31, 2000, 1999 and 1998, respectively. EBITDA for AT&amp;T was $17,075 million, $17,724 million and $11,844 million for the years ended December 31, 2000, 1999 and 1998, respectively. AT&amp;T's calculation of EBIT and EBITDA may or may not be consistent with the calculation of these measures by other public companies. EBIT and EBITDA should not be viewed by investors as an alternative to generally accepted accounting principles (GAAP) measures of income as a measure of performance or to cash flows from operating, investing and financing activities as a measure of liquidity. In addition, EBITDA does not take into account changes in certain assets and liabilities as well as interest and taxes which can affect cash flow.</w:t>
      </w:r>
    </w:p>
    <w:p>
      <w:pPr>
        <w:spacing w:after="0" w:line="200" w:lineRule="exact"/>
        <w:rPr>
          <w:sz w:val="20"/>
          <w:szCs w:val="20"/>
          <w:color w:val="auto"/>
        </w:rPr>
      </w:pPr>
    </w:p>
    <w:p>
      <w:pPr>
        <w:spacing w:after="0" w:line="203" w:lineRule="exact"/>
        <w:rPr>
          <w:sz w:val="20"/>
          <w:szCs w:val="20"/>
          <w:color w:val="auto"/>
        </w:rPr>
      </w:pPr>
    </w:p>
    <w:p>
      <w:pPr>
        <w:jc w:val="both"/>
        <w:ind w:right="2259" w:firstLine="524"/>
        <w:spacing w:after="0" w:line="254" w:lineRule="auto"/>
        <w:rPr>
          <w:sz w:val="20"/>
          <w:szCs w:val="20"/>
          <w:color w:val="auto"/>
        </w:rPr>
      </w:pPr>
      <w:r>
        <w:rPr>
          <w:rFonts w:ascii="Courier New" w:cs="Courier New" w:eastAsia="Courier New" w:hAnsi="Courier New"/>
          <w:sz w:val="17"/>
          <w:szCs w:val="17"/>
          <w:color w:val="auto"/>
        </w:rPr>
        <w:t>The discussion of segment results includes revenue, EBIT, EBITDA, total assets and capital additions. The discussion of EBITDA for AT&amp;T Broadband is modified to exclude other income and net</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VI-15</w:t>
      </w:r>
    </w:p>
    <w:p>
      <w:pPr>
        <w:sectPr>
          <w:pgSz w:w="11900" w:h="16838" w:orient="portrait"/>
          <w:cols w:equalWidth="0" w:num="1">
            <w:col w:w="10219"/>
          </w:cols>
          <w:pgMar w:left="240" w:top="719" w:right="1440" w:bottom="1062" w:gutter="0" w:footer="0" w:header="0"/>
        </w:sectPr>
      </w:pPr>
    </w:p>
    <w:bookmarkStart w:id="169" w:name="page170"/>
    <w:bookmarkEnd w:id="169"/>
    <w:p>
      <w:pPr>
        <w:ind w:right="1839"/>
        <w:spacing w:after="0" w:line="252" w:lineRule="auto"/>
        <w:rPr>
          <w:sz w:val="20"/>
          <w:szCs w:val="20"/>
          <w:color w:val="auto"/>
        </w:rPr>
      </w:pPr>
      <w:r>
        <w:rPr>
          <w:rFonts w:ascii="Courier New" w:cs="Courier New" w:eastAsia="Courier New" w:hAnsi="Courier New"/>
          <w:sz w:val="17"/>
          <w:szCs w:val="17"/>
          <w:color w:val="auto"/>
        </w:rPr>
        <w:t>losses from equity investments. Total assets for each segment includes all assets, except intercompany receivables. Prepaid pension assets and corporate-owned or leased real estate are generally held at the corporate level, and therefore are included in the Corporate and Other group. Capital additions for each segment include capital expenditures for property, plant and equipment, additions to nonconsolidated investments, increases in franchise costs and additions to internal-use software.</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connection with AT&amp;T's corporate restructuring program set forth in late 2000, AT&amp;T's existing segments reflect certain managerial changes since the publication of AT&amp;T's 2000 annual report. The changes are as follows: AT&amp;T Business was expanded to include the results of international operations and ventures. In addition, certain corporate costs that were previously recorded within the Corporate and Other Group have been allocated to the respective segments in an effort to ultimately have the results of these businesses reflect all direct corporate costs as well as overhead for shared services. All prior period results have been restated to reflect these changes.</w:t>
      </w:r>
    </w:p>
    <w:p>
      <w:pPr>
        <w:spacing w:after="0" w:line="201"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Reflecting the dynamics of AT&amp;T's business, AT&amp;T continuously reviews its management model and structure, which may result in additional adjustments to its operating segments in the future.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BUSINESS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Business offers a variety of global communications services, including long distance, local, and data and IP networking to small and medium-sized businesses, large domestic and multinational businesses and government agencies. AT&amp;T Business is also a provider of voice, data and IP transport to service resellers (wholesale services).</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Business includes AT&amp;T Solutions, the company's professional-services outsourcing business, which provides seamless solutions that maximize the competitive advantage of networking-based electronic applications for global clients. AT&amp;T Business also includes the results of International ventures and operations.</w:t>
      </w:r>
    </w:p>
    <w:p>
      <w:pPr>
        <w:spacing w:after="0" w:line="19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THREE MONTHS ENDED NINE MONTHS ENDED SEPTEMBER 30,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SEPTEMBER 30, ------------------ ----------------- 2001</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2000 2001 2000 -------- ------- ------- -------</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(DOLLARS IN MILLIONS) External</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revenue........................................ $ 6,750</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$7,022 $20,550 $21,172 Internal</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revenue........................................ 135 200</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597 529 Total</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6,885 $7,222 21,147 $21,701</w:t>
      </w:r>
    </w:p>
    <w:p>
      <w:pPr>
        <w:spacing w:after="0" w:line="9"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7"/>
          <w:szCs w:val="17"/>
          <w:color w:val="auto"/>
        </w:rPr>
        <w:t>EBIT....................................................</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(4,377) 1,690 (1,933) 4,428</w:t>
      </w:r>
    </w:p>
    <w:p>
      <w:pPr>
        <w:spacing w:after="0" w:line="9"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7"/>
          <w:szCs w:val="17"/>
          <w:color w:val="auto"/>
        </w:rPr>
        <w:t>EBITDA..................................................</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(3,352) 2,737 1,145 7,548 OTHER ITEMS Capital</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additions....................................... $</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1,105 $1,821 $ 3,808 $ 4,642</w:t>
      </w: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SEPTEMBER 30, 2001 AT DECEMBER 31, 2000 ------</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 Total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$40,236 $42,747</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Business revenue decreased $0.3 billion, or 4.7%, in the third quarter of 2001, and declined $0.6 billion, or 2.5%, for the nine months ended September 30, 2001, compared with the same periods in 2000. The decreases were primarily due to a decline in long distance voice revenue of approximately $0.6 billion and $1.6 billion in the third quarter of 2001 and the first nine months of 2001, respectively. The decreases were partially offset by growth in data/IP of approximately $0.2 billion and $0.9 billion for the third quarter of 2001 and the first nine months of 2001, respectively.</w:t>
      </w:r>
    </w:p>
    <w:p>
      <w:pPr>
        <w:spacing w:after="0" w:line="201"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Long distance voice services revenue decreased at a mid-teen percentage rate in the third quarter of 2001 and a low-teen percentage for the nine months ended September 30, 2001. These declines were due</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VI-16</w:t>
      </w:r>
    </w:p>
    <w:p>
      <w:pPr>
        <w:sectPr>
          <w:pgSz w:w="11900" w:h="16838" w:orient="portrait"/>
          <w:cols w:equalWidth="0" w:num="1">
            <w:col w:w="10219"/>
          </w:cols>
          <w:pgMar w:left="240" w:top="719" w:right="1440" w:bottom="256" w:gutter="0" w:footer="0" w:header="0"/>
        </w:sectPr>
      </w:pPr>
    </w:p>
    <w:bookmarkStart w:id="170" w:name="page171"/>
    <w:bookmarkEnd w:id="170"/>
    <w:p>
      <w:pPr>
        <w:ind w:right="1839"/>
        <w:spacing w:after="0" w:line="252" w:lineRule="auto"/>
        <w:rPr>
          <w:sz w:val="20"/>
          <w:szCs w:val="20"/>
          <w:color w:val="auto"/>
        </w:rPr>
      </w:pPr>
      <w:r>
        <w:rPr>
          <w:rFonts w:ascii="Courier New" w:cs="Courier New" w:eastAsia="Courier New" w:hAnsi="Courier New"/>
          <w:sz w:val="17"/>
          <w:szCs w:val="17"/>
          <w:color w:val="auto"/>
        </w:rPr>
        <w:t>to a declining average price per minute reflecting the competitive forces within the industry that are expected to continue. Long distance voice minute volumes were relatively flat for the third quarter of 2001 and grew at a low single-digit percentage for the nine months ended September 30, 2001, compared to the corresponding prior year periods.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Data services, which represent the transportation of data, rather than voice, along AT&amp;T's network, grew at a high single-digit percentage rate in the third quarter of 2001 and nearly 14% for the nine months ended September 30, 2001. Growth was led by the strength of packet services, which includes frame relay, IP and Asynchronous Transfer Mode (ATM) services during both of these periods. In addition, data services revenue during the nine months ended September 30, 2001, was positively impacted by growth in high-speed private line services.</w:t>
      </w:r>
    </w:p>
    <w:p>
      <w:pPr>
        <w:spacing w:after="0" w:line="3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Local voice services revenue grew at a high-teen percentage rate in the third quarter of 2001 and a low-20 percentage rate in the nine months ended September 30, 2001, compared with the same prior year periods. The prior year-to-date period included an unfavorable adjustment related to legal rulings concerning compensation payable to other carriers for call completion; excluding this adjustment, local voice grew approximately 18%. AT&amp;T added approximately 170,000 and over 450,000 access lines for the quarter and year-to-date periods, respectively, bringing total access lines in service as of September 30, 2001 to over 2.7 million, an increase of 29.9% compared with September 30, 2000. AT&amp;T served nearly 6,300 buildings on-net at September 30, 2001, representing a 2.0% increase compared with September 30, 2000.</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Business Services internal revenue decreased $65 million, or 32.6%, for the third quarter of 2001 and increased $68 million, or 12.8%, for the year-to-date period compared with the same periods in 2000. The decrease for the quarter was due to the split-off of AT&amp;T Wireless on July 9, 2001, as these sales are now reported as external revenue, partially offset by greater sales of services to other AT&amp;T units that resell such services to their external customers, primarily AT&amp;T Broadband. The increase for the year-to-date period was due to greater sales of services to other AT&amp;T units, primarily AT&amp;T Broadband and Excite@Home, partially offset by lower internal revenue, primarily from AT&amp;T Wireless, as a result of the split-off.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EBIT/EBITDA</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EBIT declined $6.1 billion, or 359.0%, in the third quarter of 2001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$6.4 billion, or 143.7%, for the nine months ended September 30, 2001, compared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the same periods in 2000. EBITDA declined $6.1 billion, or 222.5%, and $6.4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billion, or 84.8%, respectively, in the third quarter and the first nine months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2001. These declines primarily reflect the $5.3 billion of charges recorded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during the third quarter of 2001 related to Concert and AT&amp;T Canada. These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declines also reflect the impact of pricing pressure within the long distance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voice business as well as the shift from higher margin long distance services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lower margin growth services and the impact of higher equity losses recorded 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Concert. Partially offsetting the year-to-date EBIT decline was a gain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approximately $0.5 billion recorded on the sale of AT&amp;T's stake in Japan Telecom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the second quarter of 2001. Additionally, the year-to-date comparisons also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reflect restructuring charges of $0.4 billion recorded in the first quarter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ITEMS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Capital additions decreased 39.3% in the third quarter of 2001 and 18.0% in the first nine months of 2001, compared with the same prior year periods. These decreases reflect lower capital expenditures for network assets that support all services provided by AT&amp;T Business.</w:t>
      </w:r>
    </w:p>
    <w:p>
      <w:pPr>
        <w:spacing w:after="0" w:line="195"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Total assets decreased $2.5 billion, or 5.9%, at September 30, 2001, compared with December 31, 2000. The decrease reflects lower other investments and related advances resulting from the write-down of AT&amp;T Business' investment in Concert, higher equity losses from Concert and the sale of Japan Telecom.</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VI-17</w:t>
      </w:r>
    </w:p>
    <w:p>
      <w:pPr>
        <w:sectPr>
          <w:pgSz w:w="11900" w:h="16838" w:orient="portrait"/>
          <w:cols w:equalWidth="0" w:num="1">
            <w:col w:w="10219"/>
          </w:cols>
          <w:pgMar w:left="240" w:top="719" w:right="1440" w:bottom="1440" w:gutter="0" w:footer="0" w:header="0"/>
        </w:sectPr>
      </w:pPr>
    </w:p>
    <w:bookmarkStart w:id="171" w:name="page172"/>
    <w:bookmarkEnd w:id="171"/>
    <w:p>
      <w:pPr>
        <w:spacing w:after="0"/>
        <w:rPr>
          <w:sz w:val="20"/>
          <w:szCs w:val="20"/>
          <w:color w:val="auto"/>
        </w:rPr>
      </w:pPr>
      <w:r>
        <w:rPr>
          <w:rFonts w:ascii="Courier New" w:cs="Courier New" w:eastAsia="Courier New" w:hAnsi="Courier New"/>
          <w:sz w:val="17"/>
          <w:szCs w:val="17"/>
          <w:color w:val="auto"/>
        </w:rPr>
        <w:t>AT&amp;T CONSUMER</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Consumer provides a variety of communications services including long distance, local toll (intrastate calls outside the immediate local area) and Internet access to residential customers. In addition, AT&amp;T Consumer provides transaction services, such as prepaid calling card and operator-handled calling services. Local phone service is also provided in certain areas.</w:t>
      </w:r>
    </w:p>
    <w:p>
      <w:pPr>
        <w:spacing w:after="0" w:line="19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THREE MONTHS ENDED NINE MONTHS ENDED SEPTEMBER 30,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SEPTEMBER 30, ------------------ ----------------- 2001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w w:val="94"/>
              </w:rPr>
              <w:t>2000 2001 2000 -------</w:t>
            </w:r>
          </w:p>
        </w:tc>
        <w:tc>
          <w:tcPr>
            <w:tcW w:w="36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(DOLLARS</w:t>
            </w:r>
          </w:p>
        </w:tc>
      </w:tr>
      <w:tr>
        <w:trPr>
          <w:trHeight w:val="201"/>
        </w:trPr>
        <w:tc>
          <w:tcPr>
            <w:tcW w:w="2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IN MILLIONS)</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3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Revenue.................................................</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2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$3,822</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$4,651 $11,614</w:t>
            </w:r>
          </w:p>
        </w:tc>
        <w:tc>
          <w:tcPr>
            <w:tcW w:w="204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$14,651</w:t>
            </w:r>
          </w:p>
        </w:tc>
        <w:tc>
          <w:tcPr>
            <w:tcW w:w="160" w:type="dxa"/>
            <w:vAlign w:val="bottom"/>
          </w:tcPr>
          <w:p>
            <w:pPr>
              <w:spacing w:after="0"/>
              <w:rPr>
                <w:sz w:val="17"/>
                <w:szCs w:val="17"/>
                <w:color w:val="auto"/>
              </w:rPr>
            </w:pPr>
          </w:p>
        </w:tc>
      </w:tr>
      <w:tr>
        <w:trPr>
          <w:trHeight w:val="201"/>
        </w:trPr>
        <w:tc>
          <w:tcPr>
            <w:tcW w:w="3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EBIT....................................................</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3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1,282 1,806 3,817</w:t>
            </w:r>
          </w:p>
        </w:tc>
        <w:tc>
          <w:tcPr>
            <w:tcW w:w="2040" w:type="dxa"/>
            <w:vAlign w:val="bottom"/>
          </w:tcPr>
          <w:p>
            <w:pPr>
              <w:jc w:val="right"/>
              <w:ind w:right="1433"/>
              <w:spacing w:after="0"/>
              <w:rPr>
                <w:sz w:val="20"/>
                <w:szCs w:val="20"/>
                <w:color w:val="auto"/>
              </w:rPr>
            </w:pPr>
            <w:r>
              <w:rPr>
                <w:rFonts w:ascii="Courier New" w:cs="Courier New" w:eastAsia="Courier New" w:hAnsi="Courier New"/>
                <w:sz w:val="17"/>
                <w:szCs w:val="17"/>
                <w:color w:val="auto"/>
                <w:w w:val="97"/>
              </w:rPr>
              <w:t>5,271</w:t>
            </w:r>
          </w:p>
        </w:tc>
        <w:tc>
          <w:tcPr>
            <w:tcW w:w="160" w:type="dxa"/>
            <w:vAlign w:val="bottom"/>
          </w:tcPr>
          <w:p>
            <w:pPr>
              <w:spacing w:after="0"/>
              <w:rPr>
                <w:sz w:val="17"/>
                <w:szCs w:val="17"/>
                <w:color w:val="auto"/>
              </w:rPr>
            </w:pPr>
          </w:p>
        </w:tc>
      </w:tr>
      <w:tr>
        <w:trPr>
          <w:trHeight w:val="201"/>
        </w:trPr>
        <w:tc>
          <w:tcPr>
            <w:tcW w:w="3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EBITDA..................................................</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5660" w:type="dxa"/>
            <w:vAlign w:val="bottom"/>
            <w:gridSpan w:val="3"/>
          </w:tcPr>
          <w:p>
            <w:pPr>
              <w:jc w:val="right"/>
              <w:ind w:right="393"/>
              <w:spacing w:after="0"/>
              <w:rPr>
                <w:sz w:val="20"/>
                <w:szCs w:val="20"/>
                <w:color w:val="auto"/>
              </w:rPr>
            </w:pPr>
            <w:r>
              <w:rPr>
                <w:rFonts w:ascii="Courier New" w:cs="Courier New" w:eastAsia="Courier New" w:hAnsi="Courier New"/>
                <w:sz w:val="17"/>
                <w:szCs w:val="17"/>
                <w:color w:val="auto"/>
              </w:rPr>
              <w:t>1,331 1,849 3,962 5,394 OTHER ITEMS Capital</w:t>
            </w:r>
          </w:p>
        </w:tc>
        <w:tc>
          <w:tcPr>
            <w:tcW w:w="160" w:type="dxa"/>
            <w:vAlign w:val="bottom"/>
          </w:tcPr>
          <w:p>
            <w:pPr>
              <w:spacing w:after="0"/>
              <w:rPr>
                <w:sz w:val="17"/>
                <w:szCs w:val="17"/>
                <w:color w:val="auto"/>
              </w:rPr>
            </w:pPr>
          </w:p>
        </w:tc>
      </w:tr>
      <w:tr>
        <w:trPr>
          <w:trHeight w:val="201"/>
        </w:trPr>
        <w:tc>
          <w:tcPr>
            <w:tcW w:w="36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3"/>
              </w:rPr>
              <w:t>additions.......................................</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$ 43</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41 $ 96 $ 104</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SEPTEMBER 30, 2001 AT DECEMBER 31, 2000 ------</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 Total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$2,555 $3,150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revenue declined 17.8%, or $0.8 billion, in the third quarter of 2001 and declined 20.7%, or $3.0 billion, for the first nine months of 2001 compared with the corresponding periods in 2000. The revenue decline in both periods reflects the impacts of volume reductions, primarily in traditional voice services due to the acceleration of wireless and e-mail substitution, the impacts of ongoing competition and the continued migration of customers to lower-priced products and optional calling plans. The revenue decline in the third quarter of 2001 was slightly offset by an increase in the level of call volumes related to the events of September 11th. Long distance calling volumes declined at a low double-digit rate in both the third quarter and the first nine months of 2001. In addition, the revenue decline for the nine months ended September 30, 2001, reflects the elimination of per-line charges in July 2000 of approximately $0.5 billion.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EBIT/EBITDA</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EBIT and EBITDA declined 29.0% and 28.0%, respectively, in the third quarter of 2001 compared with the prior year quarter. EBIT and EBITDA declined 27.6% and 26.5%, respectively, for the first nine months of 2001 compared with the same period in 2000. The decline in both periods was primarily driven by the impact of the revenue declines partially offset by cost-control initiatives. With impact of wireless and e-mail substitution continuing to increase and as the local exchange carriers continue their entry into the Consumer Long Distance business, EBIT and EBITDA are likely to continue to decline.</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EBIT and EBITDA margins were 33.5% and 34.8%, respectively, for the third quarter of 2001 and were 38.8% and 39.7%, respectively, for the third quarter of 2000. EBIT and EBITDA margins were 32.9% and 34.1%, respectively, and 36.0% and 36.8%, respectively, for the nine months ended September 30, 2001 and 2000.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ITEMS</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Capital additions were about the same in the third quarter of 2001 compared with the third quarter of 2000 and decreased slightly for the first nine months of 2001 compared with the corresponding period in 2000.</w:t>
      </w:r>
    </w:p>
    <w:p>
      <w:pPr>
        <w:spacing w:after="0" w:line="194"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Total assets declined $0.6 billion to $2.6 billion at September 30, 2001 compared to $3.2 billion at December 31, 2000. The decline was primarily driven by lower receivables, reflecting lower revenue.</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VI-18</w:t>
      </w:r>
    </w:p>
    <w:p>
      <w:pPr>
        <w:sectPr>
          <w:pgSz w:w="11900" w:h="16838" w:orient="portrait"/>
          <w:cols w:equalWidth="0" w:num="1">
            <w:col w:w="10219"/>
          </w:cols>
          <w:pgMar w:left="240" w:top="719"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7"/>
          <w:szCs w:val="17"/>
          <w:color w:val="auto"/>
        </w:rPr>
        <w:t>AT&amp;T BROADBAND</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AT&amp;T Broadband offers a variety of services through its cable broadband network, including traditional analog video and advanced services such as digital video service, high-speed data service and broadband telephony service.</w:t>
      </w:r>
    </w:p>
    <w:p>
      <w:pPr>
        <w:spacing w:after="0" w:line="194"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THREE MONTHS ENDED NINE MONTHS ENDED SEPTEMBER 30,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SEPTEMBER 30, ------------------ ------------------ 2001</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2000 2001 2000 ------- ------- ------- ------- (DOLLARS</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IN MILLIONS)</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$2,393 $2,420 $7,423 $5,693</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EBIT.....................................................</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(538) (640) (1,834) (771) EBITDA excluding other</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income*........................... 602 498 1,496 1,196</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OTHER ITEMS Capital</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additions........................................ $ 782</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$1,252 $2,641 $3,586</w:t>
      </w: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SEPTEMBER 30, 2001 AT DECEMBER 31, 2000 ------</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 Total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$104,054 $114,848</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220" w:right="2359" w:hanging="213"/>
        <w:spacing w:after="0" w:line="257" w:lineRule="auto"/>
        <w:tabs>
          <w:tab w:leader="none" w:pos="220" w:val="left"/>
        </w:tabs>
        <w:numPr>
          <w:ilvl w:val="0"/>
          <w:numId w:val="2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EBITDA for AT&amp;T Broadband excludes net losses from equity investments and other income</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results of operations for the three and nine months ended September 30,</w:t>
      </w:r>
    </w:p>
    <w:p>
      <w:pPr>
        <w:spacing w:after="0" w:line="9" w:lineRule="exact"/>
        <w:rPr>
          <w:sz w:val="20"/>
          <w:szCs w:val="20"/>
          <w:color w:val="auto"/>
        </w:rPr>
      </w:pPr>
    </w:p>
    <w:p>
      <w:pPr>
        <w:ind w:right="2139"/>
        <w:spacing w:after="0" w:line="254" w:lineRule="auto"/>
        <w:rPr>
          <w:sz w:val="20"/>
          <w:szCs w:val="20"/>
          <w:color w:val="auto"/>
        </w:rPr>
      </w:pPr>
      <w:r>
        <w:rPr>
          <w:rFonts w:ascii="Courier New" w:cs="Courier New" w:eastAsia="Courier New" w:hAnsi="Courier New"/>
          <w:sz w:val="17"/>
          <w:szCs w:val="17"/>
          <w:color w:val="auto"/>
        </w:rPr>
        <w:t>2001 and the three months ended September 30, 2000 include a full period of MediaOne operations, while the nine months ended September 30, 2000, includes only 3 months and two weeks of operations for MediaOne.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Broadband revenue declined $27 million, or 1.1%, for the three months ended September 30, 2001 compared with the corresponding prior year period. This decrease in revenue was impacted by the net dispositions of cable systems of approximately $0.3 billion, almost entirely offset by revenue growth from new services (broadband telephony and high-speed data) of approximately $0.2 billion and revenue growth from other video services, primarily expanded basic cable and digital video, of approximately $0.1 billion. AT&amp;T Broadband revenue grew $1.7 billion, or 30.4%, for the nine months ended September 30, 2001, compared with the corresponding prior year period. Approximately $1.0 billion of the increase was due to the acquisition of MediaOne offset by the net dispositions of cable systems. In addition, the increase was attributable to revenue growth from new services of approximately $0.4 billion and growth in other video services, primarily expanded basic cable and digital video, of approximately $0.2 billion.</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 September 30, 2001, Broadband serviced approximately 13.7 million basic cable customers, passing approximately 24.6 million homes, compared with 16.1 million basic cable customers, passing approximately 28.0 million homes at September 30, 2000. At September 30, 2001, Broadband provided digital video service to approximately 3.2 million customers, high-speed data service to approximately 1.4 million customers and broadband telephony service to approximately 0.9 million customers. This compares with 2.5 million digital-video customers, approximately 0.9 million high-speed data customers, and 0.3 million broadband telephony customers at September 30,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EBIT/EBITDA</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EBIT for the third quarter of 2001 was a deficit of $0.5 billion, an improvement of $0.1 billion from the comparable prior year period. This improvement was primarily due to the impacts associated with the growth in new services of approximately $0.1 billion, growth in other video services, primarily expanded basic cable and digital video, of approximately $0.1 billion and lower pretax equity losses of $0.1 billion. Partially offsetting this increased EBIT was the impacts of net dispositions of cable systems of approximately $0.1 billion and $0.1 billion of higher net loss on the sales of businesses and investments.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VI-19</w:t>
      </w:r>
    </w:p>
    <w:p>
      <w:pPr>
        <w:sectPr>
          <w:pgSz w:w="11900" w:h="16838" w:orient="portrait"/>
          <w:cols w:equalWidth="0" w:num="1">
            <w:col w:w="10219"/>
          </w:cols>
          <w:pgMar w:left="240" w:top="719" w:right="1440" w:bottom="457" w:gutter="0" w:footer="0" w:header="0"/>
        </w:sectPr>
      </w:pPr>
    </w:p>
    <w:bookmarkStart w:id="173" w:name="page174"/>
    <w:bookmarkEnd w:id="173"/>
    <w:p>
      <w:pPr>
        <w:ind w:left="540"/>
        <w:spacing w:after="0"/>
        <w:rPr>
          <w:sz w:val="20"/>
          <w:szCs w:val="20"/>
          <w:color w:val="auto"/>
        </w:rPr>
      </w:pPr>
      <w:r>
        <w:rPr>
          <w:rFonts w:ascii="Courier New" w:cs="Courier New" w:eastAsia="Courier New" w:hAnsi="Courier New"/>
          <w:sz w:val="17"/>
          <w:szCs w:val="17"/>
          <w:color w:val="auto"/>
        </w:rPr>
        <w:t>The EBIT deficit for the nine months ended September 30, 2001 increased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billion from the comparable prior year period deficit of $0.8 billion.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increase was largely due to the impacts of the acquisition of MediaOne and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dispositions of cable systems of approximately $0.7 billion as well 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higher restructuring and other charges and increased depreciation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amortization, programming and advertising expenses of approximately $0.7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billion. In addition, the increase was attributable to $0.5 billion of lower net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gains on sales of businesses and investments. These increases were offset by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$0.4 billion of lower pretax equity losses, impacts associated with the growth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new services of approximately $0.2 billion and growth in other video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services, primarily expanded basic cable and digital video, of approximately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$0.2 billion.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EBITDA, which excludes net losses from equity investments and other income, was $0.6 billion for the three months ended September 30, 2001, an improvement of $0.1 billion, or 20.9%, from the comparable prior year period. This improvement was primarily due to the impacts associated with the growth in new services of approximately $0.1 billion and growth in other video services, primarily expanded basic cable and digital video, of approximately $0.1 billion. Partially offsetting this increased EBITDA were the impacts of net dispositions of cable systems of approximately $0.1 billion.</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EBITDA, for the nine months ended September 30, 2001 was $1.5 billion, an improvement of $0.3 billion, or 25.1%, from $1.2 billion in the comparable prior year period. This improvement was primarily due to the acquisition of MediaOne of $0.4 billion and the impacts associated with the growth in new services of approximately $0.2 billion and growth in other video services, primarily expanded basic cable and digital video, of approximately $0.2 billion. Partially offsetting this improvement was increased programming and advertising expenses of $0.2 billion, the impact of net dispositions of cable systems of $0.2 billion and higher restructuring and other charges of $0.1 billion.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ITEMS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Capital additions decreased 37.5% to $0.8 billion for the three months ended September 30, 2001 from $1.3 billion for the comparable prior year period. This decrease was primarily driven by reductions in plant upgrades and launches of advanced services. Capital additions decreased 26.3% to $2.6 billion for the nine months ended September 30, 2001 from $3.6 billion for the comparable prior year period. This decrease was primarily driven by a $0.5 billion decrease in contributions to various non-consolidated investments.</w:t>
      </w:r>
    </w:p>
    <w:p>
      <w:pPr>
        <w:spacing w:after="0" w:line="196"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Total assets at September 30, 2001, were $104.1 billion compared with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$114.8 billion at December 31, 2000. The decrease in total assets at September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 2001 is primarily due to cable-system sales.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AND OTHER</w:t>
      </w:r>
    </w:p>
    <w:p>
      <w:pPr>
        <w:spacing w:after="0" w:line="210" w:lineRule="exact"/>
        <w:rPr>
          <w:sz w:val="20"/>
          <w:szCs w:val="20"/>
          <w:color w:val="auto"/>
        </w:rPr>
      </w:pPr>
    </w:p>
    <w:p>
      <w:pPr>
        <w:ind w:right="2779" w:firstLine="524"/>
        <w:spacing w:after="0" w:line="254" w:lineRule="auto"/>
        <w:rPr>
          <w:sz w:val="20"/>
          <w:szCs w:val="20"/>
          <w:color w:val="auto"/>
        </w:rPr>
      </w:pPr>
      <w:r>
        <w:rPr>
          <w:rFonts w:ascii="Courier New" w:cs="Courier New" w:eastAsia="Courier New" w:hAnsi="Courier New"/>
          <w:sz w:val="17"/>
          <w:szCs w:val="17"/>
          <w:color w:val="auto"/>
        </w:rPr>
        <w:t>This group reflects the results of corporate staff functions, the elimination of transactions between segments, as well as the results of Excite@Home.</w:t>
      </w:r>
    </w:p>
    <w:p>
      <w:pPr>
        <w:spacing w:after="0" w:line="194" w:lineRule="exact"/>
        <w:rPr>
          <w:sz w:val="20"/>
          <w:szCs w:val="20"/>
          <w:color w:val="auto"/>
        </w:rPr>
      </w:pPr>
    </w:p>
    <w:p>
      <w:pPr>
        <w:ind w:left="260" w:right="4619" w:firstLine="52"/>
        <w:spacing w:after="0" w:line="251" w:lineRule="auto"/>
        <w:rPr>
          <w:sz w:val="20"/>
          <w:szCs w:val="20"/>
          <w:color w:val="auto"/>
        </w:rPr>
      </w:pPr>
      <w:r>
        <w:rPr>
          <w:rFonts w:ascii="Courier New" w:cs="Courier New" w:eastAsia="Courier New" w:hAnsi="Courier New"/>
          <w:sz w:val="17"/>
          <w:szCs w:val="17"/>
          <w:color w:val="auto"/>
        </w:rPr>
        <w:t>THREE MONTHS ENDED NINE MONTHS ENDED SEPTEMBER 30, SEPTEMBER 30, ------------------ ------------------</w:t>
      </w:r>
    </w:p>
    <w:p>
      <w:pPr>
        <w:ind w:left="320"/>
        <w:spacing w:after="0"/>
        <w:rPr>
          <w:sz w:val="20"/>
          <w:szCs w:val="20"/>
          <w:color w:val="auto"/>
        </w:rPr>
      </w:pPr>
      <w:r>
        <w:rPr>
          <w:rFonts w:ascii="Courier New" w:cs="Courier New" w:eastAsia="Courier New" w:hAnsi="Courier New"/>
          <w:sz w:val="17"/>
          <w:szCs w:val="17"/>
          <w:color w:val="auto"/>
        </w:rPr>
        <w:t>2001 2000 2001 2000 ----- ------- -------- -------</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$(13) $ (117) $ (220) $ (422)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EBIT....................................................</w:t>
            </w:r>
          </w:p>
        </w:tc>
        <w:tc>
          <w:tcPr>
            <w:tcW w:w="8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1"/>
        </w:trPr>
        <w:tc>
          <w:tcPr>
            <w:tcW w:w="2300" w:type="dxa"/>
            <w:vAlign w:val="bottom"/>
          </w:tcPr>
          <w:p>
            <w:pPr>
              <w:jc w:val="right"/>
              <w:ind w:right="25"/>
              <w:spacing w:after="0"/>
              <w:rPr>
                <w:sz w:val="20"/>
                <w:szCs w:val="20"/>
                <w:color w:val="auto"/>
              </w:rPr>
            </w:pPr>
            <w:r>
              <w:rPr>
                <w:rFonts w:ascii="Courier New" w:cs="Courier New" w:eastAsia="Courier New" w:hAnsi="Courier New"/>
                <w:sz w:val="17"/>
                <w:szCs w:val="17"/>
                <w:color w:val="auto"/>
              </w:rPr>
              <w:t>(21)</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w w:val="97"/>
              </w:rPr>
              <w:t>106</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(3,505)</w:t>
            </w:r>
          </w:p>
        </w:tc>
        <w:tc>
          <w:tcPr>
            <w:tcW w:w="1920" w:type="dxa"/>
            <w:vAlign w:val="bottom"/>
          </w:tcPr>
          <w:p>
            <w:pPr>
              <w:jc w:val="right"/>
              <w:ind w:right="1273"/>
              <w:spacing w:after="0"/>
              <w:rPr>
                <w:sz w:val="20"/>
                <w:szCs w:val="20"/>
                <w:color w:val="auto"/>
              </w:rPr>
            </w:pPr>
            <w:r>
              <w:rPr>
                <w:rFonts w:ascii="Courier New" w:cs="Courier New" w:eastAsia="Courier New" w:hAnsi="Courier New"/>
                <w:sz w:val="17"/>
                <w:szCs w:val="17"/>
                <w:color w:val="auto"/>
              </w:rPr>
              <w:t>(297)</w:t>
            </w:r>
          </w:p>
        </w:tc>
        <w:tc>
          <w:tcPr>
            <w:tcW w:w="280" w:type="dxa"/>
            <w:vAlign w:val="bottom"/>
          </w:tcPr>
          <w:p>
            <w:pPr>
              <w:spacing w:after="0"/>
              <w:rPr>
                <w:sz w:val="17"/>
                <w:szCs w:val="17"/>
                <w:color w:val="auto"/>
              </w:rPr>
            </w:pPr>
          </w:p>
        </w:tc>
      </w:tr>
      <w:tr>
        <w:trPr>
          <w:trHeight w:val="201"/>
        </w:trPr>
        <w:tc>
          <w:tcPr>
            <w:tcW w:w="26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EBITDA..................................................</w:t>
            </w:r>
          </w:p>
        </w:tc>
        <w:tc>
          <w:tcPr>
            <w:tcW w:w="8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1"/>
        </w:trPr>
        <w:tc>
          <w:tcPr>
            <w:tcW w:w="5440" w:type="dxa"/>
            <w:vAlign w:val="bottom"/>
            <w:gridSpan w:val="4"/>
          </w:tcPr>
          <w:p>
            <w:pPr>
              <w:jc w:val="right"/>
              <w:ind w:right="373"/>
              <w:spacing w:after="0"/>
              <w:rPr>
                <w:sz w:val="20"/>
                <w:szCs w:val="20"/>
                <w:color w:val="auto"/>
              </w:rPr>
            </w:pPr>
            <w:r>
              <w:rPr>
                <w:rFonts w:ascii="Courier New" w:cs="Courier New" w:eastAsia="Courier New" w:hAnsi="Courier New"/>
                <w:sz w:val="17"/>
                <w:szCs w:val="17"/>
                <w:color w:val="auto"/>
              </w:rPr>
              <w:t>118 338 (3,019) 225 OTHER ITEMS Capital</w:t>
            </w:r>
          </w:p>
        </w:tc>
        <w:tc>
          <w:tcPr>
            <w:tcW w:w="280" w:type="dxa"/>
            <w:vAlign w:val="bottom"/>
          </w:tcPr>
          <w:p>
            <w:pPr>
              <w:spacing w:after="0"/>
              <w:rPr>
                <w:sz w:val="17"/>
                <w:szCs w:val="17"/>
                <w:color w:val="auto"/>
              </w:rPr>
            </w:pPr>
          </w:p>
        </w:tc>
      </w:tr>
      <w:tr>
        <w:trPr>
          <w:trHeight w:val="201"/>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additions.......................................</w:t>
            </w:r>
          </w:p>
        </w:tc>
        <w:tc>
          <w:tcPr>
            <w:tcW w:w="8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r>
      <w:tr>
        <w:trPr>
          <w:trHeight w:val="201"/>
        </w:trPr>
        <w:tc>
          <w:tcPr>
            <w:tcW w:w="2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$1,489</w:t>
            </w:r>
          </w:p>
        </w:tc>
        <w:tc>
          <w:tcPr>
            <w:tcW w:w="28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$ 303 $1,573</w:t>
            </w:r>
          </w:p>
        </w:tc>
        <w:tc>
          <w:tcPr>
            <w:tcW w:w="280" w:type="dxa"/>
            <w:vAlign w:val="bottom"/>
          </w:tcPr>
          <w:p>
            <w:pPr>
              <w:spacing w:after="0"/>
              <w:rPr>
                <w:sz w:val="17"/>
                <w:szCs w:val="17"/>
                <w:color w:val="auto"/>
              </w:rPr>
            </w:pPr>
          </w:p>
        </w:tc>
      </w:tr>
      <w:tr>
        <w:trPr>
          <w:trHeight w:val="604"/>
        </w:trPr>
        <w:tc>
          <w:tcPr>
            <w:tcW w:w="5440" w:type="dxa"/>
            <w:vAlign w:val="bottom"/>
            <w:gridSpan w:val="4"/>
          </w:tcPr>
          <w:p>
            <w:pPr>
              <w:jc w:val="center"/>
              <w:ind w:right="93"/>
              <w:spacing w:after="0"/>
              <w:rPr>
                <w:sz w:val="20"/>
                <w:szCs w:val="20"/>
                <w:color w:val="auto"/>
              </w:rPr>
            </w:pPr>
            <w:r>
              <w:rPr>
                <w:rFonts w:ascii="Courier New" w:cs="Courier New" w:eastAsia="Courier New" w:hAnsi="Courier New"/>
                <w:sz w:val="17"/>
                <w:szCs w:val="17"/>
                <w:color w:val="auto"/>
              </w:rPr>
              <w:t>AT SEPTEMBER 30, 2001 AT DECEMBER 31, 2000 ------</w:t>
            </w:r>
          </w:p>
        </w:tc>
        <w:tc>
          <w:tcPr>
            <w:tcW w:w="280" w:type="dxa"/>
            <w:vAlign w:val="bottom"/>
          </w:tcPr>
          <w:p>
            <w:pPr>
              <w:spacing w:after="0"/>
              <w:rPr>
                <w:sz w:val="24"/>
                <w:szCs w:val="24"/>
                <w:color w:val="auto"/>
              </w:rPr>
            </w:pPr>
          </w:p>
        </w:tc>
      </w:tr>
      <w:tr>
        <w:trPr>
          <w:trHeight w:val="201"/>
        </w:trPr>
        <w:tc>
          <w:tcPr>
            <w:tcW w:w="5440" w:type="dxa"/>
            <w:vAlign w:val="bottom"/>
            <w:gridSpan w:val="4"/>
          </w:tcPr>
          <w:p>
            <w:pPr>
              <w:jc w:val="center"/>
              <w:ind w:right="113"/>
              <w:spacing w:after="0"/>
              <w:rPr>
                <w:sz w:val="20"/>
                <w:szCs w:val="20"/>
                <w:color w:val="auto"/>
              </w:rPr>
            </w:pPr>
            <w:r>
              <w:rPr>
                <w:rFonts w:ascii="Courier New" w:cs="Courier New" w:eastAsia="Courier New" w:hAnsi="Courier New"/>
                <w:sz w:val="17"/>
                <w:szCs w:val="17"/>
                <w:color w:val="auto"/>
              </w:rPr>
              <w:t>--------------- -------------------- Total</w:t>
            </w:r>
          </w:p>
        </w:tc>
        <w:tc>
          <w:tcPr>
            <w:tcW w:w="280" w:type="dxa"/>
            <w:vAlign w:val="bottom"/>
          </w:tcPr>
          <w:p>
            <w:pPr>
              <w:spacing w:after="0"/>
              <w:rPr>
                <w:sz w:val="17"/>
                <w:szCs w:val="17"/>
                <w:color w:val="auto"/>
              </w:rPr>
            </w:pPr>
          </w:p>
        </w:tc>
      </w:tr>
      <w:tr>
        <w:trPr>
          <w:trHeight w:val="201"/>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assets............................................</w:t>
            </w:r>
          </w:p>
        </w:tc>
        <w:tc>
          <w:tcPr>
            <w:tcW w:w="8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1"/>
        </w:trPr>
        <w:tc>
          <w:tcPr>
            <w:tcW w:w="2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$13,204</w:t>
            </w:r>
          </w:p>
        </w:tc>
        <w:tc>
          <w:tcPr>
            <w:tcW w:w="880" w:type="dxa"/>
            <w:vAlign w:val="bottom"/>
          </w:tcPr>
          <w:p>
            <w:pPr>
              <w:ind w:left="40"/>
              <w:spacing w:after="0"/>
              <w:rPr>
                <w:sz w:val="20"/>
                <w:szCs w:val="20"/>
                <w:color w:val="auto"/>
              </w:rPr>
            </w:pPr>
            <w:r>
              <w:rPr>
                <w:rFonts w:ascii="Courier New" w:cs="Courier New" w:eastAsia="Courier New" w:hAnsi="Courier New"/>
                <w:sz w:val="17"/>
                <w:szCs w:val="17"/>
                <w:color w:val="auto"/>
              </w:rPr>
              <w:t>$12,101</w:t>
            </w: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604"/>
        </w:trPr>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VI-20</w:t>
            </w:r>
          </w:p>
        </w:tc>
        <w:tc>
          <w:tcPr>
            <w:tcW w:w="280" w:type="dxa"/>
            <w:vAlign w:val="bottom"/>
          </w:tcPr>
          <w:p>
            <w:pPr>
              <w:spacing w:after="0"/>
              <w:rPr>
                <w:sz w:val="24"/>
                <w:szCs w:val="24"/>
                <w:color w:val="auto"/>
              </w:rPr>
            </w:pPr>
          </w:p>
        </w:tc>
      </w:tr>
    </w:tbl>
    <w:p>
      <w:pPr>
        <w:sectPr>
          <w:pgSz w:w="11900" w:h="16838" w:orient="portrait"/>
          <w:cols w:equalWidth="0" w:num="1">
            <w:col w:w="10219"/>
          </w:cols>
          <w:pgMar w:left="240" w:top="719" w:right="1440" w:bottom="855" w:gutter="0" w:footer="0" w:header="0"/>
        </w:sectPr>
      </w:pPr>
    </w:p>
    <w:bookmarkStart w:id="174" w:name="page175"/>
    <w:bookmarkEnd w:id="174"/>
    <w:p>
      <w:pPr>
        <w:spacing w:after="0"/>
        <w:rPr>
          <w:sz w:val="20"/>
          <w:szCs w:val="20"/>
          <w:color w:val="auto"/>
        </w:rPr>
      </w:pPr>
      <w:r>
        <w:rPr>
          <w:rFonts w:ascii="Courier New" w:cs="Courier New" w:eastAsia="Courier New" w:hAnsi="Courier New"/>
          <w:sz w:val="17"/>
          <w:szCs w:val="17"/>
          <w:color w:val="auto"/>
        </w:rPr>
        <w:t>REVENUE</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Revenue for corporate and other for the third quarter of 2001 primarily includes the elimination of intercompany revenue of negative $171 million (a $39 million decrease from prior year) and revenue from Excite@Home of $140 million (a $61 million increase from prior year). Revenue for corporate and other for the first nine months of 2001 primarily includes the elimination of intercompany revenue of negative $696 million ($155 million increase from prior year) and revenue from Excite@Home of $418 million (a $339 million increase from prior year). The increase was primarily driven by the consolidation of Excite@Home, partially offset by decline in Excite@Home revenue in September 2001 and lower elimination of internal revenue as a result of the split-off of AT&amp;T Wireless on July 9, 2001, which was partially offset by increased sales from Excite@Home to AT&amp;T Broadband and from AT&amp;T Business Services to AT&amp;T Broadband.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EBIT/EBITDA</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EBIT and EBITDA declined $0.1 billion and $0.2 billion, respectively, to a deficit of $21 million and income of $0.1 billion, respectively, in the third quarter of 2001 compared with the third quarter of 2000. The decline was primarily due to a $0.4 billion mark-to-market loss on Vodaphone ADRs, which were used to settle exchangeable notes that matured during the third quarter of 2001 and $0.1 billion lower gains on sales of various other investments. Also contributing to the decline was lower investment-related income of $0.1 billion, higher Excite@Home loss of $0.1 billion and a lower pension credit of $0.1 billion, primarily due to unfavorable investment performance. These declines were partially offset by a $0.5 billion tax-free gain associated with the disposal of a portion of AT&amp;T's retained interest in AT&amp;T Wireless in a debt-for-equity exchange and a $0.1 billion gain for the ongoing investment and derivative revaluation.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EBIT and EBITDA declined $3.2 billion to deficits of $3.5 billion and $3.0 billion, respectively, for nine months ended September 30, 2001, compared with the same prior year period. The decline was primarily due to a $1.1 billion investment impairment charge related to Net2Phone and a $0.8 billion loss on the Excite@Home put obligation settlement with Cox Communications, Inc. and Comcast Corporation. Also contributing to the decline was $0.8 billion loss associated with the adoption of SFAS No. 133 as well as the related ongoing investment revaluation. The decline was also driven by lower investment-related income of $0.2 billion, lower pension credit of $0.1 billion, primarily due to unfavorable investment performance, higher costs associated with the AT&amp;T Wireless stock exchange offer of $0.1 billion and lower gains on sales of investments of $0.1 billion. These were partially offset by lower net restructuring and other charges of $0.3 billion.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ITEMS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Capital additions declined $1.4 billion, or 96.6%, in the third quarter of 2001 compared with the third quarter of 2000. Capital additions declined $1.3 billion, or 80.7%, in the first nine months of 2001 compared with the same period in 2000. The decline in both periods was primarily driven by AT&amp;T's investment in Net2Phone made in the third quarter of 2000.</w:t>
      </w:r>
    </w:p>
    <w:p>
      <w:pPr>
        <w:spacing w:after="0" w:line="197"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Total assets increased $1.1 billion, to $13.2 billion at September 30, 2001. The increase was primarily driven by a higher cash balance held at September 30, 2001, AT&amp;T's retained interest in AT&amp;T Wireless and higher deferred tax assets as a result of the unwind of AT&amp;T's Concert joint venture and settlement of exchangeable notes. These increases were partially offset by the deconsolidation of Excite@Home, the write-down of AT&amp;T's investment in Net2Phone and the transfer of a loan to Concert to the AT&amp;T Business segment, which was written off in the third quarter of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LIBERTY MEDIA GROUP RESULTS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Liberty Media Group (LMG) produces, acquires and distributes entertainment, educational and informational programming services through all available formats and media. LMG is also engaged in electronic retailing services, direct marketing services, advertising sales relating to programming services, infomercials and transaction processing. LMG was split off from AT&amp;T on August 10, 2001. The</w:t>
      </w:r>
    </w:p>
    <w:p>
      <w:pPr>
        <w:spacing w:after="0" w:line="3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VI-21</w:t>
      </w:r>
    </w:p>
    <w:p>
      <w:pPr>
        <w:sectPr>
          <w:pgSz w:w="11900" w:h="16838" w:orient="portrait"/>
          <w:cols w:equalWidth="0" w:num="1">
            <w:col w:w="10219"/>
          </w:cols>
          <w:pgMar w:left="240" w:top="719" w:right="1440" w:bottom="1062" w:gutter="0" w:footer="0" w:header="0"/>
        </w:sectPr>
      </w:pPr>
    </w:p>
    <w:bookmarkStart w:id="175" w:name="page176"/>
    <w:bookmarkEnd w:id="175"/>
    <w:p>
      <w:pPr>
        <w:ind w:right="1839"/>
        <w:spacing w:after="0" w:line="251" w:lineRule="auto"/>
        <w:rPr>
          <w:sz w:val="20"/>
          <w:szCs w:val="20"/>
          <w:color w:val="auto"/>
        </w:rPr>
      </w:pPr>
      <w:r>
        <w:rPr>
          <w:rFonts w:ascii="Courier New" w:cs="Courier New" w:eastAsia="Courier New" w:hAnsi="Courier New"/>
          <w:sz w:val="17"/>
          <w:szCs w:val="17"/>
          <w:color w:val="auto"/>
        </w:rPr>
        <w:t>operating results of LMG for the third quarter and year-to-date period ended July 31, 2001 (the deemed effective LMG split-off date for accounting purposes) and three and nine months ended September 30, 2000, were reflected as "Equity earnings (losses) from Liberty Media Group" in the accompanying Consolidated Statements of Operations. The investment in LMG was no longer included in AT&amp;T's Consolidated Balance Sheet at September 30, 2001. Equity earnings (losses) from LMG decreased $1.6 billion for the third quarter of 2001 compared with the third quarter of 2000. The decrease largely reflects lower gains on dispositions in the third quarter of 2001, partially offset by earnings of affiliates in 2001 compared with losses in 2000 as well as the write-down of impaired investments in 2000. Equity earnings (losses) from LMG decreased $5.7 billion for the year-to-date period through July 31, 2001, compared with the year-to-date period ended September 30, 2000. The decrease largely reflects lower gains on dispositions, higher losses of affiliates and higher unrealized losses on financial instruments of LMG.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THREE YEARS ENDED DECEMBER 31, 2000</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00" w:type="dxa"/>
            <w:vAlign w:val="bottom"/>
            <w:gridSpan w:val="2"/>
          </w:tcPr>
          <w:p>
            <w:pPr>
              <w:ind w:left="220"/>
              <w:spacing w:after="0"/>
              <w:rPr>
                <w:sz w:val="20"/>
                <w:szCs w:val="20"/>
                <w:color w:val="auto"/>
              </w:rPr>
            </w:pPr>
            <w:r>
              <w:rPr>
                <w:rFonts w:ascii="Courier New" w:cs="Courier New" w:eastAsia="Courier New" w:hAnsi="Courier New"/>
                <w:sz w:val="13"/>
                <w:szCs w:val="13"/>
                <w:color w:val="auto"/>
                <w:w w:val="70"/>
              </w:rPr>
              <w:t>------------------------------</w:t>
            </w:r>
          </w:p>
        </w:tc>
        <w:tc>
          <w:tcPr>
            <w:tcW w:w="26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2000 1999</w:t>
            </w:r>
          </w:p>
        </w:tc>
      </w:tr>
      <w:tr>
        <w:trPr>
          <w:trHeight w:val="201"/>
        </w:trPr>
        <w:tc>
          <w:tcPr>
            <w:tcW w:w="1060" w:type="dxa"/>
            <w:vAlign w:val="bottom"/>
          </w:tcPr>
          <w:p>
            <w:pPr>
              <w:ind w:left="220"/>
              <w:spacing w:after="0"/>
              <w:rPr>
                <w:sz w:val="20"/>
                <w:szCs w:val="20"/>
                <w:color w:val="auto"/>
              </w:rPr>
            </w:pPr>
            <w:r>
              <w:rPr>
                <w:rFonts w:ascii="Courier New" w:cs="Courier New" w:eastAsia="Courier New" w:hAnsi="Courier New"/>
                <w:sz w:val="16"/>
                <w:szCs w:val="16"/>
                <w:color w:val="auto"/>
                <w:w w:val="71"/>
              </w:rPr>
              <w:t>1998 -------</w:t>
            </w:r>
          </w:p>
        </w:tc>
        <w:tc>
          <w:tcPr>
            <w:tcW w:w="35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 (DOLLARS IN</w:t>
            </w:r>
          </w:p>
        </w:tc>
      </w:tr>
      <w:tr>
        <w:trPr>
          <w:trHeight w:val="201"/>
        </w:trPr>
        <w:tc>
          <w:tcPr>
            <w:tcW w:w="1060" w:type="dxa"/>
            <w:vAlign w:val="bottom"/>
          </w:tcPr>
          <w:p>
            <w:pPr>
              <w:spacing w:after="0"/>
              <w:rPr>
                <w:sz w:val="17"/>
                <w:szCs w:val="17"/>
                <w:color w:val="auto"/>
              </w:rPr>
            </w:pPr>
          </w:p>
        </w:tc>
        <w:tc>
          <w:tcPr>
            <w:tcW w:w="3500" w:type="dxa"/>
            <w:vAlign w:val="bottom"/>
            <w:gridSpan w:val="2"/>
          </w:tcPr>
          <w:p>
            <w:pPr>
              <w:jc w:val="center"/>
              <w:ind w:right="913"/>
              <w:spacing w:after="0"/>
              <w:rPr>
                <w:sz w:val="20"/>
                <w:szCs w:val="20"/>
                <w:color w:val="auto"/>
              </w:rPr>
            </w:pPr>
            <w:r>
              <w:rPr>
                <w:rFonts w:ascii="Courier New" w:cs="Courier New" w:eastAsia="Courier New" w:hAnsi="Courier New"/>
                <w:sz w:val="17"/>
                <w:szCs w:val="17"/>
                <w:color w:val="auto"/>
              </w:rPr>
              <w:t>MILLIONS) Business</w:t>
            </w:r>
          </w:p>
        </w:tc>
      </w:tr>
      <w:tr>
        <w:trPr>
          <w:trHeight w:val="201"/>
        </w:trPr>
        <w:tc>
          <w:tcPr>
            <w:tcW w:w="1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Services...........................</w:t>
            </w:r>
          </w:p>
        </w:tc>
        <w:tc>
          <w:tcPr>
            <w:tcW w:w="2660" w:type="dxa"/>
            <w:vAlign w:val="bottom"/>
          </w:tcPr>
          <w:p>
            <w:pPr>
              <w:jc w:val="right"/>
              <w:spacing w:after="0"/>
              <w:rPr>
                <w:sz w:val="20"/>
                <w:szCs w:val="20"/>
                <w:color w:val="auto"/>
              </w:rPr>
            </w:pPr>
            <w:r>
              <w:rPr>
                <w:rFonts w:ascii="Courier New" w:cs="Courier New" w:eastAsia="Courier New" w:hAnsi="Courier New"/>
                <w:sz w:val="17"/>
                <w:szCs w:val="17"/>
                <w:color w:val="auto"/>
              </w:rPr>
              <w:t>$28,900</w:t>
            </w:r>
          </w:p>
        </w:tc>
      </w:tr>
      <w:tr>
        <w:trPr>
          <w:trHeight w:val="201"/>
        </w:trPr>
        <w:tc>
          <w:tcPr>
            <w:tcW w:w="106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$28,692</w:t>
            </w:r>
          </w:p>
        </w:tc>
        <w:tc>
          <w:tcPr>
            <w:tcW w:w="266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$25,357 Consumer</w:t>
            </w:r>
          </w:p>
        </w:tc>
      </w:tr>
      <w:tr>
        <w:trPr>
          <w:trHeight w:val="201"/>
        </w:trPr>
        <w:tc>
          <w:tcPr>
            <w:tcW w:w="1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Services...........................</w:t>
            </w:r>
          </w:p>
        </w:tc>
        <w:tc>
          <w:tcPr>
            <w:tcW w:w="2660" w:type="dxa"/>
            <w:vAlign w:val="bottom"/>
          </w:tcPr>
          <w:p>
            <w:pPr>
              <w:jc w:val="right"/>
              <w:spacing w:after="0"/>
              <w:rPr>
                <w:sz w:val="20"/>
                <w:szCs w:val="20"/>
                <w:color w:val="auto"/>
              </w:rPr>
            </w:pPr>
            <w:r>
              <w:rPr>
                <w:rFonts w:ascii="Courier New" w:cs="Courier New" w:eastAsia="Courier New" w:hAnsi="Courier New"/>
                <w:sz w:val="17"/>
                <w:szCs w:val="17"/>
                <w:color w:val="auto"/>
              </w:rPr>
              <w:t>18,894</w:t>
            </w:r>
          </w:p>
        </w:tc>
      </w:tr>
      <w:tr>
        <w:trPr>
          <w:trHeight w:val="201"/>
        </w:trPr>
        <w:tc>
          <w:tcPr>
            <w:tcW w:w="1060" w:type="dxa"/>
            <w:vAlign w:val="bottom"/>
          </w:tcPr>
          <w:p>
            <w:pPr>
              <w:spacing w:after="0"/>
              <w:rPr>
                <w:sz w:val="17"/>
                <w:szCs w:val="17"/>
                <w:color w:val="auto"/>
              </w:rPr>
            </w:pPr>
          </w:p>
        </w:tc>
        <w:tc>
          <w:tcPr>
            <w:tcW w:w="3500" w:type="dxa"/>
            <w:vAlign w:val="bottom"/>
            <w:gridSpan w:val="2"/>
          </w:tcPr>
          <w:p>
            <w:pPr>
              <w:jc w:val="center"/>
              <w:ind w:right="913"/>
              <w:spacing w:after="0"/>
              <w:rPr>
                <w:sz w:val="20"/>
                <w:szCs w:val="20"/>
                <w:color w:val="auto"/>
              </w:rPr>
            </w:pPr>
            <w:r>
              <w:rPr>
                <w:rFonts w:ascii="Courier New" w:cs="Courier New" w:eastAsia="Courier New" w:hAnsi="Courier New"/>
                <w:sz w:val="17"/>
                <w:szCs w:val="17"/>
                <w:color w:val="auto"/>
              </w:rPr>
              <w:t>21,753 22,763</w:t>
            </w:r>
          </w:p>
        </w:tc>
      </w:tr>
      <w:tr>
        <w:trPr>
          <w:trHeight w:val="201"/>
        </w:trPr>
        <w:tc>
          <w:tcPr>
            <w:tcW w:w="19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Broadband...................................</w:t>
            </w:r>
          </w:p>
        </w:tc>
        <w:tc>
          <w:tcPr>
            <w:tcW w:w="2660" w:type="dxa"/>
            <w:vAlign w:val="bottom"/>
          </w:tcPr>
          <w:p>
            <w:pPr>
              <w:spacing w:after="0"/>
              <w:rPr>
                <w:sz w:val="17"/>
                <w:szCs w:val="17"/>
                <w:color w:val="auto"/>
              </w:rPr>
            </w:pPr>
          </w:p>
        </w:tc>
      </w:tr>
      <w:tr>
        <w:trPr>
          <w:trHeight w:val="201"/>
        </w:trPr>
        <w:tc>
          <w:tcPr>
            <w:tcW w:w="1060" w:type="dxa"/>
            <w:vAlign w:val="bottom"/>
          </w:tcPr>
          <w:p>
            <w:pPr>
              <w:spacing w:after="0"/>
              <w:rPr>
                <w:sz w:val="17"/>
                <w:szCs w:val="17"/>
                <w:color w:val="auto"/>
              </w:rPr>
            </w:pPr>
          </w:p>
        </w:tc>
        <w:tc>
          <w:tcPr>
            <w:tcW w:w="3500" w:type="dxa"/>
            <w:vAlign w:val="bottom"/>
            <w:gridSpan w:val="2"/>
          </w:tcPr>
          <w:p>
            <w:pPr>
              <w:jc w:val="center"/>
              <w:ind w:right="913"/>
              <w:spacing w:after="0"/>
              <w:rPr>
                <w:sz w:val="20"/>
                <w:szCs w:val="20"/>
                <w:color w:val="auto"/>
              </w:rPr>
            </w:pPr>
            <w:r>
              <w:rPr>
                <w:rFonts w:ascii="Courier New" w:cs="Courier New" w:eastAsia="Courier New" w:hAnsi="Courier New"/>
                <w:sz w:val="17"/>
                <w:szCs w:val="17"/>
                <w:color w:val="auto"/>
              </w:rPr>
              <w:t>8,226 5,070 -- Other and</w:t>
            </w:r>
          </w:p>
        </w:tc>
      </w:tr>
      <w:tr>
        <w:trPr>
          <w:trHeight w:val="201"/>
        </w:trPr>
        <w:tc>
          <w:tcPr>
            <w:tcW w:w="19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Corporate.........................</w:t>
            </w:r>
          </w:p>
        </w:tc>
        <w:tc>
          <w:tcPr>
            <w:tcW w:w="26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(487)</w:t>
            </w:r>
          </w:p>
        </w:tc>
      </w:tr>
      <w:tr>
        <w:trPr>
          <w:trHeight w:val="201"/>
        </w:trPr>
        <w:tc>
          <w:tcPr>
            <w:tcW w:w="1060" w:type="dxa"/>
            <w:vAlign w:val="bottom"/>
          </w:tcPr>
          <w:p>
            <w:pPr>
              <w:spacing w:after="0"/>
              <w:rPr>
                <w:sz w:val="17"/>
                <w:szCs w:val="17"/>
                <w:color w:val="auto"/>
              </w:rPr>
            </w:pPr>
          </w:p>
        </w:tc>
        <w:tc>
          <w:tcPr>
            <w:tcW w:w="3500" w:type="dxa"/>
            <w:vAlign w:val="bottom"/>
            <w:gridSpan w:val="2"/>
          </w:tcPr>
          <w:p>
            <w:pPr>
              <w:jc w:val="center"/>
              <w:ind w:right="913"/>
              <w:spacing w:after="0"/>
              <w:rPr>
                <w:sz w:val="20"/>
                <w:szCs w:val="20"/>
                <w:color w:val="auto"/>
              </w:rPr>
            </w:pPr>
            <w:r>
              <w:rPr>
                <w:rFonts w:ascii="Courier New" w:cs="Courier New" w:eastAsia="Courier New" w:hAnsi="Courier New"/>
                <w:sz w:val="17"/>
                <w:szCs w:val="17"/>
                <w:color w:val="auto"/>
              </w:rPr>
              <w:t>(542) (303) Total</w:t>
            </w:r>
          </w:p>
        </w:tc>
      </w:tr>
      <w:tr>
        <w:trPr>
          <w:trHeight w:val="201"/>
        </w:trPr>
        <w:tc>
          <w:tcPr>
            <w:tcW w:w="1060" w:type="dxa"/>
            <w:vAlign w:val="bottom"/>
          </w:tcPr>
          <w:p>
            <w:pPr>
              <w:ind w:left="320"/>
              <w:spacing w:after="0"/>
              <w:rPr>
                <w:sz w:val="20"/>
                <w:szCs w:val="20"/>
                <w:color w:val="auto"/>
              </w:rPr>
            </w:pPr>
            <w:r>
              <w:rPr>
                <w:rFonts w:ascii="Courier New" w:cs="Courier New" w:eastAsia="Courier New" w:hAnsi="Courier New"/>
                <w:sz w:val="17"/>
                <w:szCs w:val="17"/>
                <w:color w:val="auto"/>
              </w:rPr>
              <w:t>Revenue</w:t>
            </w:r>
          </w:p>
        </w:tc>
        <w:tc>
          <w:tcPr>
            <w:tcW w:w="35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r>
      <w:tr>
        <w:trPr>
          <w:trHeight w:val="201"/>
        </w:trPr>
        <w:tc>
          <w:tcPr>
            <w:tcW w:w="10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$55,533</w:t>
            </w:r>
          </w:p>
        </w:tc>
        <w:tc>
          <w:tcPr>
            <w:tcW w:w="266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$54,973 $47,817</w:t>
            </w:r>
          </w:p>
        </w:tc>
      </w:tr>
    </w:tbl>
    <w:p>
      <w:pPr>
        <w:spacing w:after="0" w:line="200" w:lineRule="exact"/>
        <w:rPr>
          <w:sz w:val="20"/>
          <w:szCs w:val="20"/>
          <w:color w:val="auto"/>
        </w:rPr>
      </w:pPr>
    </w:p>
    <w:p>
      <w:pPr>
        <w:spacing w:after="0" w:line="207"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Total revenue increased 1.0%, or $0.6 billion, in 2000 compared with the prior year primarily driven by a growing demand for AT&amp;T's Internet protocol (IP) products and outsourcing and broadband services of approximately $2.2 billion and the impact of acquisitions and the consolidation of Excite@Home, offset by the impact of Concert, dispositions and the elimination of PICC of approximately $1.5 billion. These revenue increases were offset by continued declines in long distance voice revenue of approximately $2.9 billion. AT&amp;T expects long distance revenue to continue to be negatively impacted by ongoing competition and product substitution.</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Total revenue in 1999 increased $7.2 billion, or 15.0%, compared with 1998. Approximately $6.5 billion of the increase was due to acquisitions, net of dispositions. The remaining increase was fueled by growth in business data, business long distance voice and outsourcing revenue, partially offset by the continued decline of consumer long distance voice revenue.</w:t>
      </w:r>
    </w:p>
    <w:p>
      <w:pPr>
        <w:spacing w:after="0" w:line="197"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Revenue by segment is discussed in greater detail in the segment results section.</w:t>
      </w:r>
    </w:p>
    <w:p>
      <w:pPr>
        <w:spacing w:after="0" w:line="192"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FOR THE YEARS ENDED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DECEMBER 31,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------------------ 2000</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1999 1998 ------- -------</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(DOLLARS IN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MILLIONS) Access and other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connection.................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$13,140 $14,439 $15,116</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Access and other connection expenses decreased 9.0%, to $13.1 billion in 2000, compared with $14.4 billion in 1999. Included within access and other connection expenses are costs that AT&amp;T pays to connect domestic calls on the facilities of other service providers. Mandated reductions in per-minute access costs and decreased per-line charges resulted in lower costs of approximately $1.5 billion. Also contributing to the decrease was more efficient network usage. These decreases were partially offset by approximately $0.6 billion of higher costs due to volume increases, and $0.5 billion as a result of higher Universal Service Fund contributions. Since most of these charges are passed through to the customer, the per-minute access-rate and per-line charge reductions and the increased Universal Service Fund contributions have generally</w:t>
      </w:r>
    </w:p>
    <w:p>
      <w:pPr>
        <w:sectPr>
          <w:pgSz w:w="11900" w:h="16838" w:orient="portrait"/>
          <w:cols w:equalWidth="0" w:num="1">
            <w:col w:w="10219"/>
          </w:cols>
          <w:pgMar w:left="240" w:top="719" w:right="1440" w:bottom="0" w:gutter="0" w:footer="0" w:header="0"/>
        </w:sectPr>
      </w:pPr>
    </w:p>
    <w:bookmarkStart w:id="176" w:name="page177"/>
    <w:bookmarkEnd w:id="176"/>
    <w:p>
      <w:pPr>
        <w:spacing w:after="0"/>
        <w:rPr>
          <w:sz w:val="20"/>
          <w:szCs w:val="20"/>
          <w:color w:val="auto"/>
        </w:rPr>
      </w:pPr>
      <w:r>
        <w:rPr>
          <w:rFonts w:ascii="Courier New" w:cs="Courier New" w:eastAsia="Courier New" w:hAnsi="Courier New"/>
          <w:sz w:val="17"/>
          <w:szCs w:val="17"/>
          <w:color w:val="auto"/>
        </w:rPr>
        <w:t>resulted in a corresponding impact on revenue.</w:t>
      </w:r>
    </w:p>
    <w:p>
      <w:pPr>
        <w:sectPr>
          <w:pgSz w:w="11900" w:h="16838" w:orient="portrait"/>
          <w:cols w:equalWidth="0" w:num="1">
            <w:col w:w="10219"/>
          </w:cols>
          <w:pgMar w:left="240" w:top="142" w:right="1440" w:bottom="1440" w:gutter="0" w:footer="0" w:header="0"/>
        </w:sectPr>
      </w:pP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VI-22</w:t>
      </w:r>
    </w:p>
    <w:p>
      <w:pPr>
        <w:sectPr>
          <w:pgSz w:w="11900" w:h="16838" w:orient="portrait"/>
          <w:cols w:equalWidth="0" w:num="1">
            <w:col w:w="10219"/>
          </w:cols>
          <w:pgMar w:left="240" w:top="142" w:right="1440" w:bottom="1440" w:gutter="0" w:footer="0" w:header="0"/>
          <w:type w:val="continuous"/>
        </w:sectPr>
      </w:pPr>
    </w:p>
    <w:bookmarkStart w:id="177" w:name="page178"/>
    <w:bookmarkEnd w:id="177"/>
    <w:p>
      <w:pPr>
        <w:ind w:right="1839" w:firstLine="524"/>
        <w:spacing w:after="0" w:line="251" w:lineRule="auto"/>
        <w:rPr>
          <w:sz w:val="20"/>
          <w:szCs w:val="20"/>
          <w:color w:val="auto"/>
        </w:rPr>
      </w:pPr>
      <w:r>
        <w:rPr>
          <w:rFonts w:ascii="Courier New" w:cs="Courier New" w:eastAsia="Courier New" w:hAnsi="Courier New"/>
          <w:sz w:val="17"/>
          <w:szCs w:val="17"/>
          <w:color w:val="auto"/>
        </w:rPr>
        <w:t>Costs paid to telephone companies outside of the United States to connect calls made to countries outside of the United States (international settlements) are also included within access and other connection expenses. These costs decreased approximately $0.5 billion in 2000, as result of the commencement of operations of Concert. Concert now incurs most of AT&amp;T's international settlements as well as earns most of AT&amp;T's foreign-billed revenue, previously incurred and earned directly by AT&amp;T. In 2000, Concert billed AT&amp;T a net expense composed of international settlement (interconnection) expense and foreign-billed revenue. The amount charged by Concert in 2000 was lower than interconnection expense incurred in 1999, since AT&amp;T recorded these transactions as revenue and expense, as applicable. Partially offsetting the decline were costs incurred related to Concert products that AT&amp;T now sells to its customers.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Access and other connection expenses declined $0.7 billion, or 4.5%, in 1999 compared with the prior year. This decline resulted from $0.9 billion of mandated reductions in per-minute access rates in 1999 and 1998, and $0.6 billion of lower international settlement rates resulting from AT&amp;T's negotiations with international carriers. Additionally, AT&amp;T continues to manage these costs through more efficient network usage. These reductions were partially offset by $0.8 billion of higher costs due to volume growth, and $0.3 billion as a result of increased per-line charges and Universal Service Fund contributions.</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w w:val="72"/>
              </w:rPr>
              <w:t>----------------------------</w:t>
            </w:r>
          </w:p>
        </w:tc>
        <w:tc>
          <w:tcPr>
            <w:tcW w:w="1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2000</w:t>
            </w:r>
          </w:p>
        </w:tc>
      </w:tr>
      <w:tr>
        <w:trPr>
          <w:trHeight w:val="201"/>
        </w:trPr>
        <w:tc>
          <w:tcPr>
            <w:tcW w:w="2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1999 1998 ---------</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r>
    </w:tbl>
    <w:p>
      <w:pPr>
        <w:spacing w:after="0" w:line="4" w:lineRule="exact"/>
        <w:rPr>
          <w:sz w:val="20"/>
          <w:szCs w:val="20"/>
          <w:color w:val="auto"/>
        </w:rPr>
      </w:pPr>
    </w:p>
    <w:p>
      <w:pPr>
        <w:ind w:left="1360" w:right="6539" w:hanging="1041"/>
        <w:spacing w:after="0" w:line="251" w:lineRule="auto"/>
        <w:tabs>
          <w:tab w:leader="none" w:pos="522" w:val="left"/>
        </w:tabs>
        <w:numPr>
          <w:ilvl w:val="0"/>
          <w:numId w:val="2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Costs of services and</w:t>
      </w:r>
    </w:p>
    <w:p>
      <w:pPr>
        <w:spacing w:after="0"/>
        <w:rPr>
          <w:sz w:val="20"/>
          <w:szCs w:val="20"/>
          <w:color w:val="auto"/>
        </w:rPr>
      </w:pPr>
      <w:r>
        <w:rPr>
          <w:rFonts w:ascii="Courier New" w:cs="Courier New" w:eastAsia="Courier New" w:hAnsi="Courier New"/>
          <w:sz w:val="17"/>
          <w:szCs w:val="17"/>
          <w:color w:val="auto"/>
        </w:rPr>
        <w:t>products..............................</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$12,795 $11,013 $8,285</w:t>
      </w:r>
    </w:p>
    <w:p>
      <w:pPr>
        <w:spacing w:after="0" w:line="200" w:lineRule="exact"/>
        <w:rPr>
          <w:sz w:val="20"/>
          <w:szCs w:val="20"/>
          <w:color w:val="auto"/>
        </w:rPr>
      </w:pPr>
    </w:p>
    <w:p>
      <w:pPr>
        <w:spacing w:after="0" w:line="212" w:lineRule="exact"/>
        <w:rPr>
          <w:sz w:val="20"/>
          <w:szCs w:val="20"/>
          <w:color w:val="auto"/>
        </w:rPr>
      </w:pPr>
    </w:p>
    <w:p>
      <w:pPr>
        <w:ind w:right="2359" w:firstLine="524"/>
        <w:spacing w:after="0" w:line="253" w:lineRule="auto"/>
        <w:rPr>
          <w:sz w:val="20"/>
          <w:szCs w:val="20"/>
          <w:color w:val="auto"/>
        </w:rPr>
      </w:pPr>
      <w:r>
        <w:rPr>
          <w:rFonts w:ascii="Courier New" w:cs="Courier New" w:eastAsia="Courier New" w:hAnsi="Courier New"/>
          <w:sz w:val="17"/>
          <w:szCs w:val="17"/>
          <w:color w:val="auto"/>
        </w:rPr>
        <w:t>Costs of services and products include the costs of operating and maintaining AT&amp;T's networks, costs to support AT&amp;T's outsourcing contracts, programming and licensing costs for cable services, the provision for uncollectible receivables and other service-related costs.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These costs increased $1.8 billion, or 16.2%, in 2000 compared with 1999. Nearly $1.9 billion of the increase was due to acquisitions and the impact of consolidating Excite@Home, net of the impact of Concert and divestments of international businesses. Expense also increased due to higher costs associated with new outsourcing contracts of approximately $0.5 billion and approximately $0.3 billion of higher video-programming costs principally due to rate increases and higher costs associated with new broadband services. These increases were partially offset by approximately $0.9 billion of costs savings from continued cost control initiatives and a higher pension credit in 2000, primarily driven by a higher pension trust asset base, resulting from increased investment returns.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Costs of services and products rose $2.7 billion, or 32.9%, in 1999 compared with 1998, primarily due to acquisitions, net of dispositions, which accounted for approximately $3.6 billion of the increase. The higher costs associated with new outsourcing contracts increased expenses by approximately $0.2 billion. Partially offsetting the 1999 increases were network cost-control initiatives of approximately $0.4 billion, and approximately $0.3 billion of lower expenses in Business Services related to per-call compensation expense, provision for uncollectible receivables and gross receipts and property taxes.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--------------------------- 2000 1999</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1998 -------- --------- ---------</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(DOLLARS IN MILLIONS) Selling, general</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administrative.........................</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$9,752 $10,894 $10,693</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Selling, general and administrative (SG&amp;A) expenses decreased $1.1 billion, or 10.5%, in 2000 compared with 1999. Approximately $2.0 billion of the decrease was due to savings from continued cost-control initiatives and a higher pension credit in 2000, primarily driven by a higher pension trust asset base, resulting from increased investment returns. Partially offsetting this decrease was approximately $0.5 billion of higher expenses associated with AT&amp;T's growing broadband business, and nearly $0.5 billion of expenses associated with acquisitions and the consolidation of Excite@Home, net of the impact of Concert and dispositions.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VI-23</w:t>
      </w:r>
    </w:p>
    <w:p>
      <w:pPr>
        <w:sectPr>
          <w:pgSz w:w="11900" w:h="16838" w:orient="portrait"/>
          <w:cols w:equalWidth="0" w:num="1">
            <w:col w:w="10219"/>
          </w:cols>
          <w:pgMar w:left="240" w:top="719" w:right="1440" w:bottom="0" w:gutter="0" w:footer="0" w:header="0"/>
        </w:sectPr>
      </w:pPr>
    </w:p>
    <w:bookmarkStart w:id="178" w:name="page179"/>
    <w:bookmarkEnd w:id="178"/>
    <w:p>
      <w:pPr>
        <w:ind w:right="1939" w:firstLine="524"/>
        <w:spacing w:after="0" w:line="252" w:lineRule="auto"/>
        <w:rPr>
          <w:sz w:val="20"/>
          <w:szCs w:val="20"/>
          <w:color w:val="auto"/>
        </w:rPr>
      </w:pPr>
      <w:r>
        <w:rPr>
          <w:rFonts w:ascii="Courier New" w:cs="Courier New" w:eastAsia="Courier New" w:hAnsi="Courier New"/>
          <w:sz w:val="17"/>
          <w:szCs w:val="17"/>
          <w:color w:val="auto"/>
        </w:rPr>
        <w:t>SG&amp;A expenses increased $0.2 billion, or 1.9%, in 1999 compared with 1998. This increase was primarily due to acquisitions, net of dispositions, which resulted in an increase in SG&amp;A expenses of approximately $1.2 billion. Largely offsetting this increase were AT&amp;T's continued efforts to control costs on a companywide basis, which resulted in lower SG&amp;A expenses of approximately $0.9 billion, including lower spending for consumer long distance acquisition-programs.</w:t>
      </w:r>
    </w:p>
    <w:p>
      <w:pPr>
        <w:spacing w:after="0" w:line="196"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----------------------------- 2000</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1999 1998 -------- -------- --------</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(DOLLARS IN MILLIONS) Depreciation</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and other</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amortization.........................</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$5,924 $5,137 $3,533</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Depreciation and other amortization expenses rose $0.8 billion, or 15.3%, in 2000 compared with 1999 and increased $1.6 billion, or 45.4%, in 1999 compared with 1998. Approximately $0.5 billion of the increase in 2000 compared with 1999 and $0.9 billion of the increase in 1999 compared with 1998, respectively was due to acquisitions and the consolidation of Excite@Home, net of dispositions and the impact of Concert, as applicable. The remaining increase was primarily due to a higher asset base resulting from continued infrastructure investment. Total capital expenditures for 2000, 1999 and 1998 were $10.4 billion, $11.2 billion and $6.9 billion, respectively. AT&amp;T continues to focus the vast majority of its capital spending on its growth businesses of broadband, data and IP and local.</w:t>
      </w:r>
    </w:p>
    <w:p>
      <w:pPr>
        <w:spacing w:after="0" w:line="200" w:lineRule="exact"/>
        <w:rPr>
          <w:sz w:val="20"/>
          <w:szCs w:val="20"/>
          <w:color w:val="auto"/>
        </w:rPr>
      </w:pP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980" w:type="dxa"/>
            <w:vAlign w:val="bottom"/>
          </w:tcPr>
          <w:p>
            <w:pPr>
              <w:spacing w:after="0"/>
              <w:rPr>
                <w:sz w:val="20"/>
                <w:szCs w:val="20"/>
                <w:color w:val="auto"/>
              </w:rPr>
            </w:pPr>
            <w:r>
              <w:rPr>
                <w:rFonts w:ascii="Courier New" w:cs="Courier New" w:eastAsia="Courier New" w:hAnsi="Courier New"/>
                <w:sz w:val="17"/>
                <w:szCs w:val="17"/>
                <w:color w:val="auto"/>
              </w:rPr>
              <w:t>FOR THE YEARS ENDED DECEMBER</w:t>
            </w:r>
          </w:p>
        </w:tc>
        <w:tc>
          <w:tcPr>
            <w:tcW w:w="1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31, --------------</w:t>
            </w:r>
          </w:p>
        </w:tc>
      </w:tr>
      <w:tr>
        <w:trPr>
          <w:trHeight w:val="201"/>
        </w:trPr>
        <w:tc>
          <w:tcPr>
            <w:tcW w:w="2980" w:type="dxa"/>
            <w:vAlign w:val="bottom"/>
          </w:tcPr>
          <w:p>
            <w:pPr>
              <w:spacing w:after="0"/>
              <w:rPr>
                <w:sz w:val="20"/>
                <w:szCs w:val="20"/>
                <w:color w:val="auto"/>
              </w:rPr>
            </w:pPr>
            <w:r>
              <w:rPr>
                <w:rFonts w:ascii="Courier New" w:cs="Courier New" w:eastAsia="Courier New" w:hAnsi="Courier New"/>
                <w:sz w:val="17"/>
                <w:szCs w:val="17"/>
                <w:color w:val="auto"/>
              </w:rPr>
              <w:t>------------------ 2000 1999</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1998 --------</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4" w:lineRule="exact"/>
        <w:rPr>
          <w:sz w:val="20"/>
          <w:szCs w:val="20"/>
          <w:color w:val="auto"/>
        </w:rPr>
      </w:pPr>
    </w:p>
    <w:p>
      <w:pPr>
        <w:ind w:left="520" w:right="5299" w:hanging="411"/>
        <w:spacing w:after="0" w:line="251" w:lineRule="auto"/>
        <w:tabs>
          <w:tab w:leader="none" w:pos="625"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Amortization of goodwill, franchise costs and other</w:t>
      </w:r>
    </w:p>
    <w:p>
      <w:pPr>
        <w:jc w:val="center"/>
        <w:ind w:right="5199"/>
        <w:spacing w:after="0"/>
        <w:rPr>
          <w:sz w:val="20"/>
          <w:szCs w:val="20"/>
          <w:color w:val="auto"/>
        </w:rPr>
      </w:pPr>
      <w:r>
        <w:rPr>
          <w:rFonts w:ascii="Courier New" w:cs="Courier New" w:eastAsia="Courier New" w:hAnsi="Courier New"/>
          <w:sz w:val="17"/>
          <w:szCs w:val="17"/>
          <w:color w:val="auto"/>
        </w:rPr>
        <w:t>purchased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intangibles.....................................</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$2,665 $1,057 $44</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Amortization of goodwill, franchise costs and other purchased intangibles increased $1.6 billion, or 152.3%, in 2000 compared with the prior year. This increase was largely attributable to the consolidation of Excite@Home, as well as acquisitions, primarily MediaOne and TCI. Franchise costs represent the value attributable to agreements with local authorities that allow access to homes in Broadband's service areas. Other purchased intangibles arising from business combinations primarily included customer relationships.</w:t>
      </w:r>
    </w:p>
    <w:p>
      <w:pPr>
        <w:spacing w:after="0" w:line="196"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Amortization of goodwill, franchise costs and other purchased intangibles increased $1.0 billion in 1999 compared with 1998 due primarily to the acquisition of TCI and, to a lesser extent, AGNS.</w:t>
      </w:r>
    </w:p>
    <w:p>
      <w:pPr>
        <w:spacing w:after="0" w:line="194"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As a result of AT&amp;T's evaluation of recent changes in its industry and the views of regulatory authorities, AT&amp;T expects that the amortization period for all licensing costs, franchise costs, and goodwill associated with newly acquired telecommunications and cable operations will not exceed 25 years.</w:t>
      </w:r>
    </w:p>
    <w:p>
      <w:pPr>
        <w:spacing w:after="0" w:line="195"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FOR THE YEARS ENDED DECEMBER</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31, ---------------------------</w:t>
      </w:r>
    </w:p>
    <w:p>
      <w:pPr>
        <w:spacing w:after="0" w:line="9" w:lineRule="exact"/>
        <w:rPr>
          <w:sz w:val="20"/>
          <w:szCs w:val="20"/>
          <w:color w:val="auto"/>
        </w:rPr>
      </w:pPr>
    </w:p>
    <w:p>
      <w:pPr>
        <w:ind w:left="680" w:hanging="624"/>
        <w:spacing w:after="0"/>
        <w:tabs>
          <w:tab w:leader="none" w:pos="680" w:val="left"/>
        </w:tabs>
        <w:numPr>
          <w:ilvl w:val="0"/>
          <w:numId w:val="2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2000 1999 1998 -------- -</w:t>
      </w:r>
    </w:p>
    <w:p>
      <w:pPr>
        <w:spacing w:after="0" w:line="8" w:lineRule="exact"/>
        <w:rPr>
          <w:rFonts w:ascii="Courier New" w:cs="Courier New" w:eastAsia="Courier New" w:hAnsi="Courier New"/>
          <w:sz w:val="17"/>
          <w:szCs w:val="17"/>
          <w:color w:val="auto"/>
        </w:rPr>
      </w:pPr>
    </w:p>
    <w:p>
      <w:pPr>
        <w:ind w:left="60" w:right="6919" w:firstLine="258"/>
        <w:spacing w:after="0" w:line="251" w:lineRule="auto"/>
        <w:tabs>
          <w:tab w:leader="none" w:pos="950" w:val="left"/>
        </w:tabs>
        <w:numPr>
          <w:ilvl w:val="1"/>
          <w:numId w:val="2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Net restructuring and</w:t>
      </w:r>
    </w:p>
    <w:p>
      <w:pPr>
        <w:ind w:left="1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other</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charges.........................</w:t>
      </w:r>
    </w:p>
    <w:p>
      <w:pPr>
        <w:spacing w:after="0" w:line="8" w:lineRule="exact"/>
        <w:rPr>
          <w:rFonts w:ascii="Courier New" w:cs="Courier New" w:eastAsia="Courier New" w:hAnsi="Courier New"/>
          <w:sz w:val="17"/>
          <w:szCs w:val="17"/>
          <w:color w:val="auto"/>
        </w:rPr>
      </w:pP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$7,029 $975 $2,514</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During 2000, AT&amp;T recorded $7.0 billion of net restructuring and other charges, which had an approximate $0.90 earnings per diluted share impact to the AT&amp;T Common Stock Group. The 2000 charge included $6.2 billion of asset impairment charges related to Excite@Home, $759 million for restructuring and exit costs associated with AT&amp;T's initiative to reduce costs, and $91 million related to the government-mandated disposition of AT&amp;T Communications (U.K.) Ltd., which would have competed directly with Concert.</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asset impairment charges related to Excite@Home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Accordingly, Excite@Home conducted a detailed assessment of the recoverability of the carrying amounts of</w:t>
      </w:r>
    </w:p>
    <w:p>
      <w:pPr>
        <w:sectPr>
          <w:pgSz w:w="11900" w:h="16838" w:orient="portrait"/>
          <w:cols w:equalWidth="0" w:num="1">
            <w:col w:w="10219"/>
          </w:cols>
          <w:pgMar w:left="240" w:top="719" w:right="1440" w:bottom="0" w:gutter="0" w:footer="0" w:header="0"/>
        </w:sectPr>
      </w:pPr>
    </w:p>
    <w:bookmarkStart w:id="179" w:name="page180"/>
    <w:bookmarkEnd w:id="179"/>
    <w:p>
      <w:pPr>
        <w:ind w:right="2259"/>
        <w:spacing w:after="0" w:line="253" w:lineRule="auto"/>
        <w:rPr>
          <w:sz w:val="20"/>
          <w:szCs w:val="20"/>
          <w:color w:val="auto"/>
        </w:rPr>
      </w:pPr>
      <w:r>
        <w:rPr>
          <w:rFonts w:ascii="Courier New" w:cs="Courier New" w:eastAsia="Courier New" w:hAnsi="Courier New"/>
          <w:sz w:val="17"/>
          <w:szCs w:val="17"/>
          <w:color w:val="auto"/>
        </w:rPr>
        <w:t>acquired intangible assets. This assessment resulted in a determination that certain acquired intangible assets, including goodwill, related to these acquisitions, including Excite, were impaired as of December 31, 2000. As a result, Excite@Home recorded</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VI-24</w:t>
      </w:r>
    </w:p>
    <w:p>
      <w:pPr>
        <w:sectPr>
          <w:pgSz w:w="11900" w:h="16838" w:orient="portrait"/>
          <w:cols w:equalWidth="0" w:num="1">
            <w:col w:w="10219"/>
          </w:cols>
          <w:pgMar w:left="240" w:top="142" w:right="1440" w:bottom="1440" w:gutter="0" w:footer="0" w:header="0"/>
        </w:sectPr>
      </w:pPr>
    </w:p>
    <w:bookmarkStart w:id="180" w:name="page181"/>
    <w:bookmarkEnd w:id="180"/>
    <w:p>
      <w:pPr>
        <w:ind w:right="1939"/>
        <w:spacing w:after="0" w:line="257" w:lineRule="auto"/>
        <w:rPr>
          <w:sz w:val="20"/>
          <w:szCs w:val="20"/>
          <w:color w:val="auto"/>
        </w:rPr>
      </w:pPr>
      <w:r>
        <w:rPr>
          <w:rFonts w:ascii="Courier New" w:cs="Courier New" w:eastAsia="Courier New" w:hAnsi="Courier New"/>
          <w:sz w:val="17"/>
          <w:szCs w:val="17"/>
          <w:color w:val="auto"/>
        </w:rPr>
        <w:t>impairment charges of $4.6 billion in December 2000, representing the excess of the carrying amount of the impaired assets over their fair value.</w:t>
      </w:r>
    </w:p>
    <w:p>
      <w:pPr>
        <w:spacing w:after="0" w:line="192"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The impairment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95"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Since AT&amp;T owns approximately 23% of Excite@Home, 77% of the charge recorded by Excite@Home was not included as a reduction to AT&amp;T's net income, but rather was eliminated in AT&amp;T's 2000 Consolidated Statement of Income as "Minority interest income (expense)."</w:t>
      </w:r>
    </w:p>
    <w:p>
      <w:pPr>
        <w:spacing w:after="0" w:line="195" w:lineRule="exact"/>
        <w:rPr>
          <w:sz w:val="20"/>
          <w:szCs w:val="20"/>
          <w:color w:val="auto"/>
        </w:rPr>
      </w:pPr>
    </w:p>
    <w:p>
      <w:pPr>
        <w:ind w:right="2259" w:firstLine="524"/>
        <w:spacing w:after="0" w:line="252" w:lineRule="auto"/>
        <w:rPr>
          <w:sz w:val="20"/>
          <w:szCs w:val="20"/>
          <w:color w:val="auto"/>
        </w:rPr>
      </w:pPr>
      <w:r>
        <w:rPr>
          <w:rFonts w:ascii="Courier New" w:cs="Courier New" w:eastAsia="Courier New" w:hAnsi="Courier New"/>
          <w:sz w:val="17"/>
          <w:szCs w:val="17"/>
          <w:color w:val="auto"/>
        </w:rPr>
        <w:t>Also as a result of the foregoing, AT&amp;T recorded a goodwill and acquisition-related impairment charge of $1.6 billion associated with the acquisition of its investment in Excite@Home. The write-down of AT&amp;T's investment to fair value was determined utilizing discounted expected future cash flows.</w:t>
      </w:r>
    </w:p>
    <w:p>
      <w:pPr>
        <w:spacing w:after="0" w:line="19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The $759 million charge for restructuring and exit plans was primarily due to headcount reductions, mainly in network operations and Business Services, including the consolidation of customer-care and call centers, as well as synergies created by the MediaOne merger.</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Included in exit costs was $503 million of cash termination benefits associated with the separation of approximately 7,300 employees as part of voluntary and involuntary termination plans. Approximately one-half of the separations were management employees and one-half were nonmanagement employees. Approximately 6,700 employee separations were related to involuntary terminations and approximately 600 to voluntary terminations.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also recorded $62 million of network lease and other contract termination costs associated with penalties incurred as part of notifying vendors of the termination of these contracts during the year, and net losses of $32 million related to the disposition of facilities primarily due to synergies created by the MediaOne merger.</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Also included in restructuring and exit costs in 2000 was $144 million of benefit plan curtailment costs associated with employee separations as part of these exit plans. Further, AT&amp;T recorded an asset impairment charge of $18 million related to the write-down of unrecoverable assets in certain businesses where the carrying value was no longer supported by estimated future cash flows.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2000 restructuring initiatives are projected to yield cash savings of approximately $690 million per year, as well as EBIT (earnings before interest and taxes, including pretax minority interest and net pretax losses from other equity investments) savings of approximately $700 million per year. AT&amp;T expects increased spending in growth businesses will largely offset these cash and EBIT savings. The EBIT savings, primarily attributable to reduced personnel-related expenses, will be realized in SG&amp;A expenses and costs of services and products.</w:t>
      </w:r>
    </w:p>
    <w:p>
      <w:pPr>
        <w:spacing w:after="0" w:line="196"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During 1999, AT&amp;T recorded $1.0 billion of net restructuring and other charges, which had an approximate $0.27 earnings per diluted share impact to the AT&amp;T Common Stock Group.</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 $594 million in-process research and development charge was recorded reflecting the estimated fair value of research and development projects at TCI, as of the date of the acquisition, which had not yet reached technological feasibility or had no alternative future use. The projects identified related to efforts to offer voice over IP, product-integration efforts for advanced set-top devices, cost-savings efforts for broadband-telephony implementation, and in-process research and development related to Excite@Home. AT&amp;T estimated the fair value of in-process research and development for each project using an income approach, which was adjusted to allocate fair value based on the project's percentage of completion. Under this approach, the present value of the anticipated future benefits of the projects was determined using a discount rate of 17%. For each project, the resulting net present value was multiplied by a percentage of completion based on effort expended to date versus projected costs to complete.</w:t>
      </w:r>
    </w:p>
    <w:p>
      <w:pPr>
        <w:spacing w:after="0" w:line="202"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The charge associated with voice-over-IP technology, which allows voice telephony traffic to be digitized and transmitted in IP data packets, was $225 million as of the date of acquisition. Current voice-</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VI-25</w:t>
      </w:r>
    </w:p>
    <w:p>
      <w:pPr>
        <w:sectPr>
          <w:pgSz w:w="11900" w:h="16838" w:orient="portrait"/>
          <w:cols w:equalWidth="0" w:num="1">
            <w:col w:w="10219"/>
          </w:cols>
          <w:pgMar w:left="240" w:top="719" w:right="1440" w:bottom="457" w:gutter="0" w:footer="0" w:header="0"/>
        </w:sectPr>
      </w:pPr>
    </w:p>
    <w:bookmarkStart w:id="181" w:name="page182"/>
    <w:bookmarkEnd w:id="181"/>
    <w:p>
      <w:pPr>
        <w:ind w:right="1939"/>
        <w:spacing w:after="0" w:line="252" w:lineRule="auto"/>
        <w:rPr>
          <w:sz w:val="20"/>
          <w:szCs w:val="20"/>
          <w:color w:val="auto"/>
        </w:rPr>
      </w:pPr>
      <w:r>
        <w:rPr>
          <w:rFonts w:ascii="Courier New" w:cs="Courier New" w:eastAsia="Courier New" w:hAnsi="Courier New"/>
          <w:sz w:val="17"/>
          <w:szCs w:val="17"/>
          <w:color w:val="auto"/>
        </w:rPr>
        <w:t>over-IP equipment does not yet support many of the features required to connect customer premises equipment to traditional phone networks. Further technical development is also needed to ensure voice quality that is comparable to conventional circuit-switched telephony and to reduce the power consumption of the IP-telephony equipment. AT&amp;T started testing IP-telephony equipment in the field in late-2000 and will continue tests throughout 2001.</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charge associated with product-integration efforts for advanced set-top devices, which will enable AT&amp;T to offer next-generation digital services, was $114 million as of the acquisition date. The associated technology consists of the development and integration work needed to provide a suite of software tools to run on the digital set-top box hardware platform. It is anticipated that field trials will begin in late-2001 for next-generation digital services.</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charge associated with cost-savings efforts for broadband-telephony implementation was $101 million as of the date of acquisition. Telephony cost reductions primarily consist of cost savings from the development of a "line of power switch," which allows AT&amp;T to cost effectively provide power for customer telephony equipment through the cable plant. This device will allow AT&amp;T to provide line-powered telephony without burying the cable line to each house. Trials related to AT&amp;T's telephony cost reductions are complete, and implementation has begun in certain markets.</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Additionally, the in-process research and development charge related to Excite@Home was valued at $154 million. This charge related to projects to allow for self-provisioning of devices and the development of next-generation client software, network and back-office infrastructure to enable a variety of network devices beyond personal computers and improved design for the regional data centers' infrastructure.</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Although there are technological issues to overcome to successfully complete the acquired in-process research and development, AT&amp;T expects successful completion. AT&amp;T estimates the costs to complete the identified projects will not have a material impact on AT&amp;T's results of operations. If, however, AT&amp;T is unable to establish technological feasibility and produce commercially viable products/services, anticipated incremental future cash flows attributable to expected profits from such new products/services may not be realized.</w:t>
      </w:r>
    </w:p>
    <w:p>
      <w:pPr>
        <w:spacing w:after="0" w:line="3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Also in 1999, a $145 million charge for restructuring and exit costs was recorded as part of AT&amp;T's initiative to reduce costs. The restructuring and exit plans primarily focused on the maximization of synergies through headcount reductions in Business Services and network operations, including the consolidation of customer-care and call centers.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Included in exit costs was $142 million of cash termination benefits associated with the separation of approximately 2,800 employees as part of voluntary and involuntary termination plans. Approximately one-half of the separations were management employees and one-half were nonmanagement employees. Approximately 1,700 employee separations were related to involuntary terminations and approximately 1,100 to voluntary terminations.</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1999 restructuring initiatives are projected to yield cash savings of approximately $250 million per year. This restructuring yielded EBIT savings of approximately $260 million in 2000, and is expected to save nearly $260 million per year thereafter. AT&amp;T expects increased spending in growth businesses will largely offset these cash and EBIT savings. The EBIT savings, primarily attributable to reduced personnel-related expenses, will be realized in SG&amp;A expenses and costs of services and products.</w:t>
      </w:r>
    </w:p>
    <w:p>
      <w:pPr>
        <w:spacing w:after="0" w:line="196"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also recorded net losses of $307 million related to the government-mandated disposition of certain international businesses that would have competed directly with Concert, and $50 million related to a contribution agreement Broadband entered into with Phoenixstar, Inc. That agreement requires Broadband to satisfy certain liabilities owed by Phoenixstar and its subsidiaries. The remaining obligation under this contribution agreement and an agreement that MediaOne had is $57 million, which was fully accrued for at December 31, 2000. In addition, AT&amp;T recorded benefits of $121 million related to the settlement of pension obligations for former employees who accepted AT&amp;T's 1998 voluntary retirement incentive program (VRIP) offer.</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VI-26</w:t>
      </w:r>
    </w:p>
    <w:p>
      <w:pPr>
        <w:sectPr>
          <w:pgSz w:w="11900" w:h="16838" w:orient="portrait"/>
          <w:cols w:equalWidth="0" w:num="1">
            <w:col w:w="10219"/>
          </w:cols>
          <w:pgMar w:left="240" w:top="719" w:right="1440" w:bottom="1061" w:gutter="0" w:footer="0" w:header="0"/>
        </w:sectPr>
      </w:pPr>
    </w:p>
    <w:bookmarkStart w:id="182" w:name="page183"/>
    <w:bookmarkEnd w:id="182"/>
    <w:p>
      <w:pPr>
        <w:ind w:right="1839" w:firstLine="524"/>
        <w:spacing w:after="0" w:line="251" w:lineRule="auto"/>
        <w:rPr>
          <w:sz w:val="20"/>
          <w:szCs w:val="20"/>
          <w:color w:val="auto"/>
        </w:rPr>
      </w:pPr>
      <w:r>
        <w:rPr>
          <w:rFonts w:ascii="Courier New" w:cs="Courier New" w:eastAsia="Courier New" w:hAnsi="Courier New"/>
          <w:sz w:val="17"/>
          <w:szCs w:val="17"/>
          <w:color w:val="auto"/>
        </w:rPr>
        <w:t>During 1998, AT&amp;T recorded $2.5 billion of net restructuring and other charges, which had an approximate $0.59 earnings per diluted share impact to the AT&amp;T Common Stock Group. The bulk of the charge was associated with AT&amp;T's overall cost-reduction program and the approximately 15,300 management employees who accepted the VRIP offer. A restructuring charge of $2,724 million was composed of $2,254 million and $169 million for pension and postretirement special-termination benefits, respectively, $263 million of benefit plan curtailment losses and $38 million of other administrative costs. AT&amp;T also recorded charges of $125 million for related facility costs and $150 million for executive-separation costs. These charges were partially offset by benefits of $940 million as AT&amp;T settled pension benefit obligations for 13,700 of the total VRIP employees. In addition, the VRIP charges were partially offset by the reversal of $256 million of 1995 business restructuring reserves primarily resulting from the overlap of VRIP on certain 1995 projects.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Also included in the 1998 net restructuring and other charges were asset impairment charges totaling $718 million, of which $633 million was related to AT&amp;T's decision not to pursue Total Service Resale (TSR) as a local-service strategy. AT&amp;T also recorded an $85 million asset impairment charge related to the write-down of unrecoverable assets in certain international operations where the carrying value was no longer supported by future cash flows. This charge was made in connection with the review of certain operations that would have competed directly with Concert.</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Additionally, $85 million of merger-related expenses were recorded in 1998 in connection with the Teleport Communications Group Inc. (TCG) merger, which was accounted for as a pooling of interests. Partially offsetting these charges was a $92 million reversal of the 1995 restructuring reserve. This reversal reflected reserves no longer deemed necessary. The reversal primarily included separation costs attributed to projects completed at a cost lower than originally anticipated. Consistent with the three-year plan, the 1995 restructuring initiatives were substantially completed by the end of 1998.</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----------------- 2000 1999 1998 -------- -------</w:t>
      </w:r>
    </w:p>
    <w:p>
      <w:pPr>
        <w:spacing w:after="0" w:line="9" w:lineRule="exact"/>
        <w:rPr>
          <w:sz w:val="20"/>
          <w:szCs w:val="20"/>
          <w:color w:val="auto"/>
        </w:rPr>
      </w:pPr>
    </w:p>
    <w:p>
      <w:pPr>
        <w:ind w:right="4979" w:firstLine="374"/>
        <w:spacing w:after="0" w:line="251" w:lineRule="auto"/>
        <w:tabs>
          <w:tab w:leader="none" w:pos="680" w:val="left"/>
        </w:tabs>
        <w:numPr>
          <w:ilvl w:val="0"/>
          <w:numId w:val="2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Operating income............................................</w:t>
      </w:r>
    </w:p>
    <w:p>
      <w:pPr>
        <w:ind w:left="1520"/>
        <w:spacing w:after="0"/>
        <w:rPr>
          <w:sz w:val="20"/>
          <w:szCs w:val="20"/>
          <w:color w:val="auto"/>
        </w:rPr>
      </w:pPr>
      <w:r>
        <w:rPr>
          <w:rFonts w:ascii="Courier New" w:cs="Courier New" w:eastAsia="Courier New" w:hAnsi="Courier New"/>
          <w:sz w:val="17"/>
          <w:szCs w:val="17"/>
          <w:color w:val="auto"/>
        </w:rPr>
        <w:t>$4,228 $11,458 $7,632</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Operating income decreased $7.2 billion, or 63.1%, in 2000 compared with 1999. The decrease was primarily due to higher net restructuring and other charges of $6.1 billion. Also contributing to the decrease was the impact of the acquisition of MediaOne and the consolidation of Excite@Home, which lowered operating income by $1.5 billion. A majority of the impact of operating losses and the restructuring charge generated by Excite@Home was offset in minority interest income (expense), reflecting the approximate 77% of Excite@Home AT&amp;T does not own. Partially offsetting these decreases were cost-control initiatives and a larger pension credit associated with AT&amp;T's mature long distance businesses and related support groups, partially offset by lower long distance revenue.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Operating income rose $3.8 billion, or 50.1%, in 1999 compared with 1998. The increase was driven by approximately $2.2 billion of operating income improvements in Business Services and Consumer Services, reflecting operating expense efficiencies, partially offset by higher restructuring charges for these units. Also contributing to the increase was $1.9 billion of lower net restructuring and other charges for all other units.</w:t>
      </w:r>
    </w:p>
    <w:p>
      <w:pPr>
        <w:spacing w:after="0" w:line="19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jc w:val="center"/>
        <w:ind w:right="4559"/>
        <w:spacing w:after="0" w:line="253" w:lineRule="auto"/>
        <w:rPr>
          <w:sz w:val="20"/>
          <w:szCs w:val="20"/>
          <w:color w:val="auto"/>
        </w:rPr>
      </w:pPr>
      <w:r>
        <w:rPr>
          <w:rFonts w:ascii="Courier New" w:cs="Courier New" w:eastAsia="Courier New" w:hAnsi="Courier New"/>
          <w:sz w:val="17"/>
          <w:szCs w:val="17"/>
          <w:color w:val="auto"/>
        </w:rPr>
        <w:t>------------ 2000 1999 1998 -------- ------ ------ (DOLLARS IN MILLIONS) Other income................................................ $1,150 $826 $812</w:t>
      </w:r>
    </w:p>
    <w:p>
      <w:pPr>
        <w:spacing w:after="0" w:line="396"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Other income increased $0.3 billion, or 39.3%, in 2000 compared with 1999. This increase was primarily due to greater net gains on sales of businesses and investments of approximately $0.7 billion, and higher investment-related income of approximately $0.3 billion. The higher gains on sales were driven by significant gains associated with the swap of cable properties with Comcast Corporation (Comcast) and Cox Communications, Inc. (Cox), the sale of AT&amp;T's investment in Lenfest Communications, Inc. (Lenfest) and related transactions. These gains aggregated approximately $0.5 billion and had an</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VI-27</w:t>
      </w:r>
    </w:p>
    <w:p>
      <w:pPr>
        <w:sectPr>
          <w:pgSz w:w="11900" w:h="16838" w:orient="portrait"/>
          <w:cols w:equalWidth="0" w:num="1">
            <w:col w:w="10219"/>
          </w:cols>
          <w:pgMar w:left="240" w:top="719" w:right="1440" w:bottom="256" w:gutter="0" w:footer="0" w:header="0"/>
        </w:sectPr>
      </w:pPr>
    </w:p>
    <w:bookmarkStart w:id="183" w:name="page184"/>
    <w:bookmarkEnd w:id="183"/>
    <w:p>
      <w:pPr>
        <w:ind w:right="1939"/>
        <w:spacing w:after="0" w:line="251" w:lineRule="auto"/>
        <w:rPr>
          <w:sz w:val="20"/>
          <w:szCs w:val="20"/>
          <w:color w:val="auto"/>
        </w:rPr>
      </w:pPr>
      <w:r>
        <w:rPr>
          <w:rFonts w:ascii="Courier New" w:cs="Courier New" w:eastAsia="Courier New" w:hAnsi="Courier New"/>
          <w:sz w:val="17"/>
          <w:szCs w:val="17"/>
          <w:color w:val="auto"/>
        </w:rPr>
        <w:t>approximate $0.21 earnings per diluted share impact to the AT&amp;T Common Stock Group. In 1999, AT&amp;T recorded significant gains associated with the sale of AT&amp;T's Language Line Services business and a portion of AT&amp;T's ownership interest in AT&amp;T Canada which aggregated approximately $0.3 billion and had an approximate $0.05 earnings per diluted share impact to the AT&amp;T Common Stock Group. Offsetting the increases to other income in 2000 was an approximate $0.5 billion charge reflecting the increase in the fair value of put options held by Comcast and Cox related to Excite@Home stock, and approximately $0.2 billion of higher investment impairment charges.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Other income increased $14 million, or 1.8%, in 1999 compared with 1998. The increase was primarily due to higher net gains on sales of businesses and investments of approximately $0.2 billion offset by lower investment-related income of approximately $0.2 billion. In 1999, AT&amp;T recorded significant gains associated with the sale of its Language Line Services business and a portion of its ownership interest in AT&amp;T Canada which aggregated approximately $0.3 billion and had an approximate $0.05 earnings per diluted share impact to the AT&amp;T Common Stock Group. In 1998, AT&amp;T recorded a significant gain associated with the sale of AT&amp;T Solutions Customer Care of approximately $0.4 billion and had an approximate $0.08 earnings per diluted share impact to the AT&amp;T Common Stock Group.</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--------------- 2000 1999 1998 -------- -------- -</w:t>
      </w:r>
    </w:p>
    <w:p>
      <w:pPr>
        <w:spacing w:after="0" w:line="9" w:lineRule="exact"/>
        <w:rPr>
          <w:sz w:val="20"/>
          <w:szCs w:val="20"/>
          <w:color w:val="auto"/>
        </w:rPr>
      </w:pPr>
    </w:p>
    <w:p>
      <w:pPr>
        <w:ind w:right="4879" w:firstLine="787"/>
        <w:spacing w:after="0" w:line="251" w:lineRule="auto"/>
        <w:tabs>
          <w:tab w:leader="none" w:pos="1408" w:val="left"/>
        </w:tabs>
        <w:numPr>
          <w:ilvl w:val="0"/>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Interest expense............................................</w:t>
      </w:r>
    </w:p>
    <w:p>
      <w:pPr>
        <w:ind w:left="1740"/>
        <w:spacing w:after="0"/>
        <w:rPr>
          <w:sz w:val="20"/>
          <w:szCs w:val="20"/>
          <w:color w:val="auto"/>
        </w:rPr>
      </w:pPr>
      <w:r>
        <w:rPr>
          <w:rFonts w:ascii="Courier New" w:cs="Courier New" w:eastAsia="Courier New" w:hAnsi="Courier New"/>
          <w:sz w:val="17"/>
          <w:szCs w:val="17"/>
          <w:color w:val="auto"/>
        </w:rPr>
        <w:t>$2,964 $1,503 $293</w:t>
      </w:r>
    </w:p>
    <w:p>
      <w:pPr>
        <w:spacing w:after="0" w:line="200" w:lineRule="exact"/>
        <w:rPr>
          <w:sz w:val="20"/>
          <w:szCs w:val="20"/>
          <w:color w:val="auto"/>
        </w:rPr>
      </w:pPr>
    </w:p>
    <w:p>
      <w:pPr>
        <w:spacing w:after="0" w:line="212"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Interest expense increased 97.2%, or $1.5 billion, in 2000 compared with 1999. The increase was primarily due to a higher average debt balance as a result of AT&amp;T's June 2000 acquisition of MediaOne, including outstanding debt of MediaOne and debt issued to fund the MediaOne acquisition, and AT&amp;T's March 1999 acquisition of TCI.</w:t>
      </w:r>
    </w:p>
    <w:p>
      <w:pPr>
        <w:spacing w:after="0" w:line="197"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Interest expense increased $1.2 billion in 1999 compared with 1998, due to a higher average debt balance associated with AT&amp;T's acquisitions, including debt outstanding of TCI at the date of acquisition.</w:t>
      </w:r>
    </w:p>
    <w:p>
      <w:pPr>
        <w:spacing w:after="0" w:line="19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--------------------------- 2000 1999</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1998 -------- -------- --------</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(DOLLARS IN MILLIONS) Provision for</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$3,284 $4,016 $2,989</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effective income tax rate is the provision for income taxes as a percent of income from continuing operations before income taxes. The effective income tax rate was 136.1% in 2000, 37.3% in 1999 and 36.7% in 1998. In 2000, the effective tax rate was negatively impacted by Excite@Home, which is unable to record tax benefits associated with its pretax losses. Therefore the $4.6 billion restructuring charges taken by Excite@Home in 2000 had no associated tax benefit. The 2000 effective tax rate was positively impacted by a tax-free gain resulting from an exchange of AT&amp;T stock for an entity owning certain cable systems and other assets with Cox and the benefit of the write-off of the related deferred tax liability. The 1999 effective tax rate was negatively impacted by a non-tax-deductible research and development charge, but positively impacted by a change in the net operating loss utilization tax rules that resulted in a reduction in the valuation allowance and the income tax provision.</w:t>
      </w:r>
    </w:p>
    <w:p>
      <w:pPr>
        <w:spacing w:after="0" w:line="201"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1999 1998 -------- ------- --</w:t>
      </w:r>
    </w:p>
    <w:p>
      <w:pPr>
        <w:spacing w:after="0" w:line="9" w:lineRule="exact"/>
        <w:rPr>
          <w:sz w:val="20"/>
          <w:szCs w:val="20"/>
          <w:color w:val="auto"/>
        </w:rPr>
      </w:pPr>
    </w:p>
    <w:p>
      <w:pPr>
        <w:ind w:left="580" w:right="7019" w:hanging="101"/>
        <w:spacing w:after="0" w:line="251" w:lineRule="auto"/>
        <w:tabs>
          <w:tab w:leader="none" w:pos="999" w:val="left"/>
        </w:tabs>
        <w:numPr>
          <w:ilvl w:val="0"/>
          <w:numId w:val="2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Minority interest income</w:t>
      </w:r>
    </w:p>
    <w:p>
      <w:pPr>
        <w:spacing w:after="0"/>
        <w:rPr>
          <w:sz w:val="20"/>
          <w:szCs w:val="20"/>
          <w:color w:val="auto"/>
        </w:rPr>
      </w:pPr>
      <w:r>
        <w:rPr>
          <w:rFonts w:ascii="Courier New" w:cs="Courier New" w:eastAsia="Courier New" w:hAnsi="Courier New"/>
          <w:sz w:val="17"/>
          <w:szCs w:val="17"/>
          <w:color w:val="auto"/>
        </w:rPr>
        <w:t>(expense)..........................</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$4,103 $(126) $(1)</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Minority interest income (expense), which is recorded net of income taxes, represents an adjustment to AT&amp;T's income to reflect the less than 100% ownership of consolidated subsidiaries as well as dividends on preferred stock issued by subsidiaries of AT&amp;T. The $4.2 billion increase in minority interest in 2000 resulted from the consolidation of Excite@Home effective September 1, 2000. The minority interest income in 2000 primarily reflects losses generated by Excite@Home, including the goodwill impairment charge, that were attributable to the approximate 77% of Excite@Home not owned by AT&amp;T. The</w:t>
      </w:r>
    </w:p>
    <w:p>
      <w:pPr>
        <w:sectPr>
          <w:pgSz w:w="11900" w:h="16838" w:orient="portrait"/>
          <w:cols w:equalWidth="0" w:num="1">
            <w:col w:w="10219"/>
          </w:cols>
          <w:pgMar w:left="240" w:top="719" w:right="1440" w:bottom="0" w:gutter="0" w:footer="0" w:header="0"/>
        </w:sectPr>
      </w:pPr>
    </w:p>
    <w:bookmarkStart w:id="184" w:name="page185"/>
    <w:bookmarkEnd w:id="184"/>
    <w:p>
      <w:pPr>
        <w:ind w:left="2780"/>
        <w:spacing w:after="0"/>
        <w:rPr>
          <w:sz w:val="20"/>
          <w:szCs w:val="20"/>
          <w:color w:val="auto"/>
        </w:rPr>
      </w:pPr>
      <w:r>
        <w:rPr>
          <w:rFonts w:ascii="Courier New" w:cs="Courier New" w:eastAsia="Courier New" w:hAnsi="Courier New"/>
          <w:sz w:val="17"/>
          <w:szCs w:val="17"/>
          <w:color w:val="auto"/>
        </w:rPr>
        <w:t>VI-28</w:t>
      </w:r>
    </w:p>
    <w:p>
      <w:pPr>
        <w:sectPr>
          <w:pgSz w:w="11900" w:h="16838" w:orient="portrait"/>
          <w:cols w:equalWidth="0" w:num="1">
            <w:col w:w="9019"/>
          </w:cols>
          <w:pgMar w:left="1440" w:top="343" w:right="1440" w:bottom="1440" w:gutter="0" w:footer="0" w:header="0"/>
        </w:sectPr>
      </w:pPr>
    </w:p>
    <w:bookmarkStart w:id="185" w:name="page186"/>
    <w:bookmarkEnd w:id="185"/>
    <w:p>
      <w:pPr>
        <w:ind w:right="1939"/>
        <w:spacing w:after="0" w:line="257" w:lineRule="auto"/>
        <w:rPr>
          <w:sz w:val="20"/>
          <w:szCs w:val="20"/>
          <w:color w:val="auto"/>
        </w:rPr>
      </w:pPr>
      <w:r>
        <w:rPr>
          <w:rFonts w:ascii="Courier New" w:cs="Courier New" w:eastAsia="Courier New" w:hAnsi="Courier New"/>
          <w:sz w:val="17"/>
          <w:szCs w:val="17"/>
          <w:color w:val="auto"/>
        </w:rPr>
        <w:t>decrease in minority interest in 1999 compared with 1998 was primarily due to dividends on preferred securities issued by a subsidiary trust of AT&amp;T in 1999.</w:t>
      </w:r>
    </w:p>
    <w:p>
      <w:pPr>
        <w:spacing w:after="0" w:line="192"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FOR THE YEARS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ENDED DECEMBER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31,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------- 2000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1999 1998 -----</w:t>
      </w:r>
    </w:p>
    <w:p>
      <w:pPr>
        <w:spacing w:after="0" w:line="9" w:lineRule="exact"/>
        <w:rPr>
          <w:sz w:val="20"/>
          <w:szCs w:val="20"/>
          <w:color w:val="auto"/>
        </w:rPr>
      </w:pPr>
    </w:p>
    <w:p>
      <w:pPr>
        <w:ind w:left="480" w:hanging="426"/>
        <w:spacing w:after="0"/>
        <w:tabs>
          <w:tab w:leader="none" w:pos="480" w:val="left"/>
        </w:tabs>
        <w:numPr>
          <w:ilvl w:val="0"/>
          <w:numId w:val="2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7"/>
          <w:szCs w:val="17"/>
          <w:color w:val="auto"/>
        </w:rPr>
        <w:t>(DOLLARS IN</w:t>
      </w:r>
    </w:p>
    <w:p>
      <w:pPr>
        <w:spacing w:after="0" w:line="9"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7"/>
          <w:szCs w:val="17"/>
          <w:color w:val="auto"/>
        </w:rPr>
        <w:t>MILLIONS)</w:t>
      </w:r>
    </w:p>
    <w:p>
      <w:pPr>
        <w:spacing w:after="0" w:line="9"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7"/>
          <w:szCs w:val="17"/>
          <w:color w:val="auto"/>
        </w:rPr>
        <w:t>Equity earnings</w:t>
      </w:r>
    </w:p>
    <w:p>
      <w:pPr>
        <w:spacing w:after="0" w:line="9"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7"/>
          <w:szCs w:val="17"/>
          <w:color w:val="auto"/>
        </w:rPr>
        <w:t>(losses) from</w:t>
      </w:r>
    </w:p>
    <w:p>
      <w:pPr>
        <w:spacing w:after="0" w:line="9"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7"/>
          <w:szCs w:val="17"/>
          <w:color w:val="auto"/>
        </w:rPr>
        <w:t>Liberty Media</w:t>
      </w:r>
    </w:p>
    <w:p>
      <w:pPr>
        <w:spacing w:after="0" w:line="9"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7"/>
          <w:szCs w:val="17"/>
          <w:color w:val="auto"/>
        </w:rPr>
        <w:t>$1,488 $(2,022)</w:t>
      </w:r>
    </w:p>
    <w:p>
      <w:pPr>
        <w:spacing w:after="0" w:line="9"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Equity earnings from LMG, which are recorded net of income taxes, were $1.5 billion in 2000, compared with losses of $2.0 billion in 1999. The increase was primarily due to gains on dispositions, including gains associated with the mergers of various companies that LMG had investments in. Gains were recorded for the difference between the carrying value of LMG's interest in the acquired company and the fair value of securities received in the merger. In addition, lower stock compensation expense in 2000 compared with 1999 contributed to the increase. These were partially offset by impairment charges recorded on LMG's investments to reflect other than temporary declines in value and higher losses relating to LMG's equity affiliates.</w:t>
      </w:r>
    </w:p>
    <w:p>
      <w:pPr>
        <w:spacing w:after="0" w:line="201"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FOR THE YEARS ENDED DECEMBER</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31,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-------- 2000 1999 1998 ------</w:t>
      </w:r>
    </w:p>
    <w:p>
      <w:pPr>
        <w:spacing w:after="0" w:line="9" w:lineRule="exact"/>
        <w:rPr>
          <w:sz w:val="20"/>
          <w:szCs w:val="20"/>
          <w:color w:val="auto"/>
        </w:rPr>
      </w:pPr>
    </w:p>
    <w:p>
      <w:pPr>
        <w:ind w:left="320" w:right="7079" w:hanging="213"/>
        <w:spacing w:after="0" w:line="251" w:lineRule="auto"/>
        <w:tabs>
          <w:tab w:leader="none" w:pos="320"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(DOLLARS IN MILLIONS) Net losses from</w:t>
      </w: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other equity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$588 $756 $109</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Net losses from other equity investments, which are recorded net of income taxes, were $0.6 billion in 2000, a 22.2% improvement compared with 1999. This improvement was primarily a result of higher earnings from AT&amp;T's investment in Cablevision Systems Corp. (Cablevision) of approximately $0.2 billion due to gains from cable-system sales. Offsetting this increase were losses from AT&amp;T's stake in Time Warner Entertainment Company, L.P. (TWE) which AT&amp;T acquired in connection with the MediaOne merger and greater equity losses from Excite@Home, which aggregated approximately $0.1 billion.</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VI-29</w:t>
      </w:r>
    </w:p>
    <w:p>
      <w:pPr>
        <w:sectPr>
          <w:pgSz w:w="11900" w:h="16838" w:orient="portrait"/>
          <w:cols w:equalWidth="0" w:num="1">
            <w:col w:w="10219"/>
          </w:cols>
          <w:pgMar w:left="240" w:top="719" w:right="1440" w:bottom="1440" w:gutter="0" w:footer="0" w:header="0"/>
        </w:sectPr>
      </w:pPr>
    </w:p>
    <w:bookmarkStart w:id="186" w:name="page187"/>
    <w:bookmarkEnd w:id="186"/>
    <w:p>
      <w:pPr>
        <w:ind w:right="1839" w:firstLine="524"/>
        <w:spacing w:after="0" w:line="254" w:lineRule="auto"/>
        <w:rPr>
          <w:sz w:val="20"/>
          <w:szCs w:val="20"/>
          <w:color w:val="auto"/>
        </w:rPr>
      </w:pPr>
      <w:r>
        <w:rPr>
          <w:rFonts w:ascii="Courier New" w:cs="Courier New" w:eastAsia="Courier New" w:hAnsi="Courier New"/>
          <w:sz w:val="17"/>
          <w:szCs w:val="17"/>
          <w:color w:val="auto"/>
        </w:rPr>
        <w:t>Net losses from other equity investments were $0.8 billion in 1999 compared with $0.1 billion in 1998, primarily due to losses AT&amp;T recorded on investments it acquired through TCI, largely Cablevision and Excite@Home.</w:t>
      </w:r>
    </w:p>
    <w:p>
      <w:pPr>
        <w:spacing w:after="0" w:line="19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------------ 2000 1999 1998 -------- --------- -------</w:t>
      </w:r>
    </w:p>
    <w:p>
      <w:pPr>
        <w:spacing w:after="0" w:line="9" w:lineRule="exact"/>
        <w:rPr>
          <w:sz w:val="20"/>
          <w:szCs w:val="20"/>
          <w:color w:val="auto"/>
        </w:rPr>
      </w:pPr>
    </w:p>
    <w:p>
      <w:pPr>
        <w:ind w:left="680" w:right="4499" w:hanging="621"/>
        <w:spacing w:after="0" w:line="251" w:lineRule="auto"/>
        <w:tabs>
          <w:tab w:leader="none" w:pos="261" w:val="left"/>
        </w:tabs>
        <w:numPr>
          <w:ilvl w:val="0"/>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EXCEPT PER SHARE AMOUNTS) AT&amp;T Common Stock Group: Income from continuing</w:t>
      </w:r>
    </w:p>
    <w:p>
      <w:pPr>
        <w:jc w:val="center"/>
        <w:ind w:right="4439"/>
        <w:spacing w:after="0" w:line="251" w:lineRule="auto"/>
        <w:rPr>
          <w:sz w:val="20"/>
          <w:szCs w:val="20"/>
          <w:color w:val="auto"/>
        </w:rPr>
      </w:pPr>
      <w:r>
        <w:rPr>
          <w:rFonts w:ascii="Courier New" w:cs="Courier New" w:eastAsia="Courier New" w:hAnsi="Courier New"/>
          <w:sz w:val="17"/>
          <w:szCs w:val="17"/>
          <w:color w:val="auto"/>
        </w:rPr>
        <w:t>operations......................... $2,645 $ 5,883 $5,052 Income (loss) from discontinued operations................ 460 (433) 193 Gain on sale of discontinued operations................... -- -- 1,290 Earnings from continuing operations per share:</w:t>
      </w:r>
    </w:p>
    <w:p>
      <w:pPr>
        <w:spacing w:after="0"/>
        <w:rPr>
          <w:sz w:val="20"/>
          <w:szCs w:val="20"/>
          <w:color w:val="auto"/>
        </w:rPr>
      </w:pPr>
      <w:r>
        <w:rPr>
          <w:rFonts w:ascii="Courier New" w:cs="Courier New" w:eastAsia="Courier New" w:hAnsi="Courier New"/>
          <w:sz w:val="17"/>
          <w:szCs w:val="17"/>
          <w:color w:val="auto"/>
        </w:rPr>
        <w:t>Basic..................................................</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0.76 1.91 1.89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Diluted................................................</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0.75 1.87 1.87 Earnings (loss) from discontinued</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operations per 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Basic..................................................</w:t>
      </w:r>
    </w:p>
    <w:p>
      <w:pPr>
        <w:spacing w:after="0" w:line="9"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0.13 (0.14) 0.07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Diluted................................................</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0.13 (0.13) 0.07 Gain on sale of discontinued</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operations -- basic and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diluted..............................................</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 -- 0.48 AT&amp;T Wireless Group: Income from</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discontinued operations....................... $ 76 --</w:t>
      </w:r>
    </w:p>
    <w:p>
      <w:pPr>
        <w:spacing w:after="0" w:line="9" w:lineRule="exact"/>
        <w:rPr>
          <w:sz w:val="20"/>
          <w:szCs w:val="20"/>
          <w:color w:val="auto"/>
        </w:rPr>
      </w:pPr>
    </w:p>
    <w:p>
      <w:pPr>
        <w:ind w:left="2420" w:right="4659" w:hanging="2203"/>
        <w:spacing w:after="0" w:line="251" w:lineRule="auto"/>
        <w:tabs>
          <w:tab w:leader="none" w:pos="534" w:val="left"/>
        </w:tabs>
        <w:numPr>
          <w:ilvl w:val="0"/>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from discontinued operations per share: Basic and</w:t>
      </w:r>
    </w:p>
    <w:tbl>
      <w:tblPr>
        <w:tblLayout w:type="fixed"/>
        <w:tblInd w:w="60" w:type="dxa"/>
        <w:tblCellMar>
          <w:top w:w="0" w:type="dxa"/>
          <w:left w:w="0" w:type="dxa"/>
          <w:bottom w:w="0" w:type="dxa"/>
          <w:right w:w="0" w:type="dxa"/>
        </w:tblCellMar>
      </w:tblPr>
      <w:tr>
        <w:trPr>
          <w:trHeight w:val="197"/>
        </w:trPr>
        <w:tc>
          <w:tcPr>
            <w:tcW w:w="116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4"/>
              </w:rPr>
              <w:t>diluted......................................</w:t>
            </w:r>
          </w:p>
        </w:tc>
        <w:tc>
          <w:tcPr>
            <w:tcW w:w="4500" w:type="dxa"/>
            <w:vAlign w:val="bottom"/>
          </w:tcPr>
          <w:p>
            <w:pPr>
              <w:jc w:val="right"/>
              <w:spacing w:after="0"/>
              <w:rPr>
                <w:sz w:val="20"/>
                <w:szCs w:val="20"/>
                <w:color w:val="auto"/>
              </w:rPr>
            </w:pPr>
            <w:r>
              <w:rPr>
                <w:rFonts w:ascii="Courier New" w:cs="Courier New" w:eastAsia="Courier New" w:hAnsi="Courier New"/>
                <w:sz w:val="17"/>
                <w:szCs w:val="17"/>
                <w:color w:val="auto"/>
              </w:rPr>
              <w:t>0.21 --</w:t>
            </w:r>
          </w:p>
        </w:tc>
      </w:tr>
      <w:tr>
        <w:trPr>
          <w:trHeight w:val="201"/>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tcPr>
          <w:p>
            <w:pPr>
              <w:jc w:val="center"/>
              <w:ind w:right="1073"/>
              <w:spacing w:after="0"/>
              <w:rPr>
                <w:sz w:val="20"/>
                <w:szCs w:val="20"/>
                <w:color w:val="auto"/>
              </w:rPr>
            </w:pPr>
            <w:r>
              <w:rPr>
                <w:rFonts w:ascii="Courier New" w:cs="Courier New" w:eastAsia="Courier New" w:hAnsi="Courier New"/>
                <w:sz w:val="17"/>
                <w:szCs w:val="17"/>
                <w:color w:val="auto"/>
              </w:rPr>
              <w:t>-- Liberty Media Group: Income</w:t>
            </w:r>
          </w:p>
        </w:tc>
      </w:tr>
      <w:tr>
        <w:trPr>
          <w:trHeight w:val="201"/>
        </w:trPr>
        <w:tc>
          <w:tcPr>
            <w:tcW w:w="116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4"/>
              </w:rPr>
              <w:t>(loss).............................................</w:t>
            </w:r>
          </w:p>
        </w:tc>
        <w:tc>
          <w:tcPr>
            <w:tcW w:w="4500" w:type="dxa"/>
            <w:vAlign w:val="bottom"/>
          </w:tcPr>
          <w:p>
            <w:pPr>
              <w:spacing w:after="0"/>
              <w:rPr>
                <w:sz w:val="17"/>
                <w:szCs w:val="17"/>
                <w:color w:val="auto"/>
              </w:rPr>
            </w:pPr>
          </w:p>
        </w:tc>
      </w:tr>
      <w:tr>
        <w:trPr>
          <w:trHeight w:val="201"/>
        </w:trPr>
        <w:tc>
          <w:tcPr>
            <w:tcW w:w="880" w:type="dxa"/>
            <w:vAlign w:val="bottom"/>
          </w:tcPr>
          <w:p>
            <w:pPr>
              <w:jc w:val="right"/>
              <w:ind w:right="43"/>
              <w:spacing w:after="0"/>
              <w:rPr>
                <w:sz w:val="20"/>
                <w:szCs w:val="20"/>
                <w:color w:val="auto"/>
              </w:rPr>
            </w:pPr>
            <w:r>
              <w:rPr>
                <w:rFonts w:ascii="Courier New" w:cs="Courier New" w:eastAsia="Courier New" w:hAnsi="Courier New"/>
                <w:sz w:val="17"/>
                <w:szCs w:val="17"/>
                <w:color w:val="auto"/>
              </w:rPr>
              <w:t>$1,488</w:t>
            </w:r>
          </w:p>
        </w:tc>
        <w:tc>
          <w:tcPr>
            <w:tcW w:w="47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$(2,022) -- Earnings (loss) per share: Basic</w:t>
            </w:r>
          </w:p>
        </w:tc>
      </w:tr>
      <w:tr>
        <w:trPr>
          <w:trHeight w:val="201"/>
        </w:trPr>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and diluted</w:t>
            </w:r>
          </w:p>
        </w:tc>
        <w:tc>
          <w:tcPr>
            <w:tcW w:w="4500" w:type="dxa"/>
            <w:vAlign w:val="bottom"/>
          </w:tcPr>
          <w:p>
            <w:pPr>
              <w:jc w:val="right"/>
              <w:spacing w:after="0"/>
              <w:rPr>
                <w:sz w:val="20"/>
                <w:szCs w:val="20"/>
                <w:color w:val="auto"/>
              </w:rPr>
            </w:pPr>
            <w:r>
              <w:rPr>
                <w:rFonts w:ascii="Courier New" w:cs="Courier New" w:eastAsia="Courier New" w:hAnsi="Courier New"/>
                <w:sz w:val="17"/>
                <w:szCs w:val="17"/>
                <w:color w:val="auto"/>
              </w:rPr>
              <w:t>...................................... 0.58</w:t>
            </w:r>
          </w:p>
        </w:tc>
      </w:tr>
      <w:tr>
        <w:trPr>
          <w:trHeight w:val="201"/>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tcPr>
          <w:p>
            <w:pPr>
              <w:jc w:val="right"/>
              <w:ind w:right="2273"/>
              <w:spacing w:after="0"/>
              <w:rPr>
                <w:sz w:val="20"/>
                <w:szCs w:val="20"/>
                <w:color w:val="auto"/>
              </w:rPr>
            </w:pPr>
            <w:r>
              <w:rPr>
                <w:rFonts w:ascii="Courier New" w:cs="Courier New" w:eastAsia="Courier New" w:hAnsi="Courier New"/>
                <w:sz w:val="17"/>
                <w:szCs w:val="17"/>
                <w:color w:val="auto"/>
              </w:rPr>
              <w:t>(0.80) --</w:t>
            </w: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Earnings per diluted share (EPS) attributable to continuing operations of the AT&amp;T Common Stock Group were $0.75 in 2000 compared with $1.87 in 1999, a decrease of 59.9%. The decrease was primarily due to higher restructuring and asset impairment charges and the MediaOne acquisition, including the impact of shares issued, operating losses of MediaOne and additional interest expense. Also contributing to the decrease was the impact of Excite@Home, including the mark-to-market adjustment related to the put options held by Comcast and Cox. These were partially offset by an increase in other income, primarily associated with higher net gains on sales of businesses and investments, and higher investment-related income, and lower losses from equity investments. Also impacting EPS was higher operating income associated with AT&amp;T's mature long distance businesses.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EPS from continuing operations attributable to the AT&amp;T Common Stock Group on a diluted basis were $1.87 in both 1999 and 1998. EPS increased primarily due to increased income from AT&amp;T's Business and Consumer operations due to revenue growth and operating expense efficiencies, as well as lower net restructuring and other charges. Offsetting these increases was the impact of the TCI and AGNS acquisitions, including the impact of shares issued and equity losses of Excite@Home and Cablevision.</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EPS for Liberty Media Group was $0.58 in 2000, compared with a loss of $0.80 per share for 1999. The increase in EPS was primarily due to gains on dispositions, including gains associated with the mergers of various companies that LMG had investments in. Gains were recorded for the difference between the carrying value of LMG's interest in the acquired company and the fair value of securities received in the merger. In addition, lower stock compensation expense in 2000 compared with 1999 contributed to the increase. These were partially offset by impairment charges recorded on LMG's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VI-30</w:t>
      </w:r>
    </w:p>
    <w:p>
      <w:pPr>
        <w:sectPr>
          <w:pgSz w:w="11900" w:h="16838" w:orient="portrait"/>
          <w:cols w:equalWidth="0" w:num="1">
            <w:col w:w="10219"/>
          </w:cols>
          <w:pgMar w:left="240" w:top="719" w:right="1440" w:bottom="1440" w:gutter="0" w:footer="0" w:header="0"/>
        </w:sectPr>
      </w:pPr>
    </w:p>
    <w:bookmarkStart w:id="187" w:name="page188"/>
    <w:bookmarkEnd w:id="187"/>
    <w:p>
      <w:pPr>
        <w:ind w:right="1939"/>
        <w:spacing w:after="0" w:line="257" w:lineRule="auto"/>
        <w:rPr>
          <w:sz w:val="20"/>
          <w:szCs w:val="20"/>
          <w:color w:val="auto"/>
        </w:rPr>
      </w:pPr>
      <w:r>
        <w:rPr>
          <w:rFonts w:ascii="Courier New" w:cs="Courier New" w:eastAsia="Courier New" w:hAnsi="Courier New"/>
          <w:sz w:val="17"/>
          <w:szCs w:val="17"/>
          <w:color w:val="auto"/>
        </w:rPr>
        <w:t>investments to reflect other than temporary declines in value and higher losses relating to LMG's equity affiliates.</w:t>
      </w:r>
    </w:p>
    <w:p>
      <w:pPr>
        <w:spacing w:after="0" w:line="19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DISCONTINUED OPERATIONS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Pursuant to Accounting Principles Board Opinion No. 30 "Reporting the Results of Operations -- Reporting the Effects of Disposal of a Segment of a Business, and Extraordinary, Unusual and Infrequently Occurring Events and Transactions," the consolidated financial statements of AT&amp;T reflect the disposition of AT&amp;T Universal Card Services (UCS), which was sold on April 2, 1998, and AT&amp;T Wireless, which was split-off from AT&amp;T on July 9, 2001, as discontinued operations. Accordingly, the revenue, costs and expenses, and cash flows of UCS, through the date of disposition, and AT&amp;T Wireless have been excluded from the respective captions in the 2000, 1999 and 1998 Consolidated Statements of Income and Consolidated Statements of Cash Flows and have been reported as "Income from discontinued operations," net of applicable income taxes; and as "Net cash provided by discontinued operations." The assets and liabilities of AT&amp;T Wireless have been excluded from the respective captions in the December 31, 2000 and 1999 Consolidated Balance Sheets and are reported as "Net assets of discontinued operations." The gain associated with the sale of UCS is recorded as "Gain on sale of discontinued operations," net of applicable income taxes in the 1998 Consolidated Statement of Income.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EXTRAORDINARY ITEMS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In August 1998, AT&amp;T extinguished approximately $1.0 billion of TCG's debt. The $217 million pretax loss on the early extinguishment of debt was recorded as an extraordinary loss. The after-tax impact was $137 million, or $0.05 per diluted share.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SEGMENT RESULTS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SERVICES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------- 2000 1999 1998</w:t>
            </w:r>
          </w:p>
        </w:tc>
        <w:tc>
          <w:tcPr>
            <w:tcW w:w="680" w:type="dxa"/>
            <w:vAlign w:val="bottom"/>
          </w:tcPr>
          <w:p>
            <w:pPr>
              <w:spacing w:after="0"/>
              <w:rPr>
                <w:sz w:val="20"/>
                <w:szCs w:val="20"/>
                <w:color w:val="auto"/>
              </w:rPr>
            </w:pPr>
            <w:r>
              <w:rPr>
                <w:rFonts w:ascii="Courier New" w:cs="Courier New" w:eastAsia="Courier New" w:hAnsi="Courier New"/>
                <w:sz w:val="17"/>
                <w:szCs w:val="17"/>
                <w:color w:val="auto"/>
                <w:w w:val="71"/>
              </w:rPr>
              <w:t>---------</w:t>
            </w:r>
          </w:p>
        </w:tc>
        <w:tc>
          <w:tcPr>
            <w:tcW w:w="27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 ---------</w:t>
            </w:r>
          </w:p>
        </w:tc>
      </w:tr>
      <w:tr>
        <w:trPr>
          <w:trHeight w:val="201"/>
        </w:trPr>
        <w:tc>
          <w:tcPr>
            <w:tcW w:w="5460" w:type="dxa"/>
            <w:vAlign w:val="bottom"/>
            <w:gridSpan w:val="3"/>
          </w:tcPr>
          <w:p>
            <w:pPr>
              <w:jc w:val="center"/>
              <w:ind w:left="757"/>
              <w:spacing w:after="0"/>
              <w:rPr>
                <w:sz w:val="20"/>
                <w:szCs w:val="20"/>
                <w:color w:val="auto"/>
              </w:rPr>
            </w:pPr>
            <w:r>
              <w:rPr>
                <w:rFonts w:ascii="Courier New" w:cs="Courier New" w:eastAsia="Courier New" w:hAnsi="Courier New"/>
                <w:sz w:val="17"/>
                <w:szCs w:val="17"/>
                <w:color w:val="auto"/>
              </w:rPr>
              <w:t>(DOLLARS IN MILLIONS) External</w:t>
            </w:r>
          </w:p>
        </w:tc>
        <w:tc>
          <w:tcPr>
            <w:tcW w:w="780" w:type="dxa"/>
            <w:vAlign w:val="bottom"/>
          </w:tcPr>
          <w:p>
            <w:pPr>
              <w:spacing w:after="0"/>
              <w:rPr>
                <w:sz w:val="17"/>
                <w:szCs w:val="17"/>
                <w:color w:val="auto"/>
              </w:rPr>
            </w:pPr>
          </w:p>
        </w:tc>
      </w:tr>
      <w:tr>
        <w:trPr>
          <w:trHeight w:val="201"/>
        </w:trPr>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revenue............................................</w:t>
            </w:r>
          </w:p>
        </w:tc>
        <w:tc>
          <w:tcPr>
            <w:tcW w:w="1940" w:type="dxa"/>
            <w:vAlign w:val="bottom"/>
          </w:tcPr>
          <w:p>
            <w:pPr>
              <w:spacing w:after="0"/>
              <w:rPr>
                <w:sz w:val="17"/>
                <w:szCs w:val="17"/>
                <w:color w:val="auto"/>
              </w:rPr>
            </w:pPr>
          </w:p>
        </w:tc>
        <w:tc>
          <w:tcPr>
            <w:tcW w:w="780" w:type="dxa"/>
            <w:vAlign w:val="bottom"/>
          </w:tcPr>
          <w:p>
            <w:pPr>
              <w:ind w:left="40"/>
              <w:spacing w:after="0"/>
              <w:rPr>
                <w:sz w:val="20"/>
                <w:szCs w:val="20"/>
                <w:color w:val="auto"/>
              </w:rPr>
            </w:pPr>
            <w:r>
              <w:rPr>
                <w:rFonts w:ascii="Courier New" w:cs="Courier New" w:eastAsia="Courier New" w:hAnsi="Courier New"/>
                <w:sz w:val="17"/>
                <w:szCs w:val="17"/>
                <w:color w:val="auto"/>
              </w:rPr>
              <w:t>$28,157</w:t>
            </w:r>
          </w:p>
        </w:tc>
      </w:tr>
      <w:tr>
        <w:trPr>
          <w:trHeight w:val="201"/>
        </w:trPr>
        <w:tc>
          <w:tcPr>
            <w:tcW w:w="5460" w:type="dxa"/>
            <w:vAlign w:val="bottom"/>
            <w:gridSpan w:val="3"/>
          </w:tcPr>
          <w:p>
            <w:pPr>
              <w:jc w:val="center"/>
              <w:ind w:left="757"/>
              <w:spacing w:after="0"/>
              <w:rPr>
                <w:sz w:val="20"/>
                <w:szCs w:val="20"/>
                <w:color w:val="auto"/>
              </w:rPr>
            </w:pPr>
            <w:r>
              <w:rPr>
                <w:rFonts w:ascii="Courier New" w:cs="Courier New" w:eastAsia="Courier New" w:hAnsi="Courier New"/>
                <w:sz w:val="17"/>
                <w:szCs w:val="17"/>
                <w:color w:val="auto"/>
              </w:rPr>
              <w:t>$28,087 $25,001 Internal</w:t>
            </w:r>
          </w:p>
        </w:tc>
        <w:tc>
          <w:tcPr>
            <w:tcW w:w="780" w:type="dxa"/>
            <w:vAlign w:val="bottom"/>
          </w:tcPr>
          <w:p>
            <w:pPr>
              <w:spacing w:after="0"/>
              <w:rPr>
                <w:sz w:val="17"/>
                <w:szCs w:val="17"/>
                <w:color w:val="auto"/>
              </w:rPr>
            </w:pPr>
          </w:p>
        </w:tc>
      </w:tr>
      <w:tr>
        <w:trPr>
          <w:trHeight w:val="201"/>
        </w:trPr>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revenue............................................</w:t>
            </w:r>
          </w:p>
        </w:tc>
        <w:tc>
          <w:tcPr>
            <w:tcW w:w="1940" w:type="dxa"/>
            <w:vAlign w:val="bottom"/>
          </w:tcPr>
          <w:p>
            <w:pPr>
              <w:spacing w:after="0"/>
              <w:rPr>
                <w:sz w:val="17"/>
                <w:szCs w:val="17"/>
                <w:color w:val="auto"/>
              </w:rPr>
            </w:pPr>
          </w:p>
        </w:tc>
        <w:tc>
          <w:tcPr>
            <w:tcW w:w="780" w:type="dxa"/>
            <w:vAlign w:val="bottom"/>
          </w:tcPr>
          <w:p>
            <w:pPr>
              <w:ind w:left="40"/>
              <w:spacing w:after="0"/>
              <w:rPr>
                <w:sz w:val="20"/>
                <w:szCs w:val="20"/>
                <w:color w:val="auto"/>
              </w:rPr>
            </w:pPr>
            <w:r>
              <w:rPr>
                <w:rFonts w:ascii="Courier New" w:cs="Courier New" w:eastAsia="Courier New" w:hAnsi="Courier New"/>
                <w:sz w:val="17"/>
                <w:szCs w:val="17"/>
                <w:color w:val="auto"/>
              </w:rPr>
              <w:t>743 605</w:t>
            </w:r>
          </w:p>
        </w:tc>
      </w:tr>
      <w:tr>
        <w:trPr>
          <w:trHeight w:val="201"/>
        </w:trPr>
        <w:tc>
          <w:tcPr>
            <w:tcW w:w="5460" w:type="dxa"/>
            <w:vAlign w:val="bottom"/>
            <w:gridSpan w:val="3"/>
          </w:tcPr>
          <w:p>
            <w:pPr>
              <w:jc w:val="center"/>
              <w:ind w:left="757"/>
              <w:spacing w:after="0"/>
              <w:rPr>
                <w:sz w:val="20"/>
                <w:szCs w:val="20"/>
                <w:color w:val="auto"/>
              </w:rPr>
            </w:pPr>
            <w:r>
              <w:rPr>
                <w:rFonts w:ascii="Courier New" w:cs="Courier New" w:eastAsia="Courier New" w:hAnsi="Courier New"/>
                <w:sz w:val="17"/>
                <w:szCs w:val="17"/>
                <w:color w:val="auto"/>
              </w:rPr>
              <w:t>356 Total</w:t>
            </w:r>
          </w:p>
        </w:tc>
        <w:tc>
          <w:tcPr>
            <w:tcW w:w="780" w:type="dxa"/>
            <w:vAlign w:val="bottom"/>
          </w:tcPr>
          <w:p>
            <w:pPr>
              <w:spacing w:after="0"/>
              <w:rPr>
                <w:sz w:val="17"/>
                <w:szCs w:val="17"/>
                <w:color w:val="auto"/>
              </w:rPr>
            </w:pPr>
          </w:p>
        </w:tc>
      </w:tr>
      <w:tr>
        <w:trPr>
          <w:trHeight w:val="201"/>
        </w:trPr>
        <w:tc>
          <w:tcPr>
            <w:tcW w:w="3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revenue...............................................</w:t>
            </w:r>
          </w:p>
        </w:tc>
        <w:tc>
          <w:tcPr>
            <w:tcW w:w="19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28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28,900</w:t>
            </w:r>
          </w:p>
        </w:tc>
        <w:tc>
          <w:tcPr>
            <w:tcW w:w="2620" w:type="dxa"/>
            <w:vAlign w:val="bottom"/>
            <w:gridSpan w:val="2"/>
          </w:tcPr>
          <w:p>
            <w:pPr>
              <w:spacing w:after="0"/>
              <w:rPr>
                <w:sz w:val="20"/>
                <w:szCs w:val="20"/>
                <w:color w:val="auto"/>
              </w:rPr>
            </w:pPr>
            <w:r>
              <w:rPr>
                <w:rFonts w:ascii="Courier New" w:cs="Courier New" w:eastAsia="Courier New" w:hAnsi="Courier New"/>
                <w:sz w:val="17"/>
                <w:szCs w:val="17"/>
                <w:color w:val="auto"/>
              </w:rPr>
              <w:t>28,692 25,357</w:t>
            </w:r>
          </w:p>
        </w:tc>
        <w:tc>
          <w:tcPr>
            <w:tcW w:w="780" w:type="dxa"/>
            <w:vAlign w:val="bottom"/>
          </w:tcPr>
          <w:p>
            <w:pPr>
              <w:spacing w:after="0"/>
              <w:rPr>
                <w:sz w:val="17"/>
                <w:szCs w:val="17"/>
                <w:color w:val="auto"/>
              </w:rPr>
            </w:pPr>
          </w:p>
        </w:tc>
      </w:tr>
      <w:tr>
        <w:trPr>
          <w:trHeight w:val="201"/>
        </w:trPr>
        <w:tc>
          <w:tcPr>
            <w:tcW w:w="35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EBIT........................................................</w:t>
            </w:r>
          </w:p>
        </w:tc>
        <w:tc>
          <w:tcPr>
            <w:tcW w:w="19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2840" w:type="dxa"/>
            <w:vAlign w:val="bottom"/>
          </w:tcPr>
          <w:p>
            <w:pPr>
              <w:jc w:val="right"/>
              <w:spacing w:after="0"/>
              <w:rPr>
                <w:sz w:val="20"/>
                <w:szCs w:val="20"/>
                <w:color w:val="auto"/>
              </w:rPr>
            </w:pPr>
            <w:r>
              <w:rPr>
                <w:rFonts w:ascii="Courier New" w:cs="Courier New" w:eastAsia="Courier New" w:hAnsi="Courier New"/>
                <w:sz w:val="17"/>
                <w:szCs w:val="17"/>
                <w:color w:val="auto"/>
              </w:rPr>
              <w:t>5,990</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5,248</w:t>
            </w:r>
          </w:p>
        </w:tc>
        <w:tc>
          <w:tcPr>
            <w:tcW w:w="1940" w:type="dxa"/>
            <w:vAlign w:val="bottom"/>
          </w:tcPr>
          <w:p>
            <w:pPr>
              <w:jc w:val="right"/>
              <w:ind w:right="1333"/>
              <w:spacing w:after="0"/>
              <w:rPr>
                <w:sz w:val="20"/>
                <w:szCs w:val="20"/>
                <w:color w:val="auto"/>
              </w:rPr>
            </w:pPr>
            <w:r>
              <w:rPr>
                <w:rFonts w:ascii="Courier New" w:cs="Courier New" w:eastAsia="Courier New" w:hAnsi="Courier New"/>
                <w:sz w:val="17"/>
                <w:szCs w:val="17"/>
                <w:color w:val="auto"/>
                <w:w w:val="97"/>
              </w:rPr>
              <w:t>4,017</w:t>
            </w:r>
          </w:p>
        </w:tc>
        <w:tc>
          <w:tcPr>
            <w:tcW w:w="780" w:type="dxa"/>
            <w:vAlign w:val="bottom"/>
          </w:tcPr>
          <w:p>
            <w:pPr>
              <w:spacing w:after="0"/>
              <w:rPr>
                <w:sz w:val="17"/>
                <w:szCs w:val="17"/>
                <w:color w:val="auto"/>
              </w:rPr>
            </w:pPr>
          </w:p>
        </w:tc>
      </w:tr>
      <w:tr>
        <w:trPr>
          <w:trHeight w:val="201"/>
        </w:trPr>
        <w:tc>
          <w:tcPr>
            <w:tcW w:w="35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EBITDA......................................................</w:t>
            </w:r>
          </w:p>
        </w:tc>
        <w:tc>
          <w:tcPr>
            <w:tcW w:w="19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5460" w:type="dxa"/>
            <w:vAlign w:val="bottom"/>
            <w:gridSpan w:val="3"/>
          </w:tcPr>
          <w:p>
            <w:pPr>
              <w:jc w:val="center"/>
              <w:ind w:left="757"/>
              <w:spacing w:after="0"/>
              <w:rPr>
                <w:sz w:val="20"/>
                <w:szCs w:val="20"/>
                <w:color w:val="auto"/>
              </w:rPr>
            </w:pPr>
            <w:r>
              <w:rPr>
                <w:rFonts w:ascii="Courier New" w:cs="Courier New" w:eastAsia="Courier New" w:hAnsi="Courier New"/>
                <w:sz w:val="17"/>
                <w:szCs w:val="17"/>
                <w:color w:val="auto"/>
              </w:rPr>
              <w:t>10,200 9,468 7,376 Capital</w:t>
            </w:r>
          </w:p>
        </w:tc>
        <w:tc>
          <w:tcPr>
            <w:tcW w:w="780" w:type="dxa"/>
            <w:vAlign w:val="bottom"/>
          </w:tcPr>
          <w:p>
            <w:pPr>
              <w:spacing w:after="0"/>
              <w:rPr>
                <w:sz w:val="17"/>
                <w:szCs w:val="17"/>
                <w:color w:val="auto"/>
              </w:rPr>
            </w:pPr>
          </w:p>
        </w:tc>
      </w:tr>
      <w:tr>
        <w:trPr>
          <w:trHeight w:val="201"/>
        </w:trPr>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additions...........................................</w:t>
            </w:r>
          </w:p>
        </w:tc>
        <w:tc>
          <w:tcPr>
            <w:tcW w:w="19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6,839</w:t>
            </w:r>
          </w:p>
        </w:tc>
      </w:tr>
      <w:tr>
        <w:trPr>
          <w:trHeight w:val="201"/>
        </w:trPr>
        <w:tc>
          <w:tcPr>
            <w:tcW w:w="5460" w:type="dxa"/>
            <w:vAlign w:val="bottom"/>
            <w:gridSpan w:val="3"/>
          </w:tcPr>
          <w:p>
            <w:pPr>
              <w:jc w:val="center"/>
              <w:ind w:left="757"/>
              <w:spacing w:after="0"/>
              <w:rPr>
                <w:sz w:val="20"/>
                <w:szCs w:val="20"/>
                <w:color w:val="auto"/>
              </w:rPr>
            </w:pPr>
            <w:r>
              <w:rPr>
                <w:rFonts w:ascii="Courier New" w:cs="Courier New" w:eastAsia="Courier New" w:hAnsi="Courier New"/>
                <w:sz w:val="17"/>
                <w:szCs w:val="17"/>
                <w:color w:val="auto"/>
              </w:rPr>
              <w:t>9,091 6,773</w:t>
            </w:r>
          </w:p>
        </w:tc>
        <w:tc>
          <w:tcPr>
            <w:tcW w:w="780" w:type="dxa"/>
            <w:vAlign w:val="bottom"/>
          </w:tcPr>
          <w:p>
            <w:pPr>
              <w:spacing w:after="0"/>
              <w:rPr>
                <w:sz w:val="17"/>
                <w:szCs w:val="17"/>
                <w:color w:val="auto"/>
              </w:rPr>
            </w:pPr>
          </w:p>
        </w:tc>
      </w:tr>
      <w:tr>
        <w:trPr>
          <w:trHeight w:val="604"/>
        </w:trPr>
        <w:tc>
          <w:tcPr>
            <w:tcW w:w="54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AT DECEMBER 31, ----------------- 2000 1999 -------</w:t>
            </w:r>
          </w:p>
        </w:tc>
        <w:tc>
          <w:tcPr>
            <w:tcW w:w="780" w:type="dxa"/>
            <w:vAlign w:val="bottom"/>
          </w:tcPr>
          <w:p>
            <w:pPr>
              <w:ind w:left="40"/>
              <w:spacing w:after="0"/>
              <w:rPr>
                <w:sz w:val="20"/>
                <w:szCs w:val="20"/>
                <w:color w:val="auto"/>
              </w:rPr>
            </w:pPr>
            <w:r>
              <w:rPr>
                <w:rFonts w:ascii="Courier New" w:cs="Courier New" w:eastAsia="Courier New" w:hAnsi="Courier New"/>
                <w:sz w:val="17"/>
                <w:szCs w:val="17"/>
                <w:color w:val="auto"/>
              </w:rPr>
              <w:t>-</w:t>
            </w:r>
          </w:p>
        </w:tc>
      </w:tr>
      <w:tr>
        <w:trPr>
          <w:trHeight w:val="201"/>
        </w:trPr>
        <w:tc>
          <w:tcPr>
            <w:tcW w:w="2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c>
          <w:tcPr>
            <w:tcW w:w="19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3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assets................................................</w:t>
            </w:r>
          </w:p>
        </w:tc>
        <w:tc>
          <w:tcPr>
            <w:tcW w:w="19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2840" w:type="dxa"/>
            <w:vAlign w:val="bottom"/>
          </w:tcPr>
          <w:p>
            <w:pPr>
              <w:jc w:val="right"/>
              <w:spacing w:after="0"/>
              <w:rPr>
                <w:sz w:val="20"/>
                <w:szCs w:val="20"/>
                <w:color w:val="auto"/>
              </w:rPr>
            </w:pPr>
            <w:r>
              <w:rPr>
                <w:rFonts w:ascii="Courier New" w:cs="Courier New" w:eastAsia="Courier New" w:hAnsi="Courier New"/>
                <w:sz w:val="17"/>
                <w:szCs w:val="17"/>
                <w:color w:val="auto"/>
              </w:rPr>
              <w:t>$42,747</w:t>
            </w:r>
          </w:p>
        </w:tc>
        <w:tc>
          <w:tcPr>
            <w:tcW w:w="26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$37,974</w:t>
            </w:r>
          </w:p>
        </w:tc>
        <w:tc>
          <w:tcPr>
            <w:tcW w:w="78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 2000, Business Services revenue grew $0.2 billion, or 0.7%, compared with 1999. Strength in data and IP services as well as growth in AT&amp;T's outsourcing business contributed $1.8 billion to the increase. This growth was largely offset by an approximate $0.9 billion decline in long distance voice services as a result of continued pricing pressures in the industry and approximately $0.5 billion due to the net impacts of Concert, international dispositions and acquisitions.</w:t>
      </w:r>
    </w:p>
    <w:p>
      <w:pPr>
        <w:spacing w:after="0" w:line="196"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Revenue in 1999 grew $3.3 billion, or 13.2%. The acquisition of AGNS contributed approximately $1.1 billion to the growth. Data, IP and outsourcing services grew approximately $1.5 billion in 1999 compared with 1998, while long distance voice services and local services contributed approximately $0.6 billion to the revenue increase.</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VI-31</w:t>
      </w:r>
    </w:p>
    <w:p>
      <w:pPr>
        <w:sectPr>
          <w:pgSz w:w="11900" w:h="16838" w:orient="portrait"/>
          <w:cols w:equalWidth="0" w:num="1">
            <w:col w:w="10219"/>
          </w:cols>
          <w:pgMar w:left="240" w:top="719" w:right="1440" w:bottom="659" w:gutter="0" w:footer="0" w:header="0"/>
        </w:sectPr>
      </w:pPr>
    </w:p>
    <w:bookmarkStart w:id="188" w:name="page189"/>
    <w:bookmarkEnd w:id="188"/>
    <w:p>
      <w:pPr>
        <w:ind w:right="1939" w:firstLine="524"/>
        <w:spacing w:after="0" w:line="251" w:lineRule="auto"/>
        <w:rPr>
          <w:sz w:val="20"/>
          <w:szCs w:val="20"/>
          <w:color w:val="auto"/>
        </w:rPr>
      </w:pPr>
      <w:r>
        <w:rPr>
          <w:rFonts w:ascii="Courier New" w:cs="Courier New" w:eastAsia="Courier New" w:hAnsi="Courier New"/>
          <w:sz w:val="17"/>
          <w:szCs w:val="17"/>
          <w:color w:val="auto"/>
        </w:rPr>
        <w:t>Data services, which represent the transportation of data, rather than voice, along AT&amp;T's network, was impacted by acquisitions and the formation of Concert. Excluding these impacts, data services grew at a high-teens percentage rate in 2000. Growth was led by the continued strength of frame relay services; IP services, which include IP-connectivity services and virtual private network (VPN) services; and high-speed private-line services. Excluding the impact of AGNS, data services grew at a high-teens percentage rate in 1999, led by strength in frame relay and high-speed private-line services.</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Solutions outsourcing revenue grew 47.9% in 2000 and 146.0% in 1999. More than one-half of the 2000 growth and approximately 65% of the 1999 growth was driven by AT&amp;T's acquisition of AGNS. The remaining growth in both years was primarily due to growth from new contract signings and add-on business from existing clients.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Excluding the impact of Concert, long distance voice services revenue declined at a mid single-digit percentage rate in 2000 due to a declining average price per minute reflecting the competitive forces within the industry which are expected to continue. Partially offsetting this decline was a high single-digit percentage growth rate in minutes. In 1999, long distance voice revenue grew at a low single-digit percentage rate, as volumes grew at a high-teens percentage rate, which was largely offset by a declining average rate per minute.</w:t>
      </w:r>
    </w:p>
    <w:p>
      <w:pPr>
        <w:spacing w:after="0" w:line="3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Local voice services revenue grew nearly 20% in 2000 and more than 50% in 1999. During 2000, AT&amp;T added more than 867,000 access lines, with the total reaching nearly 2.3 million at the end of the year. During 1999, AT&amp;T added more than 719,000 access lines. Access lines enable AT&amp;T to provide local service to customers by allowing direct connection from customer equipment to the AT&amp;T network. AT&amp;T serves more than 6,000 buildings on-network (buildings where AT&amp;T owns the fiber that runs into the building), representing an increase of approximately 3.5% over 1999. At the end of 1999, AT&amp;T served just over 5,800 buildings on-network compared with approximately 5,200 buildings at the end of 1998.</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Business Services internal revenue increased $138 million, or 22.7%, in</w:t>
      </w:r>
    </w:p>
    <w:p>
      <w:pPr>
        <w:spacing w:after="0" w:line="9"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2000 and $249 million, or 70.0%, in 1999. The increase in 2000 was the result of greater sales of business long distance services to other AT&amp;T units that resell such services to their external customers, primarily Broadband and Wireless Services. In 1999, the increase in internal revenue was primarily due to greater sales of long distance services to Wireless Services.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EBIT/EBITDA</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EBIT improved $0.7 billion, or 14.2%, and EBITDA improved $0.7 billion, or 7.7%, in 2000 compared with 1999. This improvement reflects an increase in revenue and lower costs as a result of AT&amp;T's continued cost-control efforts, partially offset by the formation of Concert and the acquisition of AGNS.</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1999, EBIT improved $1.2 billion, or 30.6%, and EBITDA improved $2.1 billion, or 28.4%, compared with 1998. These increases were driven by revenue growth combined with margin improvement resulting from ongoing cost-control initiatives. The increase in EBIT was offset somewhat by increased depreciation and amortization expenses resulting from increased capital expenditures aimed at data, IP and local services.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ITEMS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Capital additions decreased $2.3 billion in 2000, and increased $2.3 billion in 1999. In 2000, the decrease was a result of lower spending for AT&amp;T's long distance network (including the data network) and lower investment in nonconsolidated international investments. In 1999, the increase was primarily due to additional spending for the build out of AT&amp;T's local services SONET transport network and increased nonconsolidated international investments that support AT&amp;T's global strategy.</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VI-32</w:t>
      </w:r>
    </w:p>
    <w:p>
      <w:pPr>
        <w:sectPr>
          <w:pgSz w:w="11900" w:h="16838" w:orient="portrait"/>
          <w:cols w:equalWidth="0" w:num="1">
            <w:col w:w="10219"/>
          </w:cols>
          <w:pgMar w:left="240" w:top="719" w:right="1440" w:bottom="1440" w:gutter="0" w:footer="0" w:header="0"/>
        </w:sectPr>
      </w:pPr>
    </w:p>
    <w:bookmarkStart w:id="189" w:name="page190"/>
    <w:bookmarkEnd w:id="189"/>
    <w:p>
      <w:pPr>
        <w:ind w:right="1839" w:firstLine="524"/>
        <w:spacing w:after="0" w:line="253" w:lineRule="auto"/>
        <w:rPr>
          <w:sz w:val="20"/>
          <w:szCs w:val="20"/>
          <w:color w:val="auto"/>
        </w:rPr>
      </w:pPr>
      <w:r>
        <w:rPr>
          <w:rFonts w:ascii="Courier New" w:cs="Courier New" w:eastAsia="Courier New" w:hAnsi="Courier New"/>
          <w:sz w:val="17"/>
          <w:szCs w:val="17"/>
          <w:color w:val="auto"/>
        </w:rPr>
        <w:t>Total assets increased $4.8 billion, or 12.6%, at December 31, 2000, compared with December 31, 1999. The increase was primarily due to net increases in property, plant and equipment as a result of capital additions, as well as receivables from Concert, and higher goodwill due to AT&amp;T Latin America.</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CONSUMER SERVICES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------- 2000 1999 1998 --------- ---------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$18,894 $21,753 $22,763</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EBIT........................................................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6,893 7,619 6,289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EBITDA......................................................</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7,060 7,803 6,406 Capital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additions........................................... 148</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299 99</w:t>
      </w:r>
    </w:p>
    <w:p>
      <w:pPr>
        <w:spacing w:after="0" w:line="200" w:lineRule="exact"/>
        <w:rPr>
          <w:sz w:val="20"/>
          <w:szCs w:val="20"/>
          <w:color w:val="auto"/>
        </w:rPr>
      </w:pPr>
    </w:p>
    <w:p>
      <w:pPr>
        <w:spacing w:after="0" w:line="212"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AT DECEMBER 31, --------------- 2000 1999 ------ ----</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 Total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$3,150 $3,781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Consumer Services revenue declined 13.1%, or $2.9 billion, in 2000 compared with 1999. Approximately $0.9 billion of the decline was due to the elimination of per-line charges in 2000 and the impact of Concert. The remainder of the decline was primarily due to a decline in traditional voice services, such as Domestic Dial 1, reflecting the ongoing competitive nature of the consumer long distance industry, which has resulted in pricing pressures and a loss of market share. Also negatively impacting revenue was product substitution and market migration away from direct-dial wireline and higher-priced calling-card services to the rapidly growing wireless services and lower-priced prepaid-card services. As a result, calling volumes declined at a mid single-digit percentage rate in 2000. AT&amp;T expects competition and product substitution to continue to negatively impact Consumer Services revenue.</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August 1999, AT&amp;T introduced AT&amp;T One Rate, which allows customers to make long distance calls, 24 hours a day, seven days a week, for the same rate. These One Rate offers continue to be well received in the market with more than 12 million customers enrolled since the plan's introduction. In addition, AT&amp;T has been successful in packaging services in the consumer market by giving customers the option of intraLATA service with its One Rate offers. More than 60% of the customers enrolled in One Rate have chosen AT&amp;T as their intraLATA provider.</w:t>
      </w:r>
    </w:p>
    <w:p>
      <w:pPr>
        <w:spacing w:after="0" w:line="201"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AT&amp;T's any distance New York Local One Rate offer, which combines both local and long distance service, has experienced high customer acceptance. AT&amp;T ended the year with nearly 760,000 customers under this plan.</w:t>
      </w:r>
    </w:p>
    <w:p>
      <w:pPr>
        <w:spacing w:after="0" w:line="194"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In 1999, Consumer Services revenue decreased $1.0 billion, or 4.4%, on a mid single-digit percentage decline in volumes. The 1999 decline reflects the ongoing competitive nature of the consumer long distance industry, as well as product substitution and market migration away from direct dial and higher-priced calling-card services to rapidly growing wireless services and lower-priced prepaid-card services.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EBIT/EBITDA</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EBIT declined $0.7 billion, or 9.5%, and EBITDA declined $0.7 billion, or 9.5%, in 2000 compared with 1999. The declines in EBIT and EBITDA primarily reflect the decline in the long distance business, offset somewhat by cost-control initiatives. In addition, the declines reflect $0.2 billion of lower gains on sales of businesses, primarily the 1999 sale of Language Line Services, and higher restructuring charges. Reflecting AT&amp;T's cost-control initiatives, EBIT and EBITDA margins in 2000 improved to 36.5% and 37.4%, respectively, compared with 35.0% and 35.9%, respectively, in 1999.</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VI-33</w:t>
      </w:r>
    </w:p>
    <w:p>
      <w:pPr>
        <w:sectPr>
          <w:pgSz w:w="11900" w:h="16838" w:orient="portrait"/>
          <w:cols w:equalWidth="0" w:num="1">
            <w:col w:w="10219"/>
          </w:cols>
          <w:pgMar w:left="240" w:top="719" w:right="1440" w:bottom="860" w:gutter="0" w:footer="0" w:header="0"/>
        </w:sectPr>
      </w:pPr>
    </w:p>
    <w:bookmarkStart w:id="190" w:name="page191"/>
    <w:bookmarkEnd w:id="190"/>
    <w:p>
      <w:pPr>
        <w:ind w:right="2039" w:firstLine="524"/>
        <w:spacing w:after="0" w:line="252" w:lineRule="auto"/>
        <w:rPr>
          <w:sz w:val="20"/>
          <w:szCs w:val="20"/>
          <w:color w:val="auto"/>
        </w:rPr>
      </w:pPr>
      <w:r>
        <w:rPr>
          <w:rFonts w:ascii="Courier New" w:cs="Courier New" w:eastAsia="Courier New" w:hAnsi="Courier New"/>
          <w:sz w:val="17"/>
          <w:szCs w:val="17"/>
          <w:color w:val="auto"/>
        </w:rPr>
        <w:t>EBIT grew $1.3 billion, or 21.1%, and EBITDA grew $1.4 billion, or 21.8%, in 1999. The EBIT margin improved to 35.0% in 1999 (excluding the gain on the sale of Language Line Services, the 1999 EBIT margin was 34.3%) from 27.6% in the prior year. The EBIT and EBITDA growth for 1999 reflects ongoing cost-reduction efforts, particularly in marketing spending, as well as lower negotiated international settlement rates.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ITEMS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Capital additions decreased $0.2 billion, or 50.6%, in 2000 as a result of a planned reduction in spending on the voice network and reduced spending on internal-use software as most of the functionality upgrades were completed in 1999. In 1999, capital additions increased $0.2 billion, or 201.9%, primarily due to increased spending on internal-use software to add more functionality to AT&amp;T's services and in support of AT&amp;T WorldNet Services subscriber growth.</w:t>
      </w:r>
    </w:p>
    <w:p>
      <w:pPr>
        <w:spacing w:after="0" w:line="197"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Total assets declined $0.6 billion, or 16.7%, during 2000. The decline was primarily due to assets transferred to Concert during 2000, as well as lower accounts receivable, reflecting lower revenue.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BROADBAND</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--------------------- 2000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1999 ---------</w:t>
            </w:r>
          </w:p>
        </w:tc>
        <w:tc>
          <w:tcPr>
            <w:tcW w:w="392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 (DOLLARS IN MILLIONS)</w:t>
            </w:r>
          </w:p>
        </w:tc>
      </w:tr>
      <w:tr>
        <w:trPr>
          <w:trHeight w:val="201"/>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Revenue.....................................................</w:t>
            </w:r>
          </w:p>
        </w:tc>
        <w:tc>
          <w:tcPr>
            <w:tcW w:w="3040" w:type="dxa"/>
            <w:vAlign w:val="bottom"/>
          </w:tcPr>
          <w:p>
            <w:pPr>
              <w:spacing w:after="0"/>
              <w:rPr>
                <w:sz w:val="17"/>
                <w:szCs w:val="17"/>
                <w:color w:val="auto"/>
              </w:rPr>
            </w:pPr>
          </w:p>
        </w:tc>
      </w:tr>
      <w:tr>
        <w:trPr>
          <w:trHeight w:val="201"/>
        </w:trPr>
        <w:tc>
          <w:tcPr>
            <w:tcW w:w="2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$ 8,226</w:t>
            </w:r>
          </w:p>
        </w:tc>
        <w:tc>
          <w:tcPr>
            <w:tcW w:w="3040" w:type="dxa"/>
            <w:vAlign w:val="bottom"/>
          </w:tcPr>
          <w:p>
            <w:pPr>
              <w:jc w:val="right"/>
              <w:ind w:right="2153"/>
              <w:spacing w:after="0"/>
              <w:rPr>
                <w:sz w:val="20"/>
                <w:szCs w:val="20"/>
                <w:color w:val="auto"/>
              </w:rPr>
            </w:pPr>
            <w:r>
              <w:rPr>
                <w:rFonts w:ascii="Courier New" w:cs="Courier New" w:eastAsia="Courier New" w:hAnsi="Courier New"/>
                <w:sz w:val="17"/>
                <w:szCs w:val="17"/>
                <w:color w:val="auto"/>
              </w:rPr>
              <w:t>$ 5,070</w:t>
            </w:r>
          </w:p>
        </w:tc>
      </w:tr>
      <w:tr>
        <w:trPr>
          <w:trHeight w:val="201"/>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EBIT........................................................</w:t>
            </w:r>
          </w:p>
        </w:tc>
        <w:tc>
          <w:tcPr>
            <w:tcW w:w="3040" w:type="dxa"/>
            <w:vAlign w:val="bottom"/>
          </w:tcPr>
          <w:p>
            <w:pPr>
              <w:spacing w:after="0"/>
              <w:rPr>
                <w:sz w:val="17"/>
                <w:szCs w:val="17"/>
                <w:color w:val="auto"/>
              </w:rPr>
            </w:pPr>
          </w:p>
        </w:tc>
      </w:tr>
      <w:tr>
        <w:trPr>
          <w:trHeight w:val="201"/>
        </w:trPr>
        <w:tc>
          <w:tcPr>
            <w:tcW w:w="2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(1,240)</w:t>
            </w:r>
          </w:p>
        </w:tc>
        <w:tc>
          <w:tcPr>
            <w:tcW w:w="3040" w:type="dxa"/>
            <w:vAlign w:val="bottom"/>
          </w:tcPr>
          <w:p>
            <w:pPr>
              <w:jc w:val="right"/>
              <w:ind w:right="2153"/>
              <w:spacing w:after="0"/>
              <w:rPr>
                <w:sz w:val="20"/>
                <w:szCs w:val="20"/>
                <w:color w:val="auto"/>
              </w:rPr>
            </w:pPr>
            <w:r>
              <w:rPr>
                <w:rFonts w:ascii="Courier New" w:cs="Courier New" w:eastAsia="Courier New" w:hAnsi="Courier New"/>
                <w:sz w:val="17"/>
                <w:szCs w:val="17"/>
                <w:color w:val="auto"/>
              </w:rPr>
              <w:t>(1,545)</w:t>
            </w:r>
          </w:p>
        </w:tc>
      </w:tr>
      <w:tr>
        <w:trPr>
          <w:trHeight w:val="201"/>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EBITDA*.....................................................</w:t>
            </w:r>
          </w:p>
        </w:tc>
        <w:tc>
          <w:tcPr>
            <w:tcW w:w="3040" w:type="dxa"/>
            <w:vAlign w:val="bottom"/>
          </w:tcPr>
          <w:p>
            <w:pPr>
              <w:spacing w:after="0"/>
              <w:rPr>
                <w:sz w:val="17"/>
                <w:szCs w:val="17"/>
                <w:color w:val="auto"/>
              </w:rPr>
            </w:pPr>
          </w:p>
        </w:tc>
      </w:tr>
      <w:tr>
        <w:trPr>
          <w:trHeight w:val="201"/>
        </w:trPr>
        <w:tc>
          <w:tcPr>
            <w:tcW w:w="2260" w:type="dxa"/>
            <w:vAlign w:val="bottom"/>
          </w:tcPr>
          <w:p>
            <w:pPr>
              <w:spacing w:after="0"/>
              <w:rPr>
                <w:sz w:val="17"/>
                <w:szCs w:val="17"/>
                <w:color w:val="auto"/>
              </w:rPr>
            </w:pPr>
          </w:p>
        </w:tc>
        <w:tc>
          <w:tcPr>
            <w:tcW w:w="3920" w:type="dxa"/>
            <w:vAlign w:val="bottom"/>
            <w:gridSpan w:val="2"/>
          </w:tcPr>
          <w:p>
            <w:pPr>
              <w:jc w:val="right"/>
              <w:ind w:right="2053"/>
              <w:spacing w:after="0"/>
              <w:rPr>
                <w:sz w:val="20"/>
                <w:szCs w:val="20"/>
                <w:color w:val="auto"/>
              </w:rPr>
            </w:pPr>
            <w:r>
              <w:rPr>
                <w:rFonts w:ascii="Courier New" w:cs="Courier New" w:eastAsia="Courier New" w:hAnsi="Courier New"/>
                <w:sz w:val="17"/>
                <w:szCs w:val="17"/>
                <w:color w:val="auto"/>
              </w:rPr>
              <w:t>1,639 733 Capital</w:t>
            </w:r>
          </w:p>
        </w:tc>
      </w:tr>
      <w:tr>
        <w:trPr>
          <w:trHeight w:val="201"/>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additions...........................................</w:t>
            </w:r>
          </w:p>
        </w:tc>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rPr>
              <w:t>4,968</w:t>
            </w:r>
          </w:p>
        </w:tc>
      </w:tr>
      <w:tr>
        <w:trPr>
          <w:trHeight w:val="201"/>
        </w:trPr>
        <w:tc>
          <w:tcPr>
            <w:tcW w:w="2260" w:type="dxa"/>
            <w:vAlign w:val="bottom"/>
          </w:tcPr>
          <w:p>
            <w:pPr>
              <w:spacing w:after="0"/>
              <w:rPr>
                <w:sz w:val="17"/>
                <w:szCs w:val="17"/>
                <w:color w:val="auto"/>
              </w:rPr>
            </w:pPr>
          </w:p>
        </w:tc>
        <w:tc>
          <w:tcPr>
            <w:tcW w:w="3920" w:type="dxa"/>
            <w:vAlign w:val="bottom"/>
            <w:gridSpan w:val="2"/>
          </w:tcPr>
          <w:p>
            <w:pPr>
              <w:jc w:val="right"/>
              <w:ind w:right="2673"/>
              <w:spacing w:after="0"/>
              <w:rPr>
                <w:sz w:val="20"/>
                <w:szCs w:val="20"/>
                <w:color w:val="auto"/>
              </w:rPr>
            </w:pPr>
            <w:r>
              <w:rPr>
                <w:rFonts w:ascii="Courier New" w:cs="Courier New" w:eastAsia="Courier New" w:hAnsi="Courier New"/>
                <w:sz w:val="17"/>
                <w:szCs w:val="17"/>
                <w:color w:val="auto"/>
              </w:rPr>
              <w:t>4,759</w:t>
            </w:r>
          </w:p>
        </w:tc>
      </w:tr>
    </w:tbl>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------------------ 2000 1999 --------</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 Total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$114,848 $53,810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220" w:right="2259" w:hanging="213"/>
        <w:spacing w:after="0" w:line="257" w:lineRule="auto"/>
        <w:tabs>
          <w:tab w:leader="none" w:pos="220"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EBITDA for Broadband excludes net losses from equity investments and other income.</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Results of operations for the year ended December 31, 2000, include the results of MediaOne since its acquisition on June 15, 2000, while the year ended December 31, 1999, does not include any results of MediaOne. Additionally, the results of operations for the year ended December 31, 1999, include 10 months of TCI's results, reflecting its acquisition in March 1999, while 2000 includes a full 12 months of TCI's results.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Broadband revenue grew $3.2 billion in 2000, or 62.3%, compared with 1999. Approximately $2.8 billion of the increase in revenue was due to the acquisition of MediaOne in 2000 and TCI in 1999. In addition, revenue from new services (digital video, high-speed data, and broadband telephony) and a basic-cable rate increase contributed approximately $0.4 billion to the revenue increase.</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December 31, 2000, Broadband serviced approximately 16.0 million basic-cable customers, passing approximately 28.3 million homes, compared with 11.4 million basic-cable customers, passing approximately 19.7 million homes at December 31, 1999. The increase reflects the acquisition of MediaOne. At December 31, 2000, Broadband provided digital video service to approximately 2.8 million customers, high-speed data service to approximately 1.1 million customers, and broadband telephony service to approximately 547,000 customers. This compares with approximately 1.8 million digital-video customers, approximately 207,000 high-speed data customers, and nearly 8,300 broadband telephony customers at the end of 1999.</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VI-34</w:t>
      </w:r>
    </w:p>
    <w:p>
      <w:pPr>
        <w:sectPr>
          <w:pgSz w:w="11900" w:h="16838" w:orient="portrait"/>
          <w:cols w:equalWidth="0" w:num="1">
            <w:col w:w="10219"/>
          </w:cols>
          <w:pgMar w:left="240" w:top="719" w:right="1440" w:bottom="1062" w:gutter="0" w:footer="0" w:header="0"/>
        </w:sectPr>
      </w:pPr>
    </w:p>
    <w:bookmarkStart w:id="191" w:name="page192"/>
    <w:bookmarkEnd w:id="191"/>
    <w:p>
      <w:pPr>
        <w:spacing w:after="0"/>
        <w:rPr>
          <w:sz w:val="20"/>
          <w:szCs w:val="20"/>
          <w:color w:val="auto"/>
        </w:rPr>
      </w:pPr>
      <w:r>
        <w:rPr>
          <w:rFonts w:ascii="Courier New" w:cs="Courier New" w:eastAsia="Courier New" w:hAnsi="Courier New"/>
          <w:sz w:val="17"/>
          <w:szCs w:val="17"/>
          <w:color w:val="auto"/>
        </w:rPr>
        <w:t>EBIT/EBITDA</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EBIT in 2000 was a deficit of $1.2 billion, an improvement of $0.3 billion, or 19.7%. This improvement was due to approximately $0.5 billion of higher gains on sales of businesses and investments, primarily gains on the swap of cable properties with Cox and Comcast and the sale of AT&amp;T's investment in Lenfest, and $0.4 billion lower restructuring charges primarily associated with an in-process research and development charge recorded in connection with the 1999 acquisition of TCI. Also contributing to the improvement were lower pretax losses from equity investments of $0.5 billion, due in part to a $0.3 billion improvement from AT&amp;T's investment in Cablevision due to gains from cable-system sales. These improvements were largely offset by the impact of the acquisition of MediaOne as well as TCI of approximately $0.5 billion and higher expenses associated with high-speed data and broadband telephony services of approximately $0.4 billion.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EBITDA, which excludes net losses from equity investments and other income, was $1.6 billion in 2000, an improvement of $0.9 billion compared with 1999. This improvement was due to the impact of the MediaOne and TCI acquisitions of $0.7 billion and lower restructuring charges of $0.4 billion. Higher expenses associated with high-speed data and broadband telephony of approximately $0.2 billion offset these increases.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ITEMS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Capital additions increased 4.4% to approximately $5.0 billion in 2000, from $4.8 billion in 1999. The increase was due to higher capital expenditures of $0.8 billion primarily due to MediaOne, which was almost entirely offset by decreased contributions to various nonconsolidated investments of $0.7 billion. In 1999, spending was largely directed toward cable-distribution systems, focusing on the upgrade of cable plant-assets, as well as equity infusions into various investments.</w:t>
      </w:r>
    </w:p>
    <w:p>
      <w:pPr>
        <w:spacing w:after="0" w:line="196"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Total assets at December 31, 2000, were $114.8 billion compared with $53.8 billion at December 31, 1999. The increase in total assets was primarily due to the MediaOne acquisition and an increase in property, plant and equipment as a result of capital expenditures, net of depreciation expense. These increases were partially offset by a decrease in the mark-to-market valuation of certain investments.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AND OTHER</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------- 2000 1999 1998 --------- ------- --------- (DOLLARS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 MILLIONS)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(487) $(542) $ (303)</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EBIT........................................................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(3,279) (441) (2,040)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EBITDA......................................................</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(2,382) 37 (1,938) Capital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additions........................................... 1,683</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271 310</w:t>
      </w:r>
    </w:p>
    <w:p>
      <w:pPr>
        <w:spacing w:after="0" w:line="200" w:lineRule="exact"/>
        <w:rPr>
          <w:sz w:val="20"/>
          <w:szCs w:val="20"/>
          <w:color w:val="auto"/>
        </w:rPr>
      </w:pPr>
    </w:p>
    <w:p>
      <w:pPr>
        <w:spacing w:after="0" w:line="212"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AT DECEMBER 31, ----------------- 2000 1999 ------- -</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 Total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$12,101 $12,069</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Revenue for corporate and other primarily includes the elimination of intercompany revenue of negative $0.8 billion (an increase of $0.1 billion from 1999)and revenue from Excite@Home of $0.2 billion (which was consolidated beginning on September 1, 2000).</w:t>
      </w:r>
    </w:p>
    <w:p>
      <w:pPr>
        <w:spacing w:after="0" w:line="195"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For 1999, revenue decreased $0.2 billion, or 78.6%. The decline was driven by an increase in the elimination of intercompany revenue and the sale of AT&amp;T Solutions Customer Care (ASCC) in 1998.</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VI-35</w:t>
      </w:r>
    </w:p>
    <w:p>
      <w:pPr>
        <w:sectPr>
          <w:pgSz w:w="11900" w:h="16838" w:orient="portrait"/>
          <w:cols w:equalWidth="0" w:num="1">
            <w:col w:w="10219"/>
          </w:cols>
          <w:pgMar w:left="240" w:top="719" w:right="1440" w:bottom="860" w:gutter="0" w:footer="0" w:header="0"/>
        </w:sectPr>
      </w:pPr>
    </w:p>
    <w:bookmarkStart w:id="192" w:name="page193"/>
    <w:bookmarkEnd w:id="192"/>
    <w:p>
      <w:pPr>
        <w:spacing w:after="0"/>
        <w:rPr>
          <w:sz w:val="20"/>
          <w:szCs w:val="20"/>
          <w:color w:val="auto"/>
        </w:rPr>
      </w:pPr>
      <w:r>
        <w:rPr>
          <w:rFonts w:ascii="Courier New" w:cs="Courier New" w:eastAsia="Courier New" w:hAnsi="Courier New"/>
          <w:sz w:val="17"/>
          <w:szCs w:val="17"/>
          <w:color w:val="auto"/>
        </w:rPr>
        <w:t>EBIT/EBITDA</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EBIT and EBITDA deficits in 2000 increased $2.8 billion and $2.4 billion to $3.3 billion and $2.4 billion, respectively. The increases in the deficits were largely related to Excite@Home. In 2000, restructuring and other charges, net of minority interest, were $2.9 billion higher primarily due to goodwill impairment charges recorded by Excite@Home and AT&amp;T related to Excite@Home. Other impacts included a charge of approximately $0.5 billion for the fair market value increase of put options held by Comcast and Cox related to Excite@Home, and operating losses from Excite@Home. Partially offsetting these declines were an increase in the pension credit due to a higher pension trust asset base resulting from increased investment returns, and lower expenses associated with AT&amp;T's continued efforts to reduce costs, which aggregated approximately $0.6 billion. In addition, higher net gains on sales of investments and an increase in interest income increased EBIT and EBITDA by approximately $0.6 billion.</w:t>
      </w:r>
    </w:p>
    <w:p>
      <w:pPr>
        <w:spacing w:after="0" w:line="201"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In 1999, EBIT and EBITDA improved $1.6 billion and $2.0 billion to a deficit of $0.4 billion and earnings of $37 million, respectively. The improvements were driven by $2.4 billion of lower net restructuring and other charges in 1999 compared with 1998, partially offset by higher net losses from other equity investments, lower gains on the sales of businesses and lower interest income, which negatively impacted EBIT and EBITDA by $0.6 billion. Additionally, EBIT was impacted by dividends on trust preferred securities. In 1998, AT&amp;T recorded a gain on the sale of ASCC.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ITEMS</w:t>
      </w:r>
    </w:p>
    <w:p>
      <w:pPr>
        <w:spacing w:after="0" w:line="210"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Capital additions increased $1.4 billion in 2000. The increase was driven by AT&amp;T's investment in 2000 in Net2Phone, Inc. (Net2Phone). 1999 Capital additions were essentially flat when compared to 1998.</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Total assets were consistent at December 31, 2000 and December 31, 1999.</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LIBERTY MEDIA GROUP</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Earnings from LMG were $1.5 billion in 2000 compared with losses of $2.0 billion from the date of acquisition through December 31, 1999. The increase was primarily due to gains on dispositions, including gains associated with the mergers of various companies that LMG had investments in. Gains were recorded for the difference between the carrying value of LMG's interest in the acquired company and the fair value of securities received in the merger. In addition, lower stock compensation expense in 2000 compared with 1999 contributed to the increase. These were partially offset by impairment charges recorded on LMG's investments to reflect other than temporary declines in value and higher losses relating to LMG's equity affiliates.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NINE MONTHS ENDED SEPTEMBER 30,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--------------------- 2001 2000 -------</w:t>
      </w:r>
    </w:p>
    <w:p>
      <w:pPr>
        <w:spacing w:after="0" w:line="9" w:lineRule="exact"/>
        <w:rPr>
          <w:sz w:val="20"/>
          <w:szCs w:val="20"/>
          <w:color w:val="auto"/>
        </w:rPr>
      </w:pPr>
    </w:p>
    <w:p>
      <w:pPr>
        <w:ind w:left="640" w:right="6079" w:hanging="581"/>
        <w:spacing w:after="0" w:line="251" w:lineRule="auto"/>
        <w:tabs>
          <w:tab w:leader="none" w:pos="273"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CASH FLOWS: Provided by operating</w:t>
      </w:r>
    </w:p>
    <w:p>
      <w:pPr>
        <w:ind w:left="220"/>
        <w:spacing w:after="0"/>
        <w:rPr>
          <w:sz w:val="20"/>
          <w:szCs w:val="20"/>
          <w:color w:val="auto"/>
        </w:rPr>
      </w:pPr>
      <w:r>
        <w:rPr>
          <w:rFonts w:ascii="Courier New" w:cs="Courier New" w:eastAsia="Courier New" w:hAnsi="Courier New"/>
          <w:sz w:val="17"/>
          <w:szCs w:val="17"/>
          <w:color w:val="auto"/>
        </w:rPr>
        <w:t>activities..........................</w:t>
      </w:r>
    </w:p>
    <w:p>
      <w:pPr>
        <w:spacing w:after="0" w:line="9"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7"/>
          <w:szCs w:val="17"/>
          <w:color w:val="auto"/>
        </w:rPr>
        <w:t>$6,741 $ 8,114 Used in investing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activities..............................</w:t>
      </w:r>
    </w:p>
    <w:p>
      <w:pPr>
        <w:spacing w:after="0" w:line="9" w:lineRule="exact"/>
        <w:rPr>
          <w:sz w:val="20"/>
          <w:szCs w:val="20"/>
          <w:color w:val="auto"/>
        </w:rPr>
      </w:pPr>
    </w:p>
    <w:p>
      <w:pPr>
        <w:jc w:val="both"/>
        <w:ind w:left="220" w:right="6239" w:firstLine="49"/>
        <w:spacing w:after="0" w:line="251" w:lineRule="auto"/>
        <w:tabs>
          <w:tab w:leader="none" w:pos="796" w:val="left"/>
        </w:tabs>
        <w:numPr>
          <w:ilvl w:val="0"/>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(26,436) Provided by financing activities..........................</w:t>
      </w:r>
    </w:p>
    <w:p>
      <w:pPr>
        <w:jc w:val="both"/>
        <w:ind w:left="220" w:right="62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(7,432) 23,301 Provided by (used in) discontinued operations.............</w:t>
      </w:r>
    </w:p>
    <w:p>
      <w:pPr>
        <w:ind w:left="1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4,860 (5,686)</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Net cash provided by operating activities of $6.7 billion for the nine months ended September 30, 2001 was primarily due to the loss from continuing operations, excluding non-cash income items and the adjustment for net gains on sales of businesses and investments, of $8.7 billion, partially offset by net changes in other operating assets and liabilities of $1.1 billion and a decrease in accounts payable of $0.8 billion. Net cash provided by operating activities of $8.1 billion for the nine months ended</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VI-36</w:t>
      </w:r>
    </w:p>
    <w:p>
      <w:pPr>
        <w:sectPr>
          <w:pgSz w:w="11900" w:h="16838" w:orient="portrait"/>
          <w:cols w:equalWidth="0" w:num="1">
            <w:col w:w="10219"/>
          </w:cols>
          <w:pgMar w:left="240" w:top="719" w:right="1440" w:bottom="1440" w:gutter="0" w:footer="0" w:header="0"/>
        </w:sectPr>
      </w:pPr>
    </w:p>
    <w:bookmarkStart w:id="193" w:name="page194"/>
    <w:bookmarkEnd w:id="193"/>
    <w:p>
      <w:pPr>
        <w:ind w:right="1839"/>
        <w:spacing w:after="0" w:line="252" w:lineRule="auto"/>
        <w:rPr>
          <w:sz w:val="20"/>
          <w:szCs w:val="20"/>
          <w:color w:val="auto"/>
        </w:rPr>
      </w:pPr>
      <w:r>
        <w:rPr>
          <w:rFonts w:ascii="Courier New" w:cs="Courier New" w:eastAsia="Courier New" w:hAnsi="Courier New"/>
          <w:sz w:val="17"/>
          <w:szCs w:val="17"/>
          <w:color w:val="auto"/>
        </w:rPr>
        <w:t>September 30, 2000 was primarily due to income from continuing operations, excluding non-cash income items and the adjustment for net gains on sales of businesses and investments, of $11.6 billion, partially offset by an increase in accounts receivable of $2.1 billion and a decrease in accounts payable of $1.4 billion.</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AT&amp;T's investing activities resulted in a net use of cash of $35 million for the nine months ended September 30, 2001, compared with $26.4 billion for the comparable period in 2000. For the nine months ended September 30, 2001, AT&amp;T spent $6.5 billion on capital expenditures and received approximately $4.8 billion, primarily from the net dispositions of cable systems, and approximately $1.8 billion from the sale of investments. For the nine months ended September 30, 2000, AT&amp;T spent approximately $16.6 billion for acquisitions of businesses, primarily MediaOne, $7.8 billion on capital expenditures, $2.4 billion for non-consolidated investments, including Net2Phone and infusions into existing cable investments, and loaned $1.0 billion to Concert. In addition, AT&amp;T received approximately $0.8 billion primarily from the sale of investments.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For the nine months ended September 30, 2001, net cash used in financing activities was $7.4 billion, compared with net cash provided by financing activities of $23.3 billion for the nine months ended September 30, 2000. During the nine months ended September 30, 2001, AT&amp;T made net payments of $11.0 billion to reduce debt, paid AT&amp;T Wireless $5.8 billion to settle an intercompany loan in conjunction with its split-off from AT&amp;T and paid dividends of $0.4 billion. In addition, AT&amp;T received $9.8 billion from the issuance of convertible preferred stock to NTT DoCoMo. During the nine months ended September 30, 2000, AT&amp;T received $16.1 billion from the net issuance of debt and $10.3 billion from the AT&amp;T Wireless tracking stock offering. In addition, AT&amp;T paid dividends of $2.2 billion and $0.6 billion for net acquisitions of treasury shares and redeemed securities for $0.2 billion.</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For the nine months ended September 30, 2001, net cash provided by discontinued operations was $4.9 billion, compared with a net use of cash of $5.7 billion during the nine months ended September 30, 2000. During the nine months ended September 30, 2001, AT&amp;T Wireless issued $6.5 billion of bonds, partially offset by spending of $2.3 billion on capital expenditures, and was split-off from AT&amp;T on July 9, 2001. For the nine months ended September 30, 2000, AT&amp;T Wireless made net expenditures of $3.2 billion to acquire businesses and spent $3.0 billion on capital expenditures.</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 September 30, 2001, AT&amp;T had current assets of $16.5 billion and current liabilities of $32.0 billion. The current assets were primarily comprised of trade and other receivables of $10.0 billion and cash of $4.2 billion. A significant portion of the current liabilities, $18.4 billion, related to short-term notes, the majority of which were commercial paper or debt with an original maturity of one year or less.</w:t>
      </w:r>
    </w:p>
    <w:p>
      <w:pPr>
        <w:spacing w:after="0" w:line="197" w:lineRule="exact"/>
        <w:rPr>
          <w:sz w:val="20"/>
          <w:szCs w:val="20"/>
          <w:color w:val="auto"/>
        </w:rPr>
      </w:pPr>
    </w:p>
    <w:p>
      <w:pPr>
        <w:ind w:right="2359" w:firstLine="524"/>
        <w:spacing w:after="0" w:line="254" w:lineRule="auto"/>
        <w:rPr>
          <w:sz w:val="20"/>
          <w:szCs w:val="20"/>
          <w:color w:val="auto"/>
        </w:rPr>
      </w:pPr>
      <w:r>
        <w:rPr>
          <w:rFonts w:ascii="Courier New" w:cs="Courier New" w:eastAsia="Courier New" w:hAnsi="Courier New"/>
          <w:sz w:val="17"/>
          <w:szCs w:val="17"/>
          <w:color w:val="auto"/>
        </w:rPr>
        <w:t>AT&amp;T expects that it will retire a portion of the short-term debt with other financing arrangements, including the monetization of publicly-held securities and sales of certain non-strategic assets and investments.</w:t>
      </w:r>
    </w:p>
    <w:p>
      <w:pPr>
        <w:spacing w:after="0" w:line="19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2000 1999 1998</w:t>
            </w:r>
          </w:p>
        </w:tc>
        <w:tc>
          <w:tcPr>
            <w:tcW w:w="2700" w:type="dxa"/>
            <w:vAlign w:val="bottom"/>
          </w:tcPr>
          <w:p>
            <w:pPr>
              <w:jc w:val="right"/>
              <w:spacing w:after="0"/>
              <w:rPr>
                <w:sz w:val="20"/>
                <w:szCs w:val="20"/>
                <w:color w:val="auto"/>
              </w:rPr>
            </w:pPr>
            <w:r>
              <w:rPr>
                <w:rFonts w:ascii="Courier New" w:cs="Courier New" w:eastAsia="Courier New" w:hAnsi="Courier New"/>
                <w:sz w:val="17"/>
                <w:szCs w:val="17"/>
                <w:color w:val="auto"/>
              </w:rPr>
              <w:t>--------- --------- -----</w:t>
            </w:r>
          </w:p>
        </w:tc>
      </w:tr>
      <w:tr>
        <w:trPr>
          <w:trHeight w:val="201"/>
        </w:trPr>
        <w:tc>
          <w:tcPr>
            <w:tcW w:w="57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 (DOLLARS IN MILLIONS) CASH FLOWS: Provided by</w:t>
            </w:r>
          </w:p>
        </w:tc>
      </w:tr>
      <w:tr>
        <w:trPr>
          <w:trHeight w:val="201"/>
        </w:trPr>
        <w:tc>
          <w:tcPr>
            <w:tcW w:w="57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operating activities of continuing</w:t>
            </w:r>
          </w:p>
        </w:tc>
      </w:tr>
      <w:tr>
        <w:trPr>
          <w:trHeight w:val="201"/>
        </w:trPr>
        <w:tc>
          <w:tcPr>
            <w:tcW w:w="30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operations.............................................</w:t>
            </w:r>
          </w:p>
        </w:tc>
        <w:tc>
          <w:tcPr>
            <w:tcW w:w="2700" w:type="dxa"/>
            <w:vAlign w:val="bottom"/>
          </w:tcPr>
          <w:p>
            <w:pPr>
              <w:spacing w:after="0"/>
              <w:rPr>
                <w:sz w:val="17"/>
                <w:szCs w:val="17"/>
                <w:color w:val="auto"/>
              </w:rPr>
            </w:pPr>
          </w:p>
        </w:tc>
      </w:tr>
      <w:tr>
        <w:trPr>
          <w:trHeight w:val="201"/>
        </w:trPr>
        <w:tc>
          <w:tcPr>
            <w:tcW w:w="1360" w:type="dxa"/>
            <w:vAlign w:val="bottom"/>
          </w:tcPr>
          <w:p>
            <w:pPr>
              <w:jc w:val="right"/>
              <w:ind w:right="20"/>
              <w:spacing w:after="0"/>
              <w:rPr>
                <w:sz w:val="20"/>
                <w:szCs w:val="20"/>
                <w:color w:val="auto"/>
              </w:rPr>
            </w:pPr>
            <w:r>
              <w:rPr>
                <w:rFonts w:ascii="Courier New" w:cs="Courier New" w:eastAsia="Courier New" w:hAnsi="Courier New"/>
                <w:sz w:val="17"/>
                <w:szCs w:val="17"/>
                <w:color w:val="auto"/>
              </w:rPr>
              <w:t>$11,665</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$10,509 $ 9,944</w:t>
            </w:r>
          </w:p>
        </w:tc>
        <w:tc>
          <w:tcPr>
            <w:tcW w:w="2700" w:type="dxa"/>
            <w:vAlign w:val="bottom"/>
          </w:tcPr>
          <w:p>
            <w:pPr>
              <w:ind w:left="20"/>
              <w:spacing w:after="0"/>
              <w:rPr>
                <w:sz w:val="20"/>
                <w:szCs w:val="20"/>
                <w:color w:val="auto"/>
              </w:rPr>
            </w:pPr>
            <w:r>
              <w:rPr>
                <w:rFonts w:ascii="Courier New" w:cs="Courier New" w:eastAsia="Courier New" w:hAnsi="Courier New"/>
                <w:sz w:val="17"/>
                <w:szCs w:val="17"/>
                <w:color w:val="auto"/>
              </w:rPr>
              <w:t>(Used in) provided by</w:t>
            </w:r>
          </w:p>
        </w:tc>
      </w:tr>
      <w:tr>
        <w:trPr>
          <w:trHeight w:val="201"/>
        </w:trPr>
        <w:tc>
          <w:tcPr>
            <w:tcW w:w="57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investing activities of continuing</w:t>
            </w:r>
          </w:p>
        </w:tc>
      </w:tr>
      <w:tr>
        <w:trPr>
          <w:trHeight w:val="201"/>
        </w:trPr>
        <w:tc>
          <w:tcPr>
            <w:tcW w:w="30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operations.............................................</w:t>
            </w:r>
          </w:p>
        </w:tc>
        <w:tc>
          <w:tcPr>
            <w:tcW w:w="2700" w:type="dxa"/>
            <w:vAlign w:val="bottom"/>
          </w:tcPr>
          <w:p>
            <w:pPr>
              <w:spacing w:after="0"/>
              <w:rPr>
                <w:sz w:val="17"/>
                <w:szCs w:val="17"/>
                <w:color w:val="auto"/>
              </w:rPr>
            </w:pPr>
          </w:p>
        </w:tc>
      </w:tr>
      <w:tr>
        <w:trPr>
          <w:trHeight w:val="201"/>
        </w:trPr>
        <w:tc>
          <w:tcPr>
            <w:tcW w:w="3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(30,045) (23,884) 4,135</w:t>
            </w:r>
          </w:p>
        </w:tc>
        <w:tc>
          <w:tcPr>
            <w:tcW w:w="2700" w:type="dxa"/>
            <w:vAlign w:val="bottom"/>
          </w:tcPr>
          <w:p>
            <w:pPr>
              <w:ind w:left="20"/>
              <w:spacing w:after="0"/>
              <w:rPr>
                <w:sz w:val="20"/>
                <w:szCs w:val="20"/>
                <w:color w:val="auto"/>
              </w:rPr>
            </w:pPr>
            <w:r>
              <w:rPr>
                <w:rFonts w:ascii="Courier New" w:cs="Courier New" w:eastAsia="Courier New" w:hAnsi="Courier New"/>
                <w:sz w:val="17"/>
                <w:szCs w:val="17"/>
                <w:color w:val="auto"/>
              </w:rPr>
              <w:t>Provided by (used in)</w:t>
            </w:r>
          </w:p>
        </w:tc>
      </w:tr>
      <w:tr>
        <w:trPr>
          <w:trHeight w:val="201"/>
        </w:trPr>
        <w:tc>
          <w:tcPr>
            <w:tcW w:w="57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financing activities of continuing</w:t>
            </w:r>
          </w:p>
        </w:tc>
      </w:tr>
      <w:tr>
        <w:trPr>
          <w:trHeight w:val="201"/>
        </w:trPr>
        <w:tc>
          <w:tcPr>
            <w:tcW w:w="30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operations.............................................</w:t>
            </w:r>
          </w:p>
        </w:tc>
        <w:tc>
          <w:tcPr>
            <w:tcW w:w="2700" w:type="dxa"/>
            <w:vAlign w:val="bottom"/>
          </w:tcPr>
          <w:p>
            <w:pPr>
              <w:spacing w:after="0"/>
              <w:rPr>
                <w:sz w:val="17"/>
                <w:szCs w:val="17"/>
                <w:color w:val="auto"/>
              </w:rPr>
            </w:pPr>
          </w:p>
        </w:tc>
      </w:tr>
      <w:tr>
        <w:trPr>
          <w:trHeight w:val="201"/>
        </w:trPr>
        <w:tc>
          <w:tcPr>
            <w:tcW w:w="3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25,732 13,854 (11,051)</w:t>
            </w:r>
          </w:p>
        </w:tc>
        <w:tc>
          <w:tcPr>
            <w:tcW w:w="2700" w:type="dxa"/>
            <w:vAlign w:val="bottom"/>
          </w:tcPr>
          <w:p>
            <w:pPr>
              <w:ind w:left="20"/>
              <w:spacing w:after="0"/>
              <w:rPr>
                <w:sz w:val="20"/>
                <w:szCs w:val="20"/>
                <w:color w:val="auto"/>
              </w:rPr>
            </w:pPr>
            <w:r>
              <w:rPr>
                <w:rFonts w:ascii="Courier New" w:cs="Courier New" w:eastAsia="Courier New" w:hAnsi="Courier New"/>
                <w:sz w:val="17"/>
                <w:szCs w:val="17"/>
                <w:color w:val="auto"/>
              </w:rPr>
              <w:t>Used in discontinued</w:t>
            </w:r>
          </w:p>
        </w:tc>
      </w:tr>
      <w:tr>
        <w:trPr>
          <w:trHeight w:val="201"/>
        </w:trPr>
        <w:tc>
          <w:tcPr>
            <w:tcW w:w="30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9"/>
              </w:rPr>
              <w:t>operations...........................</w:t>
            </w:r>
          </w:p>
        </w:tc>
        <w:tc>
          <w:tcPr>
            <w:tcW w:w="2700" w:type="dxa"/>
            <w:vAlign w:val="bottom"/>
          </w:tcPr>
          <w:p>
            <w:pPr>
              <w:jc w:val="right"/>
              <w:spacing w:after="0"/>
              <w:rPr>
                <w:sz w:val="20"/>
                <w:szCs w:val="20"/>
                <w:color w:val="auto"/>
              </w:rPr>
            </w:pPr>
            <w:r>
              <w:rPr>
                <w:rFonts w:ascii="Courier New" w:cs="Courier New" w:eastAsia="Courier New" w:hAnsi="Courier New"/>
                <w:sz w:val="17"/>
                <w:szCs w:val="17"/>
                <w:color w:val="auto"/>
              </w:rPr>
              <w:t>(8,306) (2,594)</w:t>
            </w:r>
          </w:p>
        </w:tc>
      </w:tr>
      <w:tr>
        <w:trPr>
          <w:trHeight w:val="201"/>
        </w:trPr>
        <w:tc>
          <w:tcPr>
            <w:tcW w:w="1360" w:type="dxa"/>
            <w:vAlign w:val="bottom"/>
          </w:tcPr>
          <w:p>
            <w:pPr>
              <w:spacing w:after="0"/>
              <w:rPr>
                <w:sz w:val="17"/>
                <w:szCs w:val="17"/>
                <w:color w:val="auto"/>
              </w:rPr>
            </w:pPr>
          </w:p>
        </w:tc>
        <w:tc>
          <w:tcPr>
            <w:tcW w:w="4360" w:type="dxa"/>
            <w:vAlign w:val="bottom"/>
            <w:gridSpan w:val="2"/>
          </w:tcPr>
          <w:p>
            <w:pPr>
              <w:jc w:val="center"/>
              <w:ind w:right="1233"/>
              <w:spacing w:after="0"/>
              <w:rPr>
                <w:sz w:val="20"/>
                <w:szCs w:val="20"/>
                <w:color w:val="auto"/>
              </w:rPr>
            </w:pPr>
            <w:r>
              <w:rPr>
                <w:rFonts w:ascii="Courier New" w:cs="Courier New" w:eastAsia="Courier New" w:hAnsi="Courier New"/>
                <w:sz w:val="17"/>
                <w:szCs w:val="17"/>
                <w:color w:val="auto"/>
              </w:rPr>
              <w:t>(207)</w:t>
            </w: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2000, net cash provided by operating activities of continuing operations increased $1.2 billion. The increase was primarily driven by increased other assets and liabilities and an increase in net income excluding the noncash impact of depreciation and amortization, net restructuring and other charges, minority interest income (expense) and the impact of earnings and losses from equity investments, and increased gains on sales of businesses and investments, partially offset by decreased accounts payable. In 1999, net cash provided by operating activities of continuing operations increased $0.6 billion, primarily</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VI-37</w:t>
      </w:r>
    </w:p>
    <w:p>
      <w:pPr>
        <w:sectPr>
          <w:pgSz w:w="11900" w:h="16838" w:orient="portrait"/>
          <w:cols w:equalWidth="0" w:num="1">
            <w:col w:w="10219"/>
          </w:cols>
          <w:pgMar w:left="240" w:top="719" w:right="1440" w:bottom="55"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197"/>
        </w:trPr>
        <w:tc>
          <w:tcPr>
            <w:tcW w:w="680" w:type="dxa"/>
            <w:vAlign w:val="bottom"/>
            <w:gridSpan w:val="2"/>
          </w:tcPr>
          <w:p>
            <w:pPr>
              <w:spacing w:after="0"/>
              <w:rPr>
                <w:sz w:val="20"/>
                <w:szCs w:val="20"/>
                <w:color w:val="auto"/>
              </w:rPr>
            </w:pPr>
            <w:r>
              <w:rPr>
                <w:rFonts w:ascii="Courier New" w:cs="Courier New" w:eastAsia="Courier New" w:hAnsi="Courier New"/>
                <w:sz w:val="17"/>
                <w:szCs w:val="17"/>
                <w:color w:val="auto"/>
              </w:rPr>
              <w:t>due to</w:t>
            </w:r>
          </w:p>
        </w:tc>
        <w:tc>
          <w:tcPr>
            <w:tcW w:w="12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 increase</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in</w:t>
            </w:r>
          </w:p>
        </w:tc>
        <w:tc>
          <w:tcPr>
            <w:tcW w:w="22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net income excluding</w:t>
            </w:r>
          </w:p>
        </w:tc>
        <w:tc>
          <w:tcPr>
            <w:tcW w:w="20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the noncash impact</w:t>
            </w:r>
          </w:p>
        </w:tc>
        <w:tc>
          <w:tcPr>
            <w:tcW w:w="1880" w:type="dxa"/>
            <w:vAlign w:val="bottom"/>
            <w:gridSpan w:val="2"/>
          </w:tcPr>
          <w:p>
            <w:pPr>
              <w:spacing w:after="0"/>
              <w:rPr>
                <w:sz w:val="20"/>
                <w:szCs w:val="20"/>
                <w:color w:val="auto"/>
              </w:rPr>
            </w:pPr>
            <w:r>
              <w:rPr>
                <w:rFonts w:ascii="Courier New" w:cs="Courier New" w:eastAsia="Courier New" w:hAnsi="Courier New"/>
                <w:sz w:val="17"/>
                <w:szCs w:val="17"/>
                <w:color w:val="auto"/>
              </w:rPr>
              <w:t>of depreciation</w:t>
            </w:r>
          </w:p>
        </w:tc>
      </w:tr>
      <w:tr>
        <w:trPr>
          <w:trHeight w:val="201"/>
        </w:trPr>
        <w:tc>
          <w:tcPr>
            <w:tcW w:w="2260" w:type="dxa"/>
            <w:vAlign w:val="bottom"/>
            <w:gridSpan w:val="5"/>
          </w:tcPr>
          <w:p>
            <w:pPr>
              <w:spacing w:after="0"/>
              <w:rPr>
                <w:sz w:val="20"/>
                <w:szCs w:val="20"/>
                <w:color w:val="auto"/>
              </w:rPr>
            </w:pPr>
            <w:r>
              <w:rPr>
                <w:rFonts w:ascii="Courier New" w:cs="Courier New" w:eastAsia="Courier New" w:hAnsi="Courier New"/>
                <w:sz w:val="17"/>
                <w:szCs w:val="17"/>
                <w:color w:val="auto"/>
              </w:rPr>
              <w:t>and amortization, net</w:t>
            </w:r>
          </w:p>
        </w:tc>
        <w:tc>
          <w:tcPr>
            <w:tcW w:w="1460" w:type="dxa"/>
            <w:vAlign w:val="bottom"/>
          </w:tcPr>
          <w:p>
            <w:pPr>
              <w:ind w:left="60"/>
              <w:spacing w:after="0"/>
              <w:rPr>
                <w:sz w:val="20"/>
                <w:szCs w:val="20"/>
                <w:color w:val="auto"/>
              </w:rPr>
            </w:pPr>
            <w:r>
              <w:rPr>
                <w:rFonts w:ascii="Courier New" w:cs="Courier New" w:eastAsia="Courier New" w:hAnsi="Courier New"/>
                <w:sz w:val="17"/>
                <w:szCs w:val="17"/>
                <w:color w:val="auto"/>
              </w:rPr>
              <w:t>restructuring</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and other</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charges and</w:t>
            </w:r>
          </w:p>
        </w:tc>
        <w:tc>
          <w:tcPr>
            <w:tcW w:w="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the</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impact</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w w:val="99"/>
              </w:rPr>
              <w:t>of earnings</w:t>
            </w:r>
          </w:p>
        </w:tc>
      </w:tr>
      <w:tr>
        <w:trPr>
          <w:trHeight w:val="201"/>
        </w:trPr>
        <w:tc>
          <w:tcPr>
            <w:tcW w:w="380" w:type="dxa"/>
            <w:vAlign w:val="bottom"/>
          </w:tcPr>
          <w:p>
            <w:pPr>
              <w:spacing w:after="0"/>
              <w:rPr>
                <w:sz w:val="20"/>
                <w:szCs w:val="20"/>
                <w:color w:val="auto"/>
              </w:rPr>
            </w:pPr>
            <w:r>
              <w:rPr>
                <w:rFonts w:ascii="Courier New" w:cs="Courier New" w:eastAsia="Courier New" w:hAnsi="Courier New"/>
                <w:sz w:val="17"/>
                <w:szCs w:val="17"/>
                <w:color w:val="auto"/>
              </w:rPr>
              <w:t>and</w:t>
            </w:r>
          </w:p>
        </w:tc>
        <w:tc>
          <w:tcPr>
            <w:tcW w:w="1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losses from</w:t>
            </w:r>
          </w:p>
        </w:tc>
        <w:tc>
          <w:tcPr>
            <w:tcW w:w="208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equity investments,</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mostly</w:t>
            </w:r>
          </w:p>
        </w:tc>
        <w:tc>
          <w:tcPr>
            <w:tcW w:w="2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offset by decreased</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other</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rPr>
              <w:t>assets and</w:t>
            </w:r>
          </w:p>
        </w:tc>
      </w:tr>
      <w:tr>
        <w:trPr>
          <w:trHeight w:val="201"/>
        </w:trPr>
        <w:tc>
          <w:tcPr>
            <w:tcW w:w="1640" w:type="dxa"/>
            <w:vAlign w:val="bottom"/>
            <w:gridSpan w:val="3"/>
          </w:tcPr>
          <w:p>
            <w:pPr>
              <w:spacing w:after="0"/>
              <w:rPr>
                <w:sz w:val="20"/>
                <w:szCs w:val="20"/>
                <w:color w:val="auto"/>
              </w:rPr>
            </w:pPr>
            <w:r>
              <w:rPr>
                <w:rFonts w:ascii="Courier New" w:cs="Courier New" w:eastAsia="Courier New" w:hAnsi="Courier New"/>
                <w:sz w:val="17"/>
                <w:szCs w:val="17"/>
                <w:color w:val="auto"/>
              </w:rPr>
              <w:t>liabilities and</w:t>
            </w:r>
          </w:p>
        </w:tc>
        <w:tc>
          <w:tcPr>
            <w:tcW w:w="6740" w:type="dxa"/>
            <w:vAlign w:val="bottom"/>
            <w:gridSpan w:val="9"/>
          </w:tcPr>
          <w:p>
            <w:pPr>
              <w:ind w:left="40"/>
              <w:spacing w:after="0"/>
              <w:rPr>
                <w:sz w:val="20"/>
                <w:szCs w:val="20"/>
                <w:color w:val="auto"/>
              </w:rPr>
            </w:pPr>
            <w:r>
              <w:rPr>
                <w:rFonts w:ascii="Courier New" w:cs="Courier New" w:eastAsia="Courier New" w:hAnsi="Courier New"/>
                <w:sz w:val="17"/>
                <w:szCs w:val="17"/>
                <w:color w:val="auto"/>
              </w:rPr>
              <w:t>increased accounts receivable, due primarily to higher revenue,</w:t>
            </w:r>
          </w:p>
        </w:tc>
      </w:tr>
      <w:tr>
        <w:trPr>
          <w:trHeight w:val="201"/>
        </w:trPr>
        <w:tc>
          <w:tcPr>
            <w:tcW w:w="380" w:type="dxa"/>
            <w:vAlign w:val="bottom"/>
          </w:tcPr>
          <w:p>
            <w:pPr>
              <w:spacing w:after="0"/>
              <w:rPr>
                <w:sz w:val="20"/>
                <w:szCs w:val="20"/>
                <w:color w:val="auto"/>
              </w:rPr>
            </w:pPr>
            <w:r>
              <w:rPr>
                <w:rFonts w:ascii="Courier New" w:cs="Courier New" w:eastAsia="Courier New" w:hAnsi="Courier New"/>
                <w:sz w:val="17"/>
                <w:szCs w:val="17"/>
                <w:color w:val="auto"/>
              </w:rPr>
              <w:t>and</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an</w:t>
            </w: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increase</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in</w:t>
            </w:r>
          </w:p>
        </w:tc>
        <w:tc>
          <w:tcPr>
            <w:tcW w:w="28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tax payments from the gain</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on the 1998</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sale</w:t>
            </w:r>
          </w:p>
        </w:tc>
        <w:tc>
          <w:tcPr>
            <w:tcW w:w="18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of UCS.</w:t>
            </w:r>
          </w:p>
        </w:tc>
      </w:tr>
    </w:tbl>
    <w:p>
      <w:pPr>
        <w:spacing w:after="0" w:line="20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AT&amp;T's investing activities resulted in a net use of cash of $30.0 billion in 2000, compared with a net use of cash of $23.9 billion in 1999. During 2000, AT&amp;T used approximately $16.7 billion for acquisitions of businesses, primarily MediaOne, and spent $11.5 billion on capital expenditures. During 1999, AT&amp;T spent approximately $11.9 billion on capital expenditures, approximately $6.0 billion on acquisitions of businesses, primarily AGNS, and contributed $5.5 billion of cash to LMG. During 1998, AT&amp;T received $10.6 billion related to the sales of businesses, including receivables from UCS, partially offset by capital expenditures of $6.8 billion.</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2000, net cash provided by financing activities was $25.7 billion, compared with $13.9 billion in 1999. In 2000, AT&amp;T received $10.3 billion from the AT&amp;T Wireless Group tracking stock offering and borrowed an additional $17.0 billion of short-term debt and $2.5 billion of net long-term debt. These were partially offset by the payment of $3.0 billion in dividends. In 1999, AT&amp;T received $10.2 billion from the issuance of commercial paper and short-term debt, $6.1 billion from the net issuance of long-term debt and $4.6 billion from the issuance of redeemable preferred securities. These sources of cash were partially offset by the acquisition of treasury shares of $4.6 billion and the payment of dividends of $2.7 billion. Cash used in financing activities in 1998 primarily related to repayment of long-term and short-term debt, the acquisition of treasury shares and dividends paid on common stock.</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 December 31, 2000, AT&amp;T had current assets of $14.7 billion and current liabilities of $48.0 billion. A significant portion of the current liabilities, $31.8 billion, relates to short-term notes, the majority of which were commercial paper or debt with an original maturity of one year or less. AT&amp;T expects that it will retire a portion of the short-term debt with other financing arrangements, including the monetization of publicly-held securities, sales of certain non-strategic assets and investments, and securitization of certain accounts receivable. At December 31, 2000, AT&amp;T had a current liability of $2.6 billion, reflecting AT&amp;T's obligation under put options held by Comcast and Cox. In January 2001, Comcast and Cox exercised their rights under the put options and elected to receive AT&amp;T stock in lieu of cash.</w:t>
      </w:r>
    </w:p>
    <w:p>
      <w:pPr>
        <w:spacing w:after="0" w:line="201" w:lineRule="exact"/>
        <w:rPr>
          <w:sz w:val="20"/>
          <w:szCs w:val="20"/>
          <w:color w:val="auto"/>
        </w:rPr>
      </w:pPr>
    </w:p>
    <w:p>
      <w:pPr>
        <w:ind w:right="2259" w:firstLine="524"/>
        <w:spacing w:after="0" w:line="252" w:lineRule="auto"/>
        <w:rPr>
          <w:sz w:val="20"/>
          <w:szCs w:val="20"/>
          <w:color w:val="auto"/>
        </w:rPr>
      </w:pPr>
      <w:r>
        <w:rPr>
          <w:rFonts w:ascii="Courier New" w:cs="Courier New" w:eastAsia="Courier New" w:hAnsi="Courier New"/>
          <w:sz w:val="17"/>
          <w:szCs w:val="17"/>
          <w:color w:val="auto"/>
        </w:rPr>
        <w:t>On February 28, 2001, AT&amp;T exercised its registration rights in TWE and formally requested TWE to begin the process of converting the limited partnership into a corporation with registered equity securities. On May 14, 2001, AT&amp;T named Credit Suisse First Boston as its investment banker for the registration process under the TWE partnership agreement.</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October 2001, AT&amp;T sold 19.2 million shares of Cablevision NY Group Class A common stock and, through a trust, 26.9 million shares of a mandatorily exchangeable trust security that will be exchangeable into up to 26.9 million shares of Cablevision NY Group Class A common stock at maturity in three years. The offering generated approximately $1.4 billion of pretax net proceeds.</w:t>
      </w:r>
    </w:p>
    <w:p>
      <w:pPr>
        <w:spacing w:after="0" w:line="197"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 connection with the split-off of AT&amp;T Wireless on July 9, 2001, AT&amp;T retained approximately 185 million shares of AT&amp;T Wireless Services valued at approximately $3.0 billion and immediately exchanged $1.6 billion of those shares to retire debt. In October of 2001, AT&amp;T monetized a portion of its remaining interest in AT&amp;T Wireless and received approximately $600 million in proceeds.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Since the announced restructuring plans to create four new businesses, AT&amp;T's debt ratings have been under review by the applicable rating agencies. As a result of this review, AT&amp;T's long-term and short-term ratings have been downgraded and the long-term ratings put on credit watch with a negative outlook. These actions will result in an increased cost of future borrowings and will limit AT&amp;T's access to the capital markets.</w:t>
      </w:r>
    </w:p>
    <w:p>
      <w:pPr>
        <w:spacing w:after="0" w:line="1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AT&amp;T is pursuing various measures to reduce its debt level. However, there can be no assurance that AT&amp;T will be able to obtain financing on terms that are acceptable to it. If these efforts cannot be completed successfully or on terms and within the timeframe contemplated, AT&amp;T's financial condition</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VI-38</w:t>
      </w:r>
    </w:p>
    <w:p>
      <w:pPr>
        <w:sectPr>
          <w:pgSz w:w="11900" w:h="16838" w:orient="portrait"/>
          <w:cols w:equalWidth="0" w:num="1">
            <w:col w:w="10219"/>
          </w:cols>
          <w:pgMar w:left="240" w:top="719" w:right="1440" w:bottom="860" w:gutter="0" w:footer="0" w:header="0"/>
        </w:sectPr>
      </w:pPr>
    </w:p>
    <w:bookmarkStart w:id="195" w:name="page196"/>
    <w:bookmarkEnd w:id="195"/>
    <w:p>
      <w:pPr>
        <w:jc w:val="both"/>
        <w:ind w:right="1839"/>
        <w:spacing w:after="0" w:line="254" w:lineRule="auto"/>
        <w:rPr>
          <w:sz w:val="20"/>
          <w:szCs w:val="20"/>
          <w:color w:val="auto"/>
        </w:rPr>
      </w:pPr>
      <w:r>
        <w:rPr>
          <w:rFonts w:ascii="Courier New" w:cs="Courier New" w:eastAsia="Courier New" w:hAnsi="Courier New"/>
          <w:sz w:val="17"/>
          <w:szCs w:val="17"/>
          <w:color w:val="auto"/>
        </w:rPr>
        <w:t>would be materially adversely affected. Some of these adverse conditions include AT&amp;T's ability to pursue acquisitions or make capital expenditures to expand its network and cable plant, or pay dividends.</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On December 28, 2000, AT&amp;T entered into a 364-day, $25 billion revolving-credit facility syndicated to 39 banks which has subsequently been reduced to $14.3 billion as a result of the NTT DoCoMo investment, the AT&amp;T Wireless bond offering, the sale of Japan Telecom and the sale of various cable-systems and the sale of Cablevision common stock. At September 30, 2001, the revolving-credit facility was unused.</w:t>
      </w:r>
    </w:p>
    <w:p>
      <w:pPr>
        <w:spacing w:after="0" w:line="197"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On October 31, 2001, AT&amp;T's Board of Directors approved the sale of senior notes for private placement, the proceeds of which will be utilized to retire short-term indebtedness and for general corporate purposes.</w:t>
      </w:r>
    </w:p>
    <w:p>
      <w:pPr>
        <w:spacing w:after="0" w:line="194"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Also in connection with AT&amp;T's restructuring, it has reviewed its dividend policy as it relates to each of the new businesses. On December 20, 2000, AT&amp;T announced that the board of directors reduced AT&amp;T's quarterly dividend to $0.0375 per share, from $0.22 per share.</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AT&amp;T's board of directors has the power to make determinations that may impact the financial and liquidity position of each of the tracking stock groups. This power includes the ability to set priorities for use of capital and debt capacity, to determine cash management policies and to make decisions regarding whether to make capital expenditures and as to the timing and amount of any capital expenditures. All actions by the board of directors are subject to the board members' fiduciary duties to all shareholders of AT&amp;T as a group and not just to holders of a particular class of tracking stock and to AT&amp;T's policy statements, by-laws and inter-company agreements. As a result of this discretion of AT&amp;T's board of directors, it may be difficult for investors to assess each group's liquidity and capital resource needs and in turn the future prospects of each group based on past performance.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w:t>
      </w:r>
    </w:p>
    <w:p>
      <w:pPr>
        <w:spacing w:after="0" w:line="210"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SEPTEMBER 30, DECEMBER 31, 2001 2000 ------------- --</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 (DOLLARS IN MILLIONS) Total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$160,049 $234,360 Total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99,511 121,611 Total shareowners'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equity................................... 52,198</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103,198</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Total assets decreased $74.3 billion, or 31.7%, to $160.0 billion at September 30, 2001 from $234.4 billion at December 31, 2000. This decrease was primarily due to the split-off of Liberty Media Group in August 2001 and AT&amp;T Wireless in July 2001. In addition, the decrease was due to lower investments and related advances resulting from the write-down of Concert and Net2Phone, and unfavorable mark-to-market adjustments on certain investments as well as the sale of other investments; lower franchise costs as a result of the net disposition of cable systems and amortization; lower investments from the exchange of AT&amp;T's investment in Vodaphone for the settlement of debt. Partially offsetting these decreases was a higher cash balance.</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Total liabilities decreased $22.1 billion, or 18.2%, to $99.5 billion at September 30, 2001 from $121.6 billion at December 31, 2000. This decrease was primarily a result of the repayment of debt, a reduction in deferred income taxes, primarily resulting from deferred tax assets from the write-down of Concert and Net2Phone and the recording of AT&amp;T's obligation to purchase all of the outstanding shares of AT&amp;T Canada, as well as the deconsolidation of Excite@Home. Partially offsetting this decrease was an increase in other long-term liabilities and deferred credits primarily associated with AT&amp;T's obligation to purchase all of the outstanding shares of AT&amp;T Canada.</w:t>
      </w:r>
    </w:p>
    <w:p>
      <w:pPr>
        <w:spacing w:after="0" w:line="201" w:lineRule="exact"/>
        <w:rPr>
          <w:sz w:val="20"/>
          <w:szCs w:val="20"/>
          <w:color w:val="auto"/>
        </w:rPr>
      </w:pPr>
    </w:p>
    <w:p>
      <w:pPr>
        <w:jc w:val="both"/>
        <w:ind w:right="2259" w:firstLine="524"/>
        <w:spacing w:after="0" w:line="254" w:lineRule="auto"/>
        <w:rPr>
          <w:sz w:val="20"/>
          <w:szCs w:val="20"/>
          <w:color w:val="auto"/>
        </w:rPr>
      </w:pPr>
      <w:r>
        <w:rPr>
          <w:rFonts w:ascii="Courier New" w:cs="Courier New" w:eastAsia="Courier New" w:hAnsi="Courier New"/>
          <w:sz w:val="17"/>
          <w:szCs w:val="17"/>
          <w:color w:val="auto"/>
        </w:rPr>
        <w:t>Minority interest decreased $1.2 billion, or 25.2%, to $3.6 billion at September 30, 2001 from $4.8 billion at December 31, 2000. This decrease was primarily due to Excite@Home.</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VI-39</w:t>
      </w:r>
    </w:p>
    <w:p>
      <w:pPr>
        <w:sectPr>
          <w:pgSz w:w="11900" w:h="16838" w:orient="portrait"/>
          <w:cols w:equalWidth="0" w:num="1">
            <w:col w:w="10219"/>
          </w:cols>
          <w:pgMar w:left="240" w:top="719" w:right="1440" w:bottom="1440" w:gutter="0" w:footer="0" w:header="0"/>
        </w:sectPr>
      </w:pPr>
    </w:p>
    <w:bookmarkStart w:id="196" w:name="page197"/>
    <w:bookmarkEnd w:id="196"/>
    <w:p>
      <w:pPr>
        <w:ind w:right="1839" w:firstLine="524"/>
        <w:spacing w:after="0" w:line="251" w:lineRule="auto"/>
        <w:rPr>
          <w:sz w:val="20"/>
          <w:szCs w:val="20"/>
          <w:color w:val="auto"/>
        </w:rPr>
      </w:pPr>
      <w:r>
        <w:rPr>
          <w:rFonts w:ascii="Courier New" w:cs="Courier New" w:eastAsia="Courier New" w:hAnsi="Courier New"/>
          <w:sz w:val="17"/>
          <w:szCs w:val="17"/>
          <w:color w:val="auto"/>
        </w:rPr>
        <w:t>Total Shareowners' Equity decreased $51.0 billion, or 49.4%, to $52.2 billion at September 30, 2001 from $103.2 billion at December 31, 2000. This decrease is primarily due to the split-off of Liberty Media Group, the impacts of the split-off of AT&amp;T Wireless and net losses from continuing operations. The decrease was partially offset by the issuance of stock to settle the Excite@Home put obligation with Cox and Comcast. In September 2001, when AT&amp;T declared its quarterly dividend to the AT&amp;T Common Stock Group shareowners of $133 million, the company was in an accumulated deficit position primarily as a result of the split-off of AT&amp;T Wireless. As a result, the company reduced additional paid-in capital for the entire amount of the dividend declared.</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Net debt-to-annualized EBITDA for AT&amp;T's continuing operations was 6.25x at September 30, 2001 as compared with 3.80x at December 31, 2000, reflecting lower EBITDA partially offset by lower debt, primarily the result of the company's debt reduction efforts.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debt ratio for AT&amp;T's continuing operations (debt of continuing operations divided by total debt of continuing operations and equity excluding discontinued operations) was 45.1% at September 30, 2001 as compared with 57.2% at December 31, 2000. For purposes of this calculation, equity includes the convertible quarterly trust preferred securities and redeemable preferred stock of subsidiary and excludes the equity of discontinued operations at December 31, 2000. This decrease was primarily driven by the repayment of debt as well as increased equity.</w:t>
      </w:r>
    </w:p>
    <w:p>
      <w:pPr>
        <w:spacing w:after="0" w:line="201"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 addition, included in debt of continuing operations are approximately $5.8 billion of notes, which are exchangeable into or collateralized by securities AT&amp;T owns. Excluding this debt, the debt ratio for AT&amp;T's continuing operations at September 30, 2001 was 42.0%.</w:t>
      </w:r>
    </w:p>
    <w:p>
      <w:pPr>
        <w:spacing w:after="0" w:line="19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31 --------------------- 2000 1999 ------</w:t>
      </w:r>
    </w:p>
    <w:p>
      <w:pPr>
        <w:spacing w:after="0" w:line="9" w:lineRule="exact"/>
        <w:rPr>
          <w:sz w:val="20"/>
          <w:szCs w:val="20"/>
          <w:color w:val="auto"/>
        </w:rPr>
      </w:pPr>
    </w:p>
    <w:p>
      <w:pPr>
        <w:ind w:right="4559" w:firstLine="687"/>
        <w:spacing w:after="0" w:line="251" w:lineRule="auto"/>
        <w:tabs>
          <w:tab w:leader="none" w:pos="1098" w:val="left"/>
        </w:tabs>
        <w:numPr>
          <w:ilvl w:val="0"/>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Total assets................................................</w:t>
      </w:r>
    </w:p>
    <w:p>
      <w:pPr>
        <w:jc w:val="center"/>
        <w:ind w:right="4559"/>
        <w:spacing w:after="0"/>
        <w:rPr>
          <w:sz w:val="20"/>
          <w:szCs w:val="20"/>
          <w:color w:val="auto"/>
        </w:rPr>
      </w:pPr>
      <w:r>
        <w:rPr>
          <w:rFonts w:ascii="Courier New" w:cs="Courier New" w:eastAsia="Courier New" w:hAnsi="Courier New"/>
          <w:sz w:val="17"/>
          <w:szCs w:val="17"/>
          <w:color w:val="auto"/>
        </w:rPr>
        <w:t>$234,360 $163,457 Total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121,611 77,458 Total shareowners'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equity................................... 103,198</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78,927</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Total assets increased $70.9 billion, or 43.4%, at December 31, 2000, primarily due to the impact of the MediaOne acquisition, which resulted in increased goodwill, franchise costs, other investments including TWE and Vodafone Group plc; and the addition of property, plant and equipment. Property, plant and equipment also increased due to capital expenditures made during the year, net of depreciation expense and equipment contributed to Concert. This equipment contribution, as well as a $1.0 billion loan to Concert, and AT&amp;T's investment in Net2Phone are reflected as an increase to other investments. Additionally, other receivables increased due to Concert.</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Total liabilities at December 31, 2000, increased $44.2 billion, or 57.0%, primarily due to the impact of the MediaOne acquisition, including debt of MediaOne and borrowings to fund the acquisition, as well as the consolidation of Excite@Home. In addition, total debt increased due to the monetization of AT&amp;T's investments in Microsoft Corporation and Comcast.</w:t>
      </w:r>
    </w:p>
    <w:p>
      <w:pPr>
        <w:spacing w:after="0" w:line="197"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Minority interest increased $2.5 billion to $4.9 billion, primarily reflecting the minority interest of AT&amp;T's ownership of Excite@Home resulting from the consolidation of Excite@Home beginning September 1, 2000, and the preferred stock outstanding of a MediaOne subsidiary.</w:t>
      </w:r>
    </w:p>
    <w:p>
      <w:pPr>
        <w:spacing w:after="0" w:line="195"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Total shareowners' equity was $103.2 billion at December 31, 2000, an increase of 30.8% from December 31, 1999. This increase was primarily due to the issuance of AT&amp;T common stock for the MediaOne acquisition as well as the issuance of AT&amp;T Wireless Group tracking stock.</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ratio of total debt to total capital for AT&amp;T's continuing operations, excluding LMG (debt of continuing operations divided by total debt of continuing operations and equity excluding discontinued operations and LMG) was 57.2% at December 31, 2000, compared with 54.3% at December 31, 1999. The equity portion of this calculation includes convertible trust preferred securities, as well as subsidiary redeemable preferred stock and excludes the equity of discontinued operations and LMG. The increase</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VI-40</w:t>
      </w:r>
    </w:p>
    <w:p>
      <w:pPr>
        <w:sectPr>
          <w:pgSz w:w="11900" w:h="16838" w:orient="portrait"/>
          <w:cols w:equalWidth="0" w:num="1">
            <w:col w:w="10219"/>
          </w:cols>
          <w:pgMar w:left="240" w:top="719" w:right="1440" w:bottom="457" w:gutter="0" w:footer="0" w:header="0"/>
        </w:sectPr>
      </w:pPr>
    </w:p>
    <w:bookmarkStart w:id="197" w:name="page198"/>
    <w:bookmarkEnd w:id="197"/>
    <w:p>
      <w:pPr>
        <w:ind w:right="1839"/>
        <w:spacing w:after="0" w:line="251" w:lineRule="auto"/>
        <w:rPr>
          <w:sz w:val="20"/>
          <w:szCs w:val="20"/>
          <w:color w:val="auto"/>
        </w:rPr>
      </w:pPr>
      <w:r>
        <w:rPr>
          <w:rFonts w:ascii="Courier New" w:cs="Courier New" w:eastAsia="Courier New" w:hAnsi="Courier New"/>
          <w:sz w:val="17"/>
          <w:szCs w:val="17"/>
          <w:color w:val="auto"/>
        </w:rPr>
        <w:t>was primarily driven by higher debt associated with the MediaOne merger, largely offset by a higher equity base associated with the MediaOne merger and the AT&amp;T Wireless Group tracking stock offering. The ratio of debt (net of cash) to EBITDA was 3.80X at December 31, 2000, compared with 1.96X at December 31, 1999, reflecting additional debt associated with the MediaOne merger. Included in debt was approximately $8.7 billion of notes, which are exchangeable into or collateralized by securities AT&amp;T owns. Excluding this debt, the ratio of net-debt-to-EBITDA at December 31, 2000, was 3.29X.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MANAGEMENT</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is exposed to market risk from changes in interest and foreign exchange rates, as well as changes in equity prices associated with affiliate companies. In addition, AT&amp;T is exposed to market risk from fluctuations in the prices of securities which AT&amp;T monetized through the issuance of debt. On a limited basis, AT&amp;T uses certain derivative financial instruments, including interest rate swaps, options, forwards, equity hedges and other derivative contracts, to manage these risks. AT&amp;T does not use financial instruments for trading or speculative purposes. All financial instruments are used in accordance with board-approved policies.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uses interest rate swaps to manage the impact of interest rate changes on earnings and cash flows and also to lower its overall borrowing costs. AT&amp;T monitors its interest rate risk on the basis of changes in fair value. Assuming a 10% downward shift in interest rates at September 30, 2001, the fair value of unhedged debt would have decreased by approximately $1.4 billion. Assuming a 10% downward shift in interest rates, the fair value of interest rate swaps and the underlying hedged debt would have changed by $10 million and $3 million at December 31, 2000 and 1999, respectively. In 2000, AT&amp;T entered into a combined interest rate, forward contract to hedge foreign-currency-denominated debt. Assuming a 10% downward shift in both interest rates and the foreign currency, the fair value of the contract and the underlying hedged debt would have changed by $88 million. In addition, certain debt is indexed to the market prices of securities AT&amp;T owns. Changes in the market prices of these securities result in changes in the fair value of this debt. Assuming a 10% downward change in the market price of these securities, the fair value of the underlying debt and securities would have decreased by $534 million at December 31, 2000. Assuming a 10% downward shift in interest rates at December 31, 2000 and 1999, the fair value of unhedged debt would have increased by $1.2 billion and $938 million, respectively.</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uses forward and option contracts to reduce its exposure to the risk of adverse changes in currency exchange rates. AT&amp;T is subject to foreign exchange risk for foreign-currency-denominated transactions, such as debt issued. In addition, in 1999 AT&amp;T was subject to foreign exchange risk related to reimbursements to foreign telephone companies for their portion of the revenue billed by AT&amp;T for calls placed in the United States to a foreign country. AT&amp;T monitors its foreign exchange rate risk on the basis of changes in fair value. Assuming a 10% appreciation in the U.S. dollar at December 31, 2000 and 1999, the fair value of these contracts would have resulted in additional unrealized losses of $6 million and $29 million, respectively. Because these contracts are entered into for hedging purposes, AT&amp;T believes that these losses would be largely offset by gains on the underlying firmly committed or anticipated transactions.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uses equity hedges to manage its exposure to changes in equity prices associated with stock appreciation rights (SARs) of affiliated companies. Assuming a 10% decrease in equity prices of affiliated companies, the fair value of the equity hedges would have decreased by $29 million and $81 million at December 31, 2000 and 1999, respectively. Because these contracts are entered into for hedging purposes, AT&amp;T believes that the decrease in fair value would be largely offset by gains on the underlying transaction.</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order to determine the changes in fair value of AT&amp;T's various financial instruments, AT&amp;T uses certain modeling techniques, namely Black-Scholes, for its SARs and equity collars. AT&amp;T applies rate sensitivity changes directly to its interest rate swap transactions and forward rate sensitivity to its foreign currency forward contracts.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VI-41</w:t>
      </w:r>
    </w:p>
    <w:p>
      <w:pPr>
        <w:sectPr>
          <w:pgSz w:w="11900" w:h="16838" w:orient="portrait"/>
          <w:cols w:equalWidth="0" w:num="1">
            <w:col w:w="10219"/>
          </w:cols>
          <w:pgMar w:left="240" w:top="719" w:right="1440" w:bottom="1440" w:gutter="0" w:footer="0" w:header="0"/>
        </w:sectPr>
      </w:pPr>
    </w:p>
    <w:bookmarkStart w:id="198" w:name="page199"/>
    <w:bookmarkEnd w:id="198"/>
    <w:p>
      <w:pPr>
        <w:ind w:right="1939" w:firstLine="524"/>
        <w:spacing w:after="0" w:line="252" w:lineRule="auto"/>
        <w:rPr>
          <w:sz w:val="20"/>
          <w:szCs w:val="20"/>
          <w:color w:val="auto"/>
        </w:rPr>
      </w:pPr>
      <w:r>
        <w:rPr>
          <w:rFonts w:ascii="Courier New" w:cs="Courier New" w:eastAsia="Courier New" w:hAnsi="Courier New"/>
          <w:sz w:val="17"/>
          <w:szCs w:val="17"/>
          <w:color w:val="auto"/>
        </w:rPr>
        <w:t>The changes in fair value, as discussed above, assume the occurrence of certain adverse market conditions. They do not consider the potential effect of favorable changes in market factors and do not represent projected losses in fair value that AT&amp;T expects to incur. Future impacts would be based on actual developments in global financial markets. AT&amp;T does not foresee any significant changes in the strategies used to manage interest rate risk, foreign currency rate risk or equity price risk in the near future.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PRONOUNCEMENTS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June 2001, the Financial Accounting Standards Board (FASB) issued SFAS No. 141, "Business Combinations," which supercedes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These requirements are effective for fiscal years beginning after December 15, 2001, which for AT&amp;T means January 1, 2002. AT&amp;T does not expect that the adoption of SFAS No. 141 will have a material effect on AT&amp;T's results of operations, financial position or cash flows.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Also in June 2001, the FASB issued SFAS No. 142, "Goodwill and Other Intangible Assets," which supercedes APB Opinion No. 17. Under SFAS No.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fiscal years beginning after December 15, 2001, which for AT&amp;T means the standard will be adopted on January 1, 2002. In connection with the adoption of this standard, AT&amp;T's unamortized goodwill balance will no longer be amortized, but will continue to be tested for impairment. Therefore, AT&amp;T expects that this standard will have a significant impact on AT&amp;T's future operating results. AT&amp;T is assessing the impact of the standard on other indefinite lived assets and the total impact, including adoption impairment impacts, if any, of such standard on AT&amp;T's results of operations.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which for AT&amp;T means the standard will be adopted on January 1, 2003. AT&amp;T does not expect that the adoption of this statement will have a material impact on AT&amp;T's results of operations, financial position or cash flows.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October 2001, the FASB issued SFAS No. 144, "Accounting for the Impairment or Disposal of Long-Lived Assets," which supercedes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is effective for financial statements issued for fiscal years beginning after December 15, 2001, which for AT&amp;T means the standard will be adopted</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VI-42</w:t>
      </w:r>
    </w:p>
    <w:p>
      <w:pPr>
        <w:sectPr>
          <w:pgSz w:w="11900" w:h="16838" w:orient="portrait"/>
          <w:cols w:equalWidth="0" w:num="1">
            <w:col w:w="10219"/>
          </w:cols>
          <w:pgMar w:left="240" w:top="719" w:right="1440" w:bottom="1440" w:gutter="0" w:footer="0" w:header="0"/>
        </w:sectPr>
      </w:pPr>
    </w:p>
    <w:bookmarkStart w:id="199" w:name="page200"/>
    <w:bookmarkEnd w:id="199"/>
    <w:p>
      <w:pPr>
        <w:ind w:right="1939"/>
        <w:spacing w:after="0" w:line="254" w:lineRule="auto"/>
        <w:rPr>
          <w:sz w:val="20"/>
          <w:szCs w:val="20"/>
          <w:color w:val="auto"/>
        </w:rPr>
      </w:pPr>
      <w:r>
        <w:rPr>
          <w:rFonts w:ascii="Courier New" w:cs="Courier New" w:eastAsia="Courier New" w:hAnsi="Courier New"/>
          <w:sz w:val="17"/>
          <w:szCs w:val="17"/>
          <w:color w:val="auto"/>
        </w:rPr>
        <w:t>on January 1, 2002. AT&amp;T does not expect that the adoption of SFAS No. 144 will have a material impact on AT&amp;T's results of operations, financial position or cash flows.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SUBSEQUENT EVENTS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October 23, 2001, AT&amp;T sold approximately 19.2 million shares of Cablevision NY Group Class A common stock and, through a trust, 23.4 million shares of a mandatorily exchangeable trust security that will be exchangeable into up to 23.4 million shares of Cablevision NY Group Class A common stock at maturity in three years. The offering price was $36.05 per share for both the common shares and the exchangeable securities. The offerings generated approximately $1.3 billion of pretax proceeds, net of underwriting fees. The sale resulted in a pretax loss of approximately $0.2 billion. In addition, the underwriters have exercised a portion of their over-allotment options, which resulted in the sale of an additional 3.5 million shares of the exchangeable securities through the trust. AT&amp;T received additional proceeds of approximately $0.1 billion from this transaction.</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October 2001, AT&amp;T completed the disposition of 45 million shares of AT&amp;T Wireless generating proceeds of approximately $600 million. In December of 2001, AT&amp;T completed the disposition of its remaining interest in AT&amp;T Wireless through the monetization of 45.8 million AT&amp;T Wireless shares generating proceeds of approximately $660 million.</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November 21, 2001 AT&amp;T closed a $10.1 billion global bond offering consisting of five tranches: $1.5 billion in five-year notes; $2.75 billion in ten-year notes; $2.75 billion in 30-year notes; 1.5 billion euros of two-year notes; and 2.0 billion euros of five-year notes. The proceeds from the offering will primarily be used to retire short-term debt.</w:t>
      </w:r>
    </w:p>
    <w:p>
      <w:pPr>
        <w:spacing w:after="0" w:line="197"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On December 14, 2001, AT&amp;T entered into a 364-day, $8 billion syndicated revolving-credit facility.</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On December 18, 2001, AT&amp;T sold 14.7 million shares of Rainbow Media Group Class A tracking stock and 9.8 million shares of a trust security that will be exchangeable into up to 9.8 million shares of Rainbow Media Group Class A tracking stock at maturity in approximately three years. The offerings generated approximately $487 million of pretax net proceeds.</w:t>
      </w:r>
    </w:p>
    <w:p>
      <w:pPr>
        <w:spacing w:after="0" w:line="19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 January and February of 2002, AT&amp;T announced that it will redeem $1,312 million of trust preferred securities in February and March of 2002. These amounts are classified as long-term debt in the accompanying consolidated balance sheets.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January 2002, AT&amp;T Corp. entered into a $2.6 billion five-year agreement with Accenture Ltd. for Accenture to provide management, new technology and training for AT&amp;T Consumer Services. Under the terms of the agreement, Accenture will be responsible for providing new technology development and ongoing management direction to improve AT&amp;T Consumer Services' customer care operations, with goals of reducing costs, raising productivity, and improving sales and customer service. AT&amp;T Consumer Services will continue to develop and implement its overall business and marketing strategies and new product offerings.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connection with the adoption of SFAS No. 142, AT&amp;T believes that franchise cost represents an indefinite-lived asset as defined in SFAS No. 142. Accordingly, effective January 1, 2002, AT&amp;T will no longer amortize franchise costs, but will test the asset for impairment. As of September 30, 2001, AT&amp;T had franchise costs of $43.3 billion and goodwill of $24.8 billion, both of which will no longer be amortized. For the nine months ended September 30, 2001, amortization of these intangible assets was $1,636 million. In addition, AT&amp;T had excess basis related to AT&amp;T's equity method investment of $8.6 billion at September 30, 2001, with related amortization of $179 million for the nine months ended September 30, 2001. In accordance with this statement these costs will no longer be amortized beginning January 1, 2002. AT&amp;T is continuing to assess the adoption impairment impacts of such standard on AT&amp;T's results of operations.</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VI-43</w:t>
      </w:r>
    </w:p>
    <w:p>
      <w:pPr>
        <w:sectPr>
          <w:pgSz w:w="11900" w:h="16838" w:orient="portrait"/>
          <w:cols w:equalWidth="0" w:num="1">
            <w:col w:w="10219"/>
          </w:cols>
          <w:pgMar w:left="240" w:top="719" w:right="1440" w:bottom="1440" w:gutter="0" w:footer="0" w:header="0"/>
        </w:sectPr>
      </w:pPr>
    </w:p>
    <w:bookmarkStart w:id="200" w:name="page201"/>
    <w:bookmarkEnd w:id="200"/>
    <w:p>
      <w:pPr>
        <w:ind w:left="3460"/>
        <w:spacing w:after="0"/>
        <w:rPr>
          <w:sz w:val="20"/>
          <w:szCs w:val="20"/>
          <w:color w:val="auto"/>
        </w:rPr>
      </w:pPr>
      <w:r>
        <w:rPr>
          <w:rFonts w:ascii="Courier New" w:cs="Courier New" w:eastAsia="Courier New" w:hAnsi="Courier New"/>
          <w:sz w:val="17"/>
          <w:szCs w:val="17"/>
          <w:color w:val="auto"/>
        </w:rPr>
        <w:t>CHAPTER SEVEN</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AT&amp;T BROADBAND GROUP</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DESCRIPTION OF AT&amp;T BROADBAND GROUP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Group is one of the nation's largest broadband communications businesses based on customers served as of September 30, 2001, providing cable television, high-speed cable Internet services and telephone services. AT&amp;T Broadband Group's business consists primarily of the combined assets and business of TCI, acquired by AT&amp;T on March 9, 1999, and MediaOne, acquired by AT&amp;T on June 15, 2000. As of September 30, 2001, AT&amp;T Broadband owned and operated cable systems in 13 of the 20 largest Designated Marketing Areas, which represented 82% of AT&amp;T Broadband Group's total subscribers. AT&amp;T Broadband Group's broadband networks passed approximately 24.6 million homes and served approximately 13.75 million video customers as of September 30, 2001. AT&amp;T Broadband Group continues to upgrade its systems, 74% of which were upgraded to a capacity equal to or greater than 550 MHz and 77% of which were two-way capable as of September 30, 2001.</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Broadband Group's broadband networks enable it to deliver a suite of advanced entertainment, information and communications services, including its digital cable, high-speed cable Internet and broadband telephone services. As of September 30, 2001, AT&amp;T Broadband Group provided a variety of advanced services, including:</w:t>
      </w:r>
    </w:p>
    <w:p>
      <w:pPr>
        <w:spacing w:after="0" w:line="197" w:lineRule="exact"/>
        <w:rPr>
          <w:sz w:val="20"/>
          <w:szCs w:val="20"/>
          <w:color w:val="auto"/>
        </w:rPr>
      </w:pPr>
    </w:p>
    <w:p>
      <w:pPr>
        <w:ind w:left="740" w:right="1939" w:hanging="209"/>
        <w:spacing w:after="0" w:line="257" w:lineRule="auto"/>
        <w:tabs>
          <w:tab w:leader="none" w:pos="740"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digital cable, with over 3.16 million digital cable subscribers or 23.0% of AT&amp;T Broadband Group's basic subscribers,</w:t>
      </w:r>
    </w:p>
    <w:p>
      <w:pPr>
        <w:spacing w:after="0" w:line="191" w:lineRule="exact"/>
        <w:rPr>
          <w:rFonts w:ascii="Courier New" w:cs="Courier New" w:eastAsia="Courier New" w:hAnsi="Courier New"/>
          <w:sz w:val="17"/>
          <w:szCs w:val="17"/>
          <w:color w:val="auto"/>
        </w:rPr>
      </w:pPr>
    </w:p>
    <w:p>
      <w:pPr>
        <w:ind w:left="740" w:right="2459" w:hanging="209"/>
        <w:spacing w:after="0" w:line="254" w:lineRule="auto"/>
        <w:tabs>
          <w:tab w:leader="none" w:pos="740"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high-speed cable Internet service, with approximately 1.39 million high-speed cable Internet service subscribers or 9.6% of marketable homes, and</w:t>
      </w:r>
    </w:p>
    <w:p>
      <w:pPr>
        <w:spacing w:after="0" w:line="194" w:lineRule="exact"/>
        <w:rPr>
          <w:rFonts w:ascii="Courier New" w:cs="Courier New" w:eastAsia="Courier New" w:hAnsi="Courier New"/>
          <w:sz w:val="17"/>
          <w:szCs w:val="17"/>
          <w:color w:val="auto"/>
        </w:rPr>
      </w:pPr>
    </w:p>
    <w:p>
      <w:pPr>
        <w:ind w:left="740" w:right="2039" w:hanging="209"/>
        <w:spacing w:after="0" w:line="257" w:lineRule="auto"/>
        <w:tabs>
          <w:tab w:leader="none" w:pos="740"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broadband telephone service, with approximately 924,000 local telephone subscribers or 14.8% of marketable homes.</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addition to fees from residential customers for the services AT&amp;T Broadband Group offers, AT&amp;T Broadband Group also derives revenues from the sale of advertising time on satellite-delivered program services, such as ESPN, MTV and CNN, and on local cable channels, as well as the payment of license and/or launch fees by certain program services.</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As of September 30, 2001:</w:t>
      </w:r>
    </w:p>
    <w:p>
      <w:pPr>
        <w:spacing w:after="0" w:line="210" w:lineRule="exact"/>
        <w:rPr>
          <w:sz w:val="20"/>
          <w:szCs w:val="20"/>
          <w:color w:val="auto"/>
        </w:rPr>
      </w:pPr>
    </w:p>
    <w:p>
      <w:pPr>
        <w:ind w:left="740" w:right="2259" w:hanging="209"/>
        <w:spacing w:after="0" w:line="257" w:lineRule="auto"/>
        <w:tabs>
          <w:tab w:leader="none" w:pos="740" w:val="left"/>
        </w:tabs>
        <w:numPr>
          <w:ilvl w:val="0"/>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Group had 13.75 million basic subscribers, 94% of whom were concentrated in AT&amp;T Broadband Group's 20 largest markets,</w:t>
      </w:r>
    </w:p>
    <w:p>
      <w:pPr>
        <w:spacing w:after="0" w:line="191" w:lineRule="exact"/>
        <w:rPr>
          <w:rFonts w:ascii="Courier New" w:cs="Courier New" w:eastAsia="Courier New" w:hAnsi="Courier New"/>
          <w:sz w:val="17"/>
          <w:szCs w:val="17"/>
          <w:color w:val="auto"/>
        </w:rPr>
      </w:pPr>
    </w:p>
    <w:p>
      <w:pPr>
        <w:ind w:left="740" w:right="2459" w:hanging="209"/>
        <w:spacing w:after="0" w:line="257" w:lineRule="auto"/>
        <w:tabs>
          <w:tab w:leader="none" w:pos="740" w:val="left"/>
        </w:tabs>
        <w:numPr>
          <w:ilvl w:val="0"/>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40% of AT&amp;T Broadband Group's subscribers were located in its three largest markets: Boston, San Francisco and Chicago, and</w:t>
      </w:r>
    </w:p>
    <w:p>
      <w:pPr>
        <w:spacing w:after="0" w:line="191" w:lineRule="exact"/>
        <w:rPr>
          <w:rFonts w:ascii="Courier New" w:cs="Courier New" w:eastAsia="Courier New" w:hAnsi="Courier New"/>
          <w:sz w:val="17"/>
          <w:szCs w:val="17"/>
          <w:color w:val="auto"/>
        </w:rPr>
      </w:pPr>
    </w:p>
    <w:p>
      <w:pPr>
        <w:ind w:left="740" w:right="2139" w:hanging="209"/>
        <w:spacing w:after="0" w:line="257" w:lineRule="auto"/>
        <w:tabs>
          <w:tab w:leader="none" w:pos="740" w:val="left"/>
        </w:tabs>
        <w:numPr>
          <w:ilvl w:val="0"/>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10.84 million, or 79% of AT&amp;T Broadband's subscribers, were in markets where AT&amp;T Broadband Group had more than 500,000 customers.</w:t>
      </w:r>
    </w:p>
    <w:p>
      <w:pPr>
        <w:spacing w:after="0" w:line="192"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In addition to AT&amp;T Broadband Group's wholly owned cable systems, AT&amp;T Broadband Group also owns a number of investments in companies, joint ventures and partnerships, the most significant of which are:</w:t>
      </w:r>
    </w:p>
    <w:p>
      <w:pPr>
        <w:spacing w:after="0" w:line="194" w:lineRule="exact"/>
        <w:rPr>
          <w:sz w:val="20"/>
          <w:szCs w:val="20"/>
          <w:color w:val="auto"/>
        </w:rPr>
      </w:pPr>
    </w:p>
    <w:p>
      <w:pPr>
        <w:ind w:left="740" w:right="1939" w:hanging="209"/>
        <w:spacing w:after="0" w:line="253" w:lineRule="auto"/>
        <w:tabs>
          <w:tab w:leader="none" w:pos="740" w:val="left"/>
        </w:tabs>
        <w:numPr>
          <w:ilvl w:val="0"/>
          <w:numId w:val="2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Warner Entertainment Company, L.P., which owns and operates the business of Warner Bros., Inc. and HBO and cable systems serving approximately 11 million subscribers, and manages cable systems owned by AOL Time Warner serving approximately 1.8 million subscribers;</w:t>
      </w:r>
    </w:p>
    <w:p>
      <w:pPr>
        <w:spacing w:after="0" w:line="195"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2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Insight Midwest, which owns and operates cable systems that serve approximately 1.2 million subscribers in Indiana, Kentucky, Illinois and Ohio; and</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VII-1</w:t>
      </w:r>
    </w:p>
    <w:p>
      <w:pPr>
        <w:sectPr>
          <w:pgSz w:w="11900" w:h="16838" w:orient="portrait"/>
          <w:cols w:equalWidth="0" w:num="1">
            <w:col w:w="10219"/>
          </w:cols>
          <w:pgMar w:left="240" w:top="719" w:right="1440" w:bottom="1440" w:gutter="0" w:footer="0" w:header="0"/>
        </w:sectPr>
      </w:pPr>
    </w:p>
    <w:bookmarkStart w:id="201" w:name="page202"/>
    <w:bookmarkEnd w:id="201"/>
    <w:p>
      <w:pPr>
        <w:ind w:left="740" w:right="2139" w:hanging="209"/>
        <w:spacing w:after="0" w:line="257" w:lineRule="auto"/>
        <w:tabs>
          <w:tab w:leader="none" w:pos="740" w:val="left"/>
        </w:tabs>
        <w:numPr>
          <w:ilvl w:val="0"/>
          <w:numId w:val="2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Texas Cable Partners, which owns and operates cable systems that serve approximately 1.1 million subscribers in Texas.</w:t>
      </w:r>
    </w:p>
    <w:p>
      <w:pPr>
        <w:spacing w:after="0" w:line="192"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AT&amp;T Broadband Corp. is a Delaware corporation that was organized in 2001, with its principal executive offices at 188 Inverness Drive West, Englewood, CO 80112. Its telephone number is (303) 858-3000 and primary Internet site is http://www.attbroadband.com.</w:t>
      </w:r>
    </w:p>
    <w:p>
      <w:pPr>
        <w:spacing w:after="0" w:line="195" w:lineRule="exact"/>
        <w:rPr>
          <w:sz w:val="20"/>
          <w:szCs w:val="20"/>
          <w:color w:val="auto"/>
        </w:rPr>
      </w:pPr>
    </w:p>
    <w:p>
      <w:pPr>
        <w:jc w:val="both"/>
        <w:ind w:right="2559" w:firstLine="524"/>
        <w:spacing w:after="0" w:line="253" w:lineRule="auto"/>
        <w:rPr>
          <w:sz w:val="20"/>
          <w:szCs w:val="20"/>
          <w:color w:val="auto"/>
        </w:rPr>
      </w:pPr>
      <w:r>
        <w:rPr>
          <w:rFonts w:ascii="Courier New" w:cs="Courier New" w:eastAsia="Courier New" w:hAnsi="Courier New"/>
          <w:sz w:val="17"/>
          <w:szCs w:val="17"/>
          <w:color w:val="auto"/>
        </w:rPr>
        <w:t>For financial information about AT&amp;T Broadband Group, see "Selected Financial Information -- AT&amp;T Broadband Group" and the combined financial statements of AT&amp;T Broadband Group, which are included in Annex L to this document.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OVERVIEW</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Broadband Group operates in the communications industry, offering cable television services (both analog and digital), high-speed cable Internet services and telephone service, in each case primarily to residential and small business customers. AT&amp;T Broadband Group also is pursuing other additional services, including video on demand and interactive television that take advantage of its broadband network.</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Cable television is a service that delivers multiple channels of video and audio programming to subscribers that pay a monthly fee for the services they receive. Cable television systems receive video, audio and data signals transmitted by nearby television broadcast stations, terrestrial microwave relay services and communications satellites. These signals then are amplified and distributed by coaxial cable and optical fiber to the premises of customers that pay a fee for the service. In many cases, cable television systems also originate and distribute local programming. Cable television systems typically are constructed and operated pursuant to nonexclusive franchises awarded by local franchising authorities for specified periods of time.</w:t>
      </w:r>
    </w:p>
    <w:p>
      <w:pPr>
        <w:spacing w:after="0" w:line="201"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Cable television systems offer varying levels of service, which may include, among other programming, local broadcast network affiliates and independent television stations, other news, information and entertainment channels, such as CNN, CNBC, ESPN and MTV, and selected premium services, such as HBO, Showtime, The Movie Channel, Starz and Cinemax.</w:t>
      </w:r>
    </w:p>
    <w:p>
      <w:pPr>
        <w:spacing w:after="0" w:line="19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Cable television revenues principally are derived from monthly fees paid by subscribers, sales of pay-per-view movies and events, sale or advertising time on advertiser supported programming, and installation charges.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High-speed cable Internet services deliver typical internet service provider, or ISP, services, such as e-mail, instant messaging, personal webspace management and personalized home pages, and content. In some cases, AT&amp;T Broadband Group provides distinct localized content in addition to national content. Subscribers pay a monthly fee for the services they receive, including access to public areas on the Internet. Other revenue streams may be derived from sales of premium content and services, advertising spots, premium placement of media/service providers within the service, and installation service.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Cable telephone service is a technology that allows cable operators to offer telephone service over the same hybrid fiber/coaxial network that supplies television service. Cable telephone service systems have three basic components -- a headend unit, a customer premise unit and a management interface. Cable operators connect to the public switched telephone network through an interface on the headend unit that conforms to one of several standards. At the customer premise unit, voice transmission is separated from the coaxial drop and routed to a twisted copper pair connected to the customer's existing inside telephone wiring.</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AT&amp;T Broadband Group is in the process of developing, testing or offering on a limited basis a variety of new or expanded services, including video on demand, interactive television, targeted advertising, multiple service tiers of high-speed cable Internet service, home networking, multiple ISP offerings and a</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VII-2</w:t>
      </w:r>
    </w:p>
    <w:p>
      <w:pPr>
        <w:sectPr>
          <w:pgSz w:w="11900" w:h="16838" w:orient="portrait"/>
          <w:cols w:equalWidth="0" w:num="1">
            <w:col w:w="10219"/>
          </w:cols>
          <w:pgMar w:left="240" w:top="719" w:right="1440" w:bottom="1440" w:gutter="0" w:footer="0" w:header="0"/>
        </w:sectPr>
      </w:pPr>
    </w:p>
    <w:bookmarkStart w:id="202" w:name="page203"/>
    <w:bookmarkEnd w:id="202"/>
    <w:p>
      <w:pPr>
        <w:spacing w:after="0" w:line="2" w:lineRule="exact"/>
        <w:rPr>
          <w:sz w:val="20"/>
          <w:szCs w:val="20"/>
          <w:color w:val="auto"/>
        </w:rPr>
      </w:pPr>
    </w:p>
    <w:p>
      <w:pPr>
        <w:ind w:right="2259"/>
        <w:spacing w:after="0" w:line="257" w:lineRule="auto"/>
        <w:rPr>
          <w:sz w:val="20"/>
          <w:szCs w:val="20"/>
          <w:color w:val="auto"/>
        </w:rPr>
      </w:pPr>
      <w:r>
        <w:rPr>
          <w:rFonts w:ascii="Courier New" w:cs="Courier New" w:eastAsia="Courier New" w:hAnsi="Courier New"/>
          <w:sz w:val="17"/>
          <w:szCs w:val="17"/>
          <w:color w:val="auto"/>
        </w:rPr>
        <w:t>set of communications services that are designed to work seamlessly over all television, computer and telephone platforms.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TECHNICAL OVERVIEW</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As of September 30, 2001, AT&amp;T Broadband Group's systems were comprised of approximately 250,000 miles of network passing approximately 24.6 million homes, resulting in a density of slightly less than 100 homes per mile. As of that date, AT&amp;T Broadband Group's systems were made up of an aggregate of 41 headends in its top 20 markets. As of September 30, 2001, approximately 61% of AT&amp;T Broadband Group's network was equal to or greater than 750 MHz, approximately 13% of its network was greater than or equal to 550 MHz and less than 750 MHz and approximately 26% of its network was less than 550 MHz.</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Broadband Group's network design calls for a digital two-way active network with a fiber optic trunk system carrying signals to nodes within its customers' neighborhoods. The signals are transferred to a coaxial network at the node for delivery to its customers. AT&amp;T Broadband Group has designed the fiber system to be capable of subdividing the nodes if traffic on the network requires additional capacity. AT&amp;T Broadband Group's design allows its systems to have the capability to run multiple separate channel lineups from a single headend and to insert targeted advertisements into specific neighborhoods based on node location.</w:t>
      </w:r>
    </w:p>
    <w:p>
      <w:pPr>
        <w:spacing w:after="0" w:line="201"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following chart outlines the status of the capacities of AT&amp;T Broadband Group's cable systems, historically and as of September 30, 2001:</w:t>
      </w:r>
    </w:p>
    <w:p>
      <w:pPr>
        <w:spacing w:after="0" w:line="192"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PERCENT OF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NETWORK MILES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GREATER THAN</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OR EQUAL TO</w:t>
      </w:r>
    </w:p>
    <w:p>
      <w:pPr>
        <w:spacing w:after="0" w:line="9" w:lineRule="exact"/>
        <w:rPr>
          <w:sz w:val="20"/>
          <w:szCs w:val="20"/>
          <w:color w:val="auto"/>
        </w:rPr>
      </w:pPr>
    </w:p>
    <w:p>
      <w:pPr>
        <w:ind w:left="840" w:hanging="415"/>
        <w:spacing w:after="0"/>
        <w:tabs>
          <w:tab w:leader="none" w:pos="840" w:val="left"/>
        </w:tabs>
        <w:numPr>
          <w:ilvl w:val="0"/>
          <w:numId w:val="2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LESS THAN 550</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MHZ AND LESS</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THAN GREATER</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NETWORK TWO-</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550 MHZ 750</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MHZ MHZ WAY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CAPABLE -----</w:t>
      </w:r>
    </w:p>
    <w:p>
      <w:pPr>
        <w:spacing w:after="0" w:line="9" w:lineRule="exact"/>
        <w:rPr>
          <w:sz w:val="20"/>
          <w:szCs w:val="20"/>
          <w:color w:val="auto"/>
        </w:rPr>
      </w:pPr>
    </w:p>
    <w:p>
      <w:pPr>
        <w:ind w:left="580" w:hanging="522"/>
        <w:spacing w:after="0"/>
        <w:tabs>
          <w:tab w:leader="none" w:pos="580" w:val="left"/>
        </w:tabs>
        <w:numPr>
          <w:ilvl w:val="0"/>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 of</w:t>
      </w:r>
    </w:p>
    <w:p>
      <w:pPr>
        <w:spacing w:after="0" w:line="8" w:lineRule="exact"/>
        <w:rPr>
          <w:rFonts w:ascii="Courier New" w:cs="Courier New" w:eastAsia="Courier New" w:hAnsi="Courier New"/>
          <w:sz w:val="17"/>
          <w:szCs w:val="17"/>
          <w:color w:val="auto"/>
        </w:rPr>
      </w:pPr>
    </w:p>
    <w:p>
      <w:pPr>
        <w:ind w:left="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December 31,</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1999..........</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 22% 50%</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55% As of</w:t>
      </w:r>
    </w:p>
    <w:p>
      <w:pPr>
        <w:spacing w:after="0" w:line="8" w:lineRule="exact"/>
        <w:rPr>
          <w:rFonts w:ascii="Courier New" w:cs="Courier New" w:eastAsia="Courier New" w:hAnsi="Courier New"/>
          <w:sz w:val="17"/>
          <w:szCs w:val="17"/>
          <w:color w:val="auto"/>
        </w:rPr>
      </w:pPr>
    </w:p>
    <w:p>
      <w:pPr>
        <w:ind w:left="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December 31,</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2000..........</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 16% 63%</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75% As of</w:t>
      </w:r>
    </w:p>
    <w:p>
      <w:pPr>
        <w:spacing w:after="0" w:line="8" w:lineRule="exact"/>
        <w:rPr>
          <w:rFonts w:ascii="Courier New" w:cs="Courier New" w:eastAsia="Courier New" w:hAnsi="Courier New"/>
          <w:sz w:val="17"/>
          <w:szCs w:val="17"/>
          <w:color w:val="auto"/>
        </w:rPr>
      </w:pPr>
    </w:p>
    <w:p>
      <w:pPr>
        <w:jc w:val="both"/>
        <w:ind w:left="60" w:right="87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September 30, 2001.........</w:t>
      </w: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26% 13% 61%</w:t>
      </w:r>
    </w:p>
    <w:p>
      <w:pPr>
        <w:spacing w:after="0" w:line="8" w:lineRule="exact"/>
        <w:rPr>
          <w:rFonts w:ascii="Courier New" w:cs="Courier New" w:eastAsia="Courier New" w:hAnsi="Courier New"/>
          <w:sz w:val="17"/>
          <w:szCs w:val="17"/>
          <w:color w:val="auto"/>
        </w:rPr>
      </w:pPr>
    </w:p>
    <w:p>
      <w:pPr>
        <w:ind w:left="5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77%</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Cable Television Service. AT&amp;T Broadband Group offer its customers a wide array of traditional cable television services and programming offerings. AT&amp;T Broadband Group offers a basic level of service which typically includes from 15 to 25 channels of television programming. As of September 30, 2001, approximately 89% of AT&amp;T Broadband Group's customers elected to pay an additional amount to receive additional channels under its expanded basic service, which AT&amp;T Broadband Group calls its Standard Cable package. Premium channels, which AT&amp;T Broadband Group offers individually or in packages of several channels, are optional add-ons to its basic service.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Broadband's cable television services include the following:</w:t>
      </w:r>
    </w:p>
    <w:p>
      <w:pPr>
        <w:spacing w:after="0" w:line="210" w:lineRule="exact"/>
        <w:rPr>
          <w:sz w:val="20"/>
          <w:szCs w:val="20"/>
          <w:color w:val="auto"/>
        </w:rPr>
      </w:pPr>
    </w:p>
    <w:p>
      <w:pPr>
        <w:ind w:left="740" w:right="1839" w:hanging="209"/>
        <w:spacing w:after="0" w:line="257" w:lineRule="auto"/>
        <w:tabs>
          <w:tab w:leader="none" w:pos="740" w:val="left"/>
        </w:tabs>
        <w:numPr>
          <w:ilvl w:val="0"/>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Basic Service. All of AT&amp;T Broadband Group's customers receive its basic level of service, which generally consists of local broadcast television</w:t>
      </w:r>
    </w:p>
    <w:p>
      <w:pPr>
        <w:sectPr>
          <w:pgSz w:w="11900" w:h="16841" w:orient="portrait"/>
          <w:cols w:equalWidth="0" w:num="1">
            <w:col w:w="10219"/>
          </w:cols>
          <w:pgMar w:left="240" w:top="719" w:right="1440" w:bottom="0" w:gutter="0" w:footer="0" w:header="0"/>
        </w:sectPr>
      </w:pPr>
    </w:p>
    <w:bookmarkStart w:id="203" w:name="page204"/>
    <w:bookmarkEnd w:id="203"/>
    <w:p>
      <w:pPr>
        <w:ind w:left="209" w:right="2139"/>
        <w:spacing w:after="0" w:line="254" w:lineRule="auto"/>
        <w:rPr>
          <w:sz w:val="20"/>
          <w:szCs w:val="20"/>
          <w:color w:val="auto"/>
        </w:rPr>
      </w:pPr>
      <w:r>
        <w:rPr>
          <w:rFonts w:ascii="Courier New" w:cs="Courier New" w:eastAsia="Courier New" w:hAnsi="Courier New"/>
          <w:sz w:val="17"/>
          <w:szCs w:val="17"/>
          <w:color w:val="auto"/>
        </w:rPr>
        <w:t>and local community programming, including public, educational or governmental, or PEG, programming, and may include a limited number of satellite-delivered channels.</w:t>
      </w:r>
    </w:p>
    <w:p>
      <w:pPr>
        <w:spacing w:after="0" w:line="194" w:lineRule="exact"/>
        <w:rPr>
          <w:sz w:val="20"/>
          <w:szCs w:val="20"/>
          <w:color w:val="auto"/>
        </w:rPr>
      </w:pPr>
    </w:p>
    <w:p>
      <w:pPr>
        <w:ind w:left="209" w:right="2039" w:hanging="209"/>
        <w:spacing w:after="0" w:line="253" w:lineRule="auto"/>
        <w:tabs>
          <w:tab w:leader="none" w:pos="209"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Standard Cable. AT&amp;T Broadband Group's Standard Cable package includes basic service, plus expanded basic. This level of service includes a group of satellite-delivered and non-broadcast channels such as ESPN, CNN, Discovery Channel and Lifetime.</w:t>
      </w:r>
    </w:p>
    <w:p>
      <w:pPr>
        <w:spacing w:after="0" w:line="195" w:lineRule="exact"/>
        <w:rPr>
          <w:rFonts w:ascii="Courier New" w:cs="Courier New" w:eastAsia="Courier New" w:hAnsi="Courier New"/>
          <w:sz w:val="17"/>
          <w:szCs w:val="17"/>
          <w:color w:val="auto"/>
        </w:rPr>
      </w:pPr>
    </w:p>
    <w:p>
      <w:pPr>
        <w:ind w:left="209" w:right="2139" w:hanging="209"/>
        <w:spacing w:after="0" w:line="252" w:lineRule="auto"/>
        <w:tabs>
          <w:tab w:leader="none" w:pos="209"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Premium Channels. These channels provide unedited, commercial-free movies, sports and other special event entertainment programming. AT&amp;T Broadband Group offers subscriptions to numerous premium channels, including HBO, Cinemax, Starz!, Showtime and The Movie Channel, individually or in packages.</w:t>
      </w:r>
    </w:p>
    <w:p>
      <w:pPr>
        <w:spacing w:after="0" w:line="197" w:lineRule="exact"/>
        <w:rPr>
          <w:sz w:val="20"/>
          <w:szCs w:val="20"/>
          <w:color w:val="auto"/>
        </w:rPr>
      </w:pPr>
    </w:p>
    <w:p>
      <w:pPr>
        <w:ind w:left="3449"/>
        <w:spacing w:after="0"/>
        <w:rPr>
          <w:sz w:val="20"/>
          <w:szCs w:val="20"/>
          <w:color w:val="auto"/>
        </w:rPr>
      </w:pPr>
      <w:r>
        <w:rPr>
          <w:rFonts w:ascii="Courier New" w:cs="Courier New" w:eastAsia="Courier New" w:hAnsi="Courier New"/>
          <w:sz w:val="17"/>
          <w:szCs w:val="17"/>
          <w:color w:val="auto"/>
        </w:rPr>
        <w:t>VII-3</w:t>
      </w:r>
    </w:p>
    <w:p>
      <w:pPr>
        <w:sectPr>
          <w:pgSz w:w="11900" w:h="16838" w:orient="portrait"/>
          <w:cols w:equalWidth="0" w:num="1">
            <w:col w:w="9688"/>
          </w:cols>
          <w:pgMar w:left="771" w:top="142" w:right="1440" w:bottom="1440" w:gutter="0" w:footer="0" w:header="0"/>
        </w:sectPr>
      </w:pPr>
    </w:p>
    <w:bookmarkStart w:id="204" w:name="page205"/>
    <w:bookmarkEnd w:id="204"/>
    <w:p>
      <w:pPr>
        <w:spacing w:after="0" w:line="2" w:lineRule="exact"/>
        <w:rPr>
          <w:sz w:val="20"/>
          <w:szCs w:val="20"/>
          <w:color w:val="auto"/>
        </w:rPr>
      </w:pPr>
    </w:p>
    <w:p>
      <w:pPr>
        <w:ind w:left="740" w:right="2039" w:hanging="209"/>
        <w:spacing w:after="0" w:line="253" w:lineRule="auto"/>
        <w:tabs>
          <w:tab w:leader="none" w:pos="740"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Pay-Per-View. These channels allow customers with addressable set-top boxes to pay to view a single showing of a recently released movie or a one-time special sporting event or music concert on an unedited, commercial-free basis.</w:t>
      </w:r>
    </w:p>
    <w:p>
      <w:pPr>
        <w:spacing w:after="0" w:line="195"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Through AT&amp;T Digital Cable, AT&amp;T Broadband Group also offers additional special interest networks, premium channels, pay-per-view, digital music and an interactive on-screen guide, as described under "-- Advanced Services."</w:t>
      </w:r>
    </w:p>
    <w:p>
      <w:pPr>
        <w:spacing w:after="0" w:line="194"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AT&amp;T Broadband Group's service basic subscribers, including its digital cable customers, are served as follows:</w:t>
      </w:r>
    </w:p>
    <w:p>
      <w:pPr>
        <w:spacing w:after="0" w:line="19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DECEMBER 31, SEPTEMBER 30,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------- 1998 1999 2000 2001 ---- ---- ---- ---------</w:t>
      </w:r>
    </w:p>
    <w:p>
      <w:pPr>
        <w:spacing w:after="0" w:line="9" w:lineRule="exact"/>
        <w:rPr>
          <w:sz w:val="20"/>
          <w:szCs w:val="20"/>
          <w:color w:val="auto"/>
        </w:rPr>
      </w:pPr>
    </w:p>
    <w:p>
      <w:pPr>
        <w:ind w:left="1880" w:right="4879" w:hanging="1666"/>
        <w:spacing w:after="0" w:line="251" w:lineRule="auto"/>
        <w:tabs>
          <w:tab w:leader="none" w:pos="728" w:val="left"/>
        </w:tabs>
        <w:numPr>
          <w:ilvl w:val="0"/>
          <w:numId w:val="2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MILLIONS) Managed through AT&amp;T Broadband Group's operating</w:t>
      </w:r>
    </w:p>
    <w:p>
      <w:pPr>
        <w:ind w:left="100"/>
        <w:spacing w:after="0"/>
        <w:rPr>
          <w:sz w:val="20"/>
          <w:szCs w:val="20"/>
          <w:color w:val="auto"/>
        </w:rPr>
      </w:pPr>
      <w:r>
        <w:rPr>
          <w:rFonts w:ascii="Courier New" w:cs="Courier New" w:eastAsia="Courier New" w:hAnsi="Courier New"/>
          <w:sz w:val="17"/>
          <w:szCs w:val="17"/>
          <w:color w:val="auto"/>
        </w:rPr>
        <w:t>divisions..........................................</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11.4 11.3 15.9 13.65 Other non-managed subsidiaries</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of AT&amp;T Broadband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0.5 0.1 0.1 0.1 ---- ---- ----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11.9 11.4 16.0 13.75 ==== ==== ==== =====</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In addition to the above, the FCC currently attributes AT&amp;T Broadband Group with the subscribers of various other entities as a consequence of AT&amp;T Broadband Group's investments in those entities.</w:t>
      </w:r>
    </w:p>
    <w:p>
      <w:pPr>
        <w:spacing w:after="0" w:line="194"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The following table sets forth selected statistical data regarding AT&amp;T Broadband Group's cable television operations:</w:t>
      </w:r>
    </w:p>
    <w:p>
      <w:pPr>
        <w:spacing w:after="0" w:line="192"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DECEMBER 31,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SEPTEMBER 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0" w:hanging="422"/>
        <w:spacing w:after="0"/>
        <w:tabs>
          <w:tab w:leader="none" w:pos="480" w:val="left"/>
        </w:tabs>
        <w:numPr>
          <w:ilvl w:val="0"/>
          <w:numId w:val="2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----------- 1998</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1999 2000 2001 ---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380" w:hanging="322"/>
        <w:spacing w:after="0"/>
        <w:tabs>
          <w:tab w:leader="none" w:pos="380" w:val="left"/>
        </w:tabs>
        <w:numPr>
          <w:ilvl w:val="0"/>
          <w:numId w:val="2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Homes</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passed by cable(1)</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(3)......</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19,889,000</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19,668,000</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28,031,000</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24,623,000 Basic</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service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subscribers(3).....</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11,948,000</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11,408,000</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16,090,000</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13,750,000 Basic</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service</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subscribers as a</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percentage of</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homes passed.....</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59% 57% 58% 56%</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Average monthly</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revenue per basic</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service</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subscriber(2)</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 $ 32.24</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$ 42.97 $ 46.28 $</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48.71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1939" w:hanging="413"/>
        <w:spacing w:after="0" w:line="254" w:lineRule="auto"/>
        <w:tabs>
          <w:tab w:leader="none" w:pos="420" w:val="left"/>
        </w:tabs>
        <w:numPr>
          <w:ilvl w:val="0"/>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Homes passed is based on homes actually marketed and does not include multiple dwelling units passed by the cable plant that are not connected to it.</w:t>
      </w:r>
    </w:p>
    <w:p>
      <w:pPr>
        <w:spacing w:after="0" w:line="194" w:lineRule="exact"/>
        <w:rPr>
          <w:rFonts w:ascii="Courier New" w:cs="Courier New" w:eastAsia="Courier New" w:hAnsi="Courier New"/>
          <w:sz w:val="17"/>
          <w:szCs w:val="17"/>
          <w:color w:val="auto"/>
        </w:rPr>
      </w:pPr>
    </w:p>
    <w:p>
      <w:pPr>
        <w:ind w:left="420" w:right="1939" w:hanging="413"/>
        <w:spacing w:after="0" w:line="254" w:lineRule="auto"/>
        <w:tabs>
          <w:tab w:leader="none" w:pos="420" w:val="left"/>
        </w:tabs>
        <w:numPr>
          <w:ilvl w:val="0"/>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video service revenues for the last month of the period, including installation charges and certain other nonrecurring revenues, such as pay-per-view, advertising and home shopping revenues.</w:t>
      </w:r>
    </w:p>
    <w:p>
      <w:pPr>
        <w:spacing w:after="0" w:line="194" w:lineRule="exact"/>
        <w:rPr>
          <w:rFonts w:ascii="Courier New" w:cs="Courier New" w:eastAsia="Courier New" w:hAnsi="Courier New"/>
          <w:sz w:val="17"/>
          <w:szCs w:val="17"/>
          <w:color w:val="auto"/>
        </w:rPr>
      </w:pPr>
    </w:p>
    <w:p>
      <w:pPr>
        <w:ind w:left="420" w:right="2039" w:hanging="413"/>
        <w:spacing w:after="0" w:line="257" w:lineRule="auto"/>
        <w:tabs>
          <w:tab w:leader="none" w:pos="420" w:val="left"/>
        </w:tabs>
        <w:numPr>
          <w:ilvl w:val="0"/>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Year-end statistics regarding AT&amp;T Broadband Group's subscribers and homes passed by cable are materially affected by AT&amp;T Broadband Group's</w:t>
      </w:r>
    </w:p>
    <w:p>
      <w:pPr>
        <w:sectPr>
          <w:pgSz w:w="11900" w:h="16841" w:orient="portrait"/>
          <w:cols w:equalWidth="0" w:num="1">
            <w:col w:w="10219"/>
          </w:cols>
          <w:pgMar w:left="240" w:top="719" w:right="1440" w:bottom="0" w:gutter="0" w:footer="0" w:header="0"/>
        </w:sectPr>
      </w:pPr>
    </w:p>
    <w:bookmarkStart w:id="205" w:name="page206"/>
    <w:bookmarkEnd w:id="205"/>
    <w:p>
      <w:pPr>
        <w:ind w:left="420" w:right="1839"/>
        <w:spacing w:after="0" w:line="252" w:lineRule="auto"/>
        <w:rPr>
          <w:sz w:val="20"/>
          <w:szCs w:val="20"/>
          <w:color w:val="auto"/>
        </w:rPr>
      </w:pPr>
      <w:r>
        <w:rPr>
          <w:rFonts w:ascii="Courier New" w:cs="Courier New" w:eastAsia="Courier New" w:hAnsi="Courier New"/>
          <w:sz w:val="17"/>
          <w:szCs w:val="17"/>
          <w:color w:val="auto"/>
        </w:rPr>
        <w:t>acquisition and divestiture program discussed under "-- Acquisitions and Divestitures." Notable variations arose during 1998, when AT&amp;T Broadband Group contributed cable systems serving approximately 2,700,000 customers to other persons, and during 2000, when AT&amp;T Broadband Group acquired approximately 5,000,000 customers from MediaOne.</w:t>
      </w:r>
    </w:p>
    <w:p>
      <w:pPr>
        <w:spacing w:after="0" w:line="1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Advanced Services. As network upgrades are activated, AT&amp;T Broadband Group offers new and advanced services, including interactive digital cable and high-speed cable Internet service. In addition, AT&amp;T Broadband Group offers all-distance telephone services in selected markets.</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Digital Cable. AT&amp;T Broadband Group offers digital cable service, which includes additional channels on its existing service tiers, the creation of new service tiers and the introduction of multiple packages of premium services. AT&amp;T Broadband Group's digital cable service also includes an electronic program guide, on demand pay-per-view and up to 30 channels of digital music. In addition, AT&amp;T Broadband Group offers more premium and special interest networks. AT&amp;T Broadband Group's</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VII-4</w:t>
      </w:r>
    </w:p>
    <w:p>
      <w:pPr>
        <w:sectPr>
          <w:pgSz w:w="11900" w:h="16838" w:orient="portrait"/>
          <w:cols w:equalWidth="0" w:num="1">
            <w:col w:w="10219"/>
          </w:cols>
          <w:pgMar w:left="240" w:top="142" w:right="1440" w:bottom="1440" w:gutter="0" w:footer="0" w:header="0"/>
        </w:sectPr>
      </w:pPr>
    </w:p>
    <w:bookmarkStart w:id="206" w:name="page207"/>
    <w:bookmarkEnd w:id="206"/>
    <w:p>
      <w:pPr>
        <w:ind w:right="2039"/>
        <w:spacing w:after="0" w:line="253" w:lineRule="auto"/>
        <w:rPr>
          <w:sz w:val="20"/>
          <w:szCs w:val="20"/>
          <w:color w:val="auto"/>
        </w:rPr>
      </w:pPr>
      <w:r>
        <w:rPr>
          <w:rFonts w:ascii="Courier New" w:cs="Courier New" w:eastAsia="Courier New" w:hAnsi="Courier New"/>
          <w:sz w:val="17"/>
          <w:szCs w:val="17"/>
          <w:color w:val="auto"/>
        </w:rPr>
        <w:t>interactive digital cable service also allows it to offer TV-formatted information to its customers that has local content and is targeted to a specific system or community. For example, through this service AT&amp;T Broadband Group offers local weather, sports, news and dining information.</w:t>
      </w:r>
    </w:p>
    <w:p>
      <w:pPr>
        <w:spacing w:after="0" w:line="195"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Below is a summary of operating statistics for digital cable services:</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DECEMBER 31, ---------------------</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SEPTEMBER 30, 1999 2000 2001 ---------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Digital cable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customers...........................</w:t>
      </w:r>
    </w:p>
    <w:p>
      <w:pPr>
        <w:spacing w:after="0" w:line="9"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7"/>
          <w:szCs w:val="17"/>
          <w:color w:val="auto"/>
        </w:rPr>
        <w:t>1,800,000 2,815,000 3,165,000 Digital</w:t>
      </w:r>
    </w:p>
    <w:p>
      <w:pPr>
        <w:spacing w:after="0" w:line="9"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7"/>
          <w:szCs w:val="17"/>
          <w:color w:val="auto"/>
        </w:rPr>
        <w:t>penetration as a percentage of basic</w:t>
      </w:r>
    </w:p>
    <w:p>
      <w:pPr>
        <w:spacing w:after="0" w:line="9"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7"/>
          <w:szCs w:val="17"/>
          <w:color w:val="auto"/>
        </w:rPr>
        <w:t>service</w:t>
      </w:r>
    </w:p>
    <w:p>
      <w:pPr>
        <w:spacing w:after="0" w:line="9"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7"/>
          <w:szCs w:val="17"/>
          <w:color w:val="auto"/>
        </w:rPr>
        <w:t>subscribers.............................</w:t>
      </w:r>
    </w:p>
    <w:p>
      <w:pPr>
        <w:spacing w:after="0" w:line="9"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15.8% 17.5% 23.0%</w:t>
      </w:r>
    </w:p>
    <w:p>
      <w:pPr>
        <w:spacing w:after="0" w:line="200" w:lineRule="exact"/>
        <w:rPr>
          <w:sz w:val="20"/>
          <w:szCs w:val="20"/>
          <w:color w:val="auto"/>
        </w:rPr>
      </w:pPr>
    </w:p>
    <w:p>
      <w:pPr>
        <w:spacing w:after="0" w:line="212"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AT&amp;T Broadband Group offers its customers four digital packages -- Bronze, Silver, Gold and Platinum. These packages allow viewers to select the level of services they receive to fit their individual interests.</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High-Speed Cable Internet. AT&amp;T Broadband Group offers high-speed cable Internet service for personal computers over its networks in all of its upgraded systems.</w:t>
      </w:r>
    </w:p>
    <w:p>
      <w:pPr>
        <w:spacing w:after="0" w:line="194"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Below is a summary of AT&amp;T Broadband Group's high-speed cable Internet service operating statistics:</w:t>
      </w:r>
    </w:p>
    <w:p>
      <w:pPr>
        <w:spacing w:after="0" w:line="19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DECEMBER 31, ---------------------- SEPTEMBER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30, 1999 2000 2001</w:t>
            </w:r>
          </w:p>
        </w:tc>
        <w:tc>
          <w:tcPr>
            <w:tcW w:w="360" w:type="dxa"/>
            <w:vAlign w:val="bottom"/>
          </w:tcPr>
          <w:p>
            <w:pPr>
              <w:ind w:left="40"/>
              <w:spacing w:after="0"/>
              <w:rPr>
                <w:sz w:val="20"/>
                <w:szCs w:val="20"/>
                <w:color w:val="auto"/>
              </w:rPr>
            </w:pPr>
            <w:r>
              <w:rPr>
                <w:rFonts w:ascii="Courier New" w:cs="Courier New" w:eastAsia="Courier New" w:hAnsi="Courier New"/>
                <w:sz w:val="7"/>
                <w:szCs w:val="7"/>
                <w:color w:val="auto"/>
                <w:w w:val="79"/>
              </w:rPr>
              <w:t>---------</w:t>
            </w: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r>
      <w:tr>
        <w:trPr>
          <w:trHeight w:val="201"/>
        </w:trPr>
        <w:tc>
          <w:tcPr>
            <w:tcW w:w="5080" w:type="dxa"/>
            <w:vAlign w:val="bottom"/>
            <w:gridSpan w:val="3"/>
          </w:tcPr>
          <w:p>
            <w:pPr>
              <w:jc w:val="right"/>
              <w:ind w:right="1013"/>
              <w:spacing w:after="0"/>
              <w:rPr>
                <w:sz w:val="20"/>
                <w:szCs w:val="20"/>
                <w:color w:val="auto"/>
              </w:rPr>
            </w:pPr>
            <w:r>
              <w:rPr>
                <w:rFonts w:ascii="Courier New" w:cs="Courier New" w:eastAsia="Courier New" w:hAnsi="Courier New"/>
                <w:sz w:val="17"/>
                <w:szCs w:val="17"/>
                <w:color w:val="auto"/>
              </w:rPr>
              <w:t>----- Data marketable homes</w:t>
            </w:r>
          </w:p>
        </w:tc>
      </w:tr>
      <w:tr>
        <w:trPr>
          <w:trHeight w:val="201"/>
        </w:trPr>
        <w:tc>
          <w:tcPr>
            <w:tcW w:w="23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4"/>
              </w:rPr>
              <w:t>passed.....................</w:t>
            </w: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4,974,000 14,523,000</w:t>
            </w:r>
          </w:p>
        </w:tc>
      </w:tr>
      <w:tr>
        <w:trPr>
          <w:trHeight w:val="201"/>
        </w:trPr>
        <w:tc>
          <w:tcPr>
            <w:tcW w:w="2000" w:type="dxa"/>
            <w:vAlign w:val="bottom"/>
          </w:tcPr>
          <w:p>
            <w:pPr>
              <w:spacing w:after="0"/>
              <w:rPr>
                <w:sz w:val="17"/>
                <w:szCs w:val="17"/>
                <w:color w:val="auto"/>
              </w:rPr>
            </w:pPr>
          </w:p>
        </w:tc>
        <w:tc>
          <w:tcPr>
            <w:tcW w:w="30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14,482,000</w:t>
            </w:r>
          </w:p>
        </w:tc>
      </w:tr>
      <w:tr>
        <w:trPr>
          <w:trHeight w:val="201"/>
        </w:trPr>
        <w:tc>
          <w:tcPr>
            <w:tcW w:w="23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Customers........................................</w:t>
            </w:r>
          </w:p>
        </w:tc>
        <w:tc>
          <w:tcPr>
            <w:tcW w:w="2720" w:type="dxa"/>
            <w:vAlign w:val="bottom"/>
          </w:tcPr>
          <w:p>
            <w:pPr>
              <w:spacing w:after="0"/>
              <w:rPr>
                <w:sz w:val="17"/>
                <w:szCs w:val="17"/>
                <w:color w:val="auto"/>
              </w:rPr>
            </w:pPr>
          </w:p>
        </w:tc>
      </w:tr>
      <w:tr>
        <w:trPr>
          <w:trHeight w:val="201"/>
        </w:trPr>
        <w:tc>
          <w:tcPr>
            <w:tcW w:w="2000" w:type="dxa"/>
            <w:vAlign w:val="bottom"/>
          </w:tcPr>
          <w:p>
            <w:pPr>
              <w:jc w:val="right"/>
              <w:ind w:right="22"/>
              <w:spacing w:after="0"/>
              <w:rPr>
                <w:sz w:val="20"/>
                <w:szCs w:val="20"/>
                <w:color w:val="auto"/>
              </w:rPr>
            </w:pPr>
            <w:r>
              <w:rPr>
                <w:rFonts w:ascii="Courier New" w:cs="Courier New" w:eastAsia="Courier New" w:hAnsi="Courier New"/>
                <w:sz w:val="17"/>
                <w:szCs w:val="17"/>
                <w:color w:val="auto"/>
              </w:rPr>
              <w:t>207,000</w:t>
            </w:r>
          </w:p>
        </w:tc>
        <w:tc>
          <w:tcPr>
            <w:tcW w:w="3080" w:type="dxa"/>
            <w:vAlign w:val="bottom"/>
            <w:gridSpan w:val="2"/>
          </w:tcPr>
          <w:p>
            <w:pPr>
              <w:jc w:val="right"/>
              <w:ind w:right="1013"/>
              <w:spacing w:after="0"/>
              <w:rPr>
                <w:sz w:val="20"/>
                <w:szCs w:val="20"/>
                <w:color w:val="auto"/>
              </w:rPr>
            </w:pPr>
            <w:r>
              <w:rPr>
                <w:rFonts w:ascii="Courier New" w:cs="Courier New" w:eastAsia="Courier New" w:hAnsi="Courier New"/>
                <w:sz w:val="17"/>
                <w:szCs w:val="17"/>
                <w:color w:val="auto"/>
              </w:rPr>
              <w:t>1,060,000 1,387,000</w:t>
            </w:r>
          </w:p>
        </w:tc>
      </w:tr>
      <w:tr>
        <w:trPr>
          <w:trHeight w:val="201"/>
        </w:trPr>
        <w:tc>
          <w:tcPr>
            <w:tcW w:w="23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Penetration......................................</w:t>
            </w:r>
          </w:p>
        </w:tc>
        <w:tc>
          <w:tcPr>
            <w:tcW w:w="2720" w:type="dxa"/>
            <w:vAlign w:val="bottom"/>
          </w:tcPr>
          <w:p>
            <w:pPr>
              <w:spacing w:after="0"/>
              <w:rPr>
                <w:sz w:val="17"/>
                <w:szCs w:val="17"/>
                <w:color w:val="auto"/>
              </w:rPr>
            </w:pPr>
          </w:p>
        </w:tc>
      </w:tr>
      <w:tr>
        <w:trPr>
          <w:trHeight w:val="201"/>
        </w:trPr>
        <w:tc>
          <w:tcPr>
            <w:tcW w:w="2360" w:type="dxa"/>
            <w:vAlign w:val="bottom"/>
            <w:gridSpan w:val="2"/>
          </w:tcPr>
          <w:p>
            <w:pPr>
              <w:jc w:val="right"/>
              <w:ind w:right="31"/>
              <w:spacing w:after="0"/>
              <w:rPr>
                <w:sz w:val="20"/>
                <w:szCs w:val="20"/>
                <w:color w:val="auto"/>
              </w:rPr>
            </w:pPr>
            <w:r>
              <w:rPr>
                <w:rFonts w:ascii="Courier New" w:cs="Courier New" w:eastAsia="Courier New" w:hAnsi="Courier New"/>
                <w:sz w:val="17"/>
                <w:szCs w:val="17"/>
                <w:color w:val="auto"/>
              </w:rPr>
              <w:t>4.2%</w:t>
            </w:r>
          </w:p>
        </w:tc>
        <w:tc>
          <w:tcPr>
            <w:tcW w:w="2720" w:type="dxa"/>
            <w:vAlign w:val="bottom"/>
          </w:tcPr>
          <w:p>
            <w:pPr>
              <w:jc w:val="right"/>
              <w:ind w:right="1693"/>
              <w:spacing w:after="0"/>
              <w:rPr>
                <w:sz w:val="20"/>
                <w:szCs w:val="20"/>
                <w:color w:val="auto"/>
              </w:rPr>
            </w:pPr>
            <w:r>
              <w:rPr>
                <w:rFonts w:ascii="Courier New" w:cs="Courier New" w:eastAsia="Courier New" w:hAnsi="Courier New"/>
                <w:sz w:val="17"/>
                <w:szCs w:val="17"/>
                <w:color w:val="auto"/>
              </w:rPr>
              <w:t>7.3% 9.6%</w:t>
            </w: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Broadband Group's high-speed cable Internet service enables data to be transmitted substantially faster than through conventional telephone modem technologies, and the cable connection does not interfere with normal telephone activity or usage. AT&amp;T Broadband Group's high-speed cable Internet service offers unlimited access to public areas on the Internet.</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Until recently, AT&amp;T Broadband Group and At Home Corporation were parties to a master distribution agreement pursuant to which At Home provided AT&amp;T Broadband Group with broadband network services and content aggregation necessary for the delivery of high-speed cable Internet services to AT&amp;T Broadband Group's customers. On September 28, 2001, At Home and its U.S. subsidiaries filed for protection under Chapter 11 of the United States Bankruptcy Code in the United States Bankruptcy Court for the Northern District of California. On November 30, 2001, the bankruptcy court granted a motion made by At Home for authority to reject the master distribution agreement and other similar agreements with other customers of At Home, thereby giving At Home the authority to terminate service to AT&amp;T Broadband Group and other customers at any time. As a result, on December 1, 2001, At Home terminated service to AT&amp;T Broadband Group and, in response, AT&amp;T Broadband Group converted the majority of its customers to a new AT&amp;T-managed network during the first week of December. AT&amp;T Broadband Group currently provides "AT&amp;T Broadband Internet" branded high speed cable Internet service to its customers pursuant to an agreement with AT&amp;T to provide certain network and backbone support services to AT&amp;T Broadband Group.</w:t>
      </w:r>
    </w:p>
    <w:p>
      <w:pPr>
        <w:spacing w:after="0" w:line="200" w:lineRule="exact"/>
        <w:rPr>
          <w:sz w:val="20"/>
          <w:szCs w:val="20"/>
          <w:color w:val="auto"/>
        </w:rPr>
      </w:pPr>
    </w:p>
    <w:p>
      <w:pPr>
        <w:spacing w:after="0" w:line="203"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Broadband Telephone Service. AT&amp;T Broadband Group currently offers broadband telephone services to customers in 16 markets using AT&amp;T Broadband Group's systems' direct, two-way connections to homes. AT&amp;T Broadband Group utilizes its broadband network to provide local telephone services and resell AT&amp;T long distance services.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VII-5</w:t>
      </w:r>
    </w:p>
    <w:p>
      <w:pPr>
        <w:sectPr>
          <w:pgSz w:w="11900" w:h="16838" w:orient="portrait"/>
          <w:cols w:equalWidth="0" w:num="1">
            <w:col w:w="10219"/>
          </w:cols>
          <w:pgMar w:left="240" w:top="719" w:right="1440" w:bottom="1062" w:gutter="0" w:footer="0" w:header="0"/>
        </w:sectPr>
      </w:pPr>
    </w:p>
    <w:bookmarkStart w:id="207" w:name="page208"/>
    <w:bookmarkEnd w:id="207"/>
    <w:p>
      <w:pPr>
        <w:ind w:right="2459" w:firstLine="524"/>
        <w:spacing w:after="0" w:line="257" w:lineRule="auto"/>
        <w:rPr>
          <w:sz w:val="20"/>
          <w:szCs w:val="20"/>
          <w:color w:val="auto"/>
        </w:rPr>
      </w:pPr>
      <w:r>
        <w:rPr>
          <w:rFonts w:ascii="Courier New" w:cs="Courier New" w:eastAsia="Courier New" w:hAnsi="Courier New"/>
          <w:sz w:val="17"/>
          <w:szCs w:val="17"/>
          <w:color w:val="auto"/>
        </w:rPr>
        <w:t>Below is a summary of AT&amp;T Broadband Group's operating statistics for broadband telephone services:</w:t>
      </w:r>
    </w:p>
    <w:p>
      <w:pPr>
        <w:spacing w:after="0" w:line="192"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DECEMBER 31, -------------------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w w:val="97"/>
              </w:rPr>
              <w:t>1999 2000 2001 -------</w:t>
            </w:r>
          </w:p>
        </w:tc>
        <w:tc>
          <w:tcPr>
            <w:tcW w:w="2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201"/>
        </w:trPr>
        <w:tc>
          <w:tcPr>
            <w:tcW w:w="5140" w:type="dxa"/>
            <w:vAlign w:val="bottom"/>
            <w:gridSpan w:val="3"/>
          </w:tcPr>
          <w:p>
            <w:pPr>
              <w:ind w:left="1580"/>
              <w:spacing w:after="0"/>
              <w:rPr>
                <w:sz w:val="20"/>
                <w:szCs w:val="20"/>
                <w:color w:val="auto"/>
              </w:rPr>
            </w:pPr>
            <w:r>
              <w:rPr>
                <w:rFonts w:ascii="Courier New" w:cs="Courier New" w:eastAsia="Courier New" w:hAnsi="Courier New"/>
                <w:sz w:val="17"/>
                <w:szCs w:val="17"/>
                <w:color w:val="auto"/>
              </w:rPr>
              <w:t>Telephone-ready homes</w:t>
            </w:r>
          </w:p>
        </w:tc>
      </w:tr>
      <w:tr>
        <w:trPr>
          <w:trHeight w:val="201"/>
        </w:trPr>
        <w:tc>
          <w:tcPr>
            <w:tcW w:w="29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passed.......................</w:t>
            </w: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721,000 6,103,000</w:t>
            </w:r>
          </w:p>
        </w:tc>
      </w:tr>
      <w:tr>
        <w:trPr>
          <w:trHeight w:val="201"/>
        </w:trPr>
        <w:tc>
          <w:tcPr>
            <w:tcW w:w="220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Courier New" w:cs="Courier New" w:eastAsia="Courier New" w:hAnsi="Courier New"/>
                <w:sz w:val="17"/>
                <w:szCs w:val="17"/>
                <w:color w:val="auto"/>
              </w:rPr>
              <w:t>6,258,000</w:t>
            </w:r>
          </w:p>
        </w:tc>
      </w:tr>
      <w:tr>
        <w:trPr>
          <w:trHeight w:val="201"/>
        </w:trPr>
        <w:tc>
          <w:tcPr>
            <w:tcW w:w="29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Customers..........................................</w:t>
            </w:r>
          </w:p>
        </w:tc>
        <w:tc>
          <w:tcPr>
            <w:tcW w:w="2200" w:type="dxa"/>
            <w:vAlign w:val="bottom"/>
          </w:tcPr>
          <w:p>
            <w:pPr>
              <w:spacing w:after="0"/>
              <w:rPr>
                <w:sz w:val="17"/>
                <w:szCs w:val="17"/>
                <w:color w:val="auto"/>
              </w:rPr>
            </w:pPr>
          </w:p>
        </w:tc>
      </w:tr>
      <w:tr>
        <w:trPr>
          <w:trHeight w:val="201"/>
        </w:trPr>
        <w:tc>
          <w:tcPr>
            <w:tcW w:w="2200" w:type="dxa"/>
            <w:vAlign w:val="bottom"/>
          </w:tcPr>
          <w:p>
            <w:pPr>
              <w:ind w:left="1580"/>
              <w:spacing w:after="0"/>
              <w:rPr>
                <w:sz w:val="20"/>
                <w:szCs w:val="20"/>
                <w:color w:val="auto"/>
              </w:rPr>
            </w:pPr>
            <w:r>
              <w:rPr>
                <w:rFonts w:ascii="Courier New" w:cs="Courier New" w:eastAsia="Courier New" w:hAnsi="Courier New"/>
                <w:sz w:val="17"/>
                <w:szCs w:val="17"/>
                <w:color w:val="auto"/>
              </w:rPr>
              <w:t>8,000</w:t>
            </w:r>
          </w:p>
        </w:tc>
        <w:tc>
          <w:tcPr>
            <w:tcW w:w="740" w:type="dxa"/>
            <w:vAlign w:val="bottom"/>
          </w:tcPr>
          <w:p>
            <w:pPr>
              <w:spacing w:after="0"/>
              <w:rPr>
                <w:sz w:val="20"/>
                <w:szCs w:val="20"/>
                <w:color w:val="auto"/>
              </w:rPr>
            </w:pPr>
            <w:r>
              <w:rPr>
                <w:rFonts w:ascii="Courier New" w:cs="Courier New" w:eastAsia="Courier New" w:hAnsi="Courier New"/>
                <w:sz w:val="17"/>
                <w:szCs w:val="17"/>
                <w:color w:val="auto"/>
              </w:rPr>
              <w:t>547,000</w:t>
            </w:r>
          </w:p>
        </w:tc>
        <w:tc>
          <w:tcPr>
            <w:tcW w:w="2200" w:type="dxa"/>
            <w:vAlign w:val="bottom"/>
          </w:tcPr>
          <w:p>
            <w:pPr>
              <w:jc w:val="right"/>
              <w:ind w:right="1273"/>
              <w:spacing w:after="0"/>
              <w:rPr>
                <w:sz w:val="20"/>
                <w:szCs w:val="20"/>
                <w:color w:val="auto"/>
              </w:rPr>
            </w:pPr>
            <w:r>
              <w:rPr>
                <w:rFonts w:ascii="Courier New" w:cs="Courier New" w:eastAsia="Courier New" w:hAnsi="Courier New"/>
                <w:sz w:val="17"/>
                <w:szCs w:val="17"/>
                <w:color w:val="auto"/>
              </w:rPr>
              <w:t>924,000</w:t>
            </w:r>
          </w:p>
        </w:tc>
      </w:tr>
      <w:tr>
        <w:trPr>
          <w:trHeight w:val="201"/>
        </w:trPr>
        <w:tc>
          <w:tcPr>
            <w:tcW w:w="29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Penetration........................................</w:t>
            </w:r>
          </w:p>
        </w:tc>
        <w:tc>
          <w:tcPr>
            <w:tcW w:w="2200" w:type="dxa"/>
            <w:vAlign w:val="bottom"/>
          </w:tcPr>
          <w:p>
            <w:pPr>
              <w:spacing w:after="0"/>
              <w:rPr>
                <w:sz w:val="17"/>
                <w:szCs w:val="17"/>
                <w:color w:val="auto"/>
              </w:rPr>
            </w:pPr>
          </w:p>
        </w:tc>
      </w:tr>
      <w:tr>
        <w:trPr>
          <w:trHeight w:val="201"/>
        </w:trPr>
        <w:tc>
          <w:tcPr>
            <w:tcW w:w="29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1.1% 9.0%</w:t>
            </w:r>
          </w:p>
        </w:tc>
        <w:tc>
          <w:tcPr>
            <w:tcW w:w="2200" w:type="dxa"/>
            <w:vAlign w:val="bottom"/>
          </w:tcPr>
          <w:p>
            <w:pPr>
              <w:jc w:val="right"/>
              <w:ind w:right="1593"/>
              <w:spacing w:after="0"/>
              <w:rPr>
                <w:sz w:val="20"/>
                <w:szCs w:val="20"/>
                <w:color w:val="auto"/>
              </w:rPr>
            </w:pPr>
            <w:r>
              <w:rPr>
                <w:rFonts w:ascii="Courier New" w:cs="Courier New" w:eastAsia="Courier New" w:hAnsi="Courier New"/>
                <w:sz w:val="17"/>
                <w:szCs w:val="17"/>
                <w:color w:val="auto"/>
                <w:w w:val="97"/>
              </w:rPr>
              <w:t>14.8%</w:t>
            </w: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Group's broadband telephone service initiatives progressed substantially in 2000. During 2000, AT&amp;T Broadband Group increased the number of markets in which it offers telephone service from ten to 16, and increased its customer base from 8,000 to 547,000. As of September 30, 2001, AT&amp;T Broadband Group offered broadband telephone services in: Atlanta, Boston, the San Francisco Bay Area, Chicago, Dallas, Denver, Hartford, Jacksonville, Twin Cities, Pittsburgh, Richmond, Seattle, Salt Lake City, St. Louis, Southern California and Portland, Oregon. AT&amp;T Broadband Group offers a variety of options and calling plans with various price points. These options and calling plans range from basic one line service to multiple lines with full feature functionality.</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Advertising. AT&amp;T Broadband Group sells advertising time on satellite-delivered program services such as CNN, Discovery, ESPN and Lifetime, and on local channels. In addition to the sale of advertising time to local and regional advertisers, AT&amp;T Broadband Group participates in the national spot advertising marketplace through its sales representation arrangement with and investment in National Cable Communications, LLC, a partnership that represents cable systems in the sale of time to national spot advertisers.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STRATEGY</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Group's strategy is to utilize the technological capabilities of its broadband cable systems to be a full-service provider of entertainment, information and communications services in the markets it serves. To implement this strategy, AT&amp;T Broadband Group continues to upgrade its cable systems to allow it to deliver more information and entertainment services and to provide for two-way communications capability. Continuing the upgrade of its cable systems is expected to enhance AT&amp;T Broadband Group's ability to increase penetration of advanced services, including digital cable, high-speed cable Internet service and all-distance telephone service. Providing quality customer service also is a key element of AT&amp;T Broadband Group's strategy. Throughout its operations, AT&amp;T Broadband Group focuses on achieving reliable customer service with financial results comparable to the overall cable industry.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ACQUISITIONS AND DIVESTITURES</w:t>
      </w:r>
    </w:p>
    <w:p>
      <w:pPr>
        <w:spacing w:after="0" w:line="210" w:lineRule="exact"/>
        <w:rPr>
          <w:sz w:val="20"/>
          <w:szCs w:val="20"/>
          <w:color w:val="auto"/>
        </w:rPr>
      </w:pPr>
    </w:p>
    <w:p>
      <w:pPr>
        <w:jc w:val="both"/>
        <w:ind w:right="1939" w:firstLine="524"/>
        <w:spacing w:after="0" w:line="251" w:lineRule="auto"/>
        <w:rPr>
          <w:sz w:val="20"/>
          <w:szCs w:val="20"/>
          <w:color w:val="auto"/>
        </w:rPr>
      </w:pPr>
      <w:r>
        <w:rPr>
          <w:rFonts w:ascii="Courier New" w:cs="Courier New" w:eastAsia="Courier New" w:hAnsi="Courier New"/>
          <w:sz w:val="17"/>
          <w:szCs w:val="17"/>
          <w:color w:val="auto"/>
        </w:rPr>
        <w:t>AT&amp;T Broadband Group has sought to improve the geographic footprint of its cable systems by selectively exchanging its cable systems for systems of other cable operators or acquiring systems in close proximity to its systems. In this regard, AT&amp;T Broadband Group completed a significant number of transactions in 2000 and the first nine months of 2001 that substantially changed the size and profile of its cable system network, and had signed agreements as of September 30, 2001 for additional system sales. The principal transactions are described below:</w:t>
      </w:r>
    </w:p>
    <w:p>
      <w:pPr>
        <w:spacing w:after="0" w:line="201" w:lineRule="exact"/>
        <w:rPr>
          <w:sz w:val="20"/>
          <w:szCs w:val="20"/>
          <w:color w:val="auto"/>
        </w:rPr>
      </w:pPr>
    </w:p>
    <w:p>
      <w:pPr>
        <w:ind w:left="740" w:right="1839" w:hanging="209"/>
        <w:spacing w:after="0" w:line="253" w:lineRule="auto"/>
        <w:tabs>
          <w:tab w:leader="none" w:pos="740" w:val="left"/>
        </w:tabs>
        <w:numPr>
          <w:ilvl w:val="0"/>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2000, a subsidiary of AT&amp;T Broadband Group sold its entire 50% interest in Lenfest to a subsidiary of Comcast. In consideration for its 50% interest, AT&amp;T Broadband Group received 47,289,843 shares of Comcast Special Class A common stock.</w:t>
      </w:r>
    </w:p>
    <w:p>
      <w:pPr>
        <w:spacing w:after="0" w:line="195"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February 2000, AT&amp;T Broadband Group redeemed a portion of its interest in Bresnan Communications Group LLC for $285 million in cash. AT&amp;T Broadband Group then contributed its remaining interest in Bresnan to CC VIII, LLC, in exchange for a preferred ownership interest.</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VII-6</w:t>
      </w:r>
    </w:p>
    <w:p>
      <w:pPr>
        <w:sectPr>
          <w:pgSz w:w="11900" w:h="16838" w:orient="portrait"/>
          <w:cols w:equalWidth="0" w:num="1">
            <w:col w:w="10219"/>
          </w:cols>
          <w:pgMar w:left="240" w:top="719" w:right="1440" w:bottom="1440" w:gutter="0" w:footer="0" w:header="0"/>
        </w:sectPr>
      </w:pPr>
    </w:p>
    <w:bookmarkStart w:id="208" w:name="page209"/>
    <w:bookmarkEnd w:id="208"/>
    <w:p>
      <w:pPr>
        <w:ind w:left="209" w:right="1839" w:hanging="209"/>
        <w:spacing w:after="0" w:line="252" w:lineRule="auto"/>
        <w:tabs>
          <w:tab w:leader="none" w:pos="209"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March 2000, AT&amp;T Broadband Group redeemed approximately 50.3 million shares of AT&amp;T common stock held by Cox in exchange for stock of a subsidiary of AT&amp;T Broadband Group owning cable television systems serving approximately 312,000 customers, AT&amp;T Broadband Group's interest of $1,088 million in certain investments, $878 million of franchise costs and $503 million of other net assets.</w:t>
      </w:r>
    </w:p>
    <w:p>
      <w:pPr>
        <w:spacing w:after="0" w:line="196" w:lineRule="exact"/>
        <w:rPr>
          <w:rFonts w:ascii="Courier New" w:cs="Courier New" w:eastAsia="Courier New" w:hAnsi="Courier New"/>
          <w:sz w:val="17"/>
          <w:szCs w:val="17"/>
          <w:color w:val="auto"/>
        </w:rPr>
      </w:pPr>
    </w:p>
    <w:p>
      <w:pPr>
        <w:ind w:left="209" w:right="1939" w:hanging="209"/>
        <w:spacing w:after="0" w:line="254" w:lineRule="auto"/>
        <w:tabs>
          <w:tab w:leader="none" w:pos="209"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April 2000, AT&amp;T Broadband Group contributed 103,000 subscribers into a joint venture with Midcontinent Media, Inc. in exchange for a 50% interest in Midcontinent Communications, a general partnership.</w:t>
      </w:r>
    </w:p>
    <w:p>
      <w:pPr>
        <w:spacing w:after="0" w:line="194" w:lineRule="exact"/>
        <w:rPr>
          <w:rFonts w:ascii="Courier New" w:cs="Courier New" w:eastAsia="Courier New" w:hAnsi="Courier New"/>
          <w:sz w:val="17"/>
          <w:szCs w:val="17"/>
          <w:color w:val="auto"/>
        </w:rPr>
      </w:pPr>
    </w:p>
    <w:p>
      <w:pPr>
        <w:ind w:left="209" w:right="1839" w:hanging="209"/>
        <w:spacing w:after="0" w:line="252" w:lineRule="auto"/>
        <w:tabs>
          <w:tab w:leader="none" w:pos="209"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June 2000, MediaOne merged into a subsidiary of AT&amp;T, whereby AT&amp;T Broadband Group acquired approximately 5 million basic cable subscribers, 0.2 million digital video subscribers, 0.3 million high-speed cable Internet service subscribers and 0.1 million broadband telephone service subscribers.</w:t>
      </w:r>
    </w:p>
    <w:p>
      <w:pPr>
        <w:spacing w:after="0" w:line="197" w:lineRule="exact"/>
        <w:rPr>
          <w:rFonts w:ascii="Courier New" w:cs="Courier New" w:eastAsia="Courier New" w:hAnsi="Courier New"/>
          <w:sz w:val="17"/>
          <w:szCs w:val="17"/>
          <w:color w:val="auto"/>
        </w:rPr>
      </w:pPr>
    </w:p>
    <w:p>
      <w:pPr>
        <w:ind w:left="209" w:right="1839" w:hanging="209"/>
        <w:spacing w:after="0" w:line="252" w:lineRule="auto"/>
        <w:tabs>
          <w:tab w:leader="none" w:pos="209"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December 31, 2000, AT&amp;T Broadband Group transferred systems serving approximately 770,000 subscribers primarily located in Washington D.C., Florida, Georgia, Michigan, New Jersey and Pennsylvania to Comcast in exchange for systems serving approximately 700,000 subscribers primarily located in Sacramento, California, Longmont, Colorado, Florida, Georgia and Chicago, Illinois.</w:t>
      </w:r>
    </w:p>
    <w:p>
      <w:pPr>
        <w:spacing w:after="0" w:line="196" w:lineRule="exact"/>
        <w:rPr>
          <w:rFonts w:ascii="Courier New" w:cs="Courier New" w:eastAsia="Courier New" w:hAnsi="Courier New"/>
          <w:sz w:val="17"/>
          <w:szCs w:val="17"/>
          <w:color w:val="auto"/>
        </w:rPr>
      </w:pPr>
    </w:p>
    <w:p>
      <w:pPr>
        <w:ind w:left="209" w:right="2039" w:hanging="209"/>
        <w:spacing w:after="0" w:line="251" w:lineRule="auto"/>
        <w:tabs>
          <w:tab w:leader="none" w:pos="209"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2001, AT&amp;T Broadband Group transferred 98,400 subscribers to Insight Communications Company, Inc. In a subsequent transaction, AT&amp;T Broadband Group contributed 247,500 additional subscribers in the Illinois markets to Insight Midwest, a partnership owned 50% by AT&amp;T Broadband Group and 50% by Insight Communications, and Insight Communications also contributed additional subscribers to the partnership. The expanded joint venture continues to be managed by Insight Communications.</w:t>
      </w:r>
    </w:p>
    <w:p>
      <w:pPr>
        <w:spacing w:after="0" w:line="201" w:lineRule="exact"/>
        <w:rPr>
          <w:rFonts w:ascii="Courier New" w:cs="Courier New" w:eastAsia="Courier New" w:hAnsi="Courier New"/>
          <w:sz w:val="17"/>
          <w:szCs w:val="17"/>
          <w:color w:val="auto"/>
        </w:rPr>
      </w:pPr>
    </w:p>
    <w:p>
      <w:pPr>
        <w:ind w:left="209" w:right="1839" w:hanging="209"/>
        <w:spacing w:after="0" w:line="252" w:lineRule="auto"/>
        <w:tabs>
          <w:tab w:leader="none" w:pos="209"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2001, AT&amp;T Broadband Group acquired 358,000 subscribers in the Boston metropolitan area from Cablevision and transferred 130,000 New York subscribers, 44 million shares of AT&amp;T common stock valued at approximately $871 million and approximately $204 million in cash to Cablevision.</w:t>
      </w:r>
    </w:p>
    <w:p>
      <w:pPr>
        <w:spacing w:after="0" w:line="197" w:lineRule="exact"/>
        <w:rPr>
          <w:rFonts w:ascii="Courier New" w:cs="Courier New" w:eastAsia="Courier New" w:hAnsi="Courier New"/>
          <w:sz w:val="17"/>
          <w:szCs w:val="17"/>
          <w:color w:val="auto"/>
        </w:rPr>
      </w:pPr>
    </w:p>
    <w:p>
      <w:pPr>
        <w:ind w:left="209" w:right="1839" w:hanging="209"/>
        <w:spacing w:after="0" w:line="252" w:lineRule="auto"/>
        <w:tabs>
          <w:tab w:leader="none" w:pos="209"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January 5, 2001, AT&amp;T Broadband completed an exchange whereby AT&amp;T Broadband contributed approximately 82,000 subscribers in the Corpus Christi, TX area to Texas Cable Partners, L.P. (a partnership in which AT&amp;T Broadband holds a 50% partnership interest); and AT&amp;T Broadband received from Texas Cable Partners, L.P. approximately 97,000 subscribers in areas surrounding the Dallas metro, TX area.</w:t>
      </w:r>
    </w:p>
    <w:p>
      <w:pPr>
        <w:spacing w:after="0" w:line="196" w:lineRule="exact"/>
        <w:rPr>
          <w:rFonts w:ascii="Courier New" w:cs="Courier New" w:eastAsia="Courier New" w:hAnsi="Courier New"/>
          <w:sz w:val="17"/>
          <w:szCs w:val="17"/>
          <w:color w:val="auto"/>
        </w:rPr>
      </w:pPr>
    </w:p>
    <w:p>
      <w:pPr>
        <w:ind w:left="209" w:right="1839" w:hanging="209"/>
        <w:spacing w:after="0" w:line="252" w:lineRule="auto"/>
        <w:tabs>
          <w:tab w:leader="none" w:pos="209"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March 1, 2001, AT&amp;T Broadband completed an exchange with CableOne, Inc. whereby AT&amp;T Broadband received approximately 105,000 subscribers in the Santa Rosa/Modesta, CA area from CableOne, Inc.; and AT&amp;T Broadband transferred approximately 149,000 subscribers in ID, OR, and WA to CableOne, Inc.</w:t>
      </w:r>
    </w:p>
    <w:p>
      <w:pPr>
        <w:spacing w:after="0" w:line="197" w:lineRule="exact"/>
        <w:rPr>
          <w:rFonts w:ascii="Courier New" w:cs="Courier New" w:eastAsia="Courier New" w:hAnsi="Courier New"/>
          <w:sz w:val="17"/>
          <w:szCs w:val="17"/>
          <w:color w:val="auto"/>
        </w:rPr>
      </w:pPr>
    </w:p>
    <w:p>
      <w:pPr>
        <w:ind w:left="209" w:right="1939" w:hanging="209"/>
        <w:spacing w:after="0" w:line="252" w:lineRule="auto"/>
        <w:tabs>
          <w:tab w:leader="none" w:pos="209"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April 30, 2001, a subsidiary of AT&amp;T sold to Comcast certain cable systems attributed to AT&amp;T Broadband Group serving approximately 590,000 subscribers in Delaware, New Mexico, Maryland, New Jersey, Pennsylvania and Tennessee in exchange for 63.9 million shares of AT&amp;T common stock valued at $1,423 million.</w:t>
      </w:r>
    </w:p>
    <w:p>
      <w:pPr>
        <w:spacing w:after="0" w:line="197" w:lineRule="exact"/>
        <w:rPr>
          <w:rFonts w:ascii="Courier New" w:cs="Courier New" w:eastAsia="Courier New" w:hAnsi="Courier New"/>
          <w:sz w:val="17"/>
          <w:szCs w:val="17"/>
          <w:color w:val="auto"/>
        </w:rPr>
      </w:pPr>
    </w:p>
    <w:p>
      <w:pPr>
        <w:ind w:left="209" w:right="1839" w:hanging="209"/>
        <w:spacing w:after="0" w:line="253" w:lineRule="auto"/>
        <w:tabs>
          <w:tab w:leader="none" w:pos="209"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June 29, 2001, a subsidiary of AT&amp;T sold to MediaCom Communications Corporation cable systems attributed to AT&amp;T Broadband Group serving approximately 94,000 customers in Missouri for approximately $295 million in net cash.</w:t>
      </w:r>
    </w:p>
    <w:p>
      <w:pPr>
        <w:spacing w:after="0" w:line="195" w:lineRule="exact"/>
        <w:rPr>
          <w:rFonts w:ascii="Courier New" w:cs="Courier New" w:eastAsia="Courier New" w:hAnsi="Courier New"/>
          <w:sz w:val="17"/>
          <w:szCs w:val="17"/>
          <w:color w:val="auto"/>
        </w:rPr>
      </w:pPr>
    </w:p>
    <w:p>
      <w:pPr>
        <w:ind w:left="209" w:right="1839" w:hanging="209"/>
        <w:spacing w:after="0" w:line="252" w:lineRule="auto"/>
        <w:tabs>
          <w:tab w:leader="none" w:pos="209"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June 30, 2001, a subsidiary of AT&amp;T transferred to Charter cable systems attributed to AT&amp;T Broadband serving approximately 563,000 customers in Alabama, California, Illinois, Missouri and Nevada. AT&amp;T Broadband Group, through its attributed entities, received $1,497 million in net cash, $222 million in cash restricted for future acquisitions of cable systems, and a cable system in Florida serving 9,000 customers.</w:t>
      </w:r>
    </w:p>
    <w:p>
      <w:pPr>
        <w:spacing w:after="0" w:line="197" w:lineRule="exact"/>
        <w:rPr>
          <w:sz w:val="20"/>
          <w:szCs w:val="20"/>
          <w:color w:val="auto"/>
        </w:rPr>
      </w:pPr>
    </w:p>
    <w:p>
      <w:pPr>
        <w:ind w:left="3449"/>
        <w:spacing w:after="0"/>
        <w:rPr>
          <w:sz w:val="20"/>
          <w:szCs w:val="20"/>
          <w:color w:val="auto"/>
        </w:rPr>
      </w:pPr>
      <w:r>
        <w:rPr>
          <w:rFonts w:ascii="Courier New" w:cs="Courier New" w:eastAsia="Courier New" w:hAnsi="Courier New"/>
          <w:sz w:val="17"/>
          <w:szCs w:val="17"/>
          <w:color w:val="auto"/>
        </w:rPr>
        <w:t>VII-7</w:t>
      </w:r>
    </w:p>
    <w:p>
      <w:pPr>
        <w:sectPr>
          <w:pgSz w:w="11900" w:h="16838" w:orient="portrait"/>
          <w:cols w:equalWidth="0" w:num="1">
            <w:col w:w="9688"/>
          </w:cols>
          <w:pgMar w:left="771" w:top="719" w:right="1440" w:bottom="1440" w:gutter="0" w:footer="0" w:header="0"/>
        </w:sectPr>
      </w:pPr>
    </w:p>
    <w:bookmarkStart w:id="209" w:name="page210"/>
    <w:bookmarkEnd w:id="209"/>
    <w:p>
      <w:pPr>
        <w:ind w:left="740" w:right="1939" w:hanging="209"/>
        <w:spacing w:after="0" w:line="252" w:lineRule="auto"/>
        <w:tabs>
          <w:tab w:leader="none" w:pos="740"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June 30, 2001, AT&amp;T, together with certain subsidiaries attributed to AT&amp;T Broadband Group transferred its 99.75% interest in an entity owning the Baltimore, Maryland cable television system, serving approximately 115,000 customers, to Comcast for approximately $510 million.</w:t>
      </w:r>
    </w:p>
    <w:p>
      <w:pPr>
        <w:spacing w:after="0" w:line="197"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July 18, 2001, a subsidiary of AT&amp;T sold to MediaCom cable systems attributed to AT&amp;T Broadband Group serving approximately 710,000 customers in Georgia, Iowa and Illinois for approximately $1,724 million in net cash.</w:t>
      </w:r>
    </w:p>
    <w:p>
      <w:pPr>
        <w:spacing w:after="0" w:line="195" w:lineRule="exact"/>
        <w:rPr>
          <w:rFonts w:ascii="Courier New" w:cs="Courier New" w:eastAsia="Courier New" w:hAnsi="Courier New"/>
          <w:sz w:val="17"/>
          <w:szCs w:val="17"/>
          <w:color w:val="auto"/>
        </w:rPr>
      </w:pPr>
    </w:p>
    <w:p>
      <w:pPr>
        <w:ind w:left="740" w:right="1939" w:hanging="209"/>
        <w:spacing w:after="0" w:line="252" w:lineRule="auto"/>
        <w:tabs>
          <w:tab w:leader="none" w:pos="740"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October 25, 2001, a subsidiary of AT&amp;T and Universal Cable Communications, Inc. (also known as Classic Cable) signed a definitive agreement and simultaneously closed a transaction in which cable systems located in the Town of Breckenridge, Colorado and unincorporated Summit County, Colorado serving approximately 4,400 customers were sold to the subsidiary of AT&amp;T for approximately $16.3 million.</w:t>
      </w:r>
    </w:p>
    <w:p>
      <w:pPr>
        <w:spacing w:after="0" w:line="196"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17, 2001, a subsidiary of AT&amp;T and Adelphia closed a transaction in which certain cable systems attributable to AT&amp;T Broadband Group serving approximately 128,000 customers in central Pennsylvania and Ohio were sold to Adelphia for approximately $245 million in cash and Adelphia Class A Common stock valued at approximately $73 million.</w:t>
      </w:r>
    </w:p>
    <w:p>
      <w:pPr>
        <w:spacing w:after="0" w:line="197"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19, 2001, a subsidiary of AT&amp;T and USA Media Group LLC closed a transaction whereby cable systems located in Half Moon Bay, California and unincorporated San Mateo County, California serving approximately 7,400 customers were sold to the subsidiary of AT&amp;T for approximately $23.2 million.</w:t>
      </w:r>
    </w:p>
    <w:p>
      <w:pPr>
        <w:spacing w:after="0" w:line="197" w:lineRule="exact"/>
        <w:rPr>
          <w:rFonts w:ascii="Courier New" w:cs="Courier New" w:eastAsia="Courier New" w:hAnsi="Courier New"/>
          <w:sz w:val="17"/>
          <w:szCs w:val="17"/>
          <w:color w:val="auto"/>
        </w:rPr>
      </w:pPr>
    </w:p>
    <w:p>
      <w:pPr>
        <w:ind w:left="740" w:right="2139" w:hanging="209"/>
        <w:spacing w:after="0" w:line="252" w:lineRule="auto"/>
        <w:tabs>
          <w:tab w:leader="none" w:pos="740"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20, 2001, a subsidiary of AT&amp;T and Northland Cable Television, Inc. closed a transaction whereby cable systems located in Bainbridge Island, Washington and unincorporated Kitsap County, Washington serving approximately 6,500 customers were sold to the subsidiary of AT&amp;T for approximately $19.7 million.</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Total managed basic service customers declined between 1997 and 1998 as a result of certain contribution transactions entered into in 1998. In the most significant of these transactions, on March 4, 1998, AT&amp;T Broadband Group contributed to Cablevision certain of its cable television systems serving approximately 830,000 customers in exchange for approximately 48.9 million newly issued Cablevision Class A common shares and the assumption of indebtedness.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addition to the Cablevision transaction discussed in the paragraph above, during 1998 AT&amp;T Broadband Group also completed eight transactions whereby AT&amp;T Broadband Group contributed cable television systems serving in the aggregate approximately 1,924,000 customers to eight separate joint ventures in exchange for non-controlling ownership interests in each of the joint ventures, and the assumption and repayment by these joint ventures of indebtedness.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 AND MARKETING</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Broadband Group's marketing programs and campaigns offer a variety of services packaged and tailored to its markets. AT&amp;T Broadband Group markets its services through promotional campaigns and local media and newspaper advertising, through telemarketing, direct mail advertising, online selling and in person selling. In addition, AT&amp;T Broadband Group reserves a portion of its inventory of locally inserted cable television advertising to market its services.</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PROGRAMMING SUPPLIERS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Group has various contracts to obtain basic and premium programming from program suppliers whose compensation is typically based on a fixed fee per customer or a percentage of its gross receipts for the particular service. AT&amp;T Broadband Group has entered into long-term agreements with several programming suppliers, including ABC/Disney, AOL Time Warner, CBS/Viacom, NBC, News Corp. and Starz! Encore. Generally these agreements provide for fees based on the number of subscribers. However, certain of these agreements provide for a flat fee or guaranteed payment obligation</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VII-8</w:t>
      </w:r>
    </w:p>
    <w:p>
      <w:pPr>
        <w:sectPr>
          <w:pgSz w:w="11900" w:h="16838" w:orient="portrait"/>
          <w:cols w:equalWidth="0" w:num="1">
            <w:col w:w="10219"/>
          </w:cols>
          <w:pgMar w:left="240" w:top="719" w:right="1440" w:bottom="1062" w:gutter="0" w:footer="0" w:header="0"/>
        </w:sectPr>
      </w:pPr>
    </w:p>
    <w:bookmarkStart w:id="210" w:name="page211"/>
    <w:bookmarkEnd w:id="210"/>
    <w:p>
      <w:pPr>
        <w:ind w:right="1939"/>
        <w:spacing w:after="0" w:line="253" w:lineRule="auto"/>
        <w:rPr>
          <w:sz w:val="20"/>
          <w:szCs w:val="20"/>
          <w:color w:val="auto"/>
        </w:rPr>
      </w:pPr>
      <w:r>
        <w:rPr>
          <w:rFonts w:ascii="Courier New" w:cs="Courier New" w:eastAsia="Courier New" w:hAnsi="Courier New"/>
          <w:sz w:val="17"/>
          <w:szCs w:val="17"/>
          <w:color w:val="auto"/>
        </w:rPr>
        <w:t>regardless of subscriber levels. AT&amp;T Broadband Group's programming contracts are generally for a fixed period of time and are subject to negotiated renewal. Some program suppliers provide volume discount pricing structures or offer marketing support to AT&amp;T Broadband Group.</w:t>
      </w:r>
    </w:p>
    <w:p>
      <w:pPr>
        <w:spacing w:after="0" w:line="195"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AT&amp;T Broadband Group's programming costs have increased substantially in recent years due to additional programming being provided to its customers, increased costs to produce or purchase programming, inflationary increases and other factors affecting the cable television industry.</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Broadband Group also has various retransmission consent arrangements with commercial broadcast stations, which expire at various times over the next ten years, with a significant portion expiring prior to December 31, 2002. None of these consent arrangements requires payment of fees for carriage. However, AT&amp;T Broadband Group does provide non-cash consideration, including entering into agreements with certain broadcast networks to carry satellite delivered cable programming, which is associated with the network carried by such stations.</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AGREEMENTS WITH LIBERTY MEDIA</w:t>
      </w:r>
    </w:p>
    <w:p>
      <w:pPr>
        <w:spacing w:after="0" w:line="210" w:lineRule="exact"/>
        <w:rPr>
          <w:sz w:val="20"/>
          <w:szCs w:val="20"/>
          <w:color w:val="auto"/>
        </w:rPr>
      </w:pPr>
    </w:p>
    <w:p>
      <w:pPr>
        <w:jc w:val="both"/>
        <w:ind w:right="1839" w:firstLine="524"/>
        <w:spacing w:after="0" w:line="254" w:lineRule="auto"/>
        <w:rPr>
          <w:sz w:val="20"/>
          <w:szCs w:val="20"/>
          <w:color w:val="auto"/>
        </w:rPr>
      </w:pPr>
      <w:r>
        <w:rPr>
          <w:rFonts w:ascii="Courier New" w:cs="Courier New" w:eastAsia="Courier New" w:hAnsi="Courier New"/>
          <w:sz w:val="17"/>
          <w:szCs w:val="17"/>
          <w:color w:val="auto"/>
        </w:rPr>
        <w:t>AT&amp;T Broadband Group is a party to various arrangements with Liberty Media. Effective August 2001, Liberty Media was split off from AT&amp;T and is no longer an affiliate of AT&amp;T Broadband Group.</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Preferred Vendor Status. AT&amp;T Broadband Group has granted Liberty Media preferred vendor status with respect to access, timing and placement of new programming services. This means that AT&amp;T Broadband Group must use its reasonable efforts to provide digital basic distribution of new services created by Liberty Media and its affiliates, on mutual "most favored nation" terms and conditions and otherwise consistent with industry practices, subject to the programming meeting standards that are consistent with the type, quality and character of AT&amp;T Broadband Group's cable services as they may evolve over time.</w:t>
      </w:r>
    </w:p>
    <w:p>
      <w:pPr>
        <w:spacing w:after="0" w:line="201"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Extension of Term of Affiliation Agreements. AT&amp;T Broadband Group has agreed to extend any existing affiliation agreement of Liberty Media and its affiliates that expires on or before March 9, 2004, to a date not before March 9, 2009, if most favored nation terms are offered and the arrangements are consistent with industry practice.</w:t>
      </w:r>
    </w:p>
    <w:p>
      <w:pPr>
        <w:spacing w:after="0" w:line="19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Interactive Video Services. AT&amp;T Broadband Group has agreed to enter into arrangements with Liberty Media for interactive video services under one of the following two arrangements, which will be at the election of AT&amp;T Broadband Group:</w:t>
      </w:r>
    </w:p>
    <w:p>
      <w:pPr>
        <w:spacing w:after="0" w:line="195" w:lineRule="exact"/>
        <w:rPr>
          <w:sz w:val="20"/>
          <w:szCs w:val="20"/>
          <w:color w:val="auto"/>
        </w:rPr>
      </w:pPr>
    </w:p>
    <w:p>
      <w:pPr>
        <w:ind w:left="740" w:right="1839" w:hanging="209"/>
        <w:spacing w:after="0" w:line="251" w:lineRule="auto"/>
        <w:tabs>
          <w:tab w:leader="none" w:pos="740" w:val="left"/>
        </w:tabs>
        <w:numPr>
          <w:ilvl w:val="0"/>
          <w:numId w:val="2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a five-year arrangement, renewable for an additional four-year period on then-current most favored nation terms, AT&amp;T Broadband Group will make available to Liberty Media capacity equal to one 6 MHz channel (in digital form and including interactive enablement, first screen access and hot links to relevant web sites -- all to the extent implemented by AT&amp;T Broadband Group cable systems) to be used for interactive, category-specific video channels that will provide entertainment, information and merchandising programming. The foregoing, however, will not compel AT&amp;T Broadband Group to disrupt other programming or other channel arrangements. The interactive video services are to be accessible through advanced set-top boxes deployed by AT&amp;T Broadband Group, except that, unless specifically addressed in a mutually acceptable manner, AT&amp;T Broadband Group will have no obligation to deploy set-top boxes of a type, design or cost materially different from that it would otherwise have deployed. The content categories may include, among others, music, travel, health, sports, books, personal finance, automotive, home video sales and games.</w:t>
      </w:r>
    </w:p>
    <w:p>
      <w:pPr>
        <w:spacing w:after="0" w:line="201" w:lineRule="exact"/>
        <w:rPr>
          <w:rFonts w:ascii="Courier New" w:cs="Courier New" w:eastAsia="Courier New" w:hAnsi="Courier New"/>
          <w:sz w:val="17"/>
          <w:szCs w:val="17"/>
          <w:color w:val="auto"/>
        </w:rPr>
      </w:pPr>
    </w:p>
    <w:p>
      <w:pPr>
        <w:ind w:left="740" w:right="1939" w:hanging="209"/>
        <w:spacing w:after="0" w:line="251" w:lineRule="auto"/>
        <w:tabs>
          <w:tab w:leader="none" w:pos="740" w:val="left"/>
        </w:tabs>
        <w:numPr>
          <w:ilvl w:val="0"/>
          <w:numId w:val="2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Group may enter into one or more mutually agreeable ventures with Liberty Media for interactive, category-specific video channels that will provide entertainment, information and merchandising programming. Each venture will be structured as a 50/50 venture for a reasonable commercial term, and will provide that Liberty Media and AT&amp;T Broadband Group will not provide interactive services in the category(s) of interactive video services provided through the venture for the duration of such term other than the joint venture services in the applicable</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VII-9</w:t>
      </w:r>
    </w:p>
    <w:p>
      <w:pPr>
        <w:sectPr>
          <w:pgSz w:w="11900" w:h="16838" w:orient="portrait"/>
          <w:cols w:equalWidth="0" w:num="1">
            <w:col w:w="10219"/>
          </w:cols>
          <w:pgMar w:left="240" w:top="719" w:right="1440" w:bottom="659" w:gutter="0" w:footer="0" w:header="0"/>
        </w:sectPr>
      </w:pPr>
    </w:p>
    <w:bookmarkStart w:id="211" w:name="page212"/>
    <w:bookmarkEnd w:id="211"/>
    <w:p>
      <w:pPr>
        <w:ind w:left="740" w:right="1939"/>
        <w:spacing w:after="0" w:line="251" w:lineRule="auto"/>
        <w:rPr>
          <w:sz w:val="20"/>
          <w:szCs w:val="20"/>
          <w:color w:val="auto"/>
        </w:rPr>
      </w:pPr>
      <w:r>
        <w:rPr>
          <w:rFonts w:ascii="Courier New" w:cs="Courier New" w:eastAsia="Courier New" w:hAnsi="Courier New"/>
          <w:sz w:val="17"/>
          <w:szCs w:val="17"/>
          <w:color w:val="auto"/>
        </w:rPr>
        <w:t>categories. When the distribution of interactive video services occurs through a venture arrangement, AT&amp;T Broadband will share in the revenue and expense of the provision of the interactive services pro rata to its ownership interest in lieu of the commercial arrangements described in the preceding paragraph. At the third anniversary of the formulation of any such venture, AT&amp;T Broadband Group may elect to purchase Liberty Media's ownership interest in the venture at fair market value. Liberty Media and AT&amp;T Broadband Group have agreed to endeavor to make any such transaction tax efficient to Liberty Media.</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the date of this document, AT&amp;T Broadband Group has not entered into any further agreements with Liberty Media regarding the distribution of specific interactive television channels. As a result, the exact terms under which AT&amp;T Broadband Group may provide carriage of these channels has not been determined, and AT&amp;T Broadband Group has not made any elections between the alternative carriage arrangements described above. Although AT&amp;T Broadband Group will continue to endeavor to negotiate agreements with Liberty Media concerning distribution of interactive channels within the framework of the above arrangement, there can be no assurance that AT&amp;T Broadband Group will be able to conclude any such agreement on acceptable terms.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Affiliation Agreements. AT&amp;T Broadband Group is party to affiliation agreements pursuant to which it purchases programming from Liberty Media's subsidiaries and affiliates. Some of these agreements provide for penalties and charges in the event the supplier's programming is not carried on AT&amp;T Broadband Group's cable systems or not delivered to a contractually specified number of customers. Charges to AT&amp;T Broadband Group for such programming are generally based upon customary rates and often provide for payments to AT&amp;T Broadband Group by Liberty Media's subsidiaries and business affiliates for marketing support.</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July 1997, AT&amp;T Broadband Group's predecessor, TCI, entered into a 25-year affiliation term sheet with Starz Encore Group (formerly Encore Media Group) pursuant to which AT&amp;T Broadband Group may be obligated to pay monthly fixed amounts in exchange for unlimited access to Encore and Starz! programming. The commitment increases annually from $288 million in 2001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Starz Encore Group has requested payment from AT&amp;T Broadband Group of amounts it contends are AT&amp;T Broadband Group's proportionate share of Starz Encore Group's excess programming costs during the first quarter of 2001 (which amount, approximately $40 million, Starz Encore Group indicated it expects to represent the bulk of what it considers AT&amp;T Broadband Group's proportionate share of excess programming costs Starz Encore Group considers to be payable for the year 2001). Excess programming costs payable by AT&amp;T Broadband Group for the balance of 2001 and in future years are not presently estimable, and could be significantly larger or smaller than the amount requested for the first quarter of 2001. By letter dated May 29, 2001, AT&amp;T Broadband Group indicated that in its view the Starz Encore term sheet as a whole is unenforceable and reserved its right to terminate the term sheet. AT&amp;T Broadband Group indicated to Starz Encore Group that it would not pay the excess programming costs requested to date and disputed the enforceability of the excess programming costs pass through provisions of the term sheet, among other provisions.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ASSETS</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Joint Ventures. AT&amp;T Broadband Group possesses a number of investments in companies, joint ventures and partnerships, the most significant of which are Time Warner Entertainment, Insight Midwest and Texas Cable Partners.</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VII-10</w:t>
      </w:r>
    </w:p>
    <w:p>
      <w:pPr>
        <w:sectPr>
          <w:pgSz w:w="11900" w:h="16838" w:orient="portrait"/>
          <w:cols w:equalWidth="0" w:num="1">
            <w:col w:w="10219"/>
          </w:cols>
          <w:pgMar w:left="240" w:top="719" w:right="1440" w:bottom="1440" w:gutter="0" w:footer="0" w:header="0"/>
        </w:sectPr>
      </w:pPr>
    </w:p>
    <w:bookmarkStart w:id="212" w:name="page213"/>
    <w:bookmarkEnd w:id="212"/>
    <w:p>
      <w:pPr>
        <w:ind w:right="1839" w:firstLine="524"/>
        <w:spacing w:after="0" w:line="251" w:lineRule="auto"/>
        <w:rPr>
          <w:sz w:val="20"/>
          <w:szCs w:val="20"/>
          <w:color w:val="auto"/>
        </w:rPr>
      </w:pPr>
      <w:r>
        <w:rPr>
          <w:rFonts w:ascii="Courier New" w:cs="Courier New" w:eastAsia="Courier New" w:hAnsi="Courier New"/>
          <w:sz w:val="17"/>
          <w:szCs w:val="17"/>
          <w:color w:val="auto"/>
        </w:rPr>
        <w:t>Time Warner Entertainment. Time Warner Entertainment is a Delaware limited partnership that was formed in 1992 to own and operate substantially all of the business of Warner Bros., HBO and the cable television businesses owned and operated by Time Warner prior to that time. AT&amp;T Broadband Group's current interest in Time Warner Entertainment was acquired by AT&amp;T Broadband Group in connection with the MediaOne acquisition. Currently, AT&amp;T Broadband Group, through its wholly owned subsidiaries, owns limited partnership interests representing 25.51% of the pro rata priority (Series A) capital and residual equity capital of Time Warner Entertainment. The remaining 74.49% limited partnership interests in the Series A capital and residual capital of Time Warner Entertainment, as well as 100% of the junior priority (Series B) capital of Time Warner Entertainment, are held by subsidiaries of AOL Time Warner. AT&amp;T has an option, which we refer to as the "TWE option", to increase its Series A priority capital and residual capital interests of Time Warner Entertainment by up to 8.5% in certain events. Subsidiaries of AOL Time Warner act as the general partners of Time Warner Entertainment, and AT&amp;T is not involved in the management of the partnership or its business but has certain protective governance rights pertaining to certain limited significant matters relating to Time Warner Entertainment such as the dissolution or merger or voluntary bankruptcy of Time Warner Entertainment.</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February 28, 2001, AT&amp;T submitted a request to Time Warner Entertainment, pursuant to the Time Warner Entertainment partnership agreement, that Time Warner Entertainment reconstitute itself as a corporation and register for sale in an initial public offering an amount of partnership interests held by AT&amp;T Broadband Group (up to the full amount held by AT&amp;T Broadband Group) determined by an independent investment banking firm so as to provide sufficient trading liquidity and minimize any initial public offering discount. Under the Time Warner Entertainment partnership agreement, upon this request, AT&amp;T Broadband Group and Time Warner are to cause an independent investment banker to determine both such registrable amount of partnership interests and the price at which the registrable amount could be sold in a public offering. The partnership agreement provides that, upon determination of the registrable amount and the appraised value of the registrable amount, Time Warner Entertainment may elect not to register these interests, but instead to allow AT&amp;T Broadband Group the option to require that Time Warner Entertainment purchase the registrable amount at the appraised value, subject to certain adjustments. If AT&amp;T Broadband Group does put the registrable amount to Time Warner Entertainment under such circumstances, Time Warner Entertainment may call the remainder of AT&amp;T Broadband Group's interest in Time Warner Entertainment at a price described in the Time Warner Entertainment partnership agreement. If Time Warner Entertainment elects to register the interests, then Time Warner Entertainment must promptly use its best efforts to cause the partnership to be in a position to be reconstituted as a corporation and to effect an initial public offering. However, Time Warner Entertainment may have an option to purchase these interests immediately prior to the time the public offering would otherwise have been declared effective by the SEC at the proposed public offering price less underwriting fees and discounts if the proposed public offering price (as determined by the managing underwriter) is less than 92.5% of the appraised value. If, at the conclusion of this process, AT&amp;T Broadband Group has any remaining interests in Time Warner Entertainment, AT&amp;T Broadband Group will have the right to request registration of those interests for public sale after July 1, 2002 (if no public offering of Time Warner Entertainment shall have taken place, or 18 months after a public offering pursuant to AT&amp;T Broadband's request).</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On February 28, 2001, AT&amp;T Broadband Group also commenced the process of obtaining an appraisal of Time Warner Entertainment in order to enable it to exercise the Time Warner Entertainment option. At that time, AT&amp;T Broadband Group agreed to suspend the registration rights process and the Time Warner Entertainment option appraisal process until March 15, 2001. Since then, AT&amp;T Broadband Group and AOL Time Warner have been engaged in discussions regarding the retention of a mutually satisfactory investment banker to perform the appraisals of Time Warner Entertainment under the Time Warner Entertainment partnership agreement and the Time Warner Entertainment option.</w:t>
      </w:r>
    </w:p>
    <w:p>
      <w:pPr>
        <w:spacing w:after="0" w:line="201"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If the procedures described above do not result in the disposition by AT&amp;T Broadband Group of its entire interest in Time Warner Entertainment, then under the terms of the Time Warner Entertainment</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VII-11</w:t>
      </w:r>
    </w:p>
    <w:p>
      <w:pPr>
        <w:sectPr>
          <w:pgSz w:w="11900" w:h="16838" w:orient="portrait"/>
          <w:cols w:equalWidth="0" w:num="1">
            <w:col w:w="10219"/>
          </w:cols>
          <w:pgMar w:left="240" w:top="719" w:right="1440" w:bottom="1440" w:gutter="0" w:footer="0" w:header="0"/>
        </w:sectPr>
      </w:pPr>
    </w:p>
    <w:bookmarkStart w:id="213" w:name="page214"/>
    <w:bookmarkEnd w:id="213"/>
    <w:p>
      <w:pPr>
        <w:jc w:val="both"/>
        <w:ind w:right="2039"/>
        <w:spacing w:after="0" w:line="254" w:lineRule="auto"/>
        <w:rPr>
          <w:sz w:val="20"/>
          <w:szCs w:val="20"/>
          <w:color w:val="auto"/>
        </w:rPr>
      </w:pPr>
      <w:r>
        <w:rPr>
          <w:rFonts w:ascii="Courier New" w:cs="Courier New" w:eastAsia="Courier New" w:hAnsi="Courier New"/>
          <w:sz w:val="17"/>
          <w:szCs w:val="17"/>
          <w:color w:val="auto"/>
        </w:rPr>
        <w:t>partnership agreement, AT&amp;T may be required to offer Time Warner Entertainment the opportunity to repurchase the remaining interest in the partnership before the AT&amp;T Comcast Transaction may be completed in its current form.</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Insight Midwest, L.P. Insight Midwest is a Delaware limited partnership formed in 1999 to own and operate certain cable systems in Indiana. AT&amp;T Broadband Group holds a 50% limited partnership interest and Insight holds a 50% general partnership interest in Insight Midwest. The business of the partnership is managed by Insight Communications, as the general partner, although certain matters also require the approval of AT&amp;T Broadband Group. Insight Midwest currently has approximately 1.2 million cable video subscribers.</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Texas Cable Partners, L.P. Texas Cable Partners is a Delaware limited partnership formed in December 1998 to own and operate certain cable systems in Texas. The partnership is owned 50% by AT&amp;T Broadband Group and 50% by the Time Warner Entertainment-Advance/Newhouse Partnership, approximately two-thirds of which is owned by Time Warner Entertainment. The general manager of Texas Cable Partners is Time Warner Cable, a division of Time Warner Entertainment, although certain governance matters require the approval of the management committee on which the Time Warner Entertainment- Advance/Newhouse Partnership and AT&amp;T Broadband Group have equal representation. Texas Cable Partners currently has approximately 1.1 million cable video subscribers.</w:t>
      </w:r>
    </w:p>
    <w:p>
      <w:pPr>
        <w:spacing w:after="0" w:line="201"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Other Investments. AT&amp;T Broadband Group has interests in a number of different joint ventures and companies.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Cable television competes for customers in local markets with other providers of entertainment, news and information. The competitors in these markets include direct broadcast satellite service, broadcast television and radio, satellite master antenna television systems, wireless cable providers, newspapers, magazines and other printed material, motion picture theatres, video cassettes, DVDs and other sources of information and entertainment, including directly competitive cable television operations and ISPs. The Cable Television Consumer Protection and Competition Act of 1992, or the 1992 Cable Act, and the Telecommunications Act are designed to increase competition in the cable television industry.</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Additionally, AT&amp;T Broadband Group faces significant competition from both local telephone companies and new providers of services such as Internet service and telephone services. Providers of competitive high-speed data offerings include fixed wireless companies, direct broadcast satellite companies and DSL providers.</w:t>
      </w:r>
    </w:p>
    <w:p>
      <w:pPr>
        <w:spacing w:after="0" w:line="396"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There are alternative methods of distributing the same or similar services offered by cable television systems. Further, these technologies have been encouraged by the U.S. Congress and the FCC to offer services in direct competition with existing cable systems.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Direct Broadcast Satellite. Direct broadcast satellite has emerged as significant competition to cable systems. The direct broadcast satellite industry has grown rapidly over the last several years, far exceeding the growth rate of the cable television industry, and now serves approximately 17.2 million subscribers nationwide. Direct broadcast satellite service allows a subscriber to receive video (as well as non-video) services directly via satellite using a relatively small dish antenna. Moreover, video compression technology allows direct broadcast satellite providers to offer more than 400 digital channels, thereby surpassing the typical analog or hybrid analog-digital cable system. Direct broadcast satellite companies historically were prohibited from retransmitting popular local broadcast programming, but a change to the existing copyright laws in November 1999 eliminated this legal impediment. Direct broadcast satellite companies now need to secure retransmission consent from the popular broadcast stations they wish to carry, and now face mandatory carriage obligations of less popular broadcast stations as of January 2002. These new "must carry" rules require satellite companies to carry all local broadcast stations in a local market where they carry any such station pursuant to a new compulsory copyright license. In response to the legislation, DirecTV, Inc. and EchoStar Communications Corporation already have begun carrying the major network</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VII-12</w:t>
      </w:r>
    </w:p>
    <w:p>
      <w:pPr>
        <w:sectPr>
          <w:pgSz w:w="11900" w:h="16838" w:orient="portrait"/>
          <w:cols w:equalWidth="0" w:num="1">
            <w:col w:w="10219"/>
          </w:cols>
          <w:pgMar w:left="240" w:top="720" w:right="1440" w:bottom="1061" w:gutter="0" w:footer="0" w:header="0"/>
        </w:sectPr>
      </w:pPr>
    </w:p>
    <w:bookmarkStart w:id="214" w:name="page215"/>
    <w:bookmarkEnd w:id="214"/>
    <w:p>
      <w:pPr>
        <w:ind w:right="1839"/>
        <w:spacing w:after="0" w:line="251" w:lineRule="auto"/>
        <w:rPr>
          <w:sz w:val="20"/>
          <w:szCs w:val="20"/>
          <w:color w:val="auto"/>
        </w:rPr>
      </w:pPr>
      <w:r>
        <w:rPr>
          <w:rFonts w:ascii="Courier New" w:cs="Courier New" w:eastAsia="Courier New" w:hAnsi="Courier New"/>
          <w:sz w:val="17"/>
          <w:szCs w:val="17"/>
          <w:color w:val="auto"/>
        </w:rPr>
        <w:t>stations in the nation's top television markets. The direct broadcast satellite industry initiated a judicial challenge to the statutory requirement mandating carriage of less popular broadcast stations. This lawsuit alleges that the must-carry requirement (similar to the requirement already applicable to cable systems, and discussed under "-- Cable Regulation and Legislation -- Must Carry/Retransmission Consent") is unconstitutional. The Court of Appeals for the Fourth Circuit recently upheld the constitutionality of these rules. Direct broadcast satellite companies also have begun offering Internet services. EchoStar began providing high-speed Internet service in late 2000, and DirecTV, which has partnered with AOL Time Warner, reports that it will begin providing its own version of high-speed Internet service shortly. Further, in October 2001 EchoStar entered into an agreement to acquire DirecTV. These developments will provide significant new competition to AT&amp;T Broadband Group's offering of video programming and high-speed cable Internet service.</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Broadcast Television. Cable television has long competed with broadcast television, which consists of television signals that the viewer is able to receive without charge using an "off-air" antenna. The extent of this competition (which is for both the acquisition and delivery of programming, as well as for advertising) is dependent upon the quality and quantity of broadcast signals available through off-air reception compared to the services provided by the local cable system. The recent licensing of digital spectrum by the FCC will provide incumbent television licensees with the ability to deliver high definition television pictures and multiple digital-quality program streams, as well as advanced digital services, such as subscription video.</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DSL. The deployment of DSL technology allows the provision of Internet services to subscribers at data transmission speeds greater than available over conventional telephone lines. In addition, DSL providers offer voice services including via offerings that divide up a phone line into several voice channels and an always-on data line. All significant local telephone companies and certain other telecommunications companies have launched DSL service. The FCC has a policy of encouraging the deployment of DSL and similar technologies, both by incumbent telephone companies and new, competing telephone companies. The FCC's regulations in this area are subject to change. The development and deployment of DSL technology by local telephone companies provides substantial competition to AT&amp;T Broadband Group's high-speed cable Internet services and cable telephone services.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Private Cable. AT&amp;T Broadband Group also competes with Satellite Master Antenna Television systems, which provide multichannel program services and high-speed Internet services directly to hotel, motel, apartment, condominium and similar multi-unit complexes within a cable television system's franchise area, generally free of any regulation by federal, state and local government authorities and sometimes on an exclusive basis. FCC rules restrict the ability of cable operators to maintain ownership of cable wiring inside multi-unit buildings, thereby making it less expensive for Satellite Master Antenna Television competitors (as well as other competitors that are increasingly targeting multi-unit building subscribers such as direct broadcast satellite) to reach those customers. The FCC also has ruled that private cable operators can lease video distribution capacity from local telephone companies and, thereby, distribute cable programming services over the public rights-of-way without obtaining a franchise. In 1999, both the Fifth and Seventh Circuit Courts of Appeal upheld this FCC policy. This could provide a significant regulatory advantage for private cable operators in the future. The 1992 Cable Act ensures that Satellite Master Antenna Television Systems (as well as other providers of multichannel video programming to end users) will have access to most of the significant cable television programming services at nondiscriminatory rates.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Cable System Overbuilds. Cable operators may compete with other cable operators or new entities seeking franchises for competing cable television systems at any time during the terms of existing franchises. The 1992 Cable Act promotes the granting of competitive franchises and AT&amp;T Broadband Group systems operate under nonexclusive franchises. Several years ago, there was a significant increase in the number of cities that constructed their own cable television systems in a manner similar to city-provided utility services. These systems typically compete directly with the existing cable operator without the burdens of franchise fees or other local regulation. The total number of municipal overbuild cable systems remains relatively small. Additionally, several years ago there was a significant increase in</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VII-13</w:t>
      </w:r>
    </w:p>
    <w:p>
      <w:pPr>
        <w:sectPr>
          <w:pgSz w:w="11900" w:h="16838" w:orient="portrait"/>
          <w:cols w:equalWidth="0" w:num="1">
            <w:col w:w="10219"/>
          </w:cols>
          <w:pgMar w:left="240" w:top="719" w:right="1440" w:bottom="1061" w:gutter="0" w:footer="0" w:header="0"/>
        </w:sectPr>
      </w:pPr>
    </w:p>
    <w:bookmarkStart w:id="215" w:name="page216"/>
    <w:bookmarkEnd w:id="215"/>
    <w:p>
      <w:pPr>
        <w:ind w:right="1839"/>
        <w:spacing w:after="0" w:line="252" w:lineRule="auto"/>
        <w:rPr>
          <w:sz w:val="20"/>
          <w:szCs w:val="20"/>
          <w:color w:val="auto"/>
        </w:rPr>
      </w:pPr>
      <w:r>
        <w:rPr>
          <w:rFonts w:ascii="Courier New" w:cs="Courier New" w:eastAsia="Courier New" w:hAnsi="Courier New"/>
          <w:sz w:val="17"/>
          <w:szCs w:val="17"/>
          <w:color w:val="auto"/>
        </w:rPr>
        <w:t>investments in private company overbuilders of cable systems. If this trend were to resume, AT&amp;T Broadband Group cable systems could face an increasing number of markets in which a second cable system will be competing directly with AT&amp;T Broadband Group system, providing video, audio, interactive television, high-speed Internet and telephone services. To date, overbuilds have not had a material impact on AT&amp;T Broadband Group's results.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Telephone Company Entry. The Telecommunications Act eliminated the statutory and regulatory restrictions that prevented local telephone companies from competing with cable operators in the provision of video services. The Telecommunications Act allows local telephone companies, including regional phone companies, to compete with cable television operators both inside and outside their telephone service areas. AT&amp;T Broadband Group expects that it could face competition from telephone companies for the provision of video services, whether it is through wireless cable or through upgraded telephone networks. AT&amp;T Broadband Group assumes that all major telephone companies already have entered or may enter the business of providing video services. Although enthusiasm on the part of local exchange carriers appears to be waning, AT&amp;T Broadband Group is aware that telephone companies have already built, or are in the process of building, competing cable system facilities in a number of AT&amp;T Broadband Group's franchise areas. As AT&amp;T Broadband Group continues to expand its offerings to include Internet and other telecommunications services, it will be subject to competition from the local telephone companies and other telecommunications providers. The telecommunications industry is highly competitive, and includes competitors with substantial financial and personnel resources, brand name recognition and long-standing relationships with regulatory authorities.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Utility Company Entry. The Telecommunications Act eliminated certain U.S. federal restrictions on utility holding companies and thus frees all utility companies to provide cable television services. AT&amp;T Broadband Group expects this could result in another source of competition in the delivery of video, telephone and high-speed Internet services.</w:t>
      </w:r>
    </w:p>
    <w:p>
      <w:pPr>
        <w:spacing w:after="0" w:line="197"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MMDS. Another alternative method of distribution is multichannel, multi-point distribution systems, or MMDS, which deliver programming services over microwave channels to customers equipped with special antennas. MMDSs are less capital intensive, are not required to obtain local franchises or pay franchise fees, and are subject to fewer regulatory requirements than cable television systems.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Local Voice. AT&amp;T Broadband Group's cable telephone service competes against incumbent local exchange carriers and competitive local exchange carriers in the provision of local voice services. Moreover, many of these carriers are expanding their offerings to include Internet service. The incumbent local exchange carriers have very substantial capital and other resources, longstanding customer relationships and extensive existing facilities and network rights-of-way. A few competitive local exchange carriers also have existing local networks and significant financial resources.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Fixed Wireless. Fixed wireless technologies compete with AT&amp;T Broadband Group in the provision of Internet and voice services. Fixed wireless providers serve the same functions as a wireline provider, by interconnecting private networks, bypassing a local exchange carrier or connecting to the Internet. The technology involved in point-to-point microwave connections has advanced, allowing the use of higher frequencies, and thus smaller antennas, resulting in lower costs and easier-to-deploy systems for private use and encouraging the use of such technology by carriers. Fixed wireless systems are designed to emulate cable connections, and they use the same interfaces and protocols, such as T1, frame relay, Ethernet and ATM. Fixed wireless systems also match the service parameters of cable systems, and consequently any application that operates over a cable should be able to operate over a fixed wireless system.</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Resellers. Among AT&amp;T Broadband Group's competitors in the areas of voice and Internet services are resellers. Resellers typically are low-cost aggregators that serve price-conscious market segments and value-added resellers that target customers with special needs.</w:t>
      </w:r>
    </w:p>
    <w:p>
      <w:pPr>
        <w:spacing w:after="0" w:line="195"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IP Telephone. IP telephone providers compete directly against AT&amp;T Broadband Group's cable telephone service. IP telephone providers derive most of their revenues from per-minute charges, but they also offer other services including voicemail and IP telephone equipment. The leading IP telephone</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VII-14</w:t>
      </w:r>
    </w:p>
    <w:p>
      <w:pPr>
        <w:sectPr>
          <w:pgSz w:w="11900" w:h="16838" w:orient="portrait"/>
          <w:cols w:equalWidth="0" w:num="1">
            <w:col w:w="10219"/>
          </w:cols>
          <w:pgMar w:left="240" w:top="719" w:right="1440" w:bottom="659" w:gutter="0" w:footer="0" w:header="0"/>
        </w:sectPr>
      </w:pPr>
    </w:p>
    <w:bookmarkStart w:id="216" w:name="page217"/>
    <w:bookmarkEnd w:id="216"/>
    <w:p>
      <w:pPr>
        <w:ind w:right="1939"/>
        <w:spacing w:after="0" w:line="252" w:lineRule="auto"/>
        <w:rPr>
          <w:sz w:val="20"/>
          <w:szCs w:val="20"/>
          <w:color w:val="auto"/>
        </w:rPr>
      </w:pPr>
      <w:r>
        <w:rPr>
          <w:rFonts w:ascii="Courier New" w:cs="Courier New" w:eastAsia="Courier New" w:hAnsi="Courier New"/>
          <w:sz w:val="17"/>
          <w:szCs w:val="17"/>
          <w:color w:val="auto"/>
        </w:rPr>
        <w:t>company is Net2Phone, Inc., which derived approximately 85% of its 2000 revenue from per-minute charges, and approximately 34% of its 2000 revenue from international customers. Although the offerings of IP telephone providers are limited mostly to voice services, these companies seek to expand to other areas of the telecommunications industry, and may succeed in doing so in the future.</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General. In addition to competition for customers, the cable television industry competes with broadcast television, radio, print media and other sources of information and entertainment for advertising revenue. As the cable television industry has developed additional programming, its advertising revenue has increased. Cable operators sell advertising spots primarily to local and regional advertisers.</w:t>
      </w:r>
    </w:p>
    <w:p>
      <w:pPr>
        <w:spacing w:after="0" w:line="197"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AT&amp;T Broadband Group has no basis upon which to estimate the number of cable television companies and other entities with which it competes or may potentially compete. The full extent to which other media or home delivery services will compete with cable television systems may not be known for some time, and there can be no assurance that existing, proposed or as yet undeveloped technologies will not become dominant in the future.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 September 30, 2001, AT&amp;T Broadband Group employed approximately 41,000 individuals in its operations, virtually all of whom are located in the United States. Approximately 2,000 of these employees are represented by the Communications Workers of America or the International Brotherhood of Electrical Workers, both of which are affiliated with the AFL-CIO.</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PROCEEDINGS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normal course of business, AT&amp;T Broadband Group is subject to proceedings, lawsuits and other claims, including proceedings under government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September 30, 2001. While these matters could affect operating results of any one quarter when resolved in future periods, it is management's opinion that after final disposition, any monetary liability or financial impact to AT&amp;T Broadband Group beyond that provided for at year-end would not be material to AT&amp;T Broadband Group's annual consolidated financial position or results of operations.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Home Corporation was formerly a provider of broadband internet access to various cable companies, including AT&amp;T Broadband and Comcast, and of internet portal services. Through a subsidiary, AT&amp;T owns approximately 23% of the outstanding common stock and 74% of the voting power of the outstanding common stock of At Home Corporation. Until shortly after At Home's bankruptcy filing, AT&amp;T appointed a majority of At Home's directors and it now appoints none. In addition, AT&amp;T has had various commercial relationships with At Home over time, principally as a provider of internet backbone services to At Home, and as party to a master distribution agreement pursuant to which At Home provided broadband internet access to customers of AT&amp;T Broadband, Comcast and Cox Communications, Inc. On September 28, 2001, At Home and its U.S. subsidiaries filed for protection under chapter 11 of the United States Bankruptcy Code in the United States Bankruptcy Court for the Northern District of California after having earlier that day entered into an asset purchase agreement with AT&amp;T under which, subject to various conditions, AT&amp;T would have acquired the internet access business of At Home through the bankruptcy proceedings.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November 30, 2001, the bankruptcy court granted a motion made by At Home for authority to reject the master distribution agreement and other similar agreements with other customers of At Home. Early in the morning of December 1, 2001, At Home terminated its internet access service to AT&amp;T Broadband customers and, in response, AT&amp;T Broadband transitioned its customers to a proprietary broadband access service. Subsequently, AT&amp;T terminated the asset purchase agreement with At Home due to the termination of service and other breaches of the agreement by At Home. At Home has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VII-15</w:t>
      </w:r>
    </w:p>
    <w:p>
      <w:pPr>
        <w:sectPr>
          <w:pgSz w:w="11900" w:h="16838" w:orient="portrait"/>
          <w:cols w:equalWidth="0" w:num="1">
            <w:col w:w="10219"/>
          </w:cols>
          <w:pgMar w:left="240" w:top="719" w:right="1440" w:bottom="1440" w:gutter="0" w:footer="0" w:header="0"/>
        </w:sectPr>
      </w:pPr>
    </w:p>
    <w:bookmarkStart w:id="217" w:name="page218"/>
    <w:bookmarkEnd w:id="217"/>
    <w:p>
      <w:pPr>
        <w:ind w:right="2039"/>
        <w:spacing w:after="0" w:line="257" w:lineRule="auto"/>
        <w:rPr>
          <w:sz w:val="20"/>
          <w:szCs w:val="20"/>
          <w:color w:val="auto"/>
        </w:rPr>
      </w:pPr>
      <w:r>
        <w:rPr>
          <w:rFonts w:ascii="Courier New" w:cs="Courier New" w:eastAsia="Courier New" w:hAnsi="Courier New"/>
          <w:sz w:val="17"/>
          <w:szCs w:val="17"/>
          <w:color w:val="auto"/>
        </w:rPr>
        <w:t>announced that it will shut down the entirety of its access operations for all its remaining cable customers, including Comcast, on February 28, 2002.</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1997, AT&amp;T Broadband Group's predecessor, TCI, entered into a 25-year affiliation term sheet with Starz Encore Group pursuant to which AT&amp;T Broadband Group may be obligated to pay fixed monthly amounts in exchange for unlimited access to all of the existing Encore and STARZ! programming. The commitment increases annually from $288 million in 2001 to $315 million in 2003, and will increase annually through 2022 with inflation. The affiliation term sheet further provides that to the extent Starz Encore Group's programming costs increase above certain levels, AT&amp;T Broadband Group's payments under the Starz Encore term sheet will be increased in proportion to the excess. Starz Encore Group has requested payment from AT&amp;T Broadband Group of amounts it contends are AT&amp;T Broadband Group's proportionate share of Starz Encore Group's excess programming costs during the first quarter of 2001 (which amount, approximately $40 million, Starz Encore Group indicated it expects to represent the bulk of what it considers AT&amp;T Broadband Group's proportionate share of excess programming for year 2001). Excess programming costs payable by AT&amp;T Broadband Group for the balance of 2001 and in future years are not presently estimable and could be significantly larger or smaller than the amount requested for the first quarter of 2001. By letter dated May 29, 2001, AT&amp;T Broadband Group indicated that in its view the Starz Encore term sheet as a whole is unenforceable and reserved its right to terminate the term sheet. AT&amp;T Broadband Group indicated to Starz Encore Group that it would not pay the excess programming costs requested to date and disputed the enforceability of the excess programming costs pass through provisions of the term sheet, among other provisions. On July 10, 2001, Starz Encore Group initiated a lawsuit against AT&amp;T Broadband Group and Satellite Services, Inc., a subsidiary of AT&amp;T Broadband Group that is also a party to the term sheet, in Arapahoe County District Court, Colorado, seeking payment of the 2001 excess programming costs and a declaration that the term sheet is a binding and enforceable contract. In November 2001, AT&amp;T Broadband Group and Starz Encore Group agreed to stay the litigation until August 31, 2002 to allow the parties time to continue negotiations toward a potential business resolution of this dispute.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CABLE REGULATION AND LEGISLATION</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operation of cable television systems is extensively regulated by the FCC, some state governments and most local governments. The Telecommunications Act altered the regulatory structure governing the nation's telecommunications providers. It removed barriers to competition in both the cable television market and the local telephone market. Among other things, it reduced the scope of cable rate regulation.</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Telecommunications Act required the FCC to implement numerous rulemakings, some of which are still subject to court challenges. Moreover, Congress and the FCC have frequently revisited the subject of cable television regulation and may do so again. Future legislative and regulatory changes could adversely affect AT&amp;T Broadband Group's operations. This section briefly summarizes key laws and regulations currently affecting the growth and operation of AT&amp;T Broadband Group's cable systems.</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Cable Rate Regulation. The 1992 Cable Act imposed an extensive rate regulation regime on the cable television industry, which regulation limited the ability of cable companies to increase subscriber fees. Under that regime, all cable systems were subjected to rate regulation, unless they faced effective competition in their local franchise area. U.S. federal law now defines "effective competition" on a community-specific basis as requiring satisfaction of various conditions, such as the penetration of competitive video services to 15% of the households in a cable system's franchise area.</w:t>
      </w:r>
    </w:p>
    <w:p>
      <w:pPr>
        <w:spacing w:after="0" w:line="201"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Although the FCC establishes all cable rate rules, local government units (commonly referred to as local franchising authorities) are primarily responsible for administering the regulation of the lowest level of cable service -- the basic service tier, which typically contains local broadcast stations and PEG access channels. Before a local franchising authority begins basic service tier rate regulation, it must certify to the FCC that it will follow applicable U.S. federal rules, and many local franchising authorities have voluntarily declined to exercise this authority. Local franchising authorities also have primary responsibility</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VII-16</w:t>
      </w:r>
    </w:p>
    <w:p>
      <w:pPr>
        <w:sectPr>
          <w:pgSz w:w="11900" w:h="16838" w:orient="portrait"/>
          <w:cols w:equalWidth="0" w:num="1">
            <w:col w:w="10219"/>
          </w:cols>
          <w:pgMar w:left="240" w:top="719" w:right="1440" w:bottom="1062" w:gutter="0" w:footer="0" w:header="0"/>
        </w:sectPr>
      </w:pPr>
    </w:p>
    <w:bookmarkStart w:id="218" w:name="page219"/>
    <w:bookmarkEnd w:id="218"/>
    <w:p>
      <w:pPr>
        <w:ind w:right="2359"/>
        <w:spacing w:after="0" w:line="253" w:lineRule="auto"/>
        <w:rPr>
          <w:sz w:val="20"/>
          <w:szCs w:val="20"/>
          <w:color w:val="auto"/>
        </w:rPr>
      </w:pPr>
      <w:r>
        <w:rPr>
          <w:rFonts w:ascii="Courier New" w:cs="Courier New" w:eastAsia="Courier New" w:hAnsi="Courier New"/>
          <w:sz w:val="17"/>
          <w:szCs w:val="17"/>
          <w:color w:val="auto"/>
        </w:rPr>
        <w:t>for regulating cable equipment rates. Under U.S. federal law, charges for various types of cable equipment must be unbundled from each other and from monthly charges for programming services, and priced no higher than the operator's actual cost, plus an 11.25% rate of return.</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FCC historically administered rate regulation of any cable programming service tiers (i.e., all tiers other than the basic service tier), which typically contain satellite-delivered programming. Under the Telecommunications Act, however, the FCC's authority to regulate cable programming service tier rates ended on March 31, 1999.</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Cable Entry into Telecommunications. The Telecommunications Act provides that no state or local laws or regulations may prohibit or have the effect of prohibiting any entity from providing any interstate or intrastate telecommunications service. States are authorized, however, to impose "competitively neutral" requirements regarding universal service, public safety and welfare, service quality and consumer protection. State and local governments also retain their authority to manage the public rights-of-way. Although the Telecommunications Act clarifies that traditional cable franchise fees may be based only on revenues related to the provision of cable television services, it also provides that local franchising authorities may require reasonable, competitively neutral compensation for management of the public rights-of-way when cable operators provide telecommunications service. The Telecommunications Act prohibits local franchising authorities from requiring cable operators to provide telecommunications service or facilities as a condition of a franchise grant, renewal or transfer, except that local franchising authorities argue they can seek "institutional networks" as part of these franchise negotiations.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particular, cable operators that provide telecommunications services and cannot reach agreement with local utilities over pole attachment rates in states that do not regulate pole attachment rates will be subject to a methodology prescribed by the FCC for determining the rates. These rates may be higher than those paid by cable operators that do not provide telecommunications services.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favorable pole attachment rates afforded cable operators under U.S. federal law can be increased by utility companies owning the poles during a five-year phase-in period beginning in 2001 if the cable operator provides telecommunications service as well as cable service over its plant. The FCC clarified that a cable operator's provision of cable Internet service does not affect the favorable pole rates, but a recent decision by the Eleventh Circuit Court of Appeals disagreed. In January 2002, the U.S. Supreme Court overturned the Eleventh Circuit decision and upheld the applicability of the more favorable FCC -- prescribed pole rates regardless of the delivery of Internet services.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Cable entry into telecommunications will be affected by the regulatory landscape now being fashioned by the FCC and state regulators. One critical component of the Telecommunications Act intended to facilitate the entry of new telecommunications providers (including cable operators) is the interconnection obligation imposed on all telecommunications carriers. This requires, for example, that the incumbent local exchange carrier must allow new competing telecommunications providers to connect to the local telephone distribution system. A number of implementation details are subject to ongoing regulatory and judicial review, but the basic requirement is now well established. At the same time, incumbent local exchange carriers continue to make it difficult for competitors to lease and use parts of their network in order to provide competing services. Although local exchange carriers and cable operators can now expand their offerings across traditional service boundaries, the general prohibitions remain on local exchange carrier buyouts (i.e., any ownership interest exceeding 10%) of co-located cable systems, cable operator buyouts of co-located local exchange carrier systems, and joint ventures among cable operators and local exchange carriers in the same market. The Telecommunications Act provides a few limited exceptions to this buyout prohibition.</w:t>
      </w:r>
    </w:p>
    <w:p>
      <w:pPr>
        <w:spacing w:after="0" w:line="20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Cable Systems Providing Internet Service. Although there is at present no significant U.S. federal regulation of cable system delivery of Internet services, and the FCC recently issued several reports finding no immediate need to impose this regulation, this situation may change as cable systems expand their broadband delivery of Internet services. In particular, proposals have been advanced at the FCC and Congress that would require cable operators to provide "open access" to unaffiliated ISPs and on-line service providers. The Federal Trade Commission and the FCC recently imposed certain open access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VII-17</w:t>
      </w:r>
    </w:p>
    <w:p>
      <w:pPr>
        <w:sectPr>
          <w:pgSz w:w="11900" w:h="16838" w:orient="portrait"/>
          <w:cols w:equalWidth="0" w:num="1">
            <w:col w:w="10219"/>
          </w:cols>
          <w:pgMar w:left="240" w:top="719" w:right="1440" w:bottom="659" w:gutter="0" w:footer="0" w:header="0"/>
        </w:sectPr>
      </w:pPr>
    </w:p>
    <w:bookmarkStart w:id="219" w:name="page220"/>
    <w:bookmarkEnd w:id="219"/>
    <w:p>
      <w:pPr>
        <w:ind w:right="1839"/>
        <w:spacing w:after="0" w:line="251" w:lineRule="auto"/>
        <w:rPr>
          <w:sz w:val="20"/>
          <w:szCs w:val="20"/>
          <w:color w:val="auto"/>
        </w:rPr>
      </w:pPr>
      <w:r>
        <w:rPr>
          <w:rFonts w:ascii="Courier New" w:cs="Courier New" w:eastAsia="Courier New" w:hAnsi="Courier New"/>
          <w:sz w:val="17"/>
          <w:szCs w:val="17"/>
          <w:color w:val="auto"/>
        </w:rPr>
        <w:t>requirements on Time Warner and AOL in connection with their merger, but those requirements are not applicable to other cable operators. Some states and local franchising authorities may seek to impose franchise conditions related to Internet access as part of cable franchise renewals or transfers. In June 2000, the Ninth Circuit Court of Appeals rejected an attempt by the City of Portland, Oregon to impose mandatory Internet access requirements on the local cable operator. AT&amp;T Broadband Group has completed a technical and operational trial to test how multiple ISPs can offer high-speed, always-on cable Internet service over a hybrid fiber/coaxial network.</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Cable Television Ownership Restrictions. Pursuant to the 1992 Cable Act, the FCC adopted regulations establishing a 30% limit on the number of multichannel video subscribers (including cable, direct broadcast satellite, Satellite Master Antenna Television, MMDS and other subscribers) nationwide that a cable operator may reach through cable systems in which it holds an attributable interest, with an increase to 35% if the additional cable systems are minority controlled. The FCC stayed the effectiveness of its ownership limits pending judicial review.</w:t>
      </w:r>
    </w:p>
    <w:p>
      <w:pPr>
        <w:spacing w:after="0" w:line="3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FCC directly addressed the 30% ownership rule (and the applicable ownership attribution standards) in its June 2000 ruling on the MediaOne acquisition. The FCC allowed the MediaOne acquisition to go forward, but required AT&amp;T to elect one of three divestiture options to come into compliance with the 30% ownership cap. Specifically, AT&amp;T was required to either (1) divest its interest in Time Warner Entertainment, (2) terminate its involvement in Time Warner Entertainment's video programming activities, which would require divestiture of substantially all of AT&amp;T's video programming interests, including its interest in Liberty Media, or (3) divest interests in cable systems. Compliance (or arrangements for compliance) was required by May 2001. The FCC order also established safeguards restricting AT&amp;T Broadband Group's communication with Time Warner Entertainment, as well as its communication with, and participation in, Time Warner Entertainment Board meetings for iN DEMAND and certain other video programming services.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FCC previously adopted regulations limiting carriage by a cable operator of national programming services in which that operator holds an attributable interest to 40% of the activated channels on each of the cable operator's systems. The rules provide for the use of two additional channels or a 45% limit, whichever is greater, provided that the additional channels carry minority controlled programming services. The regulations also grandfather existing carriage arrangements that exceed the channel limits, but require new channel capacity to be devoted to unaffiliated programming services until the system achieves compliance with the regulations. These channel occupancy limits apply only up to 75 activated channels on the cable system, and the rules do not apply to local or regional programming services.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March 2001, the D.C. Circuit Court of Appeals struck down the rules adopted by the FCC pertaining to ownership and programming carriage and remanded the issues back to the FCC for further review. Following this decision, the FCC suspended the compliance deadlines initially provided in its order related to the MediaOne acquisition to afford the FCC an opportunity to determine the relationship, if any, between the court decision and the conditions required in the MediaOne order. The duration of such suspension and the ultimate actions of the FCC cannot be determined at this time.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Telecommunications Act eliminates statutory restrictions on broadcast/cable cross-ownership (including broadcast network/cable restrictions), but leaves in place existing FCC regulations prohibiting local cross-ownership between television stations and cable systems. The broadcast/cable cross ownership restriction currently is subject to a court challenge on First Amendment and other grounds. The Telecommunications Act leaves in place existing restrictions on cable cross-ownership with Satellite Master Antenna Television and MMDS facilities, but lifts those restrictions where the cable operator is subject to effective competition. In January 1995, however, the FCC adopted regulations that permit cable operators to own and operate Satellite Master Antenna Television systems within their franchise area, provided that this operation is consistent with local cable franchise requirements.</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Must Carry/Retransmission Consent. The 1992 Cable Act contains broadcast signal carriage requirements that allow local commercial television broadcast stations to elect once every three years between requiring a cable system to carry the station, i.e., must carry, or negotiating for payments for</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VII-18</w:t>
      </w:r>
    </w:p>
    <w:p>
      <w:pPr>
        <w:sectPr>
          <w:pgSz w:w="11900" w:h="16838" w:orient="portrait"/>
          <w:cols w:equalWidth="0" w:num="1">
            <w:col w:w="10219"/>
          </w:cols>
          <w:pgMar w:left="240" w:top="719" w:right="1440" w:bottom="457" w:gutter="0" w:footer="0" w:header="0"/>
        </w:sectPr>
      </w:pPr>
    </w:p>
    <w:bookmarkStart w:id="220" w:name="page221"/>
    <w:bookmarkEnd w:id="220"/>
    <w:p>
      <w:pPr>
        <w:ind w:right="1839"/>
        <w:spacing w:after="0" w:line="251" w:lineRule="auto"/>
        <w:rPr>
          <w:sz w:val="20"/>
          <w:szCs w:val="20"/>
          <w:color w:val="auto"/>
        </w:rPr>
      </w:pPr>
      <w:r>
        <w:rPr>
          <w:rFonts w:ascii="Courier New" w:cs="Courier New" w:eastAsia="Courier New" w:hAnsi="Courier New"/>
          <w:sz w:val="17"/>
          <w:szCs w:val="17"/>
          <w:color w:val="auto"/>
        </w:rPr>
        <w:t>granting permission to the cable operator to carry the station, i.e., retransmission consent. Less popular stations typically elect must carry, and more popular stations typically elect retransmission consent. Must carry requests can dilute the appeal of a cable system's programming offerings, and retransmission consent demands may require substantial payments or other concessions (e.g., a requirement that the cable system also carry the local broadcaster's affiliated cable programming service). Either option has a potentially adverse effect on AT&amp;T Broadband Group's business. The burden associated with must carry obligations could dramatically increase if television broadcast stations proceed with planned conversions to digital transmissions and if the FCC determines that cable systems must carry simultaneously all analog and digital services transmitted by the television stations (or, alternatively, all of the multicast services in a broadcaster's digital feed, as opposed to just the "primary video" service) during the multi-year transition in which a single broadcast licensee is authorized to transmit both an analog and a digital signal. The FCC tentatively decided against imposition of dual digital and analog must carry in a January 2001 ruling, and also decided that only the broadcaster's primary video service must be carried by the cable operator. At the same time, however, it initiated further fact gathering, which, ultimately, could lead to a reconsideration of these conclusions.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Access Channels. Local franchising authorities can include franchise provisions requiring cable operators to set aside certain channels for non-commercial PEG access programming. U.S. federal law also requires a cable system with 36 or more channels to designate a portion of its activated channel capacity (up to 15%) for commercial leased access by unaffiliated third parties. The FCC has adopted rules regulating the terms, conditions and maximum rates a cable operator may charge for use of this designated channel capacity, but use of commercial leased access channels has been relatively limited.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"Anti-Buy Through" Provisions. U.S. federal law requires each cable system to permit customers to purchase premium services or pay-per-view video programming offered by the operator on a per-channel or a per-program basis without the necessity of subscribing to any tier of service (other than the basic service tier) unless the system's lack of addressable converter boxes or other technological limitation does not permit it to do so. The statutory exemption for cable systems that do not have the technological capability to comply expires in October 2002, but the FCC may extend that period on a case-by-case basis if deemed necessary pursuant to a specific waiver petition.</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Access to Programming. To spur the development of independent cable programmers and competition to incumbent cable operators, the 1992 Cable Act imposed restrictions on the dealings between cable operators and cable programmers. Of special significance from a competitive business posture, the 1992 Cable Act precludes satellite video programmers affiliated with cable operators from favoring cable operators over competing multichannel video programming distributors (such as direct broadcast satellite and MMDS distributors). This provision limits the ability of vertically integrated satellite cable programmers to offer exclusive programming arrangements to AT&amp;T Broadband Group. Both Congress and the FCC have considered proposals that would expand the program access rights of cable's competitors, including the possibility of subjecting both terrestrially delivered video programming and video programmers that are not affiliated with cable operators to all program access requirements. Pursuant to the Satellite Home Viewer Improvement Act, the FCC has adopted regulations governing retransmission consent negotiations between broadcasters and all multichannel video programming distributors, including cable and direct broadcast satellite.</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Inside Wiring; Subscriber Access. FCC rules require an incumbent cable operator, upon expiration of a multiple dwelling unit service contract, to sell, abandon or remove "home run" wiring that was installed by the cable operator in the multiple dwelling unit building. These inside wiring rules are expected to assist building owners in their attempts to replace existing cable operators with new programming providers that are willing to pay the building owner a higher fee, where a higher fee is permissible. The FCC also has proposed abrogating or severely restricting all existing and future exclusive multiple dwelling unit service agreements held by incumbent cable operators, but allowing these contracts when held by new entrants. In another proceeding, the FCC has preempted restrictions on the deployment of private antennae on rental property within the exclusive use of a tenant, such as balconies and patios. This FCC ruling may limit the extent to which multiple dwelling unit owners may enforce certain aspects of multiple</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VII-19</w:t>
      </w:r>
    </w:p>
    <w:p>
      <w:pPr>
        <w:sectPr>
          <w:pgSz w:w="11900" w:h="16838" w:orient="portrait"/>
          <w:cols w:equalWidth="0" w:num="1">
            <w:col w:w="10219"/>
          </w:cols>
          <w:pgMar w:left="240" w:top="719" w:right="1440" w:bottom="659" w:gutter="0" w:footer="0" w:header="0"/>
        </w:sectPr>
      </w:pPr>
    </w:p>
    <w:bookmarkStart w:id="221" w:name="page222"/>
    <w:bookmarkEnd w:id="221"/>
    <w:p>
      <w:pPr>
        <w:ind w:right="1939"/>
        <w:spacing w:after="0" w:line="252" w:lineRule="auto"/>
        <w:rPr>
          <w:sz w:val="20"/>
          <w:szCs w:val="20"/>
          <w:color w:val="auto"/>
        </w:rPr>
      </w:pPr>
      <w:r>
        <w:rPr>
          <w:rFonts w:ascii="Courier New" w:cs="Courier New" w:eastAsia="Courier New" w:hAnsi="Courier New"/>
          <w:sz w:val="17"/>
          <w:szCs w:val="17"/>
          <w:color w:val="auto"/>
        </w:rPr>
        <w:t>dwelling unit agreements that otherwise prohibit, for example, placement of digital broadcast satellite receiver antennae in multiple dwelling unit areas under the exclusive occupancy of a renter. These developments may make it more difficult for AT&amp;T Broadband Group to provide service in multiple dwelling unit complexes.</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Customer Equipment Regulation. As noted, cable customer equipment is subject to rate regulation unless the cable system is deemed by the FCC to face effective competition. In addition, the FCC ruled that cable customers must be allowed to purchase cable converters and other such navigation device equipment from third parties, such as retailers, and established a multi-year phase-in during which security functions, which would remain in the operator's exclusive control, would be unbundled from non-security functions, which then could be satisfied by third-party vendors. The first phase implementation date was July 1, 2000. Compliance was technically and operationally difficult in some locations, so AT&amp;T Broadband Group and several other cable operators filed a request at the FCC that the requirement be waived in those systems. The request resulted in a temporary deferral of the compliance deadline for those systems.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separate security module requirement applies to all digital and "hybrid" devices (i.e., devices that access both analog and digital services), but not to analog-only devices. So long as multichannel video providers subject to the rules comply with the separate security module requirement, they may continue to provide "integrated devices" (i.e., navigation devices containing both embedded security and non-security functions) to their customers until January 1, 2005, at which time they will be barred from placing these devices in service. AT&amp;T Broadband Group has advocated the elimination of this "integrated box ban."</w:t>
      </w:r>
    </w:p>
    <w:p>
      <w:pPr>
        <w:spacing w:after="0" w:line="200" w:lineRule="exact"/>
        <w:rPr>
          <w:sz w:val="20"/>
          <w:szCs w:val="20"/>
          <w:color w:val="auto"/>
        </w:rPr>
      </w:pPr>
    </w:p>
    <w:p>
      <w:pPr>
        <w:spacing w:after="0" w:line="203"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Other Regulations of the FCC. In addition to the FCC regulations noted above, there are other regulations of the FCC covering such areas as:</w:t>
      </w:r>
    </w:p>
    <w:p>
      <w:pPr>
        <w:spacing w:after="0" w:line="192" w:lineRule="exact"/>
        <w:rPr>
          <w:sz w:val="20"/>
          <w:szCs w:val="20"/>
          <w:color w:val="auto"/>
        </w:rPr>
      </w:pPr>
    </w:p>
    <w:p>
      <w:pPr>
        <w:ind w:left="740" w:right="2459" w:hanging="209"/>
        <w:spacing w:after="0" w:line="254" w:lineRule="auto"/>
        <w:tabs>
          <w:tab w:leader="none" w:pos="740"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equal employment opportunity (currently suspended as a result of a judicial ruling, although the FCC recently has sought to reimpose a subset of these rules);</w:t>
      </w:r>
    </w:p>
    <w:p>
      <w:pPr>
        <w:spacing w:after="0" w:line="194"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subscriber privacy;</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programming practices, including, among other things,</w:t>
      </w:r>
    </w:p>
    <w:p>
      <w:pPr>
        <w:spacing w:after="0" w:line="210" w:lineRule="exact"/>
        <w:rPr>
          <w:rFonts w:ascii="Courier New" w:cs="Courier New" w:eastAsia="Courier New" w:hAnsi="Courier New"/>
          <w:sz w:val="17"/>
          <w:szCs w:val="17"/>
          <w:color w:val="auto"/>
        </w:rPr>
      </w:pPr>
    </w:p>
    <w:p>
      <w:pPr>
        <w:ind w:left="960" w:right="1839" w:hanging="324"/>
        <w:spacing w:after="0" w:line="253" w:lineRule="auto"/>
        <w:tabs>
          <w:tab w:leader="none" w:pos="960"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syndicated program exclusivity, which requires a cable system to delete particular programming offered by a distant broadcast signal carried on the system that duplicates the programming for which a local broadcast station has secured exclusive distribution rights,</w:t>
      </w:r>
    </w:p>
    <w:p>
      <w:pPr>
        <w:spacing w:after="0" w:line="195" w:lineRule="exact"/>
        <w:rPr>
          <w:rFonts w:ascii="Courier New" w:cs="Courier New" w:eastAsia="Courier New" w:hAnsi="Courier New"/>
          <w:sz w:val="17"/>
          <w:szCs w:val="17"/>
          <w:color w:val="auto"/>
        </w:rPr>
      </w:pPr>
    </w:p>
    <w:p>
      <w:pPr>
        <w:ind w:left="960" w:hanging="324"/>
        <w:spacing w:after="0"/>
        <w:tabs>
          <w:tab w:leader="none" w:pos="960"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network program nonduplication,</w:t>
      </w:r>
    </w:p>
    <w:p>
      <w:pPr>
        <w:spacing w:after="0" w:line="210" w:lineRule="exact"/>
        <w:rPr>
          <w:rFonts w:ascii="Courier New" w:cs="Courier New" w:eastAsia="Courier New" w:hAnsi="Courier New"/>
          <w:sz w:val="17"/>
          <w:szCs w:val="17"/>
          <w:color w:val="auto"/>
        </w:rPr>
      </w:pPr>
    </w:p>
    <w:p>
      <w:pPr>
        <w:ind w:left="960" w:hanging="324"/>
        <w:spacing w:after="0"/>
        <w:tabs>
          <w:tab w:leader="none" w:pos="960"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local sports blackouts,</w:t>
      </w:r>
    </w:p>
    <w:p>
      <w:pPr>
        <w:spacing w:after="0" w:line="210" w:lineRule="exact"/>
        <w:rPr>
          <w:rFonts w:ascii="Courier New" w:cs="Courier New" w:eastAsia="Courier New" w:hAnsi="Courier New"/>
          <w:sz w:val="17"/>
          <w:szCs w:val="17"/>
          <w:color w:val="auto"/>
        </w:rPr>
      </w:pPr>
    </w:p>
    <w:p>
      <w:pPr>
        <w:ind w:left="960" w:hanging="324"/>
        <w:spacing w:after="0"/>
        <w:tabs>
          <w:tab w:leader="none" w:pos="960"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indecent programming,</w:t>
      </w:r>
    </w:p>
    <w:p>
      <w:pPr>
        <w:spacing w:after="0" w:line="210" w:lineRule="exact"/>
        <w:rPr>
          <w:rFonts w:ascii="Courier New" w:cs="Courier New" w:eastAsia="Courier New" w:hAnsi="Courier New"/>
          <w:sz w:val="17"/>
          <w:szCs w:val="17"/>
          <w:color w:val="auto"/>
        </w:rPr>
      </w:pPr>
    </w:p>
    <w:p>
      <w:pPr>
        <w:ind w:left="960" w:hanging="324"/>
        <w:spacing w:after="0"/>
        <w:tabs>
          <w:tab w:leader="none" w:pos="960"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lottery programming,</w:t>
      </w:r>
    </w:p>
    <w:p>
      <w:pPr>
        <w:spacing w:after="0" w:line="210" w:lineRule="exact"/>
        <w:rPr>
          <w:rFonts w:ascii="Courier New" w:cs="Courier New" w:eastAsia="Courier New" w:hAnsi="Courier New"/>
          <w:sz w:val="17"/>
          <w:szCs w:val="17"/>
          <w:color w:val="auto"/>
        </w:rPr>
      </w:pPr>
    </w:p>
    <w:p>
      <w:pPr>
        <w:ind w:left="960" w:hanging="324"/>
        <w:spacing w:after="0"/>
        <w:tabs>
          <w:tab w:leader="none" w:pos="960"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political programming,</w:t>
      </w:r>
    </w:p>
    <w:p>
      <w:pPr>
        <w:spacing w:after="0" w:line="210" w:lineRule="exact"/>
        <w:rPr>
          <w:rFonts w:ascii="Courier New" w:cs="Courier New" w:eastAsia="Courier New" w:hAnsi="Courier New"/>
          <w:sz w:val="17"/>
          <w:szCs w:val="17"/>
          <w:color w:val="auto"/>
        </w:rPr>
      </w:pPr>
    </w:p>
    <w:p>
      <w:pPr>
        <w:ind w:left="960" w:hanging="324"/>
        <w:spacing w:after="0"/>
        <w:tabs>
          <w:tab w:leader="none" w:pos="960"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sponsorship identification,</w:t>
      </w:r>
    </w:p>
    <w:p>
      <w:pPr>
        <w:spacing w:after="0" w:line="210" w:lineRule="exact"/>
        <w:rPr>
          <w:rFonts w:ascii="Courier New" w:cs="Courier New" w:eastAsia="Courier New" w:hAnsi="Courier New"/>
          <w:sz w:val="17"/>
          <w:szCs w:val="17"/>
          <w:color w:val="auto"/>
        </w:rPr>
      </w:pPr>
    </w:p>
    <w:p>
      <w:pPr>
        <w:ind w:left="960" w:hanging="324"/>
        <w:spacing w:after="0"/>
        <w:tabs>
          <w:tab w:leader="none" w:pos="960"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children's programming advertisements,</w:t>
      </w:r>
    </w:p>
    <w:p>
      <w:pPr>
        <w:spacing w:after="0" w:line="210" w:lineRule="exact"/>
        <w:rPr>
          <w:rFonts w:ascii="Courier New" w:cs="Courier New" w:eastAsia="Courier New" w:hAnsi="Courier New"/>
          <w:sz w:val="17"/>
          <w:szCs w:val="17"/>
          <w:color w:val="auto"/>
        </w:rPr>
      </w:pPr>
    </w:p>
    <w:p>
      <w:pPr>
        <w:ind w:left="960" w:hanging="324"/>
        <w:spacing w:after="0"/>
        <w:tabs>
          <w:tab w:leader="none" w:pos="960"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closed captioning; and</w:t>
      </w:r>
    </w:p>
    <w:p>
      <w:pPr>
        <w:spacing w:after="0" w:line="210" w:lineRule="exact"/>
        <w:rPr>
          <w:rFonts w:ascii="Courier New" w:cs="Courier New" w:eastAsia="Courier New" w:hAnsi="Courier New"/>
          <w:sz w:val="17"/>
          <w:szCs w:val="17"/>
          <w:color w:val="auto"/>
        </w:rPr>
      </w:pPr>
    </w:p>
    <w:p>
      <w:pPr>
        <w:ind w:left="960" w:hanging="324"/>
        <w:spacing w:after="0"/>
        <w:tabs>
          <w:tab w:leader="none" w:pos="960"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video description;</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of cable systems and facilities licensing;</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maintenance of various records and public inspection files;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aeronautical frequency usage;</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lockbox availability;</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VII-20</w:t>
      </w:r>
    </w:p>
    <w:p>
      <w:pPr>
        <w:sectPr>
          <w:pgSz w:w="11900" w:h="16838" w:orient="portrait"/>
          <w:cols w:equalWidth="0" w:num="1">
            <w:col w:w="10219"/>
          </w:cols>
          <w:pgMar w:left="240" w:top="719" w:right="1440" w:bottom="1062" w:gutter="0" w:footer="0" w:header="0"/>
        </w:sectPr>
      </w:pPr>
    </w:p>
    <w:bookmarkStart w:id="222" w:name="page223"/>
    <w:bookmarkEnd w:id="222"/>
    <w:p>
      <w:pPr>
        <w:ind w:left="740" w:hanging="209"/>
        <w:spacing w:after="0"/>
        <w:tabs>
          <w:tab w:leader="none" w:pos="740"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antenna structure notification;</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tower marking and lighting;</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consumer protection and customer service standards;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technical standards;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consumer electronics equipment compatibility; and</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emergency alert systems.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FCC recently initiated an inquiry to determine whether the cable industry's future provision of interactive services should be subject to regulations ensuring equal access and competition among service vendors. The inquiry, which grew out of the FCC's review of the AOL/Time Warner merger, is in its earliest stages.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FCC has the authority to enforce its regulations through the imposition of substantial fines, the issuance of cease and desist orders and/or the imposition of other administrative sanctions, such as the revocation of FCC licenses needed to operate certain transmission facilities used in connection with cable operations.</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Copyright. Cable television systems are subject to U.S. federal copyright licensing covering carriage of television and radio broadcast signals. In exchange for filing certain reports and contributing a percentage of their revenue to a U.S. federal copyright royalty pool (this percentage varies depending on the size of the system and the number of distant broadcast television signals carried), cable operators can obtain blanket permission to retransmit copyrighted material on broadcast signals. The possible modification or elimination of this compulsory copyright license is subject to continuing review and could adversely affect AT&amp;T Broadband Group's ability to obtain desired broadcast programming. In addition, the cable industry pays music licensing fees to Broadcast Music, Inc. and the American Society of Composers, Authors and Publishers. Copyright clearances for nonbroadcast programming services are arranged through private negotiations.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State and Local Regulation. Cable television systems generally are operated pursuant to nonexclusive franchises granted by a municipality or other state or local government entity. The Telecommunications Act clarified that the need for an entity providing cable services to obtain a local franchise depends solely on whether the entity crosses public rights-of-way. U.S. federal law now prohibits franchise authorities from granting exclusive franchises or from unreasonably refusing to award additional franchises covering an existing cable system's service area. Cable franchises generally are granted for fixed terms, and in many cases are terminable if the franchisee fails to comply with material provisions. Noncompliance by the cable operator with franchise provisions also may result in monetary penalties.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terms and conditions of franchises vary materially from jurisdiction to jurisdiction. Each franchise generally contains provisions governing cable operations, service rates, franchise fees, system construction and maintenance obligations, system channel capacity, design and technical performance, customer service standards, and indemnification protections. A number of states subject cable television systems to the jurisdiction of centralized state governmental agencies. Although local franchising authorities have considerable discretion in establishing franchise terms, there are certain U.S. federal limitations. For example, local franchising authorities cannot insist on franchise fees exceeding 5% of the system's gross revenues from the provision of cable services, cannot dictate the particular technology used by the system, and cannot specify video programming other than identifying broad categories of programming.</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U.S. federal law contains renewal procedures designed to protect incumbent franchisees against arbitrary denials of renewal. Even if a franchise is renewed, the franchise authority may seek to impose new and more onerous requirements, such as significant upgrades in facilities and services or increased franchise fees and funding for PEG access channels as a condition of renewal. Similarly, if a franchise authority's consent is required for the purchase or sale of a cable system or franchise, this authority may attempt to impose more burdensome or onerous franchise requirements in connection with a request for</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VII-21</w:t>
      </w:r>
    </w:p>
    <w:p>
      <w:pPr>
        <w:sectPr>
          <w:pgSz w:w="11900" w:h="16838" w:orient="portrait"/>
          <w:cols w:equalWidth="0" w:num="1">
            <w:col w:w="10219"/>
          </w:cols>
          <w:pgMar w:left="240" w:top="719" w:right="1440" w:bottom="659" w:gutter="0" w:footer="0" w:header="0"/>
        </w:sectPr>
      </w:pPr>
    </w:p>
    <w:bookmarkStart w:id="223" w:name="page224"/>
    <w:bookmarkEnd w:id="223"/>
    <w:p>
      <w:pPr>
        <w:ind w:right="2039"/>
        <w:spacing w:after="0" w:line="253" w:lineRule="auto"/>
        <w:rPr>
          <w:sz w:val="20"/>
          <w:szCs w:val="20"/>
          <w:color w:val="auto"/>
        </w:rPr>
      </w:pPr>
      <w:r>
        <w:rPr>
          <w:rFonts w:ascii="Courier New" w:cs="Courier New" w:eastAsia="Courier New" w:hAnsi="Courier New"/>
          <w:sz w:val="17"/>
          <w:szCs w:val="17"/>
          <w:color w:val="auto"/>
        </w:rPr>
        <w:t>consent. Historically, franchises have been renewed for cable operators that have provided satisfactory services and have complied with the terms of their franchises. Since the 1992 adoption of the Cable Act, AT&amp;T Broadband Group has never had a final determination or denial of one of its franchises.</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Proposed Changes in Regulation. The regulation of cable television systems at the U.S. federal, state and local levels is subject to the political process and has been in constant flux over the past decade. Material changes in the law and regulatory requirements must be anticipated, and there can be no assurance that AT&amp;T Broadband Group's business will not be affected adversely by future legislation, new regulations or by deregulation of AT&amp;T Broadband Group's competitors.</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VII-22</w:t>
      </w:r>
    </w:p>
    <w:p>
      <w:pPr>
        <w:sectPr>
          <w:pgSz w:w="11900" w:h="16838" w:orient="portrait"/>
          <w:cols w:equalWidth="0" w:num="1">
            <w:col w:w="10219"/>
          </w:cols>
          <w:pgMar w:left="240" w:top="719" w:right="1440" w:bottom="1440" w:gutter="0" w:footer="0" w:header="0"/>
        </w:sectPr>
      </w:pPr>
    </w:p>
    <w:bookmarkStart w:id="224" w:name="page225"/>
    <w:bookmarkEnd w:id="224"/>
    <w:p>
      <w:pPr>
        <w:ind w:left="1680"/>
        <w:spacing w:after="0"/>
        <w:rPr>
          <w:sz w:val="20"/>
          <w:szCs w:val="20"/>
          <w:color w:val="auto"/>
        </w:rPr>
      </w:pPr>
      <w:r>
        <w:rPr>
          <w:rFonts w:ascii="Courier New" w:cs="Courier New" w:eastAsia="Courier New" w:hAnsi="Courier New"/>
          <w:sz w:val="17"/>
          <w:szCs w:val="17"/>
          <w:color w:val="auto"/>
        </w:rPr>
        <w:t>AT&amp;T BROADBAND GROUP MANAGEMENT'S DISCUSSION AND</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ANALYSIS OF FINANCIAL CONDITION AND RESULTS OF OPERATIONS</w:t>
      </w:r>
    </w:p>
    <w:p>
      <w:pPr>
        <w:spacing w:after="0" w:line="210" w:lineRule="exact"/>
        <w:rPr>
          <w:sz w:val="20"/>
          <w:szCs w:val="20"/>
          <w:color w:val="auto"/>
        </w:rPr>
      </w:pPr>
    </w:p>
    <w:p>
      <w:pPr>
        <w:ind w:right="2559" w:firstLine="524"/>
        <w:spacing w:after="0" w:line="251" w:lineRule="auto"/>
        <w:rPr>
          <w:sz w:val="20"/>
          <w:szCs w:val="20"/>
          <w:color w:val="auto"/>
        </w:rPr>
      </w:pPr>
      <w:r>
        <w:rPr>
          <w:rFonts w:ascii="Courier New" w:cs="Courier New" w:eastAsia="Courier New" w:hAnsi="Courier New"/>
          <w:sz w:val="17"/>
          <w:szCs w:val="17"/>
          <w:color w:val="auto"/>
        </w:rPr>
        <w:t>To understand and place in context AT&amp;T Broadband Group Management's Discussion and Analysis, we urge you to read the AT&amp;T Corp. Management's</w:t>
      </w:r>
    </w:p>
    <w:p>
      <w:pPr>
        <w:spacing w:after="0"/>
        <w:tabs>
          <w:tab w:leader="none" w:pos="3860" w:val="left"/>
        </w:tabs>
        <w:rPr>
          <w:sz w:val="20"/>
          <w:szCs w:val="20"/>
          <w:color w:val="auto"/>
        </w:rPr>
      </w:pPr>
      <w:r>
        <w:rPr>
          <w:rFonts w:ascii="Courier New" w:cs="Courier New" w:eastAsia="Courier New" w:hAnsi="Courier New"/>
          <w:sz w:val="17"/>
          <w:szCs w:val="17"/>
          <w:color w:val="auto"/>
        </w:rPr>
        <w:t>Discussion and Analysis on page</w:t>
      </w:r>
      <w:r>
        <w:rPr>
          <w:sz w:val="20"/>
          <w:szCs w:val="20"/>
          <w:color w:val="auto"/>
        </w:rPr>
        <w:tab/>
      </w:r>
      <w:r>
        <w:rPr>
          <w:rFonts w:ascii="Courier New" w:cs="Courier New" w:eastAsia="Courier New" w:hAnsi="Courier New"/>
          <w:sz w:val="16"/>
          <w:szCs w:val="16"/>
          <w:color w:val="auto"/>
        </w:rPr>
        <w: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Currently, AT&amp;T Broadband Group is an integrated business of AT&amp;T Corp. and not a stand-alone entity. AT&amp;T will assign and transfer substantially all of the assets, liabilities and business of AT&amp;T Broadband Group to AT&amp;T Broadband Corp., a newly formed holding company for AT&amp;T's broadband business, which will be subsequently merged with Comcast as discussed below. AT&amp;T Broadband Group consists primarily of the assets, liabilities and business of AT&amp;T Broadband, LLC (formerly TCI), acquired by AT&amp;T on March 9, 1999 in the TCI merger and MediaOne Group, Inc. ("MediaOne") acquired by AT&amp;T on June 15, 2000 in the MediaOne acquisition. AT&amp;T Broadband Group is one of the nation's largest broadband communications providers, providing cable television, high-speed cable Internet and broadband telephone services.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Comcast and AT&amp;T have agreed to a merger of Comcast and AT&amp;T Broadband Corp. The AT&amp;T Comcast transaction is pursuant to, and subject to the terms and conditions set forth in the Agreement and Plan of Merger, dated as of December 19, 2001. The AT&amp;T Comcast transaction will occur in several steps, which are expected to occur on the closing date of the AT&amp;T Comcast transaction.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for each share of AT&amp;T common stock, NYSE symbol "T", outstanding as of the close of business on the record date for the AT&amp;T Broadband Corp. spin-off. Immediately following the AT&amp;T Broadband spin-off, AT&amp;T Broadband Corp. will merge with AT&amp;T Broadband Acquisition Corp., a newly formed, wholly owned subsidiary of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Consummation of the AT&amp;T Comcast transaction is subject to the satisfaction or wavier of several conditions, including but not limited to, approval by the shareholders of AT&amp;T and Comcast and receipt of all necessary governmental consents and approvals. As a result, there can be no assurance that the AT&amp;T Comcast transaction will be consummated, or if the AT&amp;T Comcast transaction is consummated, as to the date of such consummation.</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Group's revenue is derived primarily from the provision of analog and digital video services, high-speed cable Internet services and broadband telephone services. AT&amp;T Broadband Group also charges customers for installation of equipment into their homes. Additionally, AT&amp;T Broadband Group derives revenue from the sale of advertising time via ad avails on certain cable networks. AT&amp;T Broadband Group sells its services on an individual basis as well as through packages or on a bundled basis. AT&amp;T Broadband Group expects revenue will continue to increase in the future as a result of increases in customers for its various services as well as rate increases. AT&amp;T Broadband Group anticipates that the mix of its customers will change over time as the number of customers receiving advanced services increases. Accordingly, AT&amp;T Broadband expects revenue from advanced services to increase as a percentage of total revenue over time.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Operating expenses consist of service costs and selling, general and administrative expenses attributable to management of its customer base. Service costs include fees paid to programming suppliers, expenses related to copyright fees, wages and salaries of technical personnel, franchise fees, plant operating costs, high-speed data network transport and internet service costs, access and interconnection costs and local and long-distance wholesale costs. Programming fees have increased at a higher rate than inflation. AT&amp;T Broadband Group expects video programming costs will continue to increase. Competitive factors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VII-23</w:t>
      </w:r>
    </w:p>
    <w:p>
      <w:pPr>
        <w:sectPr>
          <w:pgSz w:w="11900" w:h="16838" w:orient="portrait"/>
          <w:cols w:equalWidth="0" w:num="1">
            <w:col w:w="10219"/>
          </w:cols>
          <w:pgMar w:left="240" w:top="719" w:right="1440" w:bottom="1440" w:gutter="0" w:footer="0" w:header="0"/>
        </w:sectPr>
      </w:pPr>
    </w:p>
    <w:bookmarkStart w:id="225" w:name="page226"/>
    <w:bookmarkEnd w:id="225"/>
    <w:p>
      <w:pPr>
        <w:ind w:right="2139"/>
        <w:spacing w:after="0" w:line="252" w:lineRule="auto"/>
        <w:rPr>
          <w:sz w:val="20"/>
          <w:szCs w:val="20"/>
          <w:color w:val="auto"/>
        </w:rPr>
      </w:pPr>
      <w:r>
        <w:rPr>
          <w:rFonts w:ascii="Courier New" w:cs="Courier New" w:eastAsia="Courier New" w:hAnsi="Courier New"/>
          <w:sz w:val="17"/>
          <w:szCs w:val="17"/>
          <w:color w:val="auto"/>
        </w:rPr>
        <w:t>may limit AT&amp;T Broadband Group's ability to recover increases in programming costs through rate increases to video customers. Selling, general and administrative expenses directly attributable to AT&amp;T Broadband Group's cable television systems include wages and salaries for customer service and administrative personnel, and expenses related to billing, marketing, advertising sales and office administration.</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Debt attributed to AT&amp;T Broadband Group includes the third party obligations of AT&amp;T Broadband, LLC (formerly TCI)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 not be limited to, the following: proceeds that may result from the exercise of AT&amp;T's registration rights in Time Warner Entertainment ("TWE"); proceeds from the sale and monetization of shares of Cablevision Systems Corporation ("Cablevision") and Rainbow Media Group which occurred in the fourth quarter of 2001; and continued evaluation and sale of non-strategic cable systems.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RESULTS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results of operations for AT&amp;T Broadband Group begin on March 1, 1999, the effective date of the TCI merger for accounting purposes. Accordingly, AT&amp;T Broadband Group's results of operations for 1999 include 10 months of operations compared to 12 months of operations in 2000.</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comparison of the quarter and nine months ended September 30, 2001 results with the corresponding prior year periods and the comparison of the year ended December 31, 2000 with the ten months ended December 31, 1999 were significantly impacted by events, such as acquisitions and dispositions, that occurred during 2000 and 2001. Effective June 15, 2000, AT&amp;T completed the acquisition of MediaOne. In addition AT&amp;T Broadband Group completed dispositions and exchanges that in the aggregate affect the comparability of financial results between periods.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comparison of third quarter and year-to-date 2001 results with the corresponding periods in 2000 was also impacted by the consolidation by AT&amp;T Broadband Group of At Home Corporation ("Excite@Home") beginning September 1, 2000. The consolidation of Excite@Home was due to corporate-governance changes, which gave AT&amp;T a controlling interest. The consolidation of Excite@Home resulted in the inclusion of 100% of its results in each line item of AT&amp;T Broadband Group's combined statement of operations for the three and nine months ended September 30, 2001 and for the month of September 2000. Losses attributable to the other shareholders of Excite@Home have been reflected within minority interest income (expense) in the combined statement of operations and minority interest in the combined balance sheet since September 1, 2000. As a result of the significant losses incurred by Excite@Home, the minority interest balance has been fully utilized, therefore, in the third quarter of 2001 AT&amp;T Broadband Group recognized more than its 23% of the losses of Excite@Home. On September 28, 2001, Excite@Home filed for bankruptcy under Chapter 11 in the U.S. Bankruptcy Court, for the Northern District of California. Excite@Home's results remained consolidated in AT&amp;T Broadband Group's statements of operations and cash flows for the three and nine months ended September 30, 2001, however, the assets and liabilities of Excite@Home were deconsolidated from AT&amp;T Broadband Group's balance sheet as of September 30, 2001 because of the bankruptcy filing.</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VII-24</w:t>
      </w:r>
    </w:p>
    <w:p>
      <w:pPr>
        <w:sectPr>
          <w:pgSz w:w="11900" w:h="16838" w:orient="portrait"/>
          <w:cols w:equalWidth="0" w:num="1">
            <w:col w:w="10219"/>
          </w:cols>
          <w:pgMar w:left="240" w:top="719" w:right="1440" w:bottom="1062" w:gutter="0" w:footer="0" w:header="0"/>
        </w:sectPr>
      </w:pPr>
    </w:p>
    <w:bookmarkStart w:id="226" w:name="page227"/>
    <w:bookmarkEnd w:id="226"/>
    <w:p>
      <w:pPr>
        <w:ind w:right="2459"/>
        <w:spacing w:after="0" w:line="257" w:lineRule="auto"/>
        <w:rPr>
          <w:sz w:val="20"/>
          <w:szCs w:val="20"/>
          <w:color w:val="auto"/>
        </w:rPr>
      </w:pPr>
      <w:r>
        <w:rPr>
          <w:rFonts w:ascii="Courier New" w:cs="Courier New" w:eastAsia="Courier New" w:hAnsi="Courier New"/>
          <w:sz w:val="17"/>
          <w:szCs w:val="17"/>
          <w:color w:val="auto"/>
        </w:rPr>
        <w:t>FOR THE QUARTER AND NINE MONTHS ENDED SEPTEMBER 30, 2001 COMPARED WITH THE QUARTER AND NINE MONTHS ENDED SEPTEMBER 30, 2000</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Revenue. Revenue for the third quarter 2001 of $2,500 million remained relatively consistent as compared to the third quarter of 2000. However, revenue increased primarily as a result of increased revenue from advanced services (broadband telephone and high-speed cable Internet) of $203 million, the consolidation of Excite@Home of $34 million and an increase in basic-cable and digital video revenue of approximately $73 million. Such increases were primarily offset by a decrease in revenue of $343 million due to net dispositions.</w:t>
      </w:r>
    </w:p>
    <w:p>
      <w:pPr>
        <w:spacing w:after="0" w:line="3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Revenue increased $1,990 million, or 35%, for the nine months ended September 30, 2001 compared to the corresponding prior year period. This increase was due in large part to the impact of the MediaOne acquisition of $1,500 million and the consolidation of Excite@Home of $259 million. Also contributing to the revenue increase was higher revenue from advanced services (broadband telephone and high-speed cable Internet) of $446 million and an increase in basic-cable and digital video revenue of approximately $233 million. Such increases were partially offset by a decrease in revenue of $506 million due to net dispositions.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September 30, 2001, AT&amp;T Broadband Group served approximately 13.7 million basic cable customers, passing approximately 24.6 million homes, compared with 16.1 million basic cable customers, passing approximately 28.0 million homes at September 30, 2000. AT&amp;T Broadband Group provided digital video service to approximately 3.2 million customers, high-speed cable Internet service to approximately 1.4 million customers, and broadband telephone service to approximately 0.9 million customers at September 30, 2001. This compares with approximately 2.5 million digital video customers, approximately 0.9 million high-speed cable Internet service customers, and nearly 0.3 million broadband telephone customers at September 30, 2000.</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Cost of Services. Cost of services remained relatively consistent as compared to the third quarter of 2000. Cost of services increased due to the consolidation of Excite@Home of $67 million. Cost of services also increased as a result of an increase of $71 million due to growth in broadband telephone and high-speed cable Internet services, and an increase of $53 million in programming costs associated with basic cable and digital video services. Such increases were offset by a decrease in costs of $163 million due to net dispositions.</w:t>
      </w:r>
    </w:p>
    <w:p>
      <w:pPr>
        <w:spacing w:after="0" w:line="3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Cost of services increased $1,140 million, or 37%, for the nine months ended September 30, 2001 compared to the corresponding prior year period. This increase was primarily due to the impact of the MediaOne acquisition of $782 million and the consolidation of Excite@Home of $268 million. The remaining increase was primarily a result of an increase of $230 million in costs associated with broadband telephone and high-speed cable Internet services due to growth in these services and an increase of $142 million in programming costs associated with basic cable and digital video services. Such increases were partially offset by a decrease in costs of $236 million due to net dispositions.</w:t>
      </w:r>
    </w:p>
    <w:p>
      <w:pPr>
        <w:spacing w:after="0" w:line="201" w:lineRule="exact"/>
        <w:rPr>
          <w:sz w:val="20"/>
          <w:szCs w:val="20"/>
          <w:color w:val="auto"/>
        </w:rPr>
      </w:pPr>
    </w:p>
    <w:p>
      <w:pPr>
        <w:jc w:val="both"/>
        <w:ind w:right="1939" w:firstLine="524"/>
        <w:spacing w:after="0" w:line="252" w:lineRule="auto"/>
        <w:rPr>
          <w:sz w:val="20"/>
          <w:szCs w:val="20"/>
          <w:color w:val="auto"/>
        </w:rPr>
      </w:pPr>
      <w:r>
        <w:rPr>
          <w:rFonts w:ascii="Courier New" w:cs="Courier New" w:eastAsia="Courier New" w:hAnsi="Courier New"/>
          <w:sz w:val="17"/>
          <w:szCs w:val="17"/>
          <w:color w:val="auto"/>
        </w:rPr>
        <w:t>Selling, General and Administrative. Selling, general and administrative expenses decreased $60 million, or 9% for the third quarter of 2001 compared to the third quarter of 2000. The decrease was primarily a result of the impact of net dispositions of $43 million and cost control efforts partially offset by a $27 million increase in advertising and marketing costs.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Selling, general and administrative expenses increased $497 million, or 34% for the nine months ended September 30, 2001 compared to the corresponding prior year period. This increase was primarily due to the impact of the MediaOne acquisition of $264 million, an increase in video costs for advertising and customer care of $174 million, an increase in expenses related to high-speed cable internet and broadband telephone of $70 million due to growth in these services and the consolidation of Excite@Home of $60 million. Such increases were partially offset by the impact of net dispositions of $66 million and cost control efforts.</w:t>
      </w:r>
    </w:p>
    <w:p>
      <w:pPr>
        <w:spacing w:after="0" w:line="200" w:lineRule="exact"/>
        <w:rPr>
          <w:sz w:val="20"/>
          <w:szCs w:val="20"/>
          <w:color w:val="auto"/>
        </w:rPr>
      </w:pPr>
    </w:p>
    <w:p>
      <w:pPr>
        <w:spacing w:after="0" w:line="203" w:lineRule="exact"/>
        <w:rPr>
          <w:sz w:val="20"/>
          <w:szCs w:val="20"/>
          <w:color w:val="auto"/>
        </w:rPr>
      </w:pPr>
    </w:p>
    <w:p>
      <w:pPr>
        <w:jc w:val="both"/>
        <w:ind w:right="2039" w:firstLine="524"/>
        <w:spacing w:after="0" w:line="254" w:lineRule="auto"/>
        <w:rPr>
          <w:sz w:val="20"/>
          <w:szCs w:val="20"/>
          <w:color w:val="auto"/>
        </w:rPr>
      </w:pPr>
      <w:r>
        <w:rPr>
          <w:rFonts w:ascii="Courier New" w:cs="Courier New" w:eastAsia="Courier New" w:hAnsi="Courier New"/>
          <w:sz w:val="17"/>
          <w:szCs w:val="17"/>
          <w:color w:val="auto"/>
        </w:rPr>
        <w:t>Depreciation and Other Amortization. Depreciation and other amortization expense increased $119 million, or 23%, for the third quarter of 2001 compared to the third quarter of 2000. This increase was</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VII-25</w:t>
      </w:r>
    </w:p>
    <w:p>
      <w:pPr>
        <w:sectPr>
          <w:pgSz w:w="11900" w:h="16838" w:orient="portrait"/>
          <w:cols w:equalWidth="0" w:num="1">
            <w:col w:w="10219"/>
          </w:cols>
          <w:pgMar w:left="240" w:top="719" w:right="1440" w:bottom="860" w:gutter="0" w:footer="0" w:header="0"/>
        </w:sectPr>
      </w:pPr>
    </w:p>
    <w:bookmarkStart w:id="227" w:name="page228"/>
    <w:bookmarkEnd w:id="227"/>
    <w:p>
      <w:pPr>
        <w:ind w:right="1939"/>
        <w:spacing w:after="0" w:line="252" w:lineRule="auto"/>
        <w:rPr>
          <w:sz w:val="20"/>
          <w:szCs w:val="20"/>
          <w:color w:val="auto"/>
        </w:rPr>
      </w:pPr>
      <w:r>
        <w:rPr>
          <w:rFonts w:ascii="Courier New" w:cs="Courier New" w:eastAsia="Courier New" w:hAnsi="Courier New"/>
          <w:sz w:val="17"/>
          <w:szCs w:val="17"/>
          <w:color w:val="auto"/>
        </w:rPr>
        <w:t>primarily due to the consolidation of Excite@Home of $41 million. The remaining increase was primarily due to a higher asset base resulting from continued infrastructure investment partially offset by the sale of cable systems. Total capital expenditures for the third quarter of 2001 and 2000 were $746 million and $1,238 million, respectively.</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Depreciation and other amortization expense increased $879 million, or 82%, for the nine months ended September 30, 2001 compared to the corresponding prior year period. This increase was due in large part to the impact of the MediaOne acquisition of $417 million and the consolidation of Excite@Home of $177 million. The remaining increase was primarily due to a higher asset base resulting from continued infrastructure investment. Total capital expenditures for the nine months ended September 30, 2001 and 2000 were $2,521 million and $3,067 million, respectively.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Amortization of Goodwill, Franchise Costs and Other Purchased</w:t>
      </w:r>
    </w:p>
    <w:p>
      <w:pPr>
        <w:spacing w:after="0" w:line="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Intangibles.</w:t>
        <w:tab/>
        <w:t>Amortization expense decreased $204 million, or 28%, for the third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 of 2001 compared to the third quarter of 2000. This decrease was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primarily due to lower goodwill associated with Excite@Home resulting from 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impairment of goodwill recorded subsequent to September 30, 2000.</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Amortization expense increased $455 million, or 37%, for the nine months ended September 30, 2001 compared to the corresponding prior year period. This increase was primarily due to the MediaOne acquisition. Such increase was partially offset by lower goodwill associated with Excite@Home.</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Asset Impairment, Restructuring and Other Charges. During the third quarter of 2001, $399 million of asset impairment, restructuring and other charges were recorded related to Excite@Home. Included in these charges were $376 million of asset impairment charges and $23 million of restructuring and exit costs, primarily due to continued weakness in the on-line media market and the recent bankruptcy filing of Excite@Home. These charges included the write-off of goodwill and other intangible assets, warrants granted in connection with distributing the @Home service and property, plant and equipment. Restructuring and exit costs consisted of $4 million for severance costs, $14 million related to facility closings and $5 million related to termination costs of contractual obligations. Since AT&amp;T Broadband Group consolidated Excite@Home through September 30, 2001, but only owned approximately 23% of Excite@Home, a portion of the charges recorded by Excite@Home has been eliminated in the September 30, 2001 statement of operations as a component of minority interest income (expense).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Asset impairment, restructuring and other charges for the nine months ended September 30, 2001, totaled $1,494 million. This charge includes $1,171 million of asset impairment charges related to Excite@Home and $323 million for restructuring and exit costs, which consisted of $151 million for severance costs, $156 million for facilities closing and $16 million related to termination costs of contractual obligations.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asset impairment charges recorded during the nine months ended September 30, 2001 included $1,032 million due to the write down of goodwill and other intangible assets related to Excite@Home, warrants granted in connection with distributing the @Home service, and property, plant and equipment of Excite@Home. These write downs are primarily due to the continued weakness in the online media market and the recent bankruptcy filing of Excite@Home. In addition, AT&amp;T Broadband Group recorded a related goodwill impairment charge of $139 million associated with its acquisition goodwill of Excite@Home. Since AT&amp;T Broadband Group consolidated Excite@Home but only owned approximately 23% of Excite@Home, a portion of the charges recorded by Excite@Home has been eliminated in the statement of operations as minority interest income (expense).</w:t>
      </w:r>
    </w:p>
    <w:p>
      <w:pPr>
        <w:spacing w:after="0" w:line="201"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The severance costs of $151 million, for approximately 7,700 employees, resulted from synergies created by the MediaOne acquisition as well as cost reduction efforts by Excite@Home. Approximately 36% of the affected employees are management employees and 64% are non-management employees.</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restructuring initiative is projected to yield cash savings of approximately $1 million in 2001 (net of severance benefit pay-outs of approximately $151 million) and approximately $260 million per year thereafter. The initiative will yield no operating expense savings, net of restructuring charges in 2001, and is projected to yield approximately $260 million per year thereafter. The cost savings, primarily attributable</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VII-26</w:t>
      </w:r>
    </w:p>
    <w:p>
      <w:pPr>
        <w:sectPr>
          <w:pgSz w:w="11900" w:h="16838" w:orient="portrait"/>
          <w:cols w:equalWidth="0" w:num="1">
            <w:col w:w="10219"/>
          </w:cols>
          <w:pgMar w:left="240" w:top="719" w:right="1440" w:bottom="659" w:gutter="0" w:footer="0" w:header="0"/>
        </w:sectPr>
      </w:pPr>
    </w:p>
    <w:bookmarkStart w:id="228" w:name="page229"/>
    <w:bookmarkEnd w:id="228"/>
    <w:p>
      <w:pPr>
        <w:ind w:right="1939"/>
        <w:spacing w:after="0" w:line="257" w:lineRule="auto"/>
        <w:rPr>
          <w:sz w:val="20"/>
          <w:szCs w:val="20"/>
          <w:color w:val="auto"/>
        </w:rPr>
      </w:pPr>
      <w:r>
        <w:rPr>
          <w:rFonts w:ascii="Courier New" w:cs="Courier New" w:eastAsia="Courier New" w:hAnsi="Courier New"/>
          <w:sz w:val="17"/>
          <w:szCs w:val="17"/>
          <w:color w:val="auto"/>
        </w:rPr>
        <w:t>to reduced personnel-related expenses, will be realized in cost of services and selling, general and administrative expenses.</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During the third quarter of 2000, AT&amp;T Broadband Group recorded $24 million of asset impairment, restructuring and other charges. This charge resulted from synergies associated with the MediaOne acquisition and related to cash termination benefits associated with the involuntary separation of approximately 490 employees. Approximately one-half of the individuals were management employees and one-half were non-management employees.</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During the nine months ended September 30, 2000, AT&amp;T Broadband Group recorded $40 million of asset impairment, restructuring and other charges, related to restructuring and exit costs resulting from synergies created by the MediaOne acquisition and cost reduction efforts. The charge for the nine months ended September 30, 2000 included cash termination benefits of $40 million associated with the involuntary separation of approximately 525 employees. Approximately half of the individuals were management employees and half were non-management employees.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Other (Expense) Income. Other (expense) income changed from income of $67 million for the third quarter of 2000 to expense of $252 million for the third quarter of 2001. The third quarter expense of $252 million was primarily driven by a $392 million mark-to-market loss on Vodafone ADRs, which were used to settle exchangeable notes that matured during the third quarter of 2001. This loss was partially offset by net gains of $141 million related to ongoing fair value adjustments of derivatives and "trading" securities. The income for the third quarter of 2000 resulted primarily from the amortization of the premium on collars associated with exchangeable notes acquired in the MediaOne acquisition.</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Other (expense) income for the nine months ended September 30, 2001 was an expense of $2,156 million compared to income of $547 million for the same period in 2000. Effective January 1, 2001, in conjunction with the adoption of SFAS No. 133, "Accounting for Derivative Instruments and Hedging Activities," AT&amp;T Broadband Group reclassified certain investment securities, which support debt that is indexed to those securities, from "available-for-sale" to "trading." As a result, AT&amp;T Broadband Group recorded a pre-tax loss of $1,154 million reflecting the initial reclassification impact of the adoption of SFAS No. 133. Also contributing to the change was a $838 million loss on the Excite@Home put obligation settlement with Cox and Comcast, $512 million unfavorable change in (losses) gains on sales of businesses and other investments, a $392 million mark-to-market loss on Vodafone ADRs which were used to settle exchangeable notes that matured during the third quarter of 2001 and net gains of $230 million related to ongoing investment and derivative revaluations under SFAS No. 133.</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Interest Expense. Interest expense remained relatively consistent for the third quarter of 2001 compared to the third quarter of 2000.</w:t>
      </w:r>
    </w:p>
    <w:p>
      <w:pPr>
        <w:spacing w:after="0" w:line="19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Interest expense increased $438 million to $1,347 million for the nine months ended September 30, 2001 compared to the corresponding prior year period. This increase was a result of an increase in debt due primarily to the MediaOne acquisition and the monetization of investments in Microsoft and Comcast.</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Benefit for Income Taxes. The benefit for income taxes for the third quarter of 2001 was $1,036 million, compared with a benefit of $247 million for the third quarter of 2000. The effective income tax rate for the third quarter of 2001 was 64.3%, compared to 23.5% for the third quarter of 2000. The third quarter 2001 effective tax rate was positively impacted by a net tax benefit related to Excite@Home, including a benefit from deconsolidation, partially offset by the prior consolidation of its operating losses, for which the company was unable to record tax benefits. Such positive impacts were partially offset by the amortization of non tax-deductible goodwill. The third quarter 2000 effective tax rate was negatively impacted by the non tax-deductible goodwill.</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benefit for income taxes for the nine months ended September 30, 2001, was $3,214 million, compared with a benefit of $845 million for the corresponding prior year period. The effective income tax rate for the nine months ended September 30, 2001 was 45.5% compared to 56.6% for the corresponding prior year. The 2001 effective tax rate was positively impacted by a significant tax benefit related to</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VII-27</w:t>
      </w:r>
    </w:p>
    <w:p>
      <w:pPr>
        <w:sectPr>
          <w:pgSz w:w="11900" w:h="16838" w:orient="portrait"/>
          <w:cols w:equalWidth="0" w:num="1">
            <w:col w:w="10219"/>
          </w:cols>
          <w:pgMar w:left="240" w:top="719" w:right="1440" w:bottom="1062" w:gutter="0" w:footer="0" w:header="0"/>
        </w:sectPr>
      </w:pPr>
    </w:p>
    <w:bookmarkStart w:id="229" w:name="page230"/>
    <w:bookmarkEnd w:id="229"/>
    <w:p>
      <w:pPr>
        <w:ind w:right="1839"/>
        <w:spacing w:after="0" w:line="251" w:lineRule="auto"/>
        <w:rPr>
          <w:sz w:val="20"/>
          <w:szCs w:val="20"/>
          <w:color w:val="auto"/>
        </w:rPr>
      </w:pPr>
      <w:r>
        <w:rPr>
          <w:rFonts w:ascii="Courier New" w:cs="Courier New" w:eastAsia="Courier New" w:hAnsi="Courier New"/>
          <w:sz w:val="17"/>
          <w:szCs w:val="17"/>
          <w:color w:val="auto"/>
        </w:rPr>
        <w:t>Excite@Home, including a benefit from deconsolidation and the put obligation settlement with Cox and Comcast, partially offset by the prior consolidation of its operating losses for which the company was unable to record tax benefits. The effective tax rate was also positively impacted by a tax-free gain resulting from an exchange of AT&amp;T stock for an entity owning certain cable systems and other assets with Comcast. Such positive impacts were partially offset by the amortization of non tax-deductible goodwill. The 2000 effective tax rate was positively impacted by a tax-free gain resulting from an exchange of AT&amp;T stock for an entity owning certain cable systems and other assets with Cox. The 2000 effective tax rate is negatively impacted by non tax-deductible goodwill and non tax-deductible losses from Excite@Home.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Net Losses from Equity Investments. Net losses from equity investments which are recorded net of income taxes, decreased from $219 million for the third quarter of 2000 to $53 million for the third quarter of 2001. The decrease in losses is primarily due to lower losses related to TWE and Cablevision as a result of these investments being accounted for under the equity method in the third quarter 2000 and the cost method in the third quarter of 2001. TWE was reclassified to an asset held for sale in the fourth quarter of 2000, and accordingly earnings or losses including amortization of excess basis, were no longer recorded. Likewise, in the second quarter of 2001, AT&amp;T Broadband Group began accounting for its investment in Cablevision as a cost method investment as a result of its loss of representation on the board of directors of Cablevision. The consolidation of Excite@Home in September 2000 also contributed to the decrease. Also included in net losses from equity investments is amortization of goodwill associated with non-consolidated investments. This amortization totaled $19 million and $217 million for the third quarter of 2001 and 2000, respectively. The income tax (provision) benefit recorded on net losses from equity investments for the third quarter of 2001 and 2000 was $(25) million and $136 million, respectively.</w:t>
      </w:r>
    </w:p>
    <w:p>
      <w:pPr>
        <w:spacing w:after="0" w:line="20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Net losses from equity investments which are recorded net of income taxes, decreased from $636 million for the nine months ended September 30, 2000 to $37 million for the nine months ended September 30, 2001. This decrease was primarily due to the consolidation of Excite@Home and impacts associated with AT&amp;T Broadband Group's investment in Cablevision. Cablevision's earnings were higher in 2001 as a result of a gain associated with the sale of cable properties. In addition, in the second quarter of 2001, AT&amp;T Broadband Group began accounting for its investment in Cablevision as a cost method investment as a result of its loss of representation on the board of directors of Cablevision. The change in accounting treatment for TWE from an equity method investment to a cost investment also contributed to the decrease. Amortization of goodwill associated with non-consolidated investments totaled $120 million and $428 million for the nine months ended September 30, 2001 and 2000, respectively. The income tax (provision) benefit recorded on net losses from equity investments was $(5) million and $394 million, for the nine months ended September 30, 2001 and 2000, respectively.</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Minority Interest Income (Expense). Minority interest income (expense), which is recorded net of income taxes, represents an adjustment to AT&amp;T Broadband Group's net loss to reflect the less than 100% ownership of entities attributed to AT&amp;T Broadband Group as well as dividends on preferred stock issued by subsidiaries of AT&amp;T which have been attributed to AT&amp;T Broadband Group. AT&amp;T Broadband Group recorded $169 million of minority interest income in the third quarter of 2001 and $83 million in the third quarter of 2000. AT&amp;T Broadband Group recorded minority interest income of $905 million for the nine months ended September 30, 2001 and minority interest expense of $21 million for the nine months ended September 30, 2000. The changes primarily resulted from the consolidation of Excite@Home effective September 1, 2000. The income tax benefit recorded on minority interest income (expense) was $25 million for both the third quarters of 2001 and 2000 and $75 million for both the nine months ended September 30, 2001 and 2000.</w:t>
      </w:r>
    </w:p>
    <w:p>
      <w:pPr>
        <w:spacing w:after="0" w:line="20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Cumulative Effect of Accounting Change. Cumulative effect of accounting change, net of applicable income taxes, was $229 million and recorded in the first quarter of 2001. Such amount represents fair value adjustments of derivative instruments as well as to the warrant portfolio, and the reclassification of related securities to "trading" due to the adoption of SFAS No. 133.</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VII-28</w:t>
      </w:r>
    </w:p>
    <w:p>
      <w:pPr>
        <w:sectPr>
          <w:pgSz w:w="11900" w:h="16838" w:orient="portrait"/>
          <w:cols w:equalWidth="0" w:num="1">
            <w:col w:w="10219"/>
          </w:cols>
          <w:pgMar w:left="240" w:top="719" w:right="1440" w:bottom="1440" w:gutter="0" w:footer="0" w:header="0"/>
        </w:sectPr>
      </w:pPr>
    </w:p>
    <w:bookmarkStart w:id="230" w:name="page231"/>
    <w:bookmarkEnd w:id="230"/>
    <w:p>
      <w:pPr>
        <w:ind w:right="2259"/>
        <w:spacing w:after="0" w:line="257" w:lineRule="auto"/>
        <w:rPr>
          <w:sz w:val="20"/>
          <w:szCs w:val="20"/>
          <w:color w:val="auto"/>
        </w:rPr>
      </w:pPr>
      <w:r>
        <w:rPr>
          <w:rFonts w:ascii="Courier New" w:cs="Courier New" w:eastAsia="Courier New" w:hAnsi="Courier New"/>
          <w:sz w:val="17"/>
          <w:szCs w:val="17"/>
          <w:color w:val="auto"/>
        </w:rPr>
        <w:t>YEAR ENDED DECEMBER 31, 2000 COMPARED WITH THE TEN MONTHS ENDED DECEMBER 31, 1999</w:t>
      </w:r>
    </w:p>
    <w:p>
      <w:pPr>
        <w:spacing w:after="0" w:line="19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Revenue. Revenue increased $3,365 million, or 66%, in 2000 compared to 1999. This increase was due to the impact of the MediaOne acquisition of $1,730 million, an additional two months of revenue in 2000 of $1,035 million, and the consolidation of Excite@Home of $248 million. The remaining increase was primarily a result of an increase in basic cable and digital video revenue of approximately $268 million and increased revenue from advanced services (high-speed cable Internet service and broadband telephone) of $169 million. Cable revenue increased primarily as a result of rate increases. Such increases were partially offset by a decrease in revenue of $104 million due to the Cox disposition.</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 December 31, 2000, AT&amp;T Broadband Group served approximately 16.0 million basic cable customers, while passing approximately 28.3 million homes, compared with 11.4 million basic cable customers, while passing approximately 19.7 million homes at December 31, 1999. AT&amp;T Broadband Group acquired systems passing approximately 8.7 million homes with approximately 5.0 million basic cable customers in the MediaOne acquisition. At December 31, 2000, AT&amp;T Broadband Group provided digital video service to approximately 2.8 million customers, high-speed cable Internet service to approximately 1.1 million customers, and broadband telephone service to approximately 547,000 customers. This compares with approximately 1.8 million digital video customers, approximately 207,000 high-speed cable Internet service customers, and nearly 8,300 cable telephone customers at December 31, 1999. The MediaOne acquisition added 0.2 million digital video service customers, 0.3 million high-speed cable Internet customers and 0.1 million cable telephone customers.</w:t>
      </w:r>
    </w:p>
    <w:p>
      <w:pPr>
        <w:spacing w:after="0" w:line="20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Cost of Services. Cost of services increased $1,914 million, or 71%, in 2000 compared with 1999. This increase was primarily due to the impact of the MediaOne acquisition of $833 million, an additional two months of costs in 2000 of $576 million and the consolidation of Excite@Home of $195 million. The remaining increase primarily is a result of $180 million of programming costs, an increase of $142 million associated with high-speed cable Internet and broadband telephone services and an increase in salary expense and other basic cable costs of $138 million due to growth in business. Such increases were offset by a decrease in costs of $48 million due to the Cox disposition.</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Selling, General and Administrative. Selling, general and administrative expenses increased $927 million, or 74%, in 2000 compared to 1999. This increase was primarily due to the impact of the MediaOne acquisition of $458 million, an additional two months in 2000 of $210 million, an increase in expenses related to high-speed cable Internet and broadband telephone service of $232 million and the consolidation of Excite@Home of $56 million.</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Depreciation and Other Amortization. Depreciation and other amortization increased $869 million, or 108%, in 2000 compared to 1999. The increase was primarily due to the impact of the MediaOne acquisition of $473 million, the consolidation of Excite@Home of $80 million, an additional two months in 2000 of $157 million and a higher asset base resulting from continued infrastructure investment. Total capital expenditures for 2000 and 1999 were $4,426 million and $3,161 million, respectively.</w:t>
      </w:r>
    </w:p>
    <w:p>
      <w:pPr>
        <w:spacing w:after="0" w:line="196"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Amortization of Goodwill, Franchise Costs and Other Purchased Intangibles. Amortization increased $1,508 million, or 174%, in 2000 compared to 1999. The increase was primarily due to the impact of the MediaOne acquisition of $515 million, the consolidation of Excite@Home of $911 million, and an additional two months in 2000 of $161 million.</w:t>
      </w:r>
    </w:p>
    <w:p>
      <w:pPr>
        <w:spacing w:after="0" w:line="197"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Asset Impairment, Restructuring and Other Charges. Asset impairment, restructuring and other charges increased $5,626 million in 2000 to $6,270 million. For the year ended 2000, the charge included $6,179 million of asset impairment charges related to Excite@Home and $91 million related to restructuring and exit costs.</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charges related to Excite@Home include $4,609 million of asset impairment charges recorded by Excite@Home associated with the impairment of goodwill from various acquisitions and a related goodwill impairment charge of $1,570 million recorded by AT&amp;T Broadband Group associated with goodwill from the acquisition of its investment in Excite@Home. The impairments resulted from a decision by Excite@Home to exit certain businesses, as well as significant changes to the dynamics of the online</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VII-29</w:t>
      </w:r>
    </w:p>
    <w:p>
      <w:pPr>
        <w:sectPr>
          <w:pgSz w:w="11900" w:h="16838" w:orient="portrait"/>
          <w:cols w:equalWidth="0" w:num="1">
            <w:col w:w="10219"/>
          </w:cols>
          <w:pgMar w:left="240" w:top="719" w:right="1440" w:bottom="457" w:gutter="0" w:footer="0" w:header="0"/>
        </w:sectPr>
      </w:pPr>
    </w:p>
    <w:bookmarkStart w:id="231" w:name="page232"/>
    <w:bookmarkEnd w:id="231"/>
    <w:p>
      <w:pPr>
        <w:ind w:right="1939"/>
        <w:spacing w:after="0" w:line="252" w:lineRule="auto"/>
        <w:rPr>
          <w:sz w:val="20"/>
          <w:szCs w:val="20"/>
          <w:color w:val="auto"/>
        </w:rPr>
      </w:pPr>
      <w:r>
        <w:rPr>
          <w:rFonts w:ascii="Courier New" w:cs="Courier New" w:eastAsia="Courier New" w:hAnsi="Courier New"/>
          <w:sz w:val="17"/>
          <w:szCs w:val="17"/>
          <w:color w:val="auto"/>
        </w:rPr>
        <w:t>media market that Excite@Home operates in, which necessitated a general impairment review of Excite@Home's intangible assets. Since AT&amp;T Broadband Group, through AT&amp;T Broadband, LLC, owned approximately 23% of Excite@Home, 77% of the charge recorded by Excite@Home was not included as an increase of net loss, but rather was eliminated through minority interest income (expense) in the combined statements of operations.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$91 million charge for restructuring and exit plans was primarily due to headcount reductions as part of the integration of MediaOne, the centralization of certain functions, and the consolidation of call center facilities. This charge included $61 million of cash termination benefits associated with the involuntary separation of 1,060 employees. Approximately 25% of the employees were management while 75% were non-management employees. Approximately 74% of the affected employees had left their positions as of December 31, 2000. The $91 million charge also included a loss of $30 million recognized on the disposition of facilities as a result of synergies created by the MediaOne acquisition.</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2000 restructuring initiatives are projected to yield cash savings of approximately $80 million per year. It is expected that increased spending in growth services will largely offset these cash and earnings before interest and taxes, or operating expense savings of approximately $50 million. The operating expense savings, primarily attributable to reduced personnel related expenses, will be realized in cost of services and selling, general and administrative expenses.</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1999, AT&amp;T Broadband Group recorded $644 million of asset impairment, restructuring and other charges. This included an in-process research and development charge of $594 million reflecting the estimated fair value of research and development projects, as of the date of the TCI merger, which had not yet reached technological feasibility or had alternative future use. The projects identified related to efforts to offer voice-over-IP, product integration efforts for advanced set-top devices, cost-savings efforts for broadband telephone implementation, and in-process research and development related to Excite@Home. The fair value of in-process research and development was estimated for each project using an income approach, which was adjusted to allocate fair value based on the project's percentage of completion. Under this approach, the present value of the anticipated future benefits of the projects was determined using a discount rate of 17%. For each project, the resulting net present value was multiplied by a percentage of completion based on effort expended to date versus projected costs to complete.</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charge associated with the voice-over-IP technology, which allows voice telephone traffic to be digitalized and transmitted in IP data packets, was $225 million as of the date of the TCI merger. Current voice-over-IP equipment does not yet support many of the features required to connect customer premises equipment to traditional phone networks. Further technical development is also needed to ensure voice quality that is comparable to conventional circuit-switched telephone services and to reduce the power consumption of the IP telephone services equipment. Testing of IP telephone services equipment in the field was started in late 2000 and will continue throughout 2001.</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charge associated with product integration efforts for advanced set-top devices, which will enable AT&amp;T Broadband Group to offer next-generation digital services, was $114 million as of the date of the TCI merger. The associated technology consists of the development and integration work needed to provide a suite of software tools to run on the digital set-top box hardware platform. It is anticipated that field trials will begin in late 2001 for next generation digital services.</w:t>
      </w:r>
    </w:p>
    <w:p>
      <w:pPr>
        <w:spacing w:after="0" w:line="196"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The charge associated with cost-savings efforts for broadband telephone services implementation was $101 million as of the date of the TCI merger. Telephone services cost reductions primarily consist of cost savings from the development of a "line of power switch," which allows cost effective power for customer telephone equipment through the cable plant. This device will allow AT&amp;T Broadband Group to provide line-powered telephone service without burying the cable line to each house. Trials related to the telephone services cost reductions are complete and implementation has begun in certain markets.</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Additionally, the in-process research and development charge related to Excite@Home was valued at $154 million. This charge related to projects to allow for self-provisioning of devices and the development of next-generation client software, network and back-office infrastructure to enable a variety of network devices beyond personal computers and improved design for the regional data centers' infrastructure.</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VII-30</w:t>
      </w:r>
    </w:p>
    <w:p>
      <w:pPr>
        <w:sectPr>
          <w:pgSz w:w="11900" w:h="16838" w:orient="portrait"/>
          <w:cols w:equalWidth="0" w:num="1">
            <w:col w:w="10219"/>
          </w:cols>
          <w:pgMar w:left="240" w:top="719" w:right="1440" w:bottom="54" w:gutter="0" w:footer="0" w:header="0"/>
        </w:sectPr>
      </w:pPr>
    </w:p>
    <w:bookmarkStart w:id="232" w:name="page233"/>
    <w:bookmarkEnd w:id="232"/>
    <w:p>
      <w:pPr>
        <w:ind w:right="1939" w:firstLine="524"/>
        <w:spacing w:after="0" w:line="252" w:lineRule="auto"/>
        <w:rPr>
          <w:sz w:val="20"/>
          <w:szCs w:val="20"/>
          <w:color w:val="auto"/>
        </w:rPr>
      </w:pPr>
      <w:r>
        <w:rPr>
          <w:rFonts w:ascii="Courier New" w:cs="Courier New" w:eastAsia="Courier New" w:hAnsi="Courier New"/>
          <w:sz w:val="17"/>
          <w:szCs w:val="17"/>
          <w:color w:val="auto"/>
        </w:rPr>
        <w:t>Although there are technological issues to overcome to complete successfully the acquired in-process research and development, successful completion is expected. The costs to complete the identified projects will not have a material impact on the results of operations. If, however, management of AT&amp;T Broadband Group is unable to establish technological feasibility and produce commercially viable products/services, anticipated incremental cash flows attributed to expected profits from such new products/services may not be realized.</w:t>
      </w:r>
    </w:p>
    <w:p>
      <w:pPr>
        <w:spacing w:after="0" w:line="3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Also in 1999, the asset impairment, restructuring and other charges included a $50 million loss related to a contribution agreement TCI entered into with Phoenixstar, Inc. This agreement requires AT&amp;T Broadband Group to satisfy certain liabilities owed by Phoenixstar and its subsidiaries. The remaining obligation under this contribution agreement and an agreement that MediaOne has is $57 million, which was fully accrued at December 31, 2000.</w:t>
      </w:r>
    </w:p>
    <w:p>
      <w:pPr>
        <w:spacing w:after="0" w:line="197"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Other (Expense) Income. Other (expense) income decreased from income of $50 million in 1999 to expense of $39 million for 2000. Such decrease was primarily a result of a $537 million charge resulting from the increase in the fair value of the put options held by Comcast and Cox related to Excite@Home stock and investment impairment charges of $240 million. This was offset by an increase in gains on sales of businesses and investments of $577 million, including the swap of cable systems with Comcast and Cox and the sale of the investment in Lenfest, and an increase of $69 million in interest and dividend income.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Interest Expense. Interest expense increased $618 million in 2000 to $1,323 million compared to 1999. The increase was a result of an increase in debt of $13.5 billion due primarily to the MediaOne acquisition and the monetization of investments in Microsoft and Comcast. The remaining increase was due to two additional months of interest in 2000 and an increase in the interest rate charged from AT&amp;T for intercompany debt.</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Benefit for Income Taxes. The benefit for income taxes for the year ended December 31, 2000, was $1,183 million, compared with a benefit of $465 million for the ten months ended December 31, 1999. The effective income tax rate for the year ended December 31, 2000 was 11.8%, compared to 25.3% for the ten months ended December 31, 1999. The effective income tax rate for 2000 was impacted by the inclusion of Excite@Home as a consolidated entity, and the Cox disposition. The 1999 effective income tax rate was impacted by the non tax-deductible write-off of in-process research and development.</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Net Losses from Equity Investments. Net losses from equity investments which are recorded net of income taxes decreased $110 million compared to 1999. The decrease was due in part to a $185 million improvement in Cablevision's results which was partially offset by additional equity losses of $64 million from amortization of excess basis of equity investments acquired in the MediaOne acquisition. The improvement in Cablevision's results is primarily due to gains from cable system sales. The income tax benefit recorded on net losses from equity investments was $370 million for the year ended December 31, 2000, and $438 million for the ten months ended December 31, 1999. Amortization of goodwill associated with non-consolidated investments totaled $485 million and $476 million for the year ended December 31, 2000 and the ten months ended December 31, 1999, respectively.</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Minority Interest Income (Expense). Minority interest income (expense), which is recorded net of income taxes, represents an adjustment to AT&amp;T Broadband Group's net loss to reflect the less than 100% ownership of entities attributed to AT&amp;T Broadband Group as well as dividends on preferred stock issued by subsidiaries of AT&amp;T which have been attributed to AT&amp;T Broadband Group. The increase of $4,188 million in 2000 primarily resulted from the consolidation of Excite@Home effective September 1, 2000. The minority interest in 2000 primarily reflects the losses generated by Excite@Home, including the goodwill impairment charge, that were attributed to the approximate 77% of Excite@Home not owned by AT&amp;T Broadband Group. The income tax benefit recorded on minority interest income (expense) was $100 million for the year ended December 31, 2000 and $54 million for the ten months ended December 31,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AT&amp;T Broadband Group has funded its operations through internally generated funds, asset sales, capital contributions from AT&amp;T and intercompany borrowings from AT&amp;T. Capital contributions from</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VII-31</w:t>
      </w:r>
    </w:p>
    <w:p>
      <w:pPr>
        <w:sectPr>
          <w:pgSz w:w="11900" w:h="16838" w:orient="portrait"/>
          <w:cols w:equalWidth="0" w:num="1">
            <w:col w:w="10219"/>
          </w:cols>
          <w:pgMar w:left="240" w:top="719" w:right="1440" w:bottom="457" w:gutter="0" w:footer="0" w:header="0"/>
        </w:sectPr>
      </w:pPr>
    </w:p>
    <w:bookmarkStart w:id="233" w:name="page234"/>
    <w:bookmarkEnd w:id="233"/>
    <w:p>
      <w:pPr>
        <w:ind w:right="2679"/>
        <w:spacing w:after="0" w:line="257" w:lineRule="auto"/>
        <w:rPr>
          <w:sz w:val="20"/>
          <w:szCs w:val="20"/>
          <w:color w:val="auto"/>
        </w:rPr>
      </w:pPr>
      <w:r>
        <w:rPr>
          <w:rFonts w:ascii="Courier New" w:cs="Courier New" w:eastAsia="Courier New" w:hAnsi="Courier New"/>
          <w:sz w:val="17"/>
          <w:szCs w:val="17"/>
          <w:color w:val="auto"/>
        </w:rPr>
        <w:t>AT&amp;T include acquisitions made by AT&amp;T that have been attributed to AT&amp;T Broadband Group which are treated as non-cash.</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Currently, financing activities for AT&amp;T Broadband Group are managed by AT&amp;T on a centralized basis. Sources for AT&amp;T Broadband Group's future financing requirements may include borrowing of funds, including additional debt from AT&amp;T and/or third party debt. Loans from AT&amp;T to any member of AT&amp;T Broadband Group have been made at interest rates and on other terms and conditions intended to be substantially equivalent to the interest rates and other terms and conditions that AT&amp;T Broadband Group would be able to obtain from third parties, including the public markets, as a non-affiliate of AT&amp;T without the benefit of any guaranty by AT&amp;T.</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performs cash management functions on behalf of AT&amp;T Broadband Group. Substantially all of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Net cash used in operating activities for the nine months ended September 30, 2001 was $779 million compared with cash provided by operations of $421 million for the nine months ended September 30, 2000. Net cash used in operating activities for the nine months ended September 30, 2001 was due to net income of $179 million, exclusive of non-cash items including adjustments for net losses on sales of businesses and investments, offset by changes in other operating assets and liabilities of $958 million. Net cash provided by operating activities for the nine months ended September 30, 2000 was due to net income of $1,251 million, exclusive of non-cash items including adjustments for net gains on sales of businesses and investments, offset by net changes in other operating assets and liabilities of $830 million.</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Net cash provided by investing activities for the nine months ended September 30, 2001 was $2,328 million compared with $3,208 million of cash used in investing activities for the nine months ended September 30, 2000. For the nine months ended September 30, 2001, AT&amp;T Broadband Group's cash provided by investing activities primarily resulted from $4,812 million cash received from net acquisitions and dispositions of businesses offset by capital expended for property and equipment, net of disposals, of $2,521 million. For the nine months ended September 30, 2000, AT&amp;T Broadband Group's cash used in investing activities primarily resulted from capital expended for property and equipment, net of proceeds from disposals of $3,067 million and $83 million of cash paid for net acquisitions and dispositions.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Net cash used in financing activities for the nine months ended September 30, 2001 was $1,357 million compared to net cash provided by financing activities for the nine months ended September 30, 2000 of $2,963 million. For the nine months ended September 30, 2001, AT&amp;T Broadband Group used cash of $807 million to retire long-term debt, net of proceeds, $190 million to pay dividends on preferred securities, and $360 million to reduce short-term debt, net of cash transfers from AT&amp;T. Net proceeds from dispositions were used to reduce debt levels. For the nine months ended September 30, 2000, AT&amp;T Broadband Group used cash of $1,422 million to retire long-term debt and redeemable securities, $399 million to pay other financing activities, and $147 million to pay dividends on preferred securities. For the nine months ended September 30, 2000, AT&amp;T Broadband Group received $4,931 million in short-term debt and transfers from AT&amp;T. Funding from AT&amp;T was received to cover capital expenditures and other investing activities and the retirement of long-term debt and other financing activities.</w:t>
      </w:r>
    </w:p>
    <w:p>
      <w:pPr>
        <w:spacing w:after="0" w:line="200" w:lineRule="exact"/>
        <w:rPr>
          <w:sz w:val="20"/>
          <w:szCs w:val="20"/>
          <w:color w:val="auto"/>
        </w:r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Net cash provided by operating activities for the year ended December 31,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 was $802 million, compared with $1,380 million for the ten months ended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1999. Net cash provided by operating activities for the year ended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2000 was due to net income of $1,260 million, exclusive of non-cash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items including adjustments for net gains on sales of businesses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 offset by a change in other operating assets and liabilities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$458 million. Net cash provided by operating activities for the ten months ended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1999 was due to net income of $1,007 million, exclusive of non-cash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items including adjustments for net gains on sales of businesses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 and a change in other operating assets and liabilities of $373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million.</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VII-32</w:t>
      </w:r>
    </w:p>
    <w:p>
      <w:pPr>
        <w:sectPr>
          <w:pgSz w:w="11900" w:h="16838" w:orient="portrait"/>
          <w:cols w:equalWidth="0" w:num="1">
            <w:col w:w="10219"/>
          </w:cols>
          <w:pgMar w:left="240" w:top="719" w:right="1440" w:bottom="1062" w:gutter="0" w:footer="0" w:header="0"/>
        </w:sectPr>
      </w:pPr>
    </w:p>
    <w:bookmarkStart w:id="234" w:name="page235"/>
    <w:bookmarkEnd w:id="234"/>
    <w:p>
      <w:pPr>
        <w:ind w:right="1839" w:firstLine="524"/>
        <w:spacing w:after="0" w:line="251" w:lineRule="auto"/>
        <w:rPr>
          <w:sz w:val="20"/>
          <w:szCs w:val="20"/>
          <w:color w:val="auto"/>
        </w:rPr>
      </w:pPr>
      <w:r>
        <w:rPr>
          <w:rFonts w:ascii="Courier New" w:cs="Courier New" w:eastAsia="Courier New" w:hAnsi="Courier New"/>
          <w:sz w:val="17"/>
          <w:szCs w:val="17"/>
          <w:color w:val="auto"/>
        </w:rPr>
        <w:t>Net cash used in investing activities for the year ended December 31, 2000 was $4,511 million compared with $2,915 million for the ten months ended December 31, 1999. For the year ended December 31, 2000, AT&amp;T Broadband Group's cash used in investing activities resulted from capital expended for property and equipment, net of proceeds from disposals, of $4,426 million and $85 million used in other investing activities. For the ten months ended December 31, 1999, AT&amp;T Broadband Group's cash used in investing activities resulted from capital expended for property and equipment, net of proceeds from disposals of $3,161 million offset by $246 million provided by other investing activities. Capital expenditures are primarily due to the continued expansion and upgrade of the network to provide advanced services, including high-speed cable Internet service and broadband telephone services.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Net cash provided by financing activities for the year ended December 31,</w:t>
      </w:r>
    </w:p>
    <w:p>
      <w:pPr>
        <w:spacing w:after="0" w:line="9"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2000 was $3,770 million compared with $1,535 million for the ten months ended December 31, 1999. For the year ended December 31, 2000, AT&amp;T Broadband Group received proceeds from the issuance of long-term debt, net of retirement of long-term debt and redeemable securities, of $2,281 million and net cash from AT&amp;T through transfers and short-term debt borrowings of $2,298 million. This was offset by $294 million of dividends paid on redeemable securities and $515 million of other financing activities. For the ten months ended December 31, 1999, AT&amp;T Broadband Group received proceeds from the issuance of convertible securities, net of retirements of long-term debt, of $2,607 million. This was offset by cash transfers to AT&amp;T, net of borrowings from AT&amp;T, of $937 million and $135 million of dividends paid on redeemable securities. The increase in cash from financing activities was primarily due to the additional funding needed for increased capital expenditures.</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continued expansion and upgrade of AT&amp;T Broadband Group's network to provide advanced services, including high-speed cable Internet service and broadband telephone service will continue to require substantial capital. AT&amp;T Broadband Group anticipates that it will spend approximately $4.2 billion in 2002 primarily to expand and upgrade its network for the provision of advanced services and to add new customers. AT&amp;T has provided and it is anticipated that AT&amp;T will continue to provide funding to AT&amp;T Broadband Group for capital expenditures.</w:t>
      </w:r>
    </w:p>
    <w:p>
      <w:pPr>
        <w:spacing w:after="0" w:line="201"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At September 30, 2001, AT&amp;T Broadband Group had current assets of $1,427 million and current liabilities of $8,883 million. A significant portion of the current liabilities, $5,962 million, relates to short-term debt of which $5,390 million was due to AT&amp;T.</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As of September 30, 2001, total debt was $23,274 million of which $5,760 million was monetized by investments, where such investments can be delivered in full satisfaction of the underlying debt at the time of maturity. In January and February 2002, AT&amp;T announced that it will redeem $1,312 million of trust preferred securities in February and March of 2002. These amounts are classified as long-term debt in the combined balance sheet.</w:t>
      </w:r>
    </w:p>
    <w:p>
      <w:pPr>
        <w:spacing w:after="0" w:line="19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AT&amp;T Broadband Group expects that it will retire a portion of the short-term debt with other financing arrangements, including the monetization of publicly-held securities and the sales of certain non-strategic assets and investments.</w:t>
      </w:r>
    </w:p>
    <w:p>
      <w:pPr>
        <w:spacing w:after="0" w:line="396"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October 2001, AT&amp;T Broadband Group sold 19.2 million shares of Cablevision NY Group Class A common stock and, through a trust, 26.9 million shares of a mandatorily exchangeable trust security that will be exchangeable into up to 26.9 million shares of Cablevision NY Group Class A common stock at maturity in three years. The offering generated approximately $1,422 million of pretax net cash proceeds.</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December 2001, AT&amp;T Broadband Group sold 14.7 million shares of Cablevision's Rainbow Media Group Class A tracking stock and, through a trust, 9.8 million shares of a mandatorily exchangeable trust security that will be exchangeable into up to 9.8 million shares of Rainbow Media Group Class A tracking stock at maturity in three years. The offering generated approximately $487 million of pretax net cash proceeds.</w:t>
      </w:r>
    </w:p>
    <w:p>
      <w:pPr>
        <w:spacing w:after="0" w:line="19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In addition, AT&amp;T has exercised its registration rights in TWE and formally requested TWE to begin the process of converting the limited partnership into a corporation with registered equity securities. In</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VII-33</w:t>
      </w:r>
    </w:p>
    <w:p>
      <w:pPr>
        <w:sectPr>
          <w:pgSz w:w="11900" w:h="16838" w:orient="portrait"/>
          <w:cols w:equalWidth="0" w:num="1">
            <w:col w:w="10219"/>
          </w:cols>
          <w:pgMar w:left="240" w:top="719" w:right="1440" w:bottom="659" w:gutter="0" w:footer="0" w:header="0"/>
        </w:sectPr>
      </w:pPr>
    </w:p>
    <w:bookmarkStart w:id="235" w:name="page236"/>
    <w:bookmarkEnd w:id="235"/>
    <w:p>
      <w:pPr>
        <w:ind w:right="1839"/>
        <w:spacing w:after="0" w:line="257" w:lineRule="auto"/>
        <w:rPr>
          <w:sz w:val="20"/>
          <w:szCs w:val="20"/>
          <w:color w:val="auto"/>
        </w:rPr>
      </w:pPr>
      <w:r>
        <w:rPr>
          <w:rFonts w:ascii="Courier New" w:cs="Courier New" w:eastAsia="Courier New" w:hAnsi="Courier New"/>
          <w:sz w:val="17"/>
          <w:szCs w:val="17"/>
          <w:color w:val="auto"/>
        </w:rPr>
        <w:t>May 2001, AT&amp;T named Credit Suisse First Boston as its investment banker for the registration process under the TWE partnership agreement.</w:t>
      </w:r>
    </w:p>
    <w:p>
      <w:pPr>
        <w:spacing w:after="0" w:line="192"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AT&amp;T Broadband Group has other commitments and contractual obligations that will also impact its cash needs. AT&amp;T Broadband Group's more significant commitments and contractual obligations are as follows:</w:t>
      </w:r>
    </w:p>
    <w:p>
      <w:pPr>
        <w:spacing w:after="0" w:line="194" w:lineRule="exact"/>
        <w:rPr>
          <w:sz w:val="20"/>
          <w:szCs w:val="20"/>
          <w:color w:val="auto"/>
        </w:rPr>
      </w:pPr>
    </w:p>
    <w:p>
      <w:pPr>
        <w:ind w:left="740" w:right="1839" w:hanging="209"/>
        <w:spacing w:after="0" w:line="251" w:lineRule="auto"/>
        <w:tabs>
          <w:tab w:leader="none" w:pos="740" w:val="left"/>
        </w:tabs>
        <w:numPr>
          <w:ilvl w:val="0"/>
          <w:numId w:val="2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July 1997, AT&amp;T Broadband LLC's predecessor, TCI, and AT&amp;T Broadband 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Starz Encore Group is a subsidiary of Liberty Media Group, a former subsidiary of AT&amp;T. The commitment increases annually from $288 million in 2001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Starz Encore Group requested payment from AT&amp;T Broadband Group of amounts it contends are AT&amp;T Broadband Group's proportionate share of what Starz Encore Group reported as its excess programming costs during the first quarter of 2001 (which amount, approximately $40 million, Starz Encore Group indicated it expected to represent the bulk of what it considered AT&amp;T Broadband Group's proportionate share of excess programming costs Starz Encore Group considers to be payable for the year 2001). Excess programming costs Starz Encore Group is expected to contend to be payable by AT&amp;T Broadband Group in future years are not presently estimable, and could be significantly larger. By letter dated May 29, 2001, AT&amp;T Broadband Group disputed the enforceability of the excess programming pass through provisions of the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200" w:lineRule="exact"/>
        <w:rPr>
          <w:rFonts w:ascii="Courier New" w:cs="Courier New" w:eastAsia="Courier New" w:hAnsi="Courier New"/>
          <w:sz w:val="17"/>
          <w:szCs w:val="17"/>
          <w:color w:val="auto"/>
        </w:rPr>
      </w:pPr>
    </w:p>
    <w:p>
      <w:pPr>
        <w:spacing w:after="0" w:line="203" w:lineRule="exact"/>
        <w:rPr>
          <w:rFonts w:ascii="Courier New" w:cs="Courier New" w:eastAsia="Courier New" w:hAnsi="Courier New"/>
          <w:sz w:val="17"/>
          <w:szCs w:val="17"/>
          <w:color w:val="auto"/>
        </w:rPr>
      </w:pPr>
    </w:p>
    <w:p>
      <w:pPr>
        <w:ind w:left="740" w:right="2039" w:hanging="209"/>
        <w:spacing w:after="0" w:line="251" w:lineRule="auto"/>
        <w:tabs>
          <w:tab w:leader="none" w:pos="740" w:val="left"/>
        </w:tabs>
        <w:numPr>
          <w:ilvl w:val="0"/>
          <w:numId w:val="2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Group is party to an agreement under which it purchases certain billing services from an unaffiliated third party. Unless terminated by either party pursuant to the terms of the agreement, the agreement expires on December 31, 2012. The agreement calls for monthly payments. Such payments are subject to adjustments and conditions pursuant to the terms of the underlying agreement. Amounts included in selling, general and administrative expenses that were incurred in connection with these arrangements were approximately $143 million for the year ended December 31, 2000.</w:t>
      </w:r>
    </w:p>
    <w:p>
      <w:pPr>
        <w:spacing w:after="0" w:line="201" w:lineRule="exact"/>
        <w:rPr>
          <w:rFonts w:ascii="Courier New" w:cs="Courier New" w:eastAsia="Courier New" w:hAnsi="Courier New"/>
          <w:sz w:val="17"/>
          <w:szCs w:val="17"/>
          <w:color w:val="auto"/>
        </w:rPr>
      </w:pPr>
    </w:p>
    <w:p>
      <w:pPr>
        <w:ind w:left="740" w:right="1939" w:hanging="209"/>
        <w:spacing w:after="0" w:line="251" w:lineRule="auto"/>
        <w:tabs>
          <w:tab w:leader="none" w:pos="740" w:val="left"/>
        </w:tabs>
        <w:numPr>
          <w:ilvl w:val="0"/>
          <w:numId w:val="2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time to time, AT&amp;T Broadband, LLC and MediaOne may guarantee the debt of their subsidiaries and certain unconsolidated joint ventures. AT&amp;T Broadband, LLC has taken certain steps to support debt compliance with respect to obligations aggregating $1,461 million at December 31, 2000 of certain cable television partnerships in which AT&amp;T Broadband, LLC has a non-controlling ownership interest and which have been attributed to AT&amp;T Broadband Group. All guarantees of AT&amp;T Broadband Group totaled $1,486 million at December 31, 2000. Although there can be no assurances, management believes that it will not be required to meet its obligations under such guarantees.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VII-34</w:t>
      </w:r>
    </w:p>
    <w:p>
      <w:pPr>
        <w:sectPr>
          <w:pgSz w:w="11900" w:h="16838" w:orient="portrait"/>
          <w:cols w:equalWidth="0" w:num="1">
            <w:col w:w="10219"/>
          </w:cols>
          <w:pgMar w:left="240" w:top="719" w:right="1440" w:bottom="1440" w:gutter="0" w:footer="0" w:header="0"/>
        </w:sectPr>
      </w:pPr>
    </w:p>
    <w:bookmarkStart w:id="236" w:name="page237"/>
    <w:bookmarkEnd w:id="236"/>
    <w:p>
      <w:pPr>
        <w:spacing w:after="0"/>
        <w:rPr>
          <w:sz w:val="20"/>
          <w:szCs w:val="20"/>
          <w:color w:val="auto"/>
        </w:rPr>
      </w:pPr>
      <w:r>
        <w:rPr>
          <w:rFonts w:ascii="Courier New" w:cs="Courier New" w:eastAsia="Courier New" w:hAnsi="Courier New"/>
          <w:sz w:val="17"/>
          <w:szCs w:val="17"/>
          <w:color w:val="auto"/>
        </w:rPr>
        <w:t>FINANCIAL CONDITION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Total assets were $104,261 million as of September 30, 2001, which represented a decrease of $13,273 million compared to December 31, 2000. The decrease primarily resulted from the net disposition of cable systems during 2001. Additional decreases resulted from the deconsolidation of Excite@Home; the exchange of an investment in Vodafone Group plc for the settlement of exchangeable notes; the transfer of investments to AT&amp;T; the unfavorable mark-to-market adjustments on investments and amortization of franchise costs and goodwill. Such decrease was partially offset by capital expenditures, net of depreciation.</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Total liabilities were $52,828 million as of September 30, 2001, representing a decrease of $12,258 million compared to December 31, 2000. The decrease was due primarily to the dispositions and exchanges of cable systems; the settlement of the Excite@Home put options; the deconsolidation of Excite@Home; the settlement of exchangeable notes and other retirements of long-term debt.</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Minority interest decreased $1,102 million to $3,319 million at September 30, 2001 as compared to December 31, 2000. The decrease was primarily due to Excite@Home. On September 28, 2001, Excite@Home filed for bankruptcy under Chapter 11 in the U.S. Bankruptcy Court for the Northern District of California. As a result, AT&amp;T Broadband Group deconsolidated Excite@Home effective September 30, 2001.</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Combined attributed net assets were $43,396 million as of September 30, 2001, which represented an increase of $79 million compared to December 31, 2000. The increase was primarily due to contributions from AT&amp;T and an increase in accumulated other comprehensive income due to the adoption of SFAS No. 133. Such increases were partially offset by the net loss for the nine months ended September 30, 2001.</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Comcast and AT&amp;T Comcast have entered into an agreement with Microsoft pursuant to which at the time of the AT&amp;T Broadband spin-off, Microsoft will exchange the $5 billion company-obligated convertible quarterly income preferred securities for shares of AT&amp;T Broadband Corp. common stock that will be converted into, subject to adjustments, 115 million shares of AT&amp;T Comcast common stock in the AT&amp;T Comcast transaction.</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Total assets were $117,534 million as of December 31, 2000, which increased $59,306 million compared to December 31, 1999. The increase was primarily due to the impact of the MediaOne acquisition, which resulted in increased goodwill, franchise costs, and investments including Time Warner Entertainment and Vodafone Group plc and the impact of the consolidation of Excite@Home. Additional increases resulted from capital expenditures, net of depreciation. Such increases were partially offset by a decrease in the mark-to-market valuation of certain investments.</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Total liabilities were $65,086 million as of December 31, 2000, which increased $28,774 million compared to December 31, 1999 primarily due to the impact of the MediaOne acquisition, including the debt and deferred taxes, as well as the consolidation of Excite@Home. Total debt also increased due to the monetization of investments in Microsoft and Comcast. At December 31, 2000, $8.7 billion of total debt was monetized investments, where such investments can be delivered in full satisfaction of the underlying debt at the time of maturity.</w:t>
      </w:r>
    </w:p>
    <w:p>
      <w:pPr>
        <w:spacing w:after="0" w:line="196"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Minority interest increased $2,094 million to $4,421 million at December 31, 2000, primarily reflecting the minority interest in Excite@Home resulting from the consolidation of Excite@Home beginning September 1, 2000 and the outstanding preferred stock of a MediaOne subsidiary.</w:t>
      </w:r>
    </w:p>
    <w:p>
      <w:pPr>
        <w:spacing w:after="0" w:line="195"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Combined attributed net assets were $43,317 million as of December 31, 2000, an increase of $28,428 million compared to December 31, 1999. The increase was primarily due to the net transfers from AT&amp;T for the MediaOne acquisition and net transfers from AT&amp;T to fund capital expenditures.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MANAGEMENT</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AT&amp;T Broadband Group is exposed to market risk from changes in interest rates, as well as changes in equity prices associated with affiliated companies. In addition, AT&amp;T Broadband Group is exposed to</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VII-35</w:t>
      </w:r>
    </w:p>
    <w:p>
      <w:pPr>
        <w:sectPr>
          <w:pgSz w:w="11900" w:h="16838" w:orient="portrait"/>
          <w:cols w:equalWidth="0" w:num="1">
            <w:col w:w="10219"/>
          </w:cols>
          <w:pgMar w:left="240" w:top="719" w:right="1440" w:bottom="457" w:gutter="0" w:footer="0" w:header="0"/>
        </w:sectPr>
      </w:pPr>
    </w:p>
    <w:bookmarkStart w:id="237" w:name="page238"/>
    <w:bookmarkEnd w:id="237"/>
    <w:p>
      <w:pPr>
        <w:ind w:right="1839"/>
        <w:spacing w:after="0" w:line="252" w:lineRule="auto"/>
        <w:rPr>
          <w:sz w:val="20"/>
          <w:szCs w:val="20"/>
          <w:color w:val="auto"/>
        </w:rPr>
      </w:pPr>
      <w:r>
        <w:rPr>
          <w:rFonts w:ascii="Courier New" w:cs="Courier New" w:eastAsia="Courier New" w:hAnsi="Courier New"/>
          <w:sz w:val="17"/>
          <w:szCs w:val="17"/>
          <w:color w:val="auto"/>
        </w:rPr>
        <w:t>market risk from fluctuations in the prices of securities which have been monetized through the issuance of debt. On a limited basis, certain derivative financial instruments, including interest rate swaps and options are used to manage these risks. Financial instruments are not used for trading or speculative purposes. All financial instruments are used in accordance with AT&amp;T board-approved policies.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Interest rate swaps are used to manage the impact of interest rate changes on earnings and cash flows and to lower overall borrowing costs. Option contracts are used to reduce exposure to the risk of fluctuations in the prices of securities that have been monetized. Interest rate risk is monitored on the basis of changes in fair value. Assuming a 10% downward shift in interest rates, the fair value of interest rate swaps and the underlying hedged debt would have changed by $15 million and $1 million at December 31, 2000 and 1999, respectively. In addition, certain debt is indexed to the market prices of certain securities owned. Changes in the market price of these securities result in changes in the fair value of this debt. Assuming a 10% downward change in the market price of the securities, the fair value of the underlying debt and securities would have decreased by $534 million at December 31, 2000. Assuming a 10% downward shift in interest rates at December 31, 2000 and 1999, the fair value of unhedged debt would have increased by $563 million and $288 million, respectively.</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Equity hedges are used to manage exposure to changes in equity prices associated with stock appreciation rights, or SARs. Assuming a 10% decrease in equity prices of affiliated companies, the fair value of equity hedges would have decreased by $29 million and $75 million at December 31, 2000 and 1999, respectively. Because these contracts are entered into for hedging purposes, it's believed that the decrease in fair value would be largely offset by gains on the underlying transaction.</w:t>
      </w:r>
    </w:p>
    <w:p>
      <w:pPr>
        <w:spacing w:after="0" w:line="196"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In order to determine the changes in fair value of the various financial instruments, certain modeling techniques, namely Black-Scholes, are used for the SARs and equity collars. Rate sensitivity changes are directly applied to interest rate swap transactions.</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changes in fair value, as discussed above, assume the occurrence of certain adverse market conditions. They do not consider the potential effect of favorable changes in market factors and do not represent projected losses in fair value expected to incur. Future impacts would be based on actual developments in global financial markets. There are no significant foreseen changes in the strategies used to manage interest rate risk or equity price risk in the near future.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ACCOUNTING PRONOUNCEMENTS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June 2001, the Financial Accounting Standards Board ("FASB") issued Statement of Financial Accounting standard No. 141, "Business Combinations," which supercedes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These requirements are effective for fiscal years beginning after December 15, 2001, which for AT&amp;T Broadband Group means January 1, 2002. AT&amp;T Broadband Group does not expect the adoption of SFAS No. 141 will have a material effect on AT&amp;T Broadband Group's results of operations, financial position or cash flow.</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Also in June 2001, the FASB issued SFAS No. 142, "Goodwill and Other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Intangible Assets," which supercedes APB Opinion No. 17. Under SFAS No. 142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goodwill and indefinite lived intangible assets will no longer be amortized, but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rather will be tested for impairment upon adoption and at least annually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thereafter. In addition, the amortization period of intangible assets with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finite lives will no longer be limited to 40 years. SFAS No. 142 is effective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fiscal years beginning after December 15, 2001, which for AT&amp;T Broadband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Group means the standard will be adopted on January 1, 2002. In connection with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adoption of this standard, AT&amp;T Broadband Group's unamortized goodwill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balance will no longer be amortized, but will continue to be tested 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impairment. The goodwill balance as of September 30, 2001 was $19.4 billion with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related amortization expense for the nine months ended September 30, 2001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$534 million. The excess basis related to AT&amp;T Broadband Group's equity method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 as of September 30, 2001 was $8.6 billion with related amortization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$120 million. In accordance with this statement these costs will no longer be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amortized beginning January 1, 2002. In addition, AT&amp;T</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VII-36</w:t>
      </w:r>
    </w:p>
    <w:p>
      <w:pPr>
        <w:sectPr>
          <w:pgSz w:w="11900" w:h="16838" w:orient="portrait"/>
          <w:cols w:equalWidth="0" w:num="1">
            <w:col w:w="10219"/>
          </w:cols>
          <w:pgMar w:left="240" w:top="719" w:right="1440" w:bottom="256" w:gutter="0" w:footer="0" w:header="0"/>
        </w:sectPr>
      </w:pPr>
    </w:p>
    <w:bookmarkStart w:id="238" w:name="page239"/>
    <w:bookmarkEnd w:id="238"/>
    <w:p>
      <w:pPr>
        <w:ind w:right="1939"/>
        <w:spacing w:after="0" w:line="252" w:lineRule="auto"/>
        <w:rPr>
          <w:sz w:val="20"/>
          <w:szCs w:val="20"/>
          <w:color w:val="auto"/>
        </w:rPr>
      </w:pPr>
      <w:r>
        <w:rPr>
          <w:rFonts w:ascii="Courier New" w:cs="Courier New" w:eastAsia="Courier New" w:hAnsi="Courier New"/>
          <w:sz w:val="17"/>
          <w:szCs w:val="17"/>
          <w:color w:val="auto"/>
        </w:rPr>
        <w:t>Broadband Group has determined that franchise costs are indefinite lived assets and therefore, as of January 1, 2002 will no longer be subject to amortization, but will continue to be tested for impairment. The franchise cost balance as of September 30, 2001 was $43.3 billion with related amortization expense for the nine months ended September 30, 2001 of $929 million. AT&amp;T Broadband Group is continuing to assess the adoption impairment impacts of such standard on AT&amp;T Broadband Group's results of operations.</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which for AT&amp;T Broadband Group means the standard will be adopted on January 1, 2003. AT&amp;T Broadband Group does not expect that the adoption of this statement will have a material impact on AT&amp;T Broadband Group's results of operations, financial position or cash flows.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October 2001, the FASB issued SFAS No. 144, "Accounting for the Impairment or Disposal of Long-Lived Assets," which supercedes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is effective for financial statements issued for fiscal years beginning after December 15, 2001, which for AT&amp;T Broadband Group means the standard will be adopted on January 1, 2002. AT&amp;T Broadband Group does not expect that the adoption of SFAS No. 144 will have a material impact on AT&amp;T Broadband Group's results of operations, financial position or cash flows.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SUBSEQUENT EVENTS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October 2001, AT&amp;T Broadband Group sold approximately 19.2 million shares of Cablevision NY Group Class A common stock and, through a trust, 23.4 million shares of a mandatorily exchangeable trust security that will be exchangeable into up to 23.4 million shares of Cablevision NY Group Class A common stock at maturity in three years. The offering price was $36.05 per share for both the common shares and the exchangeable securities. The offerings generated approximately $1,323 million of pretax cash proceeds, net of underwriting fees. The sale resulted in a pretax loss of approximately $271 million. In addition, the underwriters have exercised a portion of their over-allotment options, which resulted in the sale of an additional 3.5 million shares of the exchangeable securities through the trust. AT&amp;T Broadband Group received additional cash proceeds of approximately $99 million from this transaction.</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December 2001, AT&amp;T Broadband Group sold approximately 12.8 million shares of Cablevision's Rainbow Media Group Class A tracking stock and, through a trust, 8.5 million shares of a mandatorily exchangeable trust security that will be exchangeable into up to 8.5 million shares of Rainbow Media Group Class A tracking stock at maturity in three years. The offering price was $22.50 per share for both the tracking stock shares and the exchangeable trust securities. The offerings generated approximately $424 million of pretax cash proceeds, net of underwriting fees. The sale resulted in a pretax gain of</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VII-37</w:t>
      </w:r>
    </w:p>
    <w:p>
      <w:pPr>
        <w:sectPr>
          <w:pgSz w:w="11900" w:h="16838" w:orient="portrait"/>
          <w:cols w:equalWidth="0" w:num="1">
            <w:col w:w="10219"/>
          </w:cols>
          <w:pgMar w:left="240" w:top="719" w:right="1440" w:bottom="860" w:gutter="0" w:footer="0" w:header="0"/>
        </w:sectPr>
      </w:pPr>
    </w:p>
    <w:bookmarkStart w:id="239" w:name="page240"/>
    <w:bookmarkEnd w:id="239"/>
    <w:p>
      <w:pPr>
        <w:ind w:right="1939"/>
        <w:spacing w:after="0" w:line="252" w:lineRule="auto"/>
        <w:rPr>
          <w:sz w:val="20"/>
          <w:szCs w:val="20"/>
          <w:color w:val="auto"/>
        </w:rPr>
      </w:pPr>
      <w:r>
        <w:rPr>
          <w:rFonts w:ascii="Courier New" w:cs="Courier New" w:eastAsia="Courier New" w:hAnsi="Courier New"/>
          <w:sz w:val="17"/>
          <w:szCs w:val="17"/>
          <w:color w:val="auto"/>
        </w:rPr>
        <w:t>approximately $66 million. In addition, the underwriters have exercised their over-allotment options, which resulted in the sale of an additional 1.9 million tracking stock shares and, through the trust, 1.3 million shares of the exchangeable securities. AT&amp;T Broadband Group received additional proceeds of approximately $63 million.</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During the fourth quarter of 2001, AT&amp;T Broadband Group recorded an impairment charge of $450 million. The impairment charge primarily resulted from management's conclusion that declines in market value were not temporary or the investment could not be held for a period of time to allow for recoverability of fair value as in the case of exchangeable notes due in late 2002 that can be settled with shares of Vodafone ADRs.</w:t>
      </w:r>
    </w:p>
    <w:p>
      <w:pPr>
        <w:spacing w:after="0" w:line="197" w:lineRule="exact"/>
        <w:rPr>
          <w:sz w:val="20"/>
          <w:szCs w:val="20"/>
          <w:color w:val="auto"/>
        </w:rPr>
      </w:pPr>
    </w:p>
    <w:p>
      <w:pPr>
        <w:ind w:right="2259" w:firstLine="524"/>
        <w:spacing w:after="0" w:line="254" w:lineRule="auto"/>
        <w:rPr>
          <w:sz w:val="20"/>
          <w:szCs w:val="20"/>
          <w:color w:val="auto"/>
        </w:rPr>
      </w:pPr>
      <w:r>
        <w:rPr>
          <w:rFonts w:ascii="Courier New" w:cs="Courier New" w:eastAsia="Courier New" w:hAnsi="Courier New"/>
          <w:sz w:val="17"/>
          <w:szCs w:val="17"/>
          <w:color w:val="auto"/>
        </w:rPr>
        <w:t>In January and February 2002, AT&amp;T announced that it will redeem $1,312 million of trust preferred securities in February and March of 2002. These amounts are classified as long-term debt in the combined balance sheets.</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VII-38</w:t>
      </w:r>
    </w:p>
    <w:p>
      <w:pPr>
        <w:sectPr>
          <w:pgSz w:w="11900" w:h="16838" w:orient="portrait"/>
          <w:cols w:equalWidth="0" w:num="1">
            <w:col w:w="10219"/>
          </w:cols>
          <w:pgMar w:left="240" w:top="719" w:right="1440" w:bottom="1440" w:gutter="0" w:footer="0" w:header="0"/>
        </w:sectPr>
      </w:pPr>
    </w:p>
    <w:bookmarkStart w:id="240" w:name="page241"/>
    <w:bookmarkEnd w:id="240"/>
    <w:p>
      <w:pPr>
        <w:jc w:val="center"/>
        <w:ind w:right="1939"/>
        <w:spacing w:after="0"/>
        <w:rPr>
          <w:sz w:val="20"/>
          <w:szCs w:val="20"/>
          <w:color w:val="auto"/>
        </w:rPr>
      </w:pPr>
      <w:r>
        <w:rPr>
          <w:rFonts w:ascii="Courier New" w:cs="Courier New" w:eastAsia="Courier New" w:hAnsi="Courier New"/>
          <w:sz w:val="17"/>
          <w:szCs w:val="17"/>
          <w:color w:val="auto"/>
        </w:rPr>
        <w:t>CHAPTER EIGHT</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DESCRIPTION OF GOVERNANCE ARRANGEMENTS FOLLOWING</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THE AT&amp;T COMCAST TRANSACTION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 BOARD OF DIRECTORS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Upon completion of the transaction, the initial AT&amp;T Comcast Board will have twelve members, five of whom will be designated by Comcast from the existing Comcast Board, five of whom will be designated by AT&amp;T from the existing AT&amp;T Board and two of whom will be jointly designated by Comcast and AT&amp;T and will be independent persons. At all times, the AT&amp;T Comcast Board will consist of a majority of independent persons. Except for pre-approved designees, the individuals designated by each of Comcast and AT&amp;T will be mutually agreed upon by Comcast and AT&amp;T. Ralph J. Roberts, Brian L. Roberts, Sheldon M. Bonovitz, Julian A. Brodsky and Decker Anstrom are pre-approved Comcast director designees and C. Michael Armstrong is a pre-approved AT&amp;T director designee. All of the initial director designees will hold office until the 2005 annual meeting of AT&amp;T Comcast shareholders, or the "Initial Term," which will be held in April 2005. After the Initial Term, the entire AT&amp;T Comcast Board will be elected annually.</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the Initial Term, vacancies on the AT&amp;T Comcast Board left by a Comcast director designee will be filled by a majority of the remaining Comcast director designees (provided that, at all times, one of the Comcast director designees must be an independent person), vacancies on the AT&amp;T Comcast Board left by an AT&amp;T director designee will be filled by a majority of the remaining AT&amp;T director designees and, subject to the prior approval of the AT&amp;T Comcast Board, vacancies on the AT&amp;T Comcast Board left by a Comcast/AT&amp;T joint director designee will be filled by the remaining Comcast/AT&amp;T joint director designee (provided that any such replacement joint director designee must be an independent person). After the Initial Term, the AT&amp;T Comcast Board will fill any vacancies on the AT&amp;T Comcast Board that may arise.</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For information concerning each of the pre-approved Comcast director designees, see Comcast's proxy statement for its 2002 annual meeting of shareholders. For information concerning the pre-approved AT&amp;T director designee, see "Information about the AT&amp;T Annual Meeting and Voting -- Election of Directors."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NOMINATING COMMITTEE</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Upon completion of the transaction, AT&amp;T Comcast will have a Directors Nominating Committee that will have the power to nominate individuals for election as AT&amp;T Comcast directors at the 2005 annual meeting of shareholders and thereafter. The composition of the Directors Nominating Committee will depend on whether Brian L. Roberts is the Chairman of the Board or CEO of AT&amp;T Comcast. During the Initial Term, if Brian L. Roberts is the Chairman of the Board or the CEO, the Directors Nominating Committee will consist of Brian L. Roberts, one Comcast director designee who is an independent person selected by the Comcast director designees and three independent persons who are selected by the Comcast director designees from the AT&amp;T director designees and the Comcast/AT&amp;T joint director designees. During the Initial Term, if Brian L. Roberts is not the Chairman of the Board or the CEO, the Directors Nominating Committee will consist of two Comcast director designees (one of whom shall be an independent person) who are selected by the Comcast director designees and three independent persons who are selected by the Comcast director designees from the AT&amp;T director designees and the Comcast/AT&amp;T joint director designees.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After the Initial Term, the Directors Nominating Committee will consist of Brian L. Roberts, if he is the Chairman of the Board or the CEO, and four directors who are independent persons selected by Brian L. Roberts; provided that no director who was a Comcast director designee may be selected by Brian L. Roberts as a member of the Directors Nominating Committee prior to the seventh anniversary of the date that such director was initially elected to the AT&amp;T Comcast Board. After the Initial Term, if Brian L. Roberts is not the Chairman of the Board or the CEO, the AT&amp;T Comcast Board will determine</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VIII-1</w:t>
      </w:r>
    </w:p>
    <w:p>
      <w:pPr>
        <w:sectPr>
          <w:pgSz w:w="11900" w:h="16838" w:orient="portrait"/>
          <w:cols w:equalWidth="0" w:num="1">
            <w:col w:w="10219"/>
          </w:cols>
          <w:pgMar w:left="240" w:top="719" w:right="1440" w:bottom="1440" w:gutter="0" w:footer="0" w:header="0"/>
        </w:sectPr>
      </w:pPr>
    </w:p>
    <w:bookmarkStart w:id="241" w:name="page242"/>
    <w:bookmarkEnd w:id="241"/>
    <w:p>
      <w:pPr>
        <w:ind w:right="1839"/>
        <w:spacing w:after="0" w:line="252" w:lineRule="auto"/>
        <w:rPr>
          <w:sz w:val="20"/>
          <w:szCs w:val="20"/>
          <w:color w:val="auto"/>
        </w:rPr>
      </w:pPr>
      <w:r>
        <w:rPr>
          <w:rFonts w:ascii="Courier New" w:cs="Courier New" w:eastAsia="Courier New" w:hAnsi="Courier New"/>
          <w:sz w:val="17"/>
          <w:szCs w:val="17"/>
          <w:color w:val="auto"/>
        </w:rPr>
        <w:t>the composition of the Directors Nominating Committee. At any time that Brian L. Roberts is a member of the Directors Nominating Committee, he will be the chairman of that committee. Nominations of the Directors Nominating Committee will be submitted directly to the AT&amp;T Comcast shareholders without any requirement of AT&amp;T Comcast Board approval or ratification.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Chairman of the Board. Upon the completion of the transaction, C. Michael Armstrong, AT&amp;T's Chairman of the Board, will be Chairman of the Board of AT&amp;T Comcast. C. Michael Armstrong will serve as Chairman of the Board until the 2005 annual meeting of AT&amp;T Comcast shareholders, but he will serve as non-executive Chairman of the Board after April 1, 2004. After the 2005 annual meeting of AT&amp;T Comcast shareholders, or if C. Michael Armstrong ceases to serve as Chairman of the Board prior to that date, Brian L. Roberts will be the Chairman of the Board.</w:t>
      </w:r>
    </w:p>
    <w:p>
      <w:pPr>
        <w:spacing w:after="0" w:line="3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Chairman of the Board will preside at all meetings of the AT&amp;T Comcast shareholders and of the AT&amp;T Comcast Board and will have the authority to call special meetings of the AT&amp;T Comcast Board. Removal of the Chairman of the Board will require the vote of at least 75% of the entire AT&amp;T Comcast Board until the earlier to occur of (1) the date on which neither C. Michael Armstrong nor Brian L. Roberts is Chairman of the Board and (2) the fifth anniversary of the 2005 annual meeting of AT&amp;T Comcast shareholders.</w:t>
      </w:r>
    </w:p>
    <w:p>
      <w:pPr>
        <w:spacing w:after="0" w:line="196"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Chief Executive Officer and President. Upon completion of the transaction, Brian L. Roberts, Comcast's President, will be the CEO of AT&amp;T Comcast. Brian L. Roberts will also be President for as long as he is the CEO. The CEO's powers and responsibilities will include:</w:t>
      </w:r>
    </w:p>
    <w:p>
      <w:pPr>
        <w:spacing w:after="0" w:line="195" w:lineRule="exact"/>
        <w:rPr>
          <w:sz w:val="20"/>
          <w:szCs w:val="20"/>
          <w:color w:val="auto"/>
        </w:rPr>
      </w:pPr>
    </w:p>
    <w:p>
      <w:pPr>
        <w:ind w:left="740" w:hanging="209"/>
        <w:spacing w:after="0"/>
        <w:tabs>
          <w:tab w:leader="none" w:pos="740"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supervision and management of AT&amp;T Comcast's business and operations,</w:t>
      </w:r>
    </w:p>
    <w:p>
      <w:pPr>
        <w:spacing w:after="0" w:line="210" w:lineRule="exact"/>
        <w:rPr>
          <w:rFonts w:ascii="Courier New" w:cs="Courier New" w:eastAsia="Courier New" w:hAnsi="Courier New"/>
          <w:sz w:val="17"/>
          <w:szCs w:val="17"/>
          <w:color w:val="auto"/>
        </w:rPr>
      </w:pPr>
    </w:p>
    <w:p>
      <w:pPr>
        <w:ind w:left="740" w:right="2459" w:hanging="209"/>
        <w:spacing w:after="0" w:line="257" w:lineRule="auto"/>
        <w:tabs>
          <w:tab w:leader="none" w:pos="740"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matters related to officers and employees, including hiring and termination,</w:t>
      </w:r>
    </w:p>
    <w:p>
      <w:pPr>
        <w:spacing w:after="0" w:line="191" w:lineRule="exact"/>
        <w:rPr>
          <w:rFonts w:ascii="Courier New" w:cs="Courier New" w:eastAsia="Courier New" w:hAnsi="Courier New"/>
          <w:sz w:val="17"/>
          <w:szCs w:val="17"/>
          <w:color w:val="auto"/>
        </w:rPr>
      </w:pPr>
    </w:p>
    <w:p>
      <w:pPr>
        <w:ind w:left="740" w:right="2559" w:hanging="209"/>
        <w:spacing w:after="0" w:line="257" w:lineRule="auto"/>
        <w:tabs>
          <w:tab w:leader="none" w:pos="740"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rights and powers typically exercised by a corporation's chief executive officer and president, and</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authority to call special meetings of the AT&amp;T Comcast Board.</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Removal of the CEO will require the vote of at least 75% of the entire AT&amp;T Comcast Board until the earlier to occur of (1) the date on which Brian L. Roberts ceases to be the CEO and (2) the fifth anniversary of the 2005 annual meeting of AT&amp;T Comcast shareholders.</w:t>
      </w:r>
    </w:p>
    <w:p>
      <w:pPr>
        <w:spacing w:after="0" w:line="195"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Senior Management. The CEO will select the initial senior management of AT&amp;T Comcast in consultation with the Chairman of the Board.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 OF THE CHAIRMAN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Upon completion of the transaction, AT&amp;T Comcast will have an Office of the Chairman comprised of the Chairman of the Board and the CEO from the completion of the transaction until the earlier to occur of (1) the 2005 annual meeting of AT&amp;T Comcast shareholders and (2) the date on which C. Michael Armstrong ceases to be the Chairman of the Board. The Office of the Chairman will be AT&amp;T Comcast's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AND TERMINATION</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AT&amp;T Comcast charter provisions that implement the foregoing governance arrangements may not be amended or changed except with the approval of 75% of the entire AT&amp;T Comcast Board until the</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VIII-2</w:t>
      </w:r>
    </w:p>
    <w:p>
      <w:pPr>
        <w:sectPr>
          <w:pgSz w:w="11900" w:h="16838" w:orient="portrait"/>
          <w:cols w:equalWidth="0" w:num="1">
            <w:col w:w="10219"/>
          </w:cols>
          <w:pgMar w:left="240" w:top="719" w:right="1440" w:bottom="1440" w:gutter="0" w:footer="0" w:header="0"/>
        </w:sectPr>
      </w:pPr>
    </w:p>
    <w:bookmarkStart w:id="242" w:name="page243"/>
    <w:bookmarkEnd w:id="242"/>
    <w:p>
      <w:pPr>
        <w:ind w:right="1839"/>
        <w:spacing w:after="0" w:line="251" w:lineRule="auto"/>
        <w:rPr>
          <w:sz w:val="20"/>
          <w:szCs w:val="20"/>
          <w:color w:val="auto"/>
        </w:rPr>
      </w:pPr>
      <w:r>
        <w:rPr>
          <w:rFonts w:ascii="Courier New" w:cs="Courier New" w:eastAsia="Courier New" w:hAnsi="Courier New"/>
          <w:sz w:val="17"/>
          <w:szCs w:val="17"/>
          <w:color w:val="auto"/>
        </w:rPr>
        <w:t>earlier to occur of (1) the date on which Brian L. Roberts is no longer serving as Chairman of the Board or CEO and (2) the fifth anniversary of the 2005 annual meeting of AT&amp;T Comcast shareholders. If Brian L. Roberts is no longer serving as either Chairman of the Board or CEO, with the exception of the provisions regarding the Directors Nominating Committee and the requirement that the AT&amp;T Comcast Board be comprised of a majority of independent persons, the governance arrangements described above will automatically terminate. Notwithstanding the foregoing, if Brian L. Roberts ceases to serve as Chairman of the Board or CEO prior to the 2005 annual meeting of AT&amp;T Comcast shareholders, the provisions relating to the AT&amp;T Comcast Board, the Office of the Chairman, the Chairman of the Board (other than the requirement that a removal of the Chairman of the Board occur only with the approval of 75% of the entire AT&amp;T Comcast Board) and the Directors Nominating Committee will survive through the close of that meeting.</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VIII-3</w:t>
      </w:r>
    </w:p>
    <w:p>
      <w:pPr>
        <w:sectPr>
          <w:pgSz w:w="11900" w:h="16838" w:orient="portrait"/>
          <w:cols w:equalWidth="0" w:num="1">
            <w:col w:w="10219"/>
          </w:cols>
          <w:pgMar w:left="240" w:top="719" w:right="1440" w:bottom="1440" w:gutter="0" w:footer="0" w:header="0"/>
        </w:sectPr>
      </w:pPr>
    </w:p>
    <w:bookmarkStart w:id="243" w:name="page244"/>
    <w:bookmarkEnd w:id="243"/>
    <w:p>
      <w:pPr>
        <w:ind w:left="3560"/>
        <w:spacing w:after="0"/>
        <w:rPr>
          <w:sz w:val="20"/>
          <w:szCs w:val="20"/>
          <w:color w:val="auto"/>
        </w:rPr>
      </w:pPr>
      <w:r>
        <w:rPr>
          <w:rFonts w:ascii="Courier New" w:cs="Courier New" w:eastAsia="Courier New" w:hAnsi="Courier New"/>
          <w:sz w:val="17"/>
          <w:szCs w:val="17"/>
          <w:color w:val="auto"/>
        </w:rPr>
        <w:t>CHAPTER NINE</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EMPLOYEE BENEFITS MATTERS</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INTERESTS OF DIRECTORS AND OFFICERS IN THE AT&amp;T COMCAST TRANSACTION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considering the respective recommendations of the Comcast Board and the AT&amp;T Board with regard to the AT&amp;T Comcast transaction, you should be aware that, as described below, several members of the respective managements and boards of directors of Comcast and AT&amp;T may have interests in the AT&amp;T Comcast transaction that are different from, or in addition to, your interests. The Comcast Board and the AT&amp;T Board were each aware of such interests and considered them, among other matters, when voting to approve the AT&amp;T Comcast transaction.</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w:t>
      </w:r>
    </w:p>
    <w:p>
      <w:pPr>
        <w:spacing w:after="0" w:line="210"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Governance Structure and Management Positions. Pursuant to the terms of the merger agreement, upon completion of the AT&amp;T Comcast transaction:</w:t>
      </w:r>
    </w:p>
    <w:p>
      <w:pPr>
        <w:spacing w:after="0" w:line="192" w:lineRule="exact"/>
        <w:rPr>
          <w:sz w:val="20"/>
          <w:szCs w:val="20"/>
          <w:color w:val="auto"/>
        </w:rPr>
      </w:pPr>
    </w:p>
    <w:p>
      <w:pPr>
        <w:ind w:left="740" w:right="1839" w:hanging="209"/>
        <w:spacing w:after="0" w:line="253" w:lineRule="auto"/>
        <w:tabs>
          <w:tab w:leader="none" w:pos="740"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Comcast Board will initially be comprised of twelve individuals, five of whom will be existing Comcast directors designated by Comcast, five of whom will be existing AT&amp;T directors designated by AT&amp;T and two of whom will be independent persons jointly designated by Comcast and AT&amp;T;</w:t>
      </w:r>
    </w:p>
    <w:p>
      <w:pPr>
        <w:spacing w:after="0" w:line="396"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Brian L. Roberts, President of Comcast, will serve as CEO and President of AT&amp;T Comcast. Removal of the CEO requires the vote of at least 75% of the entire AT&amp;T Comcast Board until the earlier of the date when Brian L. Roberts is not the CEO and the fifth anniversary of the 2005 annual meeting of shareholders;</w:t>
      </w:r>
    </w:p>
    <w:p>
      <w:pPr>
        <w:spacing w:after="0" w:line="197" w:lineRule="exact"/>
        <w:rPr>
          <w:rFonts w:ascii="Courier New" w:cs="Courier New" w:eastAsia="Courier New" w:hAnsi="Courier New"/>
          <w:sz w:val="17"/>
          <w:szCs w:val="17"/>
          <w:color w:val="auto"/>
        </w:rPr>
      </w:pPr>
    </w:p>
    <w:p>
      <w:pPr>
        <w:ind w:left="740" w:right="2039" w:hanging="209"/>
        <w:spacing w:after="0" w:line="257" w:lineRule="auto"/>
        <w:tabs>
          <w:tab w:leader="none" w:pos="740"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initial senior officers of AT&amp;T Comcast will be designated by Brian L. Roberts in consultation with C. Michael Armstrong; and</w:t>
      </w:r>
    </w:p>
    <w:p>
      <w:pPr>
        <w:spacing w:after="0" w:line="191"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Sural LLC will hold shares of AT&amp;T Comcast Class B common stock constituting 33 1/3% of the combined voting power of AT&amp;T Comcast common stock. Brian L. Roberts has sole voting power over stock representing a majority of the voting power of all Sural LLC stock.</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Employment Agreements. Pursuant to the terms of the merger agreement, AT&amp;T Comcast will offer to enter into employment agreements, effective as of the completion of the AT&amp;T Comcast transaction, with Brian L. Roberts (pursuant to which he will serve as CEO and President of AT&amp;T Comcast) and with Ralph J. Roberts. Each of these employment agreements will have terms ending no earlier than the date of the 2005 annual meeting of AT&amp;T Comcast shareholders. Each of these employment agreements will be on substantially the same terms as the existing applicable employment agreement with Comcast. If the AT&amp;T Comcast Board establishes an Executive Committee, Ralph J. Roberts, Chairman of the Board of Comcast, will serve as the Chairman of this committee.</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Brian L. Roberts's existing employment agreement with Comcast provides for the payment of base salary and an annual bonus of up to 150% of base salary for the applicable year. Upon termination of his employment, Brian L. Roberts is entitled to certain benefits as described in his agreement. Certain benefits resulting from the occurrence of a change in control are described below. Under his current agreement, he has agreed not to compete with Comcast during his employment and for two years after any termination of his employment other than a termination following a change in control.</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Ralph J. Roberts's existing employment agreement with Comcast provides for the payment of base salary and an annual bonus of up to 50% of base salary for the applicable year. It also provides for maintenance of split-dollar life insurance and the payment of a supplemental death benefit to the personal representatives of Ralph J. Roberts within six months of his death. Upon termination of his employment, Ralph J. Roberts is entitled to certain benefits as described in his agreement. Certain benefits resulting from the occurrence of a change in control are described below. Under his current agreement, he has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IX-1</w:t>
      </w:r>
    </w:p>
    <w:p>
      <w:pPr>
        <w:sectPr>
          <w:pgSz w:w="11900" w:h="16838" w:orient="portrait"/>
          <w:cols w:equalWidth="0" w:num="1">
            <w:col w:w="10219"/>
          </w:cols>
          <w:pgMar w:left="240" w:top="719" w:right="1440" w:bottom="1440" w:gutter="0" w:footer="0" w:header="0"/>
        </w:sectPr>
      </w:pPr>
    </w:p>
    <w:bookmarkStart w:id="244" w:name="page245"/>
    <w:bookmarkEnd w:id="244"/>
    <w:p>
      <w:pPr>
        <w:ind w:right="1839"/>
        <w:spacing w:after="0" w:line="251" w:lineRule="auto"/>
        <w:rPr>
          <w:sz w:val="20"/>
          <w:szCs w:val="20"/>
          <w:color w:val="auto"/>
        </w:rPr>
      </w:pPr>
      <w:r>
        <w:rPr>
          <w:rFonts w:ascii="Courier New" w:cs="Courier New" w:eastAsia="Courier New" w:hAnsi="Courier New"/>
          <w:sz w:val="17"/>
          <w:szCs w:val="17"/>
          <w:color w:val="auto"/>
        </w:rPr>
        <w:t>agreed not to compete with Comcast during his employment and for five years after termination of his employment. The employment agreement also provides that Ralph J. Roberts may at any time, upon 30 days' notice to Comcast, elect to change his position from that of an executive to that of a consultant. In such event, he shall continue to receive all of the compensation provided under his employment agreement, other than his annual bonus. If he elects to become a consultant, his entitlement to retirement benefits under Comcast's supplemental executive retirement plan will be adjusted annually to reflect 150% of his base salary as consultant, but his benefits under such plan will not in any event</w:t>
      </w:r>
    </w:p>
    <w:tbl>
      <w:tblPr>
        <w:tblLayout w:type="fixed"/>
        <w:tblInd w:w="0" w:type="dxa"/>
        <w:tblCellMar>
          <w:top w:w="0" w:type="dxa"/>
          <w:left w:w="0" w:type="dxa"/>
          <w:bottom w:w="0" w:type="dxa"/>
          <w:right w:w="0" w:type="dxa"/>
        </w:tblCellMar>
      </w:tblPr>
      <w:tr>
        <w:trPr>
          <w:trHeight w:val="197"/>
        </w:trPr>
        <w:tc>
          <w:tcPr>
            <w:tcW w:w="4780" w:type="dxa"/>
            <w:vAlign w:val="bottom"/>
            <w:gridSpan w:val="5"/>
          </w:tcPr>
          <w:p>
            <w:pPr>
              <w:spacing w:after="0"/>
              <w:rPr>
                <w:sz w:val="20"/>
                <w:szCs w:val="20"/>
                <w:color w:val="auto"/>
              </w:rPr>
            </w:pPr>
            <w:r>
              <w:rPr>
                <w:rFonts w:ascii="Courier New" w:cs="Courier New" w:eastAsia="Courier New" w:hAnsi="Courier New"/>
                <w:sz w:val="17"/>
                <w:szCs w:val="17"/>
                <w:color w:val="auto"/>
              </w:rPr>
              <w:t>exceed the bonus he could have received under</w:t>
            </w:r>
          </w:p>
        </w:tc>
        <w:tc>
          <w:tcPr>
            <w:tcW w:w="15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his employment</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agreement had he</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continued</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to</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work</w:t>
            </w:r>
          </w:p>
        </w:tc>
        <w:tc>
          <w:tcPr>
            <w:tcW w:w="2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as an executive. If you are</w:t>
            </w:r>
          </w:p>
        </w:tc>
        <w:tc>
          <w:tcPr>
            <w:tcW w:w="11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interested</w:t>
            </w:r>
          </w:p>
        </w:tc>
        <w:tc>
          <w:tcPr>
            <w:tcW w:w="23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further information</w:t>
            </w:r>
          </w:p>
        </w:tc>
      </w:tr>
      <w:tr>
        <w:trPr>
          <w:trHeight w:val="201"/>
        </w:trPr>
        <w:tc>
          <w:tcPr>
            <w:tcW w:w="1320" w:type="dxa"/>
            <w:vAlign w:val="bottom"/>
            <w:gridSpan w:val="2"/>
          </w:tcPr>
          <w:p>
            <w:pPr>
              <w:spacing w:after="0"/>
              <w:rPr>
                <w:sz w:val="20"/>
                <w:szCs w:val="20"/>
                <w:color w:val="auto"/>
              </w:rPr>
            </w:pPr>
            <w:r>
              <w:rPr>
                <w:rFonts w:ascii="Courier New" w:cs="Courier New" w:eastAsia="Courier New" w:hAnsi="Courier New"/>
                <w:sz w:val="17"/>
                <w:szCs w:val="17"/>
                <w:color w:val="auto"/>
              </w:rPr>
              <w:t>about either</w:t>
            </w:r>
          </w:p>
        </w:tc>
        <w:tc>
          <w:tcPr>
            <w:tcW w:w="2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of these agreements,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see section</w:t>
            </w:r>
          </w:p>
        </w:tc>
        <w:tc>
          <w:tcPr>
            <w:tcW w:w="42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ind w:left="260"/>
              <w:spacing w:after="0"/>
              <w:rPr>
                <w:sz w:val="20"/>
                <w:szCs w:val="20"/>
                <w:color w:val="auto"/>
              </w:rPr>
            </w:pPr>
            <w:r>
              <w:rPr>
                <w:rFonts w:ascii="Courier New" w:cs="Courier New" w:eastAsia="Courier New" w:hAnsi="Courier New"/>
                <w:sz w:val="17"/>
                <w:szCs w:val="17"/>
                <w:color w:val="auto"/>
              </w:rPr>
              <w:t>] of</w:t>
            </w:r>
          </w:p>
        </w:tc>
        <w:tc>
          <w:tcPr>
            <w:tcW w:w="23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Comcast's proxy</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statement</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used in</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connection with</w:t>
            </w:r>
          </w:p>
        </w:tc>
        <w:tc>
          <w:tcPr>
            <w:tcW w:w="282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its 2002 annual meeting of</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shareholders.</w:t>
            </w:r>
          </w:p>
        </w:tc>
      </w:tr>
    </w:tbl>
    <w:p>
      <w:pPr>
        <w:spacing w:after="0" w:line="20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Under each of the existing employment agreements with Brian L. Roberts and Ralph J. Roberts, Comcast must establish and fund a grantor trust for each individual prior to a change in control (as defined in such agreements). It is anticipated that the AT&amp;T Comcast transaction will constitute a change in control under these agreements. With respect to Brian L. Roberts, the trust will be established and funded for purposes of paying all deferred compensation, retirement benefits and term life insurance premiums and bonuses then applicable for Brian L. Roberts. With respect to Ralph J. Roberts, the trust will be established and funded for purposes of paying all deferred compensation, nonqualified retirement benefits and split-dollar term life insurance premiums and bonuses then applicable for Ralph J. Roberts. The amount required to fund such trusts is not expected to exceed $150 million. Upon a change in control, each trust must become irrevocable and Comcast must continue to make payments into each trust to maintain sufficient amounts in the trusts to fund all benefits subject to the trusts.</w:t>
      </w:r>
    </w:p>
    <w:p>
      <w:pPr>
        <w:spacing w:after="0" w:line="202" w:lineRule="exact"/>
        <w:rPr>
          <w:sz w:val="20"/>
          <w:szCs w:val="20"/>
          <w:color w:val="auto"/>
        </w:rPr>
      </w:pPr>
    </w:p>
    <w:p>
      <w:pPr>
        <w:ind w:right="2259" w:firstLine="524"/>
        <w:spacing w:after="0" w:line="252" w:lineRule="auto"/>
        <w:rPr>
          <w:sz w:val="20"/>
          <w:szCs w:val="20"/>
          <w:color w:val="auto"/>
        </w:rPr>
      </w:pPr>
      <w:r>
        <w:rPr>
          <w:rFonts w:ascii="Courier New" w:cs="Courier New" w:eastAsia="Courier New" w:hAnsi="Courier New"/>
          <w:sz w:val="17"/>
          <w:szCs w:val="17"/>
          <w:color w:val="auto"/>
        </w:rPr>
        <w:t>Equity Awards. None of the stock-based awards granted under any of the equity-based plans maintained by Comcast will vest as a result of the AT&amp;T Comcast transaction. For the treatment of Comcast stock options and equity awards in the AT&amp;T Comcast transaction, see "Description of the AT&amp;T Comcast Transaction Agreements -- The Merger Agreement."</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Security Ownership of Officers and Directors. For information concerning security ownership of directors and certain officers of Comcast, see Comcast's proxy statement used in connection with its 2002 annual meeting of shareholders, the relevant portions of which are incorporated by reference in this joint document from Comcast's annual report on Form 10-K for the fiscal year ended December 31, 2001.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Governance Structure and Management Positions. Pursuant to the terms of the merger agreement, upon completion of the AT&amp;T Comcast transaction:</w:t>
      </w:r>
    </w:p>
    <w:p>
      <w:pPr>
        <w:spacing w:after="0" w:line="192" w:lineRule="exact"/>
        <w:rPr>
          <w:sz w:val="20"/>
          <w:szCs w:val="20"/>
          <w:color w:val="auto"/>
        </w:rPr>
      </w:pPr>
    </w:p>
    <w:p>
      <w:pPr>
        <w:ind w:left="740" w:right="1839" w:hanging="209"/>
        <w:spacing w:after="0" w:line="252" w:lineRule="auto"/>
        <w:tabs>
          <w:tab w:leader="none" w:pos="740" w:val="left"/>
        </w:tabs>
        <w:numPr>
          <w:ilvl w:val="0"/>
          <w:numId w:val="2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Comcast Board will initially be comprised of twelve individuals, five of whom will be existing AT&amp;T directors designated by AT&amp;T, five of whom will be existing Comcast directors designated by Comcast and two of whom will be independent persons jointly designated by Comcast and AT&amp;T; and</w:t>
      </w:r>
    </w:p>
    <w:p>
      <w:pPr>
        <w:spacing w:after="0" w:line="197"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2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 Michael Armstrong, Chairman of the Board and Chief Executive Officer of AT&amp;T, will serve as the Chairman of the Board of AT&amp;T Comcast. C. Michael Armstrong will serve as chairman of the Board until the 2005 annual meeting of AT&amp;T Comcast shareholders, but he will serve as non-executive Chairman of the Board after April 1, 2004. Removal of the Chairman of the Board requires the approval of at least 75% of the entire AT&amp;T Comcast Board until the earlier of the date that neither C. Michael Armstrong nor Brian L. Roberts is Chairman of the Board and the fifth anniversary of the 2005 annual meeting of shareholders.</w:t>
      </w:r>
    </w:p>
    <w:p>
      <w:pPr>
        <w:spacing w:after="0" w:line="201"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Employment Agreements. Pursuant to the employee benefits agreement and in connection with the AT&amp;T Broadband spin-off, AT&amp;T Broadband will assume C. Michael Armstrong's current employment agreement with AT&amp;T and William T. Schleyer's current employment agreement with AT&amp;T.</w:t>
      </w:r>
    </w:p>
    <w:p>
      <w:pPr>
        <w:spacing w:after="0" w:line="195" w:lineRule="exact"/>
        <w:rPr>
          <w:sz w:val="20"/>
          <w:szCs w:val="20"/>
          <w:color w:val="auto"/>
        </w:rPr>
      </w:pPr>
    </w:p>
    <w:p>
      <w:pPr>
        <w:jc w:val="both"/>
        <w:ind w:right="2039" w:firstLine="524"/>
        <w:spacing w:after="0" w:line="254" w:lineRule="auto"/>
        <w:rPr>
          <w:sz w:val="20"/>
          <w:szCs w:val="20"/>
          <w:color w:val="auto"/>
        </w:rPr>
      </w:pPr>
      <w:r>
        <w:rPr>
          <w:rFonts w:ascii="Courier New" w:cs="Courier New" w:eastAsia="Courier New" w:hAnsi="Courier New"/>
          <w:sz w:val="17"/>
          <w:szCs w:val="17"/>
          <w:color w:val="auto"/>
        </w:rPr>
        <w:t>Pursuant to the terms of the merger agreement, AT&amp;T Comcast will offer to enter into an employment agreement, effective as of the completion of the AT&amp;T Comcast transaction, with C. Michael</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IX-2</w:t>
      </w:r>
    </w:p>
    <w:p>
      <w:pPr>
        <w:sectPr>
          <w:pgSz w:w="11900" w:h="16838" w:orient="portrait"/>
          <w:cols w:equalWidth="0" w:num="1">
            <w:col w:w="10219"/>
          </w:cols>
          <w:pgMar w:left="240" w:top="719" w:right="1440" w:bottom="659" w:gutter="0" w:footer="0" w:header="0"/>
        </w:sectPr>
      </w:pPr>
    </w:p>
    <w:bookmarkStart w:id="245" w:name="page246"/>
    <w:bookmarkEnd w:id="245"/>
    <w:p>
      <w:pPr>
        <w:ind w:right="2139"/>
        <w:spacing w:after="0" w:line="252" w:lineRule="auto"/>
        <w:rPr>
          <w:sz w:val="20"/>
          <w:szCs w:val="20"/>
          <w:color w:val="auto"/>
        </w:rPr>
      </w:pPr>
      <w:r>
        <w:rPr>
          <w:rFonts w:ascii="Courier New" w:cs="Courier New" w:eastAsia="Courier New" w:hAnsi="Courier New"/>
          <w:sz w:val="17"/>
          <w:szCs w:val="17"/>
          <w:color w:val="auto"/>
        </w:rPr>
        <w:t>Armstrong to serve as Chairman of the Board of AT&amp;T Comcast. The term of this employment agreement will end no earlier than the date of the 2005 annual meeting of AT&amp;T Comcast shareholders. This employment agreement will be on substantially the same terms as C. Michael Armstrong's existing employment agreement with AT&amp;T.</w:t>
      </w:r>
    </w:p>
    <w:p>
      <w:pPr>
        <w:spacing w:after="0" w:line="197"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See page [</w:t>
      </w:r>
      <w:r>
        <w:rPr>
          <w:sz w:val="20"/>
          <w:szCs w:val="20"/>
          <w:color w:val="auto"/>
        </w:rPr>
        <w:tab/>
      </w:r>
      <w:r>
        <w:rPr>
          <w:rFonts w:ascii="Courier New" w:cs="Courier New" w:eastAsia="Courier New" w:hAnsi="Courier New"/>
          <w:sz w:val="17"/>
          <w:szCs w:val="17"/>
          <w:color w:val="auto"/>
        </w:rPr>
        <w:t>] of this document for a description of C. Michael</w:t>
      </w:r>
    </w:p>
    <w:p>
      <w:pPr>
        <w:spacing w:after="0" w:line="9" w:lineRule="exact"/>
        <w:rPr>
          <w:sz w:val="20"/>
          <w:szCs w:val="20"/>
          <w:color w:val="auto"/>
        </w:rPr>
      </w:pPr>
    </w:p>
    <w:p>
      <w:pPr>
        <w:ind w:right="1839"/>
        <w:spacing w:after="0" w:line="258" w:lineRule="auto"/>
        <w:rPr>
          <w:sz w:val="20"/>
          <w:szCs w:val="20"/>
          <w:color w:val="auto"/>
        </w:rPr>
      </w:pPr>
      <w:r>
        <w:rPr>
          <w:rFonts w:ascii="Courier New" w:cs="Courier New" w:eastAsia="Courier New" w:hAnsi="Courier New"/>
          <w:sz w:val="17"/>
          <w:szCs w:val="17"/>
          <w:color w:val="auto"/>
        </w:rPr>
        <w:t>Armstrong's current employment agreement with AT&amp;T and page [ ] of this document for a description of William T. Schleyer's current employment agreement with AT&amp;T.</w:t>
      </w:r>
    </w:p>
    <w:p>
      <w:pPr>
        <w:spacing w:after="0" w:line="3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Severance Plan. Each AT&amp;T executive officer who becomes employed by AT&amp;T Broadband prior to the completion of the AT&amp;T Comcast transaction will be entitled to receive the greater of the severance under his employment agreement, if any, or the severance benefits under the terms of the applicable AT&amp;T Broadband severance plan if terminated as described below. Upon termination of employment by AT&amp;T Broadband without cause or for good reason within two years following a change in control of AT&amp;T Broadband (as such terms are defined in the applicable plan), members of senior management will be eligible to receive, in a lump sum payment, three times the sum of (1) annual base salary, (2) short-term incentive (payable at 100% of target), and (3) in the case of senior officers, the performance share target for the year in which the AT&amp;T Comcast transaction occurs, plus the amount necessary to compensate for any excise tax due on any amounts payable under the plan. Upon a termination of employment without cause or for good reason within the two years following a change in control of AT&amp;T Broadband, other participants in the plan are eligible to receive benefits ranging from 12 weeks of base salary to 2 years of base salary and 2 years of short term incentives (payable at 100% of target), depending on job level and years of service, plus the amount necessary to compensate for any excise tax due on any amounts payable under the plan. In addition, individuals who terminate employment under the terms of the applicable plan will be entitled to certain other post-termination benefits, including payment of the cost of COBRA benefits for 12 months, subsidized health care coverage for six months, and continuation of life insurance for 12 months post-termination. The AT&amp;T Comcast transaction will constitute a change in control under the applicable AT&amp;T Broadband severance plans.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Based on currently available information, if all executive officers of AT&amp;T expected to become employees of AT&amp;T Broadband prior to completion of the AT&amp;T Comcast transaction were terminated without cause immediately following</w:t>
      </w:r>
    </w:p>
    <w:tbl>
      <w:tblPr>
        <w:tblLayout w:type="fixed"/>
        <w:tblInd w:w="0" w:type="dxa"/>
        <w:tblCellMar>
          <w:top w:w="0" w:type="dxa"/>
          <w:left w:w="0" w:type="dxa"/>
          <w:bottom w:w="0" w:type="dxa"/>
          <w:right w:w="0" w:type="dxa"/>
        </w:tblCellMar>
      </w:tblPr>
      <w:tr>
        <w:trPr>
          <w:trHeight w:val="197"/>
        </w:trPr>
        <w:tc>
          <w:tcPr>
            <w:tcW w:w="3200" w:type="dxa"/>
            <w:vAlign w:val="bottom"/>
            <w:gridSpan w:val="3"/>
          </w:tcPr>
          <w:p>
            <w:pPr>
              <w:spacing w:after="0"/>
              <w:rPr>
                <w:sz w:val="20"/>
                <w:szCs w:val="20"/>
                <w:color w:val="auto"/>
              </w:rPr>
            </w:pPr>
            <w:r>
              <w:rPr>
                <w:rFonts w:ascii="Courier New" w:cs="Courier New" w:eastAsia="Courier New" w:hAnsi="Courier New"/>
                <w:sz w:val="17"/>
                <w:szCs w:val="17"/>
                <w:color w:val="auto"/>
              </w:rPr>
              <w:t>completion of the AT&amp;T Comcast</w:t>
            </w:r>
          </w:p>
        </w:tc>
        <w:tc>
          <w:tcPr>
            <w:tcW w:w="1880" w:type="dxa"/>
            <w:vAlign w:val="bottom"/>
          </w:tcPr>
          <w:p>
            <w:pPr>
              <w:ind w:left="60"/>
              <w:spacing w:after="0"/>
              <w:rPr>
                <w:sz w:val="20"/>
                <w:szCs w:val="20"/>
                <w:color w:val="auto"/>
              </w:rPr>
            </w:pPr>
            <w:r>
              <w:rPr>
                <w:rFonts w:ascii="Courier New" w:cs="Courier New" w:eastAsia="Courier New" w:hAnsi="Courier New"/>
                <w:sz w:val="17"/>
                <w:szCs w:val="17"/>
                <w:color w:val="auto"/>
              </w:rPr>
              <w:t>transaction, such</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executive officers would</w:t>
            </w:r>
          </w:p>
        </w:tc>
      </w:tr>
      <w:tr>
        <w:trPr>
          <w:trHeight w:val="201"/>
        </w:trPr>
        <w:tc>
          <w:tcPr>
            <w:tcW w:w="3200" w:type="dxa"/>
            <w:vAlign w:val="bottom"/>
            <w:gridSpan w:val="3"/>
          </w:tcPr>
          <w:p>
            <w:pPr>
              <w:spacing w:after="0"/>
              <w:rPr>
                <w:sz w:val="20"/>
                <w:szCs w:val="20"/>
                <w:color w:val="auto"/>
              </w:rPr>
            </w:pPr>
            <w:r>
              <w:rPr>
                <w:rFonts w:ascii="Courier New" w:cs="Courier New" w:eastAsia="Courier New" w:hAnsi="Courier New"/>
                <w:sz w:val="17"/>
                <w:szCs w:val="17"/>
                <w:color w:val="auto"/>
              </w:rPr>
              <w:t>receive under their employment</w:t>
            </w:r>
          </w:p>
        </w:tc>
        <w:tc>
          <w:tcPr>
            <w:tcW w:w="1880" w:type="dxa"/>
            <w:vAlign w:val="bottom"/>
          </w:tcPr>
          <w:p>
            <w:pPr>
              <w:ind w:left="60"/>
              <w:spacing w:after="0"/>
              <w:rPr>
                <w:sz w:val="20"/>
                <w:szCs w:val="20"/>
                <w:color w:val="auto"/>
              </w:rPr>
            </w:pPr>
            <w:r>
              <w:rPr>
                <w:rFonts w:ascii="Courier New" w:cs="Courier New" w:eastAsia="Courier New" w:hAnsi="Courier New"/>
                <w:sz w:val="17"/>
                <w:szCs w:val="17"/>
                <w:color w:val="auto"/>
              </w:rPr>
              <w:t>agreements or the</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applicable AT&amp;T Broadband</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severance</w:t>
            </w:r>
          </w:p>
        </w:tc>
        <w:tc>
          <w:tcPr>
            <w:tcW w:w="640" w:type="dxa"/>
            <w:vAlign w:val="bottom"/>
          </w:tcPr>
          <w:p>
            <w:pPr>
              <w:ind w:left="60"/>
              <w:spacing w:after="0"/>
              <w:rPr>
                <w:sz w:val="20"/>
                <w:szCs w:val="20"/>
                <w:color w:val="auto"/>
              </w:rPr>
            </w:pPr>
            <w:r>
              <w:rPr>
                <w:rFonts w:ascii="Courier New" w:cs="Courier New" w:eastAsia="Courier New" w:hAnsi="Courier New"/>
                <w:sz w:val="17"/>
                <w:szCs w:val="17"/>
                <w:color w:val="auto"/>
              </w:rPr>
              <w:t>plan,</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as applicable,</w:t>
            </w:r>
          </w:p>
        </w:tc>
        <w:tc>
          <w:tcPr>
            <w:tcW w:w="47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severance payments approximately equal in the</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aggregate</w:t>
            </w:r>
          </w:p>
        </w:tc>
        <w:tc>
          <w:tcPr>
            <w:tcW w:w="640" w:type="dxa"/>
            <w:vAlign w:val="bottom"/>
          </w:tcPr>
          <w:p>
            <w:pPr>
              <w:ind w:left="60"/>
              <w:spacing w:after="0"/>
              <w:rPr>
                <w:sz w:val="20"/>
                <w:szCs w:val="20"/>
                <w:color w:val="auto"/>
              </w:rPr>
            </w:pPr>
            <w:r>
              <w:rPr>
                <w:rFonts w:ascii="Courier New" w:cs="Courier New" w:eastAsia="Courier New" w:hAnsi="Courier New"/>
                <w:sz w:val="17"/>
                <w:szCs w:val="17"/>
                <w:color w:val="auto"/>
              </w:rPr>
              <w:t>to $[</w:t>
            </w:r>
          </w:p>
        </w:tc>
        <w:tc>
          <w:tcPr>
            <w:tcW w:w="156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spacing w:after="0"/>
              <w:rPr>
                <w:sz w:val="17"/>
                <w:szCs w:val="17"/>
                <w:color w:val="auto"/>
              </w:rPr>
            </w:pPr>
          </w:p>
        </w:tc>
        <w:tc>
          <w:tcPr>
            <w:tcW w:w="2880" w:type="dxa"/>
            <w:vAlign w:val="bottom"/>
          </w:tcPr>
          <w:p>
            <w:pPr>
              <w:spacing w:after="0"/>
              <w:rPr>
                <w:sz w:val="17"/>
                <w:szCs w:val="17"/>
                <w:color w:val="auto"/>
              </w:rPr>
            </w:pPr>
          </w:p>
        </w:tc>
      </w:tr>
    </w:tbl>
    <w:p>
      <w:pPr>
        <w:spacing w:after="0" w:line="20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Equity Awards. Immediately prior to the AT&amp;T Comcast transaction, as a part of the AT&amp;T Broadband spin-off, AT&amp;T restricted stock and other equity-based awards will be converted as described below. In connection with the conversions, adjustments will be made to maintain the intrinsic value of the original AT&amp;T options and the fair market value of the original AT&amp;T restricted stock or other equity-based award immediately before and after the AT&amp;T Broadband spin-off:</w:t>
      </w:r>
    </w:p>
    <w:p>
      <w:pPr>
        <w:spacing w:after="0" w:line="398" w:lineRule="exact"/>
        <w:rPr>
          <w:sz w:val="20"/>
          <w:szCs w:val="20"/>
          <w:color w:val="auto"/>
        </w:rPr>
      </w:pPr>
    </w:p>
    <w:p>
      <w:pPr>
        <w:ind w:left="740" w:right="2039" w:hanging="209"/>
        <w:spacing w:after="0" w:line="254" w:lineRule="auto"/>
        <w:tabs>
          <w:tab w:leader="none" w:pos="740"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held by current employees of AT&amp;T (other than employees of AT&amp;T Broadband) will be converted into adjusted AT&amp;T stock options;</w:t>
      </w:r>
    </w:p>
    <w:p>
      <w:pPr>
        <w:spacing w:after="0" w:line="194" w:lineRule="exact"/>
        <w:rPr>
          <w:rFonts w:ascii="Courier New" w:cs="Courier New" w:eastAsia="Courier New" w:hAnsi="Courier New"/>
          <w:sz w:val="17"/>
          <w:szCs w:val="17"/>
          <w:color w:val="auto"/>
        </w:rPr>
      </w:pPr>
    </w:p>
    <w:p>
      <w:pPr>
        <w:ind w:left="740" w:right="2259" w:hanging="209"/>
        <w:spacing w:after="0" w:line="253" w:lineRule="auto"/>
        <w:tabs>
          <w:tab w:leader="none" w:pos="740"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restricted shares held by current employees of AT&amp;T (other than employees of AT&amp;T Broadband) will be converted into (1) adjusted AT&amp;T restricted shares and (2) equity-based awards based on AT&amp;T Broadband common stock;</w:t>
      </w:r>
    </w:p>
    <w:p>
      <w:pPr>
        <w:spacing w:after="0" w:line="195"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held by current employees of AT&amp;T Broadband (including any AT&amp;T employees who become employees of AT&amp;T Broadband in connection with the AT&amp;T Broadband spin-off) will be converted into AT&amp;T Broadband stock options;</w:t>
      </w:r>
    </w:p>
    <w:p>
      <w:pPr>
        <w:spacing w:after="0" w:line="195"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restricted shares held by current employees of AT&amp;T Broadband (including AT&amp;T employees who become employees of AT&amp;T Broadband in connection with the AT&amp;T Broadband spin-off) will be converted into (1) adjusted AT&amp;T restricted shares and (2) AT&amp;T Broadband restricted shares;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IX-3</w:t>
      </w:r>
    </w:p>
    <w:p>
      <w:pPr>
        <w:sectPr>
          <w:pgSz w:w="11900" w:h="16838" w:orient="portrait"/>
          <w:cols w:equalWidth="0" w:num="1">
            <w:col w:w="10219"/>
          </w:cols>
          <w:pgMar w:left="240" w:top="719" w:right="1440" w:bottom="860" w:gutter="0" w:footer="0" w:header="0"/>
        </w:sectPr>
      </w:pPr>
    </w:p>
    <w:bookmarkStart w:id="246" w:name="page247"/>
    <w:bookmarkEnd w:id="246"/>
    <w:p>
      <w:pPr>
        <w:ind w:left="740" w:right="2139" w:hanging="209"/>
        <w:spacing w:after="0" w:line="254" w:lineRule="auto"/>
        <w:tabs>
          <w:tab w:leader="none" w:pos="740" w:val="left"/>
        </w:tabs>
        <w:numPr>
          <w:ilvl w:val="0"/>
          <w:numId w:val="2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held by former employees of AT&amp;T and AT&amp;T Broadband will be converted into (1) adjusted AT&amp;T stock options and (2) AT&amp;T Broadband stock options; and</w:t>
      </w:r>
    </w:p>
    <w:p>
      <w:pPr>
        <w:spacing w:after="0" w:line="194"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2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As of the completion of the AT&amp;T Comcast transaction, all outstanding AT&amp;T Broadband stock options held by current AT&amp;T Broadband employees (including AT&amp;T executive officers who become employees of AT&amp;T Broadband in connection with the AT&amp;T Broadband spin-off) will, by their terms, have vested and become fully exercisable through the remainder of the original option period (except for awards held by any AT&amp;T executive officer who has waived rights to vesting of certain equity awards as a result of the AT&amp;T Comcast transaction) and will be converted into AT&amp;T Comcast stock options pursuant to the merger agreement. In addition, all restricted shares and other equity-based awards based on either AT&amp;T or AT&amp;T Broadband stock held by current and former employees of AT&amp;T Broadband (including any AT&amp;T executive officer who becomes an employee of AT&amp;T Broadband in connection with the AT&amp;T Broadband spin-off) will, by their terms, have fully vested (except for awards held by any AT&amp;T executive officer who has waived rights to vesting of certain equity awards as a result of the AT&amp;T Comcast transaction). AT&amp;T Broadband stock options, restricted shares and other equity-based awards based on AT&amp;T Broadband stock will be converted into AT&amp;T Comcast stock options, restricted shares and other equity-based awards based on AT&amp;T Comcast stock pursuant to the merger agreement. For the treatment of AT&amp;T Broadband stock options and equity awards in the AT&amp;T Comcast transaction, see "Description of the AT&amp;T Comcast Transaction Agreements -- The Merger Agreement."</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As of [ ], 2002, the number of shares underlying unvested AT&amp;T stock options and shares of restricted AT&amp;T common stock held by directors and executive officers of AT&amp;T currently expected to become employees of AT&amp;T</w:t>
      </w:r>
    </w:p>
    <w:p>
      <w:pPr>
        <w:ind w:right="2359"/>
        <w:spacing w:after="0" w:line="251" w:lineRule="auto"/>
        <w:rPr>
          <w:sz w:val="20"/>
          <w:szCs w:val="20"/>
          <w:color w:val="auto"/>
        </w:rPr>
      </w:pPr>
      <w:r>
        <w:rPr>
          <w:rFonts w:ascii="Courier New" w:cs="Courier New" w:eastAsia="Courier New" w:hAnsi="Courier New"/>
          <w:sz w:val="17"/>
          <w:szCs w:val="17"/>
          <w:color w:val="auto"/>
        </w:rPr>
        <w:t>Broadband in the AT&amp;T Broadband spin-off totaled [ ]. AT&amp;T executive officers currently expected to become employees of AT&amp;T Broadband</w:t>
      </w:r>
    </w:p>
    <w:tbl>
      <w:tblPr>
        <w:tblLayout w:type="fixed"/>
        <w:tblInd w:w="0" w:type="dxa"/>
        <w:tblCellMar>
          <w:top w:w="0" w:type="dxa"/>
          <w:left w:w="0" w:type="dxa"/>
          <w:bottom w:w="0" w:type="dxa"/>
          <w:right w:w="0" w:type="dxa"/>
        </w:tblCellMar>
      </w:tblPr>
      <w:tr>
        <w:trPr>
          <w:trHeight w:val="197"/>
        </w:trPr>
        <w:tc>
          <w:tcPr>
            <w:tcW w:w="68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540" w:type="dxa"/>
            <w:vAlign w:val="bottom"/>
          </w:tcPr>
          <w:p>
            <w:pPr>
              <w:ind w:left="60"/>
              <w:spacing w:after="0"/>
              <w:rPr>
                <w:sz w:val="20"/>
                <w:szCs w:val="20"/>
                <w:color w:val="auto"/>
              </w:rPr>
            </w:pPr>
            <w:r>
              <w:rPr>
                <w:rFonts w:ascii="Courier New" w:cs="Courier New" w:eastAsia="Courier New" w:hAnsi="Courier New"/>
                <w:sz w:val="17"/>
                <w:szCs w:val="17"/>
                <w:color w:val="auto"/>
              </w:rPr>
              <w:t>than</w:t>
            </w:r>
          </w:p>
        </w:tc>
        <w:tc>
          <w:tcPr>
            <w:tcW w:w="2240" w:type="dxa"/>
            <w:vAlign w:val="bottom"/>
          </w:tcPr>
          <w:p>
            <w:pPr>
              <w:ind w:left="40"/>
              <w:spacing w:after="0"/>
              <w:rPr>
                <w:sz w:val="20"/>
                <w:szCs w:val="20"/>
                <w:color w:val="auto"/>
              </w:rPr>
            </w:pPr>
            <w:r>
              <w:rPr>
                <w:rFonts w:ascii="Courier New" w:cs="Courier New" w:eastAsia="Courier New" w:hAnsi="Courier New"/>
                <w:sz w:val="17"/>
                <w:szCs w:val="17"/>
                <w:color w:val="auto"/>
              </w:rPr>
              <w:t>any executive officer</w:t>
            </w:r>
          </w:p>
        </w:tc>
        <w:tc>
          <w:tcPr>
            <w:tcW w:w="49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who has waived rights to vesting of certain</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equity</w:t>
            </w:r>
          </w:p>
        </w:tc>
        <w:tc>
          <w:tcPr>
            <w:tcW w:w="2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awards as a result of the</w:t>
            </w:r>
          </w:p>
        </w:tc>
        <w:tc>
          <w:tcPr>
            <w:tcW w:w="3100" w:type="dxa"/>
            <w:vAlign w:val="bottom"/>
          </w:tcPr>
          <w:p>
            <w:pPr>
              <w:jc w:val="right"/>
              <w:spacing w:after="0"/>
              <w:rPr>
                <w:sz w:val="20"/>
                <w:szCs w:val="20"/>
                <w:color w:val="auto"/>
              </w:rPr>
            </w:pPr>
            <w:r>
              <w:rPr>
                <w:rFonts w:ascii="Courier New" w:cs="Courier New" w:eastAsia="Courier New" w:hAnsi="Courier New"/>
                <w:sz w:val="17"/>
                <w:szCs w:val="17"/>
                <w:color w:val="auto"/>
              </w:rPr>
              <w:t>AT&amp;T Comcast transaction) are</w:t>
            </w:r>
          </w:p>
        </w:tc>
        <w:tc>
          <w:tcPr>
            <w:tcW w:w="1820" w:type="dxa"/>
            <w:vAlign w:val="bottom"/>
          </w:tcPr>
          <w:p>
            <w:pPr>
              <w:ind w:left="40"/>
              <w:spacing w:after="0"/>
              <w:rPr>
                <w:sz w:val="20"/>
                <w:szCs w:val="20"/>
                <w:color w:val="auto"/>
              </w:rPr>
            </w:pPr>
            <w:r>
              <w:rPr>
                <w:rFonts w:ascii="Courier New" w:cs="Courier New" w:eastAsia="Courier New" w:hAnsi="Courier New"/>
                <w:sz w:val="17"/>
                <w:szCs w:val="17"/>
                <w:color w:val="auto"/>
              </w:rPr>
              <w:t>expected to hold,</w:t>
            </w:r>
          </w:p>
        </w:tc>
      </w:tr>
      <w:tr>
        <w:trPr>
          <w:trHeight w:val="201"/>
        </w:trPr>
        <w:tc>
          <w:tcPr>
            <w:tcW w:w="3460" w:type="dxa"/>
            <w:vAlign w:val="bottom"/>
            <w:gridSpan w:val="3"/>
          </w:tcPr>
          <w:p>
            <w:pPr>
              <w:spacing w:after="0"/>
              <w:rPr>
                <w:sz w:val="20"/>
                <w:szCs w:val="20"/>
                <w:color w:val="auto"/>
              </w:rPr>
            </w:pPr>
            <w:r>
              <w:rPr>
                <w:rFonts w:ascii="Courier New" w:cs="Courier New" w:eastAsia="Courier New" w:hAnsi="Courier New"/>
                <w:sz w:val="17"/>
                <w:szCs w:val="17"/>
                <w:color w:val="auto"/>
              </w:rPr>
              <w:t>based on certain assumptions and</w:t>
            </w:r>
          </w:p>
        </w:tc>
        <w:tc>
          <w:tcPr>
            <w:tcW w:w="492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currently available information, (a) unvested</w:t>
            </w:r>
          </w:p>
        </w:tc>
      </w:tr>
      <w:tr>
        <w:trPr>
          <w:trHeight w:val="201"/>
        </w:trPr>
        <w:tc>
          <w:tcPr>
            <w:tcW w:w="3460" w:type="dxa"/>
            <w:vAlign w:val="bottom"/>
            <w:gridSpan w:val="3"/>
          </w:tcPr>
          <w:p>
            <w:pPr>
              <w:spacing w:after="0"/>
              <w:rPr>
                <w:sz w:val="20"/>
                <w:szCs w:val="20"/>
                <w:color w:val="auto"/>
              </w:rPr>
            </w:pPr>
            <w:r>
              <w:rPr>
                <w:rFonts w:ascii="Courier New" w:cs="Courier New" w:eastAsia="Courier New" w:hAnsi="Courier New"/>
                <w:sz w:val="17"/>
                <w:szCs w:val="17"/>
                <w:color w:val="auto"/>
              </w:rPr>
              <w:t>AT&amp;T Broadband stock options that</w:t>
            </w:r>
          </w:p>
        </w:tc>
        <w:tc>
          <w:tcPr>
            <w:tcW w:w="492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will have become vested as of the completion</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of the</w:t>
            </w:r>
          </w:p>
        </w:tc>
        <w:tc>
          <w:tcPr>
            <w:tcW w:w="540" w:type="dxa"/>
            <w:vAlign w:val="bottom"/>
          </w:tcPr>
          <w:p>
            <w:pPr>
              <w:ind w:left="60"/>
              <w:spacing w:after="0"/>
              <w:rPr>
                <w:sz w:val="20"/>
                <w:szCs w:val="20"/>
                <w:color w:val="auto"/>
              </w:rPr>
            </w:pPr>
            <w:r>
              <w:rPr>
                <w:rFonts w:ascii="Courier New" w:cs="Courier New" w:eastAsia="Courier New" w:hAnsi="Courier New"/>
                <w:sz w:val="17"/>
                <w:szCs w:val="17"/>
                <w:color w:val="auto"/>
              </w:rPr>
              <w:t>AT&amp;T</w:t>
            </w:r>
          </w:p>
        </w:tc>
        <w:tc>
          <w:tcPr>
            <w:tcW w:w="5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Comcast transaction with an aggregate in-the-money</w:t>
            </w:r>
          </w:p>
        </w:tc>
        <w:tc>
          <w:tcPr>
            <w:tcW w:w="1820" w:type="dxa"/>
            <w:vAlign w:val="bottom"/>
          </w:tcPr>
          <w:p>
            <w:pPr>
              <w:ind w:left="40"/>
              <w:spacing w:after="0"/>
              <w:rPr>
                <w:sz w:val="20"/>
                <w:szCs w:val="20"/>
                <w:color w:val="auto"/>
              </w:rPr>
            </w:pPr>
            <w:r>
              <w:rPr>
                <w:rFonts w:ascii="Courier New" w:cs="Courier New" w:eastAsia="Courier New" w:hAnsi="Courier New"/>
                <w:sz w:val="17"/>
                <w:szCs w:val="17"/>
                <w:color w:val="auto"/>
              </w:rPr>
              <w:t>value of</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(b) shares of AT&amp;T</w:t>
            </w:r>
          </w:p>
        </w:tc>
        <w:tc>
          <w:tcPr>
            <w:tcW w:w="3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and AT&amp;T Broadband restricted</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stock that</w:t>
            </w:r>
          </w:p>
        </w:tc>
      </w:tr>
      <w:tr>
        <w:trPr>
          <w:trHeight w:val="201"/>
        </w:trPr>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rPr>
              <w:t>will become unrestricted</w:t>
            </w:r>
          </w:p>
        </w:tc>
        <w:tc>
          <w:tcPr>
            <w:tcW w:w="46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as a result of the AT&amp;T Comcast transaction</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with an</w:t>
            </w:r>
          </w:p>
        </w:tc>
      </w:tr>
      <w:tr>
        <w:trPr>
          <w:trHeight w:val="201"/>
        </w:trPr>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rPr>
              <w:t>aggregate value of $[</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3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and (c) other equity-based awards (based</w:t>
            </w:r>
          </w:p>
        </w:tc>
      </w:tr>
      <w:tr>
        <w:trPr>
          <w:trHeight w:val="201"/>
        </w:trPr>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rPr>
              <w:t>on AT&amp;T or based on AT&amp;T</w:t>
            </w:r>
          </w:p>
        </w:tc>
        <w:tc>
          <w:tcPr>
            <w:tcW w:w="46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Broadband stock) that will vest as a result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of the AT&amp;T</w:t>
            </w:r>
          </w:p>
        </w:tc>
      </w:tr>
      <w:tr>
        <w:trPr>
          <w:trHeight w:val="201"/>
        </w:trPr>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rPr>
              <w:t>Comcast transaction with</w:t>
            </w:r>
          </w:p>
        </w:tc>
        <w:tc>
          <w:tcPr>
            <w:tcW w:w="30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an aggregate value of $[</w:t>
            </w:r>
          </w:p>
        </w:tc>
        <w:tc>
          <w:tcPr>
            <w:tcW w:w="2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in each case,</w:t>
            </w:r>
          </w:p>
        </w:tc>
      </w:tr>
      <w:tr>
        <w:trPr>
          <w:trHeight w:val="201"/>
        </w:trPr>
        <w:tc>
          <w:tcPr>
            <w:tcW w:w="4040" w:type="dxa"/>
            <w:vAlign w:val="bottom"/>
            <w:gridSpan w:val="3"/>
          </w:tcPr>
          <w:p>
            <w:pPr>
              <w:spacing w:after="0"/>
              <w:rPr>
                <w:sz w:val="20"/>
                <w:szCs w:val="20"/>
                <w:color w:val="auto"/>
              </w:rPr>
            </w:pPr>
            <w:r>
              <w:rPr>
                <w:rFonts w:ascii="Courier New" w:cs="Courier New" w:eastAsia="Courier New" w:hAnsi="Courier New"/>
                <w:sz w:val="17"/>
                <w:szCs w:val="17"/>
                <w:color w:val="auto"/>
              </w:rPr>
              <w:t>based on an AT&amp;T common stock price of</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7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(the closing price of</w:t>
            </w:r>
          </w:p>
        </w:tc>
      </w:tr>
      <w:tr>
        <w:trPr>
          <w:trHeight w:val="201"/>
        </w:trPr>
        <w:tc>
          <w:tcPr>
            <w:tcW w:w="4040" w:type="dxa"/>
            <w:vAlign w:val="bottom"/>
            <w:gridSpan w:val="3"/>
          </w:tcPr>
          <w:p>
            <w:pPr>
              <w:spacing w:after="0"/>
              <w:rPr>
                <w:sz w:val="20"/>
                <w:szCs w:val="20"/>
                <w:color w:val="auto"/>
              </w:rPr>
            </w:pPr>
            <w:r>
              <w:rPr>
                <w:rFonts w:ascii="Courier New" w:cs="Courier New" w:eastAsia="Courier New" w:hAnsi="Courier New"/>
                <w:sz w:val="17"/>
                <w:szCs w:val="17"/>
                <w:color w:val="auto"/>
              </w:rPr>
              <w:t>a share of AT&amp;T common stock on [</w:t>
            </w:r>
          </w:p>
        </w:tc>
        <w:tc>
          <w:tcPr>
            <w:tcW w:w="15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205"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In addition, after conversion of their original AT&amp;T equity awards in the AT&amp;T Broadband spin-off, directors and officers of AT&amp;T who do not become employed by AT&amp;T Broadband in the AT&amp;T Broadband spin-off will hold in the</w:t>
      </w:r>
    </w:p>
    <w:p>
      <w:pPr>
        <w:ind w:right="1839"/>
        <w:spacing w:after="0" w:line="253" w:lineRule="auto"/>
        <w:rPr>
          <w:sz w:val="20"/>
          <w:szCs w:val="20"/>
          <w:color w:val="auto"/>
        </w:rPr>
      </w:pPr>
      <w:r>
        <w:rPr>
          <w:rFonts w:ascii="Courier New" w:cs="Courier New" w:eastAsia="Courier New" w:hAnsi="Courier New"/>
          <w:sz w:val="17"/>
          <w:szCs w:val="17"/>
          <w:color w:val="auto"/>
        </w:rPr>
        <w:t>aggregate equity-based awards denominated with respect to [ ] shares of AT&amp;T Broadband common stock. These awards will not vest as a result of the AT&amp;T Comcast transaction, but will vest according to their original terms. See "Employee Benefits Matters."</w:t>
      </w:r>
    </w:p>
    <w:p>
      <w:pPr>
        <w:spacing w:after="0" w:line="195"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Security Ownership of Officers and Directors. For information concerning security ownership of directors and certain officers of AT&amp;T, see</w:t>
      </w:r>
    </w:p>
    <w:p>
      <w:pPr>
        <w:spacing w:after="0"/>
        <w:tabs>
          <w:tab w:leader="none" w:pos="16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Other Executive Benefit Plans. Each executive officer of AT&amp;T who becomes employed by AT&amp;T Broadband prior to the completion of the AT&amp;T Comcast transaction, including C. Michael Armstrong and William T. Schleyer, will participate in benefit plans maintained by AT&amp;T Broadband. These plans contain provisions relating to a change in control, as summarized below:</w:t>
      </w:r>
    </w:p>
    <w:p>
      <w:pPr>
        <w:spacing w:after="0" w:line="197" w:lineRule="exact"/>
        <w:rPr>
          <w:sz w:val="20"/>
          <w:szCs w:val="20"/>
          <w:color w:val="auto"/>
        </w:rPr>
      </w:pPr>
    </w:p>
    <w:p>
      <w:pPr>
        <w:ind w:left="740" w:right="1939" w:hanging="209"/>
        <w:spacing w:after="0" w:line="253" w:lineRule="auto"/>
        <w:tabs>
          <w:tab w:leader="none" w:pos="740" w:val="left"/>
        </w:tabs>
        <w:numPr>
          <w:ilvl w:val="0"/>
          <w:numId w:val="2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Pension Plan. Upon completion of the AT&amp;T Comcast transaction, the plan cannot be amended to reduce change in control benefits for two years, and, if a participant's employment is terminated either without cause by AT&amp;T Broadband or for good reason by the</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IX-4</w:t>
      </w:r>
    </w:p>
    <w:p>
      <w:pPr>
        <w:sectPr>
          <w:pgSz w:w="11900" w:h="16838" w:orient="portrait"/>
          <w:cols w:equalWidth="0" w:num="1">
            <w:col w:w="10219"/>
          </w:cols>
          <w:pgMar w:left="240" w:top="719" w:right="1440" w:bottom="860" w:gutter="0" w:footer="0" w:header="0"/>
        </w:sectPr>
      </w:pPr>
    </w:p>
    <w:bookmarkStart w:id="247" w:name="page248"/>
    <w:bookmarkEnd w:id="247"/>
    <w:p>
      <w:pPr>
        <w:ind w:left="740" w:right="1939"/>
        <w:spacing w:after="0" w:line="253" w:lineRule="auto"/>
        <w:rPr>
          <w:sz w:val="20"/>
          <w:szCs w:val="20"/>
          <w:color w:val="auto"/>
        </w:rPr>
      </w:pPr>
      <w:r>
        <w:rPr>
          <w:rFonts w:ascii="Courier New" w:cs="Courier New" w:eastAsia="Courier New" w:hAnsi="Courier New"/>
          <w:sz w:val="17"/>
          <w:szCs w:val="17"/>
          <w:color w:val="auto"/>
        </w:rPr>
        <w:t>participant within two years after the AT&amp;T Comcast transaction, such participant will be fully vested in his or her account, will have his or her service bridged, and will be entitled to a special pension enhancement payment.</w:t>
      </w:r>
    </w:p>
    <w:p>
      <w:pPr>
        <w:spacing w:after="0" w:line="195" w:lineRule="exact"/>
        <w:rPr>
          <w:sz w:val="20"/>
          <w:szCs w:val="20"/>
          <w:color w:val="auto"/>
        </w:rPr>
      </w:pPr>
    </w:p>
    <w:p>
      <w:pPr>
        <w:ind w:left="740" w:right="1839" w:hanging="209"/>
        <w:spacing w:after="0" w:line="251" w:lineRule="auto"/>
        <w:tabs>
          <w:tab w:leader="none" w:pos="740" w:val="left"/>
        </w:tabs>
        <w:numPr>
          <w:ilvl w:val="0"/>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Nonqualified Pension Plan. Upon completion of the AT&amp;T Comcast transaction, the plan cannot be amended to reduce change in control benefits for two years, the present value of the benefits under the plan will be funded in trust, and, if a participant's employment is terminated without cause by AT&amp;T Broadband or for good reason by the participant within two years after the AT&amp;T Comcast transaction, such participant will be fully vested in his or her account, and will have his or her service bridged.</w:t>
      </w:r>
    </w:p>
    <w:p>
      <w:pPr>
        <w:spacing w:after="0" w:line="201" w:lineRule="exact"/>
        <w:rPr>
          <w:rFonts w:ascii="Courier New" w:cs="Courier New" w:eastAsia="Courier New" w:hAnsi="Courier New"/>
          <w:sz w:val="17"/>
          <w:szCs w:val="17"/>
          <w:color w:val="auto"/>
        </w:rPr>
      </w:pPr>
    </w:p>
    <w:p>
      <w:pPr>
        <w:ind w:left="740" w:right="1939" w:hanging="209"/>
        <w:spacing w:after="0" w:line="252" w:lineRule="auto"/>
        <w:tabs>
          <w:tab w:leader="none" w:pos="740" w:val="left"/>
        </w:tabs>
        <w:numPr>
          <w:ilvl w:val="0"/>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Deferred Compensation Plan. Upon completion of the AT&amp;T Comcast transaction, the plan cannot be adversely amended or terminated for three years, the present value of the benefits of the plan will be funded in trust, participants in the plan will be completely vested in their accounts, and the interest rates applied to participants' accounts cannot be decreased for three years below the level they are at prior to completion of the AT&amp;T Comcast transaction.</w:t>
      </w:r>
    </w:p>
    <w:p>
      <w:pPr>
        <w:spacing w:after="0" w:line="195" w:lineRule="exact"/>
        <w:rPr>
          <w:rFonts w:ascii="Courier New" w:cs="Courier New" w:eastAsia="Courier New" w:hAnsi="Courier New"/>
          <w:sz w:val="17"/>
          <w:szCs w:val="17"/>
          <w:color w:val="auto"/>
        </w:rPr>
      </w:pPr>
    </w:p>
    <w:p>
      <w:pPr>
        <w:ind w:left="740" w:right="2259" w:hanging="209"/>
        <w:spacing w:after="0" w:line="253" w:lineRule="auto"/>
        <w:tabs>
          <w:tab w:leader="none" w:pos="740" w:val="left"/>
        </w:tabs>
        <w:numPr>
          <w:ilvl w:val="0"/>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Long Term Savings Plan. Upon completion of the AT&amp;T Comcast transaction, participants in the plan will be fully vested in their company matching contribution accounts and the plan cannot be amended to reduce change in control benefits for two years.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INDEMNIFICATION AND INSURANCE</w:t>
      </w:r>
    </w:p>
    <w:p>
      <w:pPr>
        <w:spacing w:after="0" w:line="210" w:lineRule="exact"/>
        <w:rPr>
          <w:sz w:val="20"/>
          <w:szCs w:val="20"/>
          <w:color w:val="auto"/>
        </w:rPr>
      </w:pPr>
    </w:p>
    <w:p>
      <w:pPr>
        <w:ind w:left="740" w:right="1839" w:hanging="209"/>
        <w:spacing w:after="0" w:line="251" w:lineRule="auto"/>
        <w:tabs>
          <w:tab w:leader="none" w:pos="740" w:val="left"/>
        </w:tabs>
        <w:numPr>
          <w:ilvl w:val="0"/>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Comcast has agreed to indemnify the present and former officers and directors of AT&amp;T, the AT&amp;T subsidiaries, AT&amp;T Broadband, the AT&amp;T Broadband subsidiaries, Comcast and the Comcast subsidiaries, and each individual who prior to the completion of the transaction becomes such an officer or director, from their acts or omissions in those capacities occurring at or prior to the completion of the transaction to the maximum extent permitted by law; provided, however,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pacing w:after="0" w:line="201"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(and not AT&amp;T Broadband) will indemnify and hold harmless AT&amp;T Comcast for 50% of any losses described in the preceding paragraph arising out of acts or omissions of the AT&amp;T officers and directors in connection with the merger agreement and the transactions contemplated by the merger agreement.</w:t>
      </w:r>
    </w:p>
    <w:p>
      <w:pPr>
        <w:spacing w:after="0" w:line="197"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six years after completion of the transaction, AT&amp;T Comcast will provide, or cause to be provided, officers' and directors' liability insurance in respect of acts or omissions occurring prior to completion of the transaction, covering each officer and director identified in the first bullet point above (for officers and directors of AT&amp;T and its subsidiaries, only for acts or omissions of such person acting in connection with AT&amp;T's broadband business or the merger agreement and the transactions contemplated by the merger agreement) currently covered by the officers' and directors' liability insurance policy of AT&amp;T or Comcast, as the case may be, on terms no less favorable than those of such policy in effect on December 19, 2001, except that AT&amp;T Comcast will only be obligated to pay up to 300% of the annual premium paid for such insurance by either AT&amp;T or Comcast as of December 19,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210"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In accordance with the existing practice of Comcast and AT&amp;T, it is expected that directors of AT&amp;T Comcast who are not employees of AT&amp;T Comcast will receive compensation for service on the AT&amp;T Comcast Board.</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IX-5</w:t>
      </w:r>
    </w:p>
    <w:p>
      <w:pPr>
        <w:sectPr>
          <w:pgSz w:w="11900" w:h="16838" w:orient="portrait"/>
          <w:cols w:equalWidth="0" w:num="1">
            <w:col w:w="10219"/>
          </w:cols>
          <w:pgMar w:left="240" w:top="719" w:right="1440" w:bottom="1440" w:gutter="0" w:footer="0" w:header="0"/>
        </w:sectPr>
      </w:pPr>
    </w:p>
    <w:bookmarkStart w:id="248" w:name="page249"/>
    <w:bookmarkEnd w:id="248"/>
    <w:p>
      <w:pPr>
        <w:spacing w:after="0"/>
        <w:rPr>
          <w:sz w:val="20"/>
          <w:szCs w:val="20"/>
          <w:color w:val="auto"/>
        </w:rPr>
      </w:pPr>
      <w:r>
        <w:rPr>
          <w:rFonts w:ascii="Courier New" w:cs="Courier New" w:eastAsia="Courier New" w:hAnsi="Courier New"/>
          <w:sz w:val="17"/>
          <w:szCs w:val="17"/>
          <w:color w:val="auto"/>
        </w:rPr>
        <w:t>COMPENSATION OF EXECUTIVE OFFICERS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Comcast has not yet paid any compensation to any other person expected to become an executive officer of AT&amp;T Comcast. The form and amount of compensation to be paid to each of AT&amp;T Comcast's executive officers in any future period will be determined by the Chief Executive Officer in consultation with the Chairman of the Board, the AT&amp;T Comcast Board or a committee of the AT&amp;T Comcast Board.</w:t>
      </w:r>
    </w:p>
    <w:p>
      <w:pPr>
        <w:spacing w:after="0" w:line="197"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For information concerning the compensation paid to, and the employment agreements with, the President of Comcast and the four most highly compensated executive officers of Comcast (other than the President) for the 2001 fiscal year, see Comcast's proxy statement used in connection with its 2002 annual meeting of shareholders, the relevant portions of which are incorporated by reference in this document from Comcast's annual report on Form 10-K for the fiscal year ended December 31, 2001.</w:t>
      </w:r>
    </w:p>
    <w:p>
      <w:pPr>
        <w:spacing w:after="0" w:line="196"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For information concerning the compensation paid to, and the employment agreements with, the CEO of AT&amp;T and the four most highly compensated executive officers of AT&amp;T (other than the CEO) for the 2001 fiscal year, see</w:t>
      </w:r>
    </w:p>
    <w:p>
      <w:pPr>
        <w:ind w:left="1160" w:hanging="1153"/>
        <w:spacing w:after="0"/>
        <w:tabs>
          <w:tab w:leader="none" w:pos="1160" w:val="left"/>
        </w:tabs>
        <w:numPr>
          <w:ilvl w:val="0"/>
          <w:numId w:val="2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OTHER BENEFITS MATTERS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Maintenance of Benefits for AT&amp;T Broadband Employees. In the merger agreement, AT&amp;T Comcast has agreed to honor the terms of all AT&amp;T Broadband employee benefit plans and arrangements and to pay and provide the benefits required thereunder, recognizing that the AT&amp;T Comcast transaction is a change in control under the plans, and to provide, until December 31, 2003, to employees (other than those subject to collective bargaining obligations or agreements) of AT&amp;T Broadband and its subsidiaries aggregate employee benefits and compensation that are substantially comparable in the aggregate to those provided by AT&amp;T Broadband and its subsidiaries as of the completion of the AT&amp;T Comcast transaction, other than benefits provided under severance or separation plans of AT&amp;T Broadband or its subsidiaries. Until December 31, 2003, AT&amp;T Comcast has agreed to continue certain severance plans of AT&amp;T Broadband and its subsidiaries without adverse change. If employees of AT&amp;T Broadband or its subsidiaries are included in any employee benefit plan sponsored by AT&amp;T Comcast, they will receive credit for past service and for deductible, co-insurance and out-of-pocket expenses incurred prior to the AT&amp;T Comcast transaction, and shall waive all pre-existing condition, limitations or other requirements. As soon as practicable after December 31, 2003, eligible AT&amp;T Broadband employees shall be allowed to participate in any retirement, medical or life insurance benefit plan sponsored by AT&amp;T Comcast or one of its subsidiaries. With respect to AT&amp;T Broadband employees who are subject to collective bargaining obligations or agreements, their benefits will be governed by the terms of such obligations or agreements.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One-Time Stock Option Grant. In the merger agreement, AT&amp;T Comcast has agreed to offer to each of its or any of its subsidiaries' full-time employees a one-time grant of options to purchase a number of shares of AT&amp;T Comcast common stock equal to 300 multiplied by the AT&amp;T Broadband exchange ratio. This grant will be made as soon as practicable after the completion of the AT&amp;T Comcast transaction.</w:t>
      </w:r>
    </w:p>
    <w:p>
      <w:pPr>
        <w:spacing w:after="0" w:line="399"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Stock Options. In the merger agreement, AT&amp;T has agreed that, with respect to AT&amp;T stock options or other equity awards based on AT&amp;T common stock granted in the period beginning on the date the merger agreement was signed and ending at the completion of the AT&amp;T Comcast transaction, the AT&amp;T Comcast transaction will not constitute a "change in control" for purposes of accelerating the vesting of such awards; provided that upon certain terminations of employment following the completion of the AT&amp;T Comcast transaction awards will become fully vested upon termination and will remain exercisable for the full extent of the original term of the award.</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Employee Benefits Agreement. In connection with the AT&amp;T Broadband spin-off, AT&amp;T and AT&amp;T Broadband entered into an employee benefits agreement dated as of December 19, 2001. The following summary of the employee benefits agreement is qualified in its entirety by reference to the complete text of the employee benefits agreement, which is attached as an exhibit to the registration statement in which this</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IX-6</w:t>
      </w:r>
    </w:p>
    <w:p>
      <w:pPr>
        <w:sectPr>
          <w:pgSz w:w="11900" w:h="16838" w:orient="portrait"/>
          <w:cols w:equalWidth="0" w:num="1">
            <w:col w:w="10219"/>
          </w:cols>
          <w:pgMar w:left="240" w:top="719" w:right="1440" w:bottom="860" w:gutter="0" w:footer="0" w:header="0"/>
        </w:sectPr>
      </w:pPr>
    </w:p>
    <w:bookmarkStart w:id="249" w:name="page250"/>
    <w:bookmarkEnd w:id="249"/>
    <w:p>
      <w:pPr>
        <w:ind w:right="1939"/>
        <w:spacing w:after="0" w:line="251" w:lineRule="auto"/>
        <w:rPr>
          <w:sz w:val="20"/>
          <w:szCs w:val="20"/>
          <w:color w:val="auto"/>
        </w:rPr>
      </w:pPr>
      <w:r>
        <w:rPr>
          <w:rFonts w:ascii="Courier New" w:cs="Courier New" w:eastAsia="Courier New" w:hAnsi="Courier New"/>
          <w:sz w:val="17"/>
          <w:szCs w:val="17"/>
          <w:color w:val="auto"/>
        </w:rPr>
        <w:t>document is included and is incorporated by reference in this document. The employee benefits agreement covers a wide range of compensation and benefits issues. In general, after the AT&amp;T Broadband spin-off, AT&amp;T Broadband will be responsible for all obligations and liabilities relating to current and former employees of AT&amp;T Broadband and its subsidiaries and their dependents and beneficiaries and AT&amp;T will be responsible for all obligations and liabilities relating to current and former employees of AT&amp;T and its subsidiaries (other than AT&amp;T Broadband and its subsidiaries) and their dependents and beneficiaries. Employees of AT&amp;T Broadband or any of its subsidiaries are referred to in this document as "AT&amp;T Broadband employees." Employees of AT&amp;T who are transferred to AT&amp;T Broadband prior to the AT&amp;T Broadband spin-off are referred to in this document as "AT&amp;T Broadband transferees." Employees of AT&amp;T or any of its subsidiaries (other than AT&amp;T Broadband employees or AT&amp;T Broadband transferees) are referred to in this document as "AT&amp;T employees."</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As of the date of the AT&amp;T Broadband spin-off, all AT&amp;T Broadband employees and AT&amp;T Broadband transferees will continue to be or be, as the case may be, employed by AT&amp;T Broadband or its subsidiaries. If any AT&amp;T Broadband transferee is on an approved leave of absence on the date of the AT&amp;T Broadband spin-off, this employee will become an employee of AT&amp;T Broadband or one of its subsidiaries upon return to active service.</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As of the date of the AT&amp;T Broadband spin-off, AT&amp;T Broadband and its subsidiaries will cease to participate in any benefit plan or trust under any such plan sponsored or maintained by AT&amp;T or its subsidiaries (other than AT&amp;T Broadband) and AT&amp;T will cease to participate in any benefit plan or trust under any such plan sponsored or maintained by AT&amp;T Broadband or its subsidiaries. With respect to employees who are transferred to or from AT&amp;T or AT&amp;T Broadband, AT&amp;T and AT&amp;T Broadband will mutually recognize and credit service with the other employer, except for purposes of benefit accruals under defined benefit pension plans. Account balances of AT&amp;T employees (excluding AT&amp;T Broadband transferees) in the 401(k) plan maintained by AT&amp;T Broadband will vest as of the date of the AT&amp;T Broadband spin-off and account balances of AT&amp;T Broadband employees and AT&amp;T Broadband transferees in the 401(k) plans maintained by AT&amp;T will vest as of the date of the AT&amp;T Broadband spin-off. Each AT&amp;T Broadband employee and AT&amp;T Broadband transferee will be allowed to make an election to transfer his or her account to the 401(k) plan maintained by AT&amp;T Broadband and each AT&amp;T employee will be allowed to make an election to transfer his or her account to the 401(k) plans maintained by AT&amp;T. AT&amp;T shall provide Broadband transferees with lost matching contributions for the year of the AT&amp;T Comcast transaction. Each AT&amp;T Broadband employee and AT&amp;T Broadband transferee will vest in his or her accrued benefit under the AT&amp;T pension plans as of the date of the AT&amp;T Broadband spin-off and each AT&amp;T employee will vest in his or her accrued benefit under the AT&amp;T Broadband pension plans as of the date of the AT&amp;T Broadband spin-off, and will respectively be entitled to commence pension under such plans. AT&amp;T Broadband employees and AT&amp;T Broadband transferees will also be entitled to a distribution of their accounts under the AT&amp;T Employee Stock Purchase Plan.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If terminated during the one-year period after the AT&amp;T Broadband spin-off, AT&amp;T Broadband transferees will be entitled to receive the greater of severance under the applicable AT&amp;T severance plan or, the applicable AT&amp;T Broadband severance plan. A Broadband transferee, however, may be entitled to greater severance under the terms of his or her applicable employment agreement.</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As a part of the AT&amp;T Broadband spin-off, AT&amp;T restricted stock and other equity-based awards will be converted as described below. In connection with the conversions, adjustments will be made to maintain the intrinsic value of the original AT&amp;T options and the fair market value of the original AT&amp;T restricted stock or other equity-based award immediately before and after the AT&amp;T Broadband spin-off:</w:t>
      </w:r>
    </w:p>
    <w:p>
      <w:pPr>
        <w:spacing w:after="0" w:line="197" w:lineRule="exact"/>
        <w:rPr>
          <w:sz w:val="20"/>
          <w:szCs w:val="20"/>
          <w:color w:val="auto"/>
        </w:rPr>
      </w:pPr>
    </w:p>
    <w:p>
      <w:pPr>
        <w:ind w:left="740" w:right="1839" w:hanging="209"/>
        <w:spacing w:after="0" w:line="257" w:lineRule="auto"/>
        <w:tabs>
          <w:tab w:leader="none" w:pos="740"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held by AT&amp;T employees will be converted into adjusted AT&amp;T stock options;</w:t>
      </w:r>
    </w:p>
    <w:p>
      <w:pPr>
        <w:spacing w:after="0" w:line="191"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restricted shares held by AT&amp;T employees will be converted into (1) adjusted AT&amp;T restricted shares and (2) equity-based awards based on AT&amp;T Broadband common stock;</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IX-7</w:t>
      </w:r>
    </w:p>
    <w:p>
      <w:pPr>
        <w:sectPr>
          <w:pgSz w:w="11900" w:h="16838" w:orient="portrait"/>
          <w:cols w:equalWidth="0" w:num="1">
            <w:col w:w="10219"/>
          </w:cols>
          <w:pgMar w:left="240" w:top="719" w:right="1440" w:bottom="1440" w:gutter="0" w:footer="0" w:header="0"/>
        </w:sectPr>
      </w:pPr>
    </w:p>
    <w:bookmarkStart w:id="250" w:name="page251"/>
    <w:bookmarkEnd w:id="250"/>
    <w:p>
      <w:pPr>
        <w:ind w:left="740" w:right="2139" w:hanging="209"/>
        <w:spacing w:after="0" w:line="257" w:lineRule="auto"/>
        <w:tabs>
          <w:tab w:leader="none" w:pos="740" w:val="left"/>
        </w:tabs>
        <w:numPr>
          <w:ilvl w:val="0"/>
          <w:numId w:val="2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held by AT&amp;T Broadband employees and AT&amp;T Broadband transferees will be converted into AT&amp;T Broadband stock options;</w:t>
      </w:r>
    </w:p>
    <w:p>
      <w:pPr>
        <w:spacing w:after="0" w:line="191"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2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restricted shares held by AT&amp;T Broadband employees and AT&amp;T Broadband transferees will be converted into (1) adjusted AT&amp;T restricted shares and (2) AT&amp;T Broadband restricted shares;</w:t>
      </w:r>
    </w:p>
    <w:p>
      <w:pPr>
        <w:spacing w:after="0" w:line="194" w:lineRule="exact"/>
        <w:rPr>
          <w:rFonts w:ascii="Courier New" w:cs="Courier New" w:eastAsia="Courier New" w:hAnsi="Courier New"/>
          <w:sz w:val="17"/>
          <w:szCs w:val="17"/>
          <w:color w:val="auto"/>
        </w:rPr>
      </w:pPr>
    </w:p>
    <w:p>
      <w:pPr>
        <w:ind w:left="740" w:right="2559" w:hanging="209"/>
        <w:spacing w:after="0" w:line="254" w:lineRule="auto"/>
        <w:tabs>
          <w:tab w:leader="none" w:pos="740" w:val="left"/>
        </w:tabs>
        <w:numPr>
          <w:ilvl w:val="0"/>
          <w:numId w:val="2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held by former AT&amp;T employees and former AT&amp;T Broadband employees will be converted into (1) adjusted AT&amp;T stock options and (2) AT&amp;T Broadband stock options; and</w:t>
      </w:r>
    </w:p>
    <w:p>
      <w:pPr>
        <w:spacing w:after="0" w:line="194"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2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Each adjusted AT&amp;T stock option and AT&amp;T Broadband stock option will generally be subject to the same terms and conditions as set forth in the original AT&amp;T stock options, provided that, AT&amp;T Broadband stock options held by AT&amp;T Broadband employees and AT&amp;T Broadband transferees (except for any AT&amp;T executive officer who has waived rights to vesting of certain equity awards as a result of the AT&amp;T Comcast transaction) will have vested as of the completion of the AT&amp;T Comcast transaction and will remain exercisable through the remainder of their original terms (except for options granted after the merger agreement was signed). As of completion of the AT&amp;T Comcast transaction, each AT&amp;T Broadband restricted share will have become free of restrictions and each equity-based award (based on AT&amp;T or AT&amp;T Broadband common stock) held by current and former AT&amp;T Broadband employees (including AT&amp;T Broadband transferees) will have vested (in each case, except for awards held by any AT&amp;T executive officer who has waived rights to vesting of certain equity awards as a result of the AT&amp;T Comcast transaction).</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IX-8</w:t>
      </w:r>
    </w:p>
    <w:p>
      <w:pPr>
        <w:sectPr>
          <w:pgSz w:w="11900" w:h="16838" w:orient="portrait"/>
          <w:cols w:equalWidth="0" w:num="1">
            <w:col w:w="10219"/>
          </w:cols>
          <w:pgMar w:left="240" w:top="719" w:right="1440" w:bottom="1440" w:gutter="0" w:footer="0" w:header="0"/>
        </w:sectPr>
      </w:pPr>
    </w:p>
    <w:bookmarkStart w:id="251" w:name="page252"/>
    <w:bookmarkEnd w:id="251"/>
    <w:p>
      <w:pPr>
        <w:jc w:val="center"/>
        <w:ind w:right="1939"/>
        <w:spacing w:after="0"/>
        <w:rPr>
          <w:sz w:val="20"/>
          <w:szCs w:val="20"/>
          <w:color w:val="auto"/>
        </w:rPr>
      </w:pPr>
      <w:r>
        <w:rPr>
          <w:rFonts w:ascii="Courier New" w:cs="Courier New" w:eastAsia="Courier New" w:hAnsi="Courier New"/>
          <w:sz w:val="17"/>
          <w:szCs w:val="17"/>
          <w:color w:val="auto"/>
        </w:rPr>
        <w:t>CHAPTER TEN</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AT&amp;T CONSUMER SERVICES GROUP TRACKING STOCK</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THE CONSUMER SERVICES CHARTER AMENDMENT PROPOSAL</w:t>
      </w:r>
    </w:p>
    <w:p>
      <w:pPr>
        <w:spacing w:after="0" w:line="210"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AT&amp;T urges all AT&amp;T shareholders to read the form of proposed charter amendment, a copy of which we have attached as Annex M to this document.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AT&amp;T is proposing the following amendment to its charter, which we refer to as the Consumer Services charter amendment proposal:</w:t>
      </w:r>
    </w:p>
    <w:p>
      <w:pPr>
        <w:spacing w:after="0" w:line="192" w:lineRule="exact"/>
        <w:rPr>
          <w:sz w:val="20"/>
          <w:szCs w:val="20"/>
          <w:color w:val="auto"/>
        </w:rPr>
      </w:pPr>
    </w:p>
    <w:p>
      <w:pPr>
        <w:ind w:left="960" w:right="2879"/>
        <w:spacing w:after="0" w:line="252" w:lineRule="auto"/>
        <w:rPr>
          <w:sz w:val="20"/>
          <w:szCs w:val="20"/>
          <w:color w:val="auto"/>
        </w:rPr>
      </w:pPr>
      <w:r>
        <w:rPr>
          <w:rFonts w:ascii="Courier New" w:cs="Courier New" w:eastAsia="Courier New" w:hAnsi="Courier New"/>
          <w:sz w:val="17"/>
          <w:szCs w:val="17"/>
          <w:color w:val="auto"/>
        </w:rPr>
        <w:t>Consumer Services Group tracking stock amendment -- an amendment to create a new class of common stock called Consumer Services Group common stock, par value $1.00 per share, intended to reflect the financial performance and economic value of AT&amp;T's Consumer Services business. We refer to this stock as "AT&amp;T Consumer Services Group tracking stock."</w:t>
      </w:r>
    </w:p>
    <w:p>
      <w:pPr>
        <w:spacing w:after="0" w:line="196"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Approval of the Consumer Services charter amendment proposal requires a majority of the voting power of all outstanding shares of AT&amp;T common stock to vote in its favor. THE AT&amp;T BOARD RECOMMENDS THAT AT&amp;T SHAREHOLDERS VOTE FOR APPROVAL. Any shares of AT&amp;T common stock not voted, whether by abstention, broker non-vote or otherwise, have the effect of a vote against the Consumer Services charter amendment proposal.</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CONSUMER SERVICES GROUP TRACKING STOCK AMENDMENT</w:t>
      </w:r>
    </w:p>
    <w:p>
      <w:pPr>
        <w:spacing w:after="0" w:line="210"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The Consumer Services Group tracking stock amendment would, among other things:</w:t>
      </w:r>
    </w:p>
    <w:p>
      <w:pPr>
        <w:spacing w:after="0" w:line="192" w:lineRule="exact"/>
        <w:rPr>
          <w:sz w:val="20"/>
          <w:szCs w:val="20"/>
          <w:color w:val="auto"/>
        </w:rPr>
      </w:pPr>
    </w:p>
    <w:p>
      <w:pPr>
        <w:ind w:left="740" w:right="1939" w:hanging="209"/>
        <w:spacing w:after="0" w:line="252" w:lineRule="auto"/>
        <w:tabs>
          <w:tab w:leader="none" w:pos="740" w:val="left"/>
        </w:tabs>
        <w:numPr>
          <w:ilvl w:val="0"/>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Define "AT&amp;T Consumer Services Group," the financial performance and economic value of which is intended to be reflected in AT&amp;T Consumer Services Group tracking stock. AT&amp;T Consumer Services Group will consist of the assets and liabilities shown in the combined balance sheets of AT&amp;T Consumer Services Group and will include:</w:t>
      </w:r>
    </w:p>
    <w:p>
      <w:pPr>
        <w:spacing w:after="0" w:line="197" w:lineRule="exact"/>
        <w:rPr>
          <w:rFonts w:ascii="Courier New" w:cs="Courier New" w:eastAsia="Courier New" w:hAnsi="Courier New"/>
          <w:sz w:val="17"/>
          <w:szCs w:val="17"/>
          <w:color w:val="auto"/>
        </w:rPr>
      </w:pPr>
    </w:p>
    <w:p>
      <w:pPr>
        <w:ind w:left="840" w:hanging="204"/>
        <w:spacing w:after="0"/>
        <w:tabs>
          <w:tab w:leader="none" w:pos="840" w:val="left"/>
        </w:tabs>
        <w:numPr>
          <w:ilvl w:val="1"/>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Consumer Services long distance customers;</w:t>
      </w:r>
    </w:p>
    <w:p>
      <w:pPr>
        <w:spacing w:after="0" w:line="210" w:lineRule="exact"/>
        <w:rPr>
          <w:rFonts w:ascii="Courier New" w:cs="Courier New" w:eastAsia="Courier New" w:hAnsi="Courier New"/>
          <w:sz w:val="17"/>
          <w:szCs w:val="17"/>
          <w:color w:val="auto"/>
        </w:rPr>
      </w:pPr>
    </w:p>
    <w:p>
      <w:pPr>
        <w:ind w:left="840" w:right="2359" w:hanging="204"/>
        <w:spacing w:after="0" w:line="257" w:lineRule="auto"/>
        <w:tabs>
          <w:tab w:leader="none" w:pos="840" w:val="left"/>
        </w:tabs>
        <w:numPr>
          <w:ilvl w:val="1"/>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Consumer Services non-network support infrastructure, including ordering, provisioning, billing and care; and</w:t>
      </w:r>
    </w:p>
    <w:p>
      <w:pPr>
        <w:spacing w:after="0" w:line="191" w:lineRule="exact"/>
        <w:rPr>
          <w:rFonts w:ascii="Courier New" w:cs="Courier New" w:eastAsia="Courier New" w:hAnsi="Courier New"/>
          <w:sz w:val="17"/>
          <w:szCs w:val="17"/>
          <w:color w:val="auto"/>
        </w:rPr>
      </w:pPr>
    </w:p>
    <w:p>
      <w:pPr>
        <w:ind w:left="840" w:hanging="204"/>
        <w:spacing w:after="0"/>
        <w:tabs>
          <w:tab w:leader="none" w:pos="840" w:val="left"/>
        </w:tabs>
        <w:numPr>
          <w:ilvl w:val="1"/>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Consumer Services marketing operations.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Establish the terms of AT&amp;T Consumer Services Group tracking stock,</w:t>
      </w:r>
    </w:p>
    <w:p>
      <w:pPr>
        <w:spacing w:after="0" w:line="8" w:lineRule="exact"/>
        <w:rPr>
          <w:rFonts w:ascii="Courier New" w:cs="Courier New" w:eastAsia="Courier New" w:hAnsi="Courier New"/>
          <w:sz w:val="17"/>
          <w:szCs w:val="17"/>
          <w:color w:val="auto"/>
        </w:rPr>
      </w:pP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consisting of [] authorized shares and entitling the holders of</w:t>
      </w:r>
    </w:p>
    <w:p>
      <w:pPr>
        <w:spacing w:after="0" w:line="9" w:lineRule="exact"/>
        <w:rPr>
          <w:sz w:val="20"/>
          <w:szCs w:val="20"/>
          <w:color w:val="auto"/>
        </w:rPr>
      </w:pPr>
    </w:p>
    <w:tbl>
      <w:tblPr>
        <w:tblLayout w:type="fixed"/>
        <w:tblInd w:w="740" w:type="dxa"/>
        <w:tblCellMar>
          <w:top w:w="0" w:type="dxa"/>
          <w:left w:w="0" w:type="dxa"/>
          <w:bottom w:w="0" w:type="dxa"/>
          <w:right w:w="0" w:type="dxa"/>
        </w:tblCellMar>
      </w:tblPr>
      <w:tr>
        <w:trPr>
          <w:trHeight w:val="197"/>
        </w:trPr>
        <w:tc>
          <w:tcPr>
            <w:tcW w:w="4880" w:type="dxa"/>
            <w:vAlign w:val="bottom"/>
          </w:tcPr>
          <w:p>
            <w:pPr>
              <w:spacing w:after="0"/>
              <w:rPr>
                <w:sz w:val="20"/>
                <w:szCs w:val="20"/>
                <w:color w:val="auto"/>
              </w:rPr>
            </w:pPr>
            <w:r>
              <w:rPr>
                <w:rFonts w:ascii="Courier New" w:cs="Courier New" w:eastAsia="Courier New" w:hAnsi="Courier New"/>
                <w:sz w:val="17"/>
                <w:szCs w:val="17"/>
                <w:color w:val="auto"/>
              </w:rPr>
              <w:t>AT&amp;T Consumer Services Group tracking stock to</w:t>
            </w:r>
          </w:p>
        </w:tc>
        <w:tc>
          <w:tcPr>
            <w:tcW w:w="72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2040" w:type="dxa"/>
            <w:vAlign w:val="bottom"/>
          </w:tcPr>
          <w:p>
            <w:pPr>
              <w:ind w:left="480"/>
              <w:spacing w:after="0"/>
              <w:rPr>
                <w:sz w:val="20"/>
                <w:szCs w:val="20"/>
                <w:color w:val="auto"/>
              </w:rPr>
            </w:pPr>
            <w:r>
              <w:rPr>
                <w:rFonts w:ascii="Courier New" w:cs="Courier New" w:eastAsia="Courier New" w:hAnsi="Courier New"/>
                <w:sz w:val="17"/>
                <w:szCs w:val="17"/>
                <w:color w:val="auto"/>
              </w:rPr>
              <w:t>] of a vote per</w:t>
            </w:r>
          </w:p>
        </w:tc>
      </w:tr>
      <w:tr>
        <w:trPr>
          <w:trHeight w:val="201"/>
        </w:trPr>
        <w:tc>
          <w:tcPr>
            <w:tcW w:w="5600" w:type="dxa"/>
            <w:vAlign w:val="bottom"/>
            <w:gridSpan w:val="2"/>
          </w:tcPr>
          <w:p>
            <w:pPr>
              <w:spacing w:after="0"/>
              <w:rPr>
                <w:sz w:val="20"/>
                <w:szCs w:val="20"/>
                <w:color w:val="auto"/>
              </w:rPr>
            </w:pPr>
            <w:r>
              <w:rPr>
                <w:rFonts w:ascii="Courier New" w:cs="Courier New" w:eastAsia="Courier New" w:hAnsi="Courier New"/>
                <w:sz w:val="17"/>
                <w:szCs w:val="17"/>
                <w:color w:val="auto"/>
              </w:rPr>
              <w:t>share, voting as one class with all other classes and</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series of common</w:t>
            </w:r>
          </w:p>
        </w:tc>
      </w:tr>
      <w:tr>
        <w:trPr>
          <w:trHeight w:val="201"/>
        </w:trPr>
        <w:tc>
          <w:tcPr>
            <w:tcW w:w="4880" w:type="dxa"/>
            <w:vAlign w:val="bottom"/>
          </w:tcPr>
          <w:p>
            <w:pPr>
              <w:spacing w:after="0"/>
              <w:rPr>
                <w:sz w:val="20"/>
                <w:szCs w:val="20"/>
                <w:color w:val="auto"/>
              </w:rPr>
            </w:pPr>
            <w:r>
              <w:rPr>
                <w:rFonts w:ascii="Courier New" w:cs="Courier New" w:eastAsia="Courier New" w:hAnsi="Courier New"/>
                <w:sz w:val="17"/>
                <w:szCs w:val="17"/>
                <w:color w:val="auto"/>
              </w:rPr>
              <w:t>stock and preferred stock of AT&amp;T with respect</w:t>
            </w:r>
          </w:p>
        </w:tc>
        <w:tc>
          <w:tcPr>
            <w:tcW w:w="720" w:type="dxa"/>
            <w:vAlign w:val="bottom"/>
          </w:tcPr>
          <w:p>
            <w:pPr>
              <w:ind w:left="40"/>
              <w:spacing w:after="0"/>
              <w:rPr>
                <w:sz w:val="20"/>
                <w:szCs w:val="20"/>
                <w:color w:val="auto"/>
              </w:rPr>
            </w:pPr>
            <w:r>
              <w:rPr>
                <w:rFonts w:ascii="Courier New" w:cs="Courier New" w:eastAsia="Courier New" w:hAnsi="Courier New"/>
                <w:sz w:val="17"/>
                <w:szCs w:val="17"/>
                <w:color w:val="auto"/>
              </w:rPr>
              <w:t>to all</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matters to be voted</w:t>
            </w:r>
          </w:p>
        </w:tc>
      </w:tr>
      <w:tr>
        <w:trPr>
          <w:trHeight w:val="201"/>
        </w:trPr>
        <w:tc>
          <w:tcPr>
            <w:tcW w:w="4880" w:type="dxa"/>
            <w:vAlign w:val="bottom"/>
          </w:tcPr>
          <w:p>
            <w:pPr>
              <w:spacing w:after="0"/>
              <w:rPr>
                <w:sz w:val="20"/>
                <w:szCs w:val="20"/>
                <w:color w:val="auto"/>
              </w:rPr>
            </w:pPr>
            <w:r>
              <w:rPr>
                <w:rFonts w:ascii="Courier New" w:cs="Courier New" w:eastAsia="Courier New" w:hAnsi="Courier New"/>
                <w:sz w:val="17"/>
                <w:szCs w:val="17"/>
                <w:color w:val="auto"/>
              </w:rPr>
              <w:t>upon by AT&amp;T shareholders, except as otherwise</w:t>
            </w:r>
          </w:p>
        </w:tc>
        <w:tc>
          <w:tcPr>
            <w:tcW w:w="27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required by the New York</w:t>
            </w:r>
          </w:p>
        </w:tc>
      </w:tr>
      <w:tr>
        <w:trPr>
          <w:trHeight w:val="201"/>
        </w:trPr>
        <w:tc>
          <w:tcPr>
            <w:tcW w:w="5600" w:type="dxa"/>
            <w:vAlign w:val="bottom"/>
            <w:gridSpan w:val="2"/>
          </w:tcPr>
          <w:p>
            <w:pPr>
              <w:spacing w:after="0"/>
              <w:rPr>
                <w:sz w:val="20"/>
                <w:szCs w:val="20"/>
                <w:color w:val="auto"/>
              </w:rPr>
            </w:pPr>
            <w:r>
              <w:rPr>
                <w:rFonts w:ascii="Courier New" w:cs="Courier New" w:eastAsia="Courier New" w:hAnsi="Courier New"/>
                <w:sz w:val="17"/>
                <w:szCs w:val="17"/>
                <w:color w:val="auto"/>
              </w:rPr>
              <w:t>Business Corporation Law or by the terms of any other</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class or series of</w:t>
            </w:r>
          </w:p>
        </w:tc>
      </w:tr>
      <w:tr>
        <w:trPr>
          <w:trHeight w:val="201"/>
        </w:trPr>
        <w:tc>
          <w:tcPr>
            <w:tcW w:w="4880" w:type="dxa"/>
            <w:vAlign w:val="bottom"/>
          </w:tcPr>
          <w:p>
            <w:pPr>
              <w:spacing w:after="0"/>
              <w:rPr>
                <w:sz w:val="20"/>
                <w:szCs w:val="20"/>
                <w:color w:val="auto"/>
              </w:rPr>
            </w:pPr>
            <w:r>
              <w:rPr>
                <w:rFonts w:ascii="Courier New" w:cs="Courier New" w:eastAsia="Courier New" w:hAnsi="Courier New"/>
                <w:sz w:val="17"/>
                <w:szCs w:val="17"/>
                <w:color w:val="auto"/>
              </w:rPr>
              <w:t>AT&amp;T's capital stock.</w:t>
            </w:r>
          </w:p>
        </w:tc>
        <w:tc>
          <w:tcPr>
            <w:tcW w:w="720" w:type="dxa"/>
            <w:vAlign w:val="bottom"/>
          </w:tcPr>
          <w:p>
            <w:pPr>
              <w:spacing w:after="0"/>
              <w:rPr>
                <w:sz w:val="17"/>
                <w:szCs w:val="17"/>
                <w:color w:val="auto"/>
              </w:rPr>
            </w:pPr>
          </w:p>
        </w:tc>
        <w:tc>
          <w:tcPr>
            <w:tcW w:w="2040" w:type="dxa"/>
            <w:vAlign w:val="bottom"/>
          </w:tcPr>
          <w:p>
            <w:pPr>
              <w:spacing w:after="0"/>
              <w:rPr>
                <w:sz w:val="17"/>
                <w:szCs w:val="17"/>
                <w:color w:val="auto"/>
              </w:rPr>
            </w:pPr>
          </w:p>
        </w:tc>
      </w:tr>
    </w:tbl>
    <w:p>
      <w:pPr>
        <w:spacing w:after="0" w:line="205"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 more complete description of AT&amp;T Consumer Services Group tracking stock is included under "-- Terms of the Consumer Services Group Tracking Stock Amendment."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OF THE AT&amp;T BOARD</w:t>
      </w:r>
    </w:p>
    <w:p>
      <w:pPr>
        <w:spacing w:after="0" w:line="210"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THE AT&amp;T BOARD HAS APPROVED THE CONSUMER SERVICES CHARTER AMENDMENT PROPOSAL AND RECOMMENDS THAT AT&amp;T SHAREHOLDERS VOTE FOR THE CONSUMER SERVICES CHARTER AMENDMENT PROPOSAL.</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X-1</w:t>
      </w:r>
    </w:p>
    <w:p>
      <w:pPr>
        <w:sectPr>
          <w:pgSz w:w="11900" w:h="16838" w:orient="portrait"/>
          <w:cols w:equalWidth="0" w:num="1">
            <w:col w:w="10219"/>
          </w:cols>
          <w:pgMar w:left="240" w:top="720" w:right="1440" w:bottom="1440" w:gutter="0" w:footer="0" w:header="0"/>
        </w:sectPr>
      </w:pPr>
    </w:p>
    <w:bookmarkStart w:id="252" w:name="page253"/>
    <w:bookmarkEnd w:id="252"/>
    <w:p>
      <w:pPr>
        <w:spacing w:after="0"/>
        <w:rPr>
          <w:sz w:val="20"/>
          <w:szCs w:val="20"/>
          <w:color w:val="auto"/>
        </w:rPr>
      </w:pPr>
      <w:r>
        <w:rPr>
          <w:rFonts w:ascii="Courier New" w:cs="Courier New" w:eastAsia="Courier New" w:hAnsi="Courier New"/>
          <w:sz w:val="17"/>
          <w:szCs w:val="17"/>
          <w:color w:val="auto"/>
        </w:rPr>
        <w:t>TERMS OF THE CONSUMER SERVICES GROUP TRACKING STOCK AMENDMENT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 w:type="dxa"/>
            <w:vAlign w:val="bottom"/>
          </w:tcPr>
          <w:p>
            <w:pPr>
              <w:ind w:left="220"/>
              <w:spacing w:after="0"/>
              <w:rPr>
                <w:sz w:val="20"/>
                <w:szCs w:val="20"/>
                <w:color w:val="auto"/>
              </w:rPr>
            </w:pPr>
            <w:r>
              <w:rPr>
                <w:rFonts w:ascii="Courier New" w:cs="Courier New" w:eastAsia="Courier New" w:hAnsi="Courier New"/>
                <w:sz w:val="17"/>
                <w:szCs w:val="17"/>
                <w:color w:val="auto"/>
              </w:rPr>
              <w:t>GENERAL</w:t>
            </w: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03"/>
        </w:trPr>
        <w:tc>
          <w:tcPr>
            <w:tcW w:w="37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If the Consumer Services Group</w:t>
            </w:r>
          </w:p>
        </w:tc>
        <w:tc>
          <w:tcPr>
            <w:tcW w:w="2940" w:type="dxa"/>
            <w:vAlign w:val="bottom"/>
            <w:gridSpan w:val="2"/>
          </w:tcPr>
          <w:p>
            <w:pPr>
              <w:spacing w:after="0"/>
              <w:rPr>
                <w:sz w:val="20"/>
                <w:szCs w:val="20"/>
                <w:color w:val="auto"/>
              </w:rPr>
            </w:pPr>
            <w:r>
              <w:rPr>
                <w:rFonts w:ascii="Courier New" w:cs="Courier New" w:eastAsia="Courier New" w:hAnsi="Courier New"/>
                <w:sz w:val="17"/>
                <w:szCs w:val="17"/>
                <w:color w:val="auto"/>
              </w:rPr>
              <w:t>tracking stock amendment is</w:t>
            </w: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adopted, AT&amp;T</w:t>
            </w:r>
          </w:p>
        </w:tc>
        <w:tc>
          <w:tcPr>
            <w:tcW w:w="200" w:type="dxa"/>
            <w:vAlign w:val="bottom"/>
          </w:tcPr>
          <w:p>
            <w:pPr>
              <w:spacing w:after="0"/>
              <w:rPr>
                <w:sz w:val="24"/>
                <w:szCs w:val="24"/>
                <w:color w:val="auto"/>
              </w:rPr>
            </w:pPr>
          </w:p>
        </w:tc>
      </w:tr>
      <w:tr>
        <w:trPr>
          <w:trHeight w:val="201"/>
        </w:trPr>
        <w:tc>
          <w:tcPr>
            <w:tcW w:w="3780" w:type="dxa"/>
            <w:vAlign w:val="bottom"/>
            <w:gridSpan w:val="3"/>
          </w:tcPr>
          <w:p>
            <w:pPr>
              <w:spacing w:after="0"/>
              <w:rPr>
                <w:sz w:val="20"/>
                <w:szCs w:val="20"/>
                <w:color w:val="auto"/>
              </w:rPr>
            </w:pPr>
            <w:r>
              <w:rPr>
                <w:rFonts w:ascii="Courier New" w:cs="Courier New" w:eastAsia="Courier New" w:hAnsi="Courier New"/>
                <w:sz w:val="17"/>
                <w:szCs w:val="17"/>
                <w:color w:val="auto"/>
              </w:rPr>
              <w:t>will amend its charter to authorize</w:t>
            </w:r>
          </w:p>
        </w:tc>
        <w:tc>
          <w:tcPr>
            <w:tcW w:w="58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shares of AT&amp;T</w:t>
            </w: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Consumer</w:t>
            </w:r>
          </w:p>
        </w:tc>
        <w:tc>
          <w:tcPr>
            <w:tcW w:w="200" w:type="dxa"/>
            <w:vAlign w:val="bottom"/>
          </w:tcPr>
          <w:p>
            <w:pPr>
              <w:spacing w:after="0"/>
              <w:rPr>
                <w:sz w:val="17"/>
                <w:szCs w:val="17"/>
                <w:color w:val="auto"/>
              </w:rPr>
            </w:pPr>
          </w:p>
        </w:tc>
      </w:tr>
      <w:tr>
        <w:trPr>
          <w:trHeight w:val="201"/>
        </w:trPr>
        <w:tc>
          <w:tcPr>
            <w:tcW w:w="8180" w:type="dxa"/>
            <w:vAlign w:val="bottom"/>
            <w:gridSpan w:val="6"/>
          </w:tcPr>
          <w:p>
            <w:pPr>
              <w:spacing w:after="0"/>
              <w:rPr>
                <w:sz w:val="20"/>
                <w:szCs w:val="20"/>
                <w:color w:val="auto"/>
              </w:rPr>
            </w:pPr>
            <w:r>
              <w:rPr>
                <w:rFonts w:ascii="Courier New" w:cs="Courier New" w:eastAsia="Courier New" w:hAnsi="Courier New"/>
                <w:sz w:val="17"/>
                <w:szCs w:val="17"/>
                <w:color w:val="auto"/>
              </w:rPr>
              <w:t>Services Group tracking stock. Approval of the Consumer Services charter</w:t>
            </w:r>
          </w:p>
        </w:tc>
        <w:tc>
          <w:tcPr>
            <w:tcW w:w="200" w:type="dxa"/>
            <w:vAlign w:val="bottom"/>
          </w:tcPr>
          <w:p>
            <w:pPr>
              <w:spacing w:after="0"/>
              <w:rPr>
                <w:sz w:val="17"/>
                <w:szCs w:val="17"/>
                <w:color w:val="auto"/>
              </w:rPr>
            </w:pP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amendment</w:t>
            </w:r>
          </w:p>
        </w:tc>
        <w:tc>
          <w:tcPr>
            <w:tcW w:w="718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proposal will also allow the AT&amp;T Board to amend AT&amp;T's charter to</w:t>
            </w:r>
          </w:p>
        </w:tc>
        <w:tc>
          <w:tcPr>
            <w:tcW w:w="200" w:type="dxa"/>
            <w:vAlign w:val="bottom"/>
          </w:tcPr>
          <w:p>
            <w:pPr>
              <w:spacing w:after="0"/>
              <w:rPr>
                <w:sz w:val="17"/>
                <w:szCs w:val="17"/>
                <w:color w:val="auto"/>
              </w:rPr>
            </w:pP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eliminate</w:t>
            </w:r>
          </w:p>
        </w:tc>
        <w:tc>
          <w:tcPr>
            <w:tcW w:w="572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all references to AT&amp;T Wireless Group tracking stock,</w:t>
            </w:r>
          </w:p>
        </w:tc>
        <w:tc>
          <w:tcPr>
            <w:tcW w:w="1660" w:type="dxa"/>
            <w:vAlign w:val="bottom"/>
            <w:gridSpan w:val="2"/>
          </w:tcPr>
          <w:p>
            <w:pPr>
              <w:spacing w:after="0"/>
              <w:rPr>
                <w:sz w:val="20"/>
                <w:szCs w:val="20"/>
                <w:color w:val="auto"/>
              </w:rPr>
            </w:pPr>
            <w:r>
              <w:rPr>
                <w:rFonts w:ascii="Courier New" w:cs="Courier New" w:eastAsia="Courier New" w:hAnsi="Courier New"/>
                <w:sz w:val="17"/>
                <w:szCs w:val="17"/>
                <w:color w:val="auto"/>
              </w:rPr>
              <w:t>Class A Liberty</w:t>
            </w:r>
          </w:p>
        </w:tc>
      </w:tr>
      <w:tr>
        <w:trPr>
          <w:trHeight w:val="201"/>
        </w:trPr>
        <w:tc>
          <w:tcPr>
            <w:tcW w:w="8180" w:type="dxa"/>
            <w:vAlign w:val="bottom"/>
            <w:gridSpan w:val="6"/>
          </w:tcPr>
          <w:p>
            <w:pPr>
              <w:spacing w:after="0"/>
              <w:rPr>
                <w:sz w:val="20"/>
                <w:szCs w:val="20"/>
                <w:color w:val="auto"/>
              </w:rPr>
            </w:pPr>
            <w:r>
              <w:rPr>
                <w:rFonts w:ascii="Courier New" w:cs="Courier New" w:eastAsia="Courier New" w:hAnsi="Courier New"/>
                <w:sz w:val="17"/>
                <w:szCs w:val="17"/>
                <w:color w:val="auto"/>
              </w:rPr>
              <w:t>Media Group common stock, Class B Liberty Media Group common stock, and AT&amp;T</w:t>
            </w:r>
          </w:p>
        </w:tc>
        <w:tc>
          <w:tcPr>
            <w:tcW w:w="200" w:type="dxa"/>
            <w:vAlign w:val="bottom"/>
          </w:tcPr>
          <w:p>
            <w:pPr>
              <w:spacing w:after="0"/>
              <w:rPr>
                <w:sz w:val="17"/>
                <w:szCs w:val="17"/>
                <w:color w:val="auto"/>
              </w:rPr>
            </w:pPr>
          </w:p>
        </w:tc>
      </w:tr>
      <w:tr>
        <w:trPr>
          <w:trHeight w:val="201"/>
        </w:trPr>
        <w:tc>
          <w:tcPr>
            <w:tcW w:w="6720" w:type="dxa"/>
            <w:vAlign w:val="bottom"/>
            <w:gridSpan w:val="5"/>
          </w:tcPr>
          <w:p>
            <w:pPr>
              <w:spacing w:after="0"/>
              <w:rPr>
                <w:sz w:val="20"/>
                <w:szCs w:val="20"/>
                <w:color w:val="auto"/>
              </w:rPr>
            </w:pPr>
            <w:r>
              <w:rPr>
                <w:rFonts w:ascii="Courier New" w:cs="Courier New" w:eastAsia="Courier New" w:hAnsi="Courier New"/>
                <w:sz w:val="17"/>
                <w:szCs w:val="17"/>
                <w:color w:val="auto"/>
              </w:rPr>
              <w:t>Wireless Group preferred tracking stock and to redesignate such</w:t>
            </w:r>
          </w:p>
        </w:tc>
        <w:tc>
          <w:tcPr>
            <w:tcW w:w="1660" w:type="dxa"/>
            <w:vAlign w:val="bottom"/>
            <w:gridSpan w:val="2"/>
          </w:tcPr>
          <w:p>
            <w:pPr>
              <w:spacing w:after="0"/>
              <w:rPr>
                <w:sz w:val="20"/>
                <w:szCs w:val="20"/>
                <w:color w:val="auto"/>
              </w:rPr>
            </w:pPr>
            <w:r>
              <w:rPr>
                <w:rFonts w:ascii="Courier New" w:cs="Courier New" w:eastAsia="Courier New" w:hAnsi="Courier New"/>
                <w:sz w:val="17"/>
                <w:szCs w:val="17"/>
                <w:color w:val="auto"/>
              </w:rPr>
              <w:t>series as shares</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of common</w:t>
            </w:r>
          </w:p>
        </w:tc>
        <w:tc>
          <w:tcPr>
            <w:tcW w:w="2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stock or preferred stock,</w:t>
            </w:r>
          </w:p>
        </w:tc>
        <w:tc>
          <w:tcPr>
            <w:tcW w:w="4600" w:type="dxa"/>
            <w:vAlign w:val="bottom"/>
            <w:gridSpan w:val="4"/>
          </w:tcPr>
          <w:p>
            <w:pPr>
              <w:spacing w:after="0"/>
              <w:rPr>
                <w:sz w:val="20"/>
                <w:szCs w:val="20"/>
                <w:color w:val="auto"/>
              </w:rPr>
            </w:pPr>
            <w:r>
              <w:rPr>
                <w:rFonts w:ascii="Courier New" w:cs="Courier New" w:eastAsia="Courier New" w:hAnsi="Courier New"/>
                <w:sz w:val="17"/>
                <w:szCs w:val="17"/>
                <w:color w:val="auto"/>
              </w:rPr>
              <w:t>as applicable, which would be available for</w:t>
            </w:r>
          </w:p>
        </w:tc>
      </w:tr>
      <w:tr>
        <w:trPr>
          <w:trHeight w:val="201"/>
        </w:trPr>
        <w:tc>
          <w:tcPr>
            <w:tcW w:w="8180" w:type="dxa"/>
            <w:vAlign w:val="bottom"/>
            <w:gridSpan w:val="6"/>
          </w:tcPr>
          <w:p>
            <w:pPr>
              <w:spacing w:after="0"/>
              <w:rPr>
                <w:sz w:val="20"/>
                <w:szCs w:val="20"/>
                <w:color w:val="auto"/>
              </w:rPr>
            </w:pPr>
            <w:r>
              <w:rPr>
                <w:rFonts w:ascii="Courier New" w:cs="Courier New" w:eastAsia="Courier New" w:hAnsi="Courier New"/>
                <w:sz w:val="17"/>
                <w:szCs w:val="17"/>
                <w:color w:val="auto"/>
              </w:rPr>
              <w:t>issuance. Currently, 16.5 billion shares of AT&amp;T capital stock are authorized,</w:t>
            </w:r>
          </w:p>
        </w:tc>
        <w:tc>
          <w:tcPr>
            <w:tcW w:w="200" w:type="dxa"/>
            <w:vAlign w:val="bottom"/>
          </w:tcPr>
          <w:p>
            <w:pPr>
              <w:spacing w:after="0"/>
              <w:rPr>
                <w:sz w:val="17"/>
                <w:szCs w:val="17"/>
                <w:color w:val="auto"/>
              </w:rPr>
            </w:pPr>
          </w:p>
        </w:tc>
      </w:tr>
      <w:tr>
        <w:trPr>
          <w:trHeight w:val="201"/>
        </w:trPr>
        <w:tc>
          <w:tcPr>
            <w:tcW w:w="3780" w:type="dxa"/>
            <w:vAlign w:val="bottom"/>
            <w:gridSpan w:val="3"/>
          </w:tcPr>
          <w:p>
            <w:pPr>
              <w:spacing w:after="0"/>
              <w:rPr>
                <w:sz w:val="20"/>
                <w:szCs w:val="20"/>
                <w:color w:val="auto"/>
              </w:rPr>
            </w:pPr>
            <w:r>
              <w:rPr>
                <w:rFonts w:ascii="Courier New" w:cs="Courier New" w:eastAsia="Courier New" w:hAnsi="Courier New"/>
                <w:sz w:val="17"/>
                <w:szCs w:val="17"/>
                <w:color w:val="auto"/>
              </w:rPr>
              <w:t>consisting of 100 million shares of</w:t>
            </w:r>
          </w:p>
        </w:tc>
        <w:tc>
          <w:tcPr>
            <w:tcW w:w="4400" w:type="dxa"/>
            <w:vAlign w:val="bottom"/>
            <w:gridSpan w:val="3"/>
          </w:tcPr>
          <w:p>
            <w:pPr>
              <w:spacing w:after="0"/>
              <w:rPr>
                <w:sz w:val="20"/>
                <w:szCs w:val="20"/>
                <w:color w:val="auto"/>
              </w:rPr>
            </w:pPr>
            <w:r>
              <w:rPr>
                <w:rFonts w:ascii="Courier New" w:cs="Courier New" w:eastAsia="Courier New" w:hAnsi="Courier New"/>
                <w:sz w:val="17"/>
                <w:szCs w:val="17"/>
                <w:color w:val="auto"/>
              </w:rPr>
              <w:t>preferred stock and 16.4 billion shares of</w:t>
            </w:r>
          </w:p>
        </w:tc>
        <w:tc>
          <w:tcPr>
            <w:tcW w:w="200" w:type="dxa"/>
            <w:vAlign w:val="bottom"/>
          </w:tcPr>
          <w:p>
            <w:pPr>
              <w:spacing w:after="0"/>
              <w:rPr>
                <w:sz w:val="17"/>
                <w:szCs w:val="17"/>
                <w:color w:val="auto"/>
              </w:rPr>
            </w:pPr>
          </w:p>
        </w:tc>
      </w:tr>
      <w:tr>
        <w:trPr>
          <w:trHeight w:val="201"/>
        </w:trPr>
        <w:tc>
          <w:tcPr>
            <w:tcW w:w="8180" w:type="dxa"/>
            <w:vAlign w:val="bottom"/>
            <w:gridSpan w:val="6"/>
          </w:tcPr>
          <w:p>
            <w:pPr>
              <w:spacing w:after="0"/>
              <w:rPr>
                <w:sz w:val="20"/>
                <w:szCs w:val="20"/>
                <w:color w:val="auto"/>
              </w:rPr>
            </w:pPr>
            <w:r>
              <w:rPr>
                <w:rFonts w:ascii="Courier New" w:cs="Courier New" w:eastAsia="Courier New" w:hAnsi="Courier New"/>
                <w:sz w:val="17"/>
                <w:szCs w:val="17"/>
                <w:color w:val="auto"/>
              </w:rPr>
              <w:t>common stock. If the Consumer Services charter amendment proposal is approved,</w:t>
            </w:r>
          </w:p>
        </w:tc>
        <w:tc>
          <w:tcPr>
            <w:tcW w:w="200" w:type="dxa"/>
            <w:vAlign w:val="bottom"/>
          </w:tcPr>
          <w:p>
            <w:pPr>
              <w:spacing w:after="0"/>
              <w:rPr>
                <w:sz w:val="17"/>
                <w:szCs w:val="17"/>
                <w:color w:val="auto"/>
              </w:rPr>
            </w:pP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the total</w:t>
            </w:r>
          </w:p>
        </w:tc>
        <w:tc>
          <w:tcPr>
            <w:tcW w:w="572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number of authorized shares of AT&amp;T common stock will</w:t>
            </w: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be [</w:t>
            </w:r>
          </w:p>
        </w:tc>
        <w:tc>
          <w:tcPr>
            <w:tcW w:w="200" w:type="dxa"/>
            <w:vAlign w:val="bottom"/>
          </w:tcPr>
          <w:p>
            <w:pPr>
              <w:jc w:val="right"/>
              <w:ind w:right="13"/>
              <w:spacing w:after="0"/>
              <w:rPr>
                <w:sz w:val="20"/>
                <w:szCs w:val="20"/>
                <w:color w:val="auto"/>
              </w:rPr>
            </w:pPr>
            <w:r>
              <w:rPr>
                <w:rFonts w:ascii="Courier New" w:cs="Courier New" w:eastAsia="Courier New" w:hAnsi="Courier New"/>
                <w:sz w:val="17"/>
                <w:szCs w:val="17"/>
                <w:color w:val="auto"/>
                <w:w w:val="77"/>
              </w:rPr>
              <w:t>]</w:t>
            </w:r>
          </w:p>
        </w:tc>
      </w:tr>
      <w:tr>
        <w:trPr>
          <w:trHeight w:val="201"/>
        </w:trPr>
        <w:tc>
          <w:tcPr>
            <w:tcW w:w="2740" w:type="dxa"/>
            <w:vAlign w:val="bottom"/>
            <w:gridSpan w:val="2"/>
          </w:tcPr>
          <w:p>
            <w:pPr>
              <w:spacing w:after="0"/>
              <w:rPr>
                <w:sz w:val="20"/>
                <w:szCs w:val="20"/>
                <w:color w:val="auto"/>
              </w:rPr>
            </w:pPr>
            <w:r>
              <w:rPr>
                <w:rFonts w:ascii="Courier New" w:cs="Courier New" w:eastAsia="Courier New" w:hAnsi="Courier New"/>
                <w:sz w:val="17"/>
                <w:szCs w:val="17"/>
                <w:color w:val="auto"/>
              </w:rPr>
              <w:t>billion, of which [</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will</w:t>
            </w:r>
          </w:p>
        </w:tc>
        <w:tc>
          <w:tcPr>
            <w:tcW w:w="2940" w:type="dxa"/>
            <w:vAlign w:val="bottom"/>
            <w:gridSpan w:val="2"/>
          </w:tcPr>
          <w:p>
            <w:pPr>
              <w:spacing w:after="0"/>
              <w:rPr>
                <w:sz w:val="20"/>
                <w:szCs w:val="20"/>
                <w:color w:val="auto"/>
              </w:rPr>
            </w:pPr>
            <w:r>
              <w:rPr>
                <w:rFonts w:ascii="Courier New" w:cs="Courier New" w:eastAsia="Courier New" w:hAnsi="Courier New"/>
                <w:sz w:val="17"/>
                <w:szCs w:val="17"/>
                <w:color w:val="auto"/>
              </w:rPr>
              <w:t>be designated AT&amp;T Consumer</w:t>
            </w: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Services Group</w:t>
            </w:r>
          </w:p>
        </w:tc>
        <w:tc>
          <w:tcPr>
            <w:tcW w:w="200" w:type="dxa"/>
            <w:vAlign w:val="bottom"/>
          </w:tcPr>
          <w:p>
            <w:pPr>
              <w:spacing w:after="0"/>
              <w:rPr>
                <w:sz w:val="17"/>
                <w:szCs w:val="17"/>
                <w:color w:val="auto"/>
              </w:rPr>
            </w:pPr>
          </w:p>
        </w:tc>
      </w:tr>
      <w:tr>
        <w:trPr>
          <w:trHeight w:val="201"/>
        </w:trPr>
        <w:tc>
          <w:tcPr>
            <w:tcW w:w="2740" w:type="dxa"/>
            <w:vAlign w:val="bottom"/>
            <w:gridSpan w:val="2"/>
          </w:tcPr>
          <w:p>
            <w:pPr>
              <w:spacing w:after="0"/>
              <w:rPr>
                <w:sz w:val="20"/>
                <w:szCs w:val="20"/>
                <w:color w:val="auto"/>
              </w:rPr>
            </w:pPr>
            <w:r>
              <w:rPr>
                <w:rFonts w:ascii="Courier New" w:cs="Courier New" w:eastAsia="Courier New" w:hAnsi="Courier New"/>
                <w:sz w:val="17"/>
                <w:szCs w:val="17"/>
                <w:color w:val="auto"/>
              </w:rPr>
              <w:t>tracking stock. As of [</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940" w:type="dxa"/>
            <w:vAlign w:val="bottom"/>
            <w:gridSpan w:val="2"/>
          </w:tcPr>
          <w:p>
            <w:pPr>
              <w:spacing w:after="0"/>
              <w:rPr>
                <w:sz w:val="20"/>
                <w:szCs w:val="20"/>
                <w:color w:val="auto"/>
              </w:rPr>
            </w:pPr>
            <w:r>
              <w:rPr>
                <w:rFonts w:ascii="Courier New" w:cs="Courier New" w:eastAsia="Courier New" w:hAnsi="Courier New"/>
                <w:sz w:val="17"/>
                <w:szCs w:val="17"/>
                <w:color w:val="auto"/>
              </w:rPr>
              <w:t>2002, AT&amp;T had outstanding [</w:t>
            </w:r>
          </w:p>
        </w:tc>
        <w:tc>
          <w:tcPr>
            <w:tcW w:w="1460" w:type="dxa"/>
            <w:vAlign w:val="bottom"/>
          </w:tcPr>
          <w:p>
            <w:pPr>
              <w:ind w:left="1040"/>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shares of</w:t>
            </w:r>
          </w:p>
        </w:tc>
        <w:tc>
          <w:tcPr>
            <w:tcW w:w="2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AT&amp;T common stock. As of [</w:t>
            </w:r>
          </w:p>
        </w:tc>
        <w:tc>
          <w:tcPr>
            <w:tcW w:w="580" w:type="dxa"/>
            <w:vAlign w:val="bottom"/>
          </w:tcPr>
          <w:p>
            <w:pPr>
              <w:spacing w:after="0"/>
              <w:rPr>
                <w:sz w:val="17"/>
                <w:szCs w:val="17"/>
                <w:color w:val="auto"/>
              </w:rPr>
            </w:pPr>
          </w:p>
        </w:tc>
        <w:tc>
          <w:tcPr>
            <w:tcW w:w="23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 2002, [</w:t>
            </w:r>
          </w:p>
        </w:tc>
        <w:tc>
          <w:tcPr>
            <w:tcW w:w="16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shares of a</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series of</w:t>
            </w:r>
          </w:p>
        </w:tc>
        <w:tc>
          <w:tcPr>
            <w:tcW w:w="718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preferred stock of AT&amp;T were held by subsidiaries of AT&amp;T.</w:t>
            </w:r>
          </w:p>
        </w:tc>
        <w:tc>
          <w:tcPr>
            <w:tcW w:w="200" w:type="dxa"/>
            <w:vAlign w:val="bottom"/>
          </w:tcPr>
          <w:p>
            <w:pPr>
              <w:spacing w:after="0"/>
              <w:rPr>
                <w:sz w:val="17"/>
                <w:szCs w:val="17"/>
                <w:color w:val="auto"/>
              </w:rPr>
            </w:pPr>
          </w:p>
        </w:tc>
      </w:tr>
    </w:tbl>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AT&amp;T CONSUMER SERVICES GROUP</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intends AT&amp;T Consumer Services Group tracking stock to reflect the financial performance and economic value of AT&amp;T Consumer Services Group. The Consumer Services Group tracking stock amendment defines "AT&amp;T Consumer Services Group" generally as the interest of AT&amp;T or any of its subsidiaries in all of the businesses, assets and liabilities reflected in the unaudited combined</w:t>
      </w:r>
    </w:p>
    <w:p>
      <w:pPr>
        <w:ind w:right="1839"/>
        <w:spacing w:after="0" w:line="251" w:lineRule="auto"/>
        <w:rPr>
          <w:sz w:val="20"/>
          <w:szCs w:val="20"/>
          <w:color w:val="auto"/>
        </w:rPr>
      </w:pPr>
      <w:r>
        <w:rPr>
          <w:rFonts w:ascii="Courier New" w:cs="Courier New" w:eastAsia="Courier New" w:hAnsi="Courier New"/>
          <w:sz w:val="17"/>
          <w:szCs w:val="17"/>
          <w:color w:val="auto"/>
        </w:rPr>
        <w:t>financial statements of AT&amp;T Consumer Services Group, dated , , as included in this document, including any successor to AT&amp;T Consumer Services Group by merger, consolidation or sale of all or substantially all of its assets. The Consumer Services Group tracking stock amendment contains adjustments to the definition of "AT&amp;T Consumer Services Group" to reflect, among other things, related assets and liabilities (including contingent liabilities), net income and net losses arising after the date of these financial statements, contributions and allocations of assets, liabilities and businesses between the AT&amp;T groups and acquisitions and dispositions.</w:t>
      </w:r>
    </w:p>
    <w:p>
      <w:pPr>
        <w:spacing w:after="0" w:line="201"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AT&amp;T Consumer Services Group is not a stand-alone entity, and in considering the Consumer Services charter amendment proposal, AT&amp;T shareholders should keep in mind:</w:t>
      </w:r>
    </w:p>
    <w:p>
      <w:pPr>
        <w:spacing w:after="0" w:line="194" w:lineRule="exact"/>
        <w:rPr>
          <w:sz w:val="20"/>
          <w:szCs w:val="20"/>
          <w:color w:val="auto"/>
        </w:rPr>
      </w:pPr>
    </w:p>
    <w:p>
      <w:pPr>
        <w:ind w:left="740" w:right="1839" w:hanging="209"/>
        <w:spacing w:after="0" w:line="254" w:lineRule="auto"/>
        <w:tabs>
          <w:tab w:leader="none" w:pos="740"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will govern AT&amp;T Consumer Services Group and could make operational and financial decisions or implement policies that disproportionately affect the businesses of AT&amp;T Consumer Services Group;</w:t>
      </w:r>
    </w:p>
    <w:p>
      <w:pPr>
        <w:spacing w:after="0" w:line="194"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may transfer funds or reallocate assets, liabilities, revenue, expenses and cash flows to or from AT&amp;T Consumer Services Group without the consent of shareholders;</w:t>
      </w:r>
    </w:p>
    <w:p>
      <w:pPr>
        <w:spacing w:after="0" w:line="194" w:lineRule="exact"/>
        <w:rPr>
          <w:rFonts w:ascii="Courier New" w:cs="Courier New" w:eastAsia="Courier New" w:hAnsi="Courier New"/>
          <w:sz w:val="17"/>
          <w:szCs w:val="17"/>
          <w:color w:val="auto"/>
        </w:rPr>
      </w:pPr>
    </w:p>
    <w:p>
      <w:pPr>
        <w:ind w:left="740" w:right="2039" w:hanging="209"/>
        <w:spacing w:after="0" w:line="252" w:lineRule="auto"/>
        <w:tabs>
          <w:tab w:leader="none" w:pos="740"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Consumer Services Group tracking stock amendment provides that AT&amp;T Consumer Services Group allocation fraction may be adjusted by the AT&amp;T Board as it deems appropriate to reflect contributions or allocations from AT&amp;T Consumer Services Group to AT&amp;T Business Services Group, or vice versa;</w:t>
      </w:r>
    </w:p>
    <w:p>
      <w:pPr>
        <w:spacing w:after="0" w:line="197"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actions by the AT&amp;T Board are subject to the board members' fiduciary duties under New York law to all AT&amp;T shareholders as a group, not just to holders of a particular class of tracking stock, and to AT&amp;T's charter, policy statements, bylaws and inter-company agreements; and</w:t>
      </w:r>
    </w:p>
    <w:p>
      <w:pPr>
        <w:spacing w:after="0" w:line="195" w:lineRule="exact"/>
        <w:rPr>
          <w:rFonts w:ascii="Courier New" w:cs="Courier New" w:eastAsia="Courier New" w:hAnsi="Courier New"/>
          <w:sz w:val="17"/>
          <w:szCs w:val="17"/>
          <w:color w:val="auto"/>
        </w:rPr>
      </w:pPr>
    </w:p>
    <w:p>
      <w:pPr>
        <w:ind w:left="740" w:right="2259" w:hanging="209"/>
        <w:spacing w:after="0" w:line="257" w:lineRule="auto"/>
        <w:tabs>
          <w:tab w:leader="none" w:pos="740"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may redeem AT&amp;T Consumer Services Group tracking stock without the consent of any holder.</w:t>
      </w:r>
    </w:p>
    <w:p>
      <w:pPr>
        <w:spacing w:after="0" w:line="192" w:lineRule="exact"/>
        <w:rPr>
          <w:sz w:val="20"/>
          <w:szCs w:val="20"/>
          <w:color w:val="auto"/>
        </w:rPr>
      </w:pPr>
    </w:p>
    <w:p>
      <w:pPr>
        <w:ind w:right="2359" w:firstLine="524"/>
        <w:spacing w:after="0" w:line="254" w:lineRule="auto"/>
        <w:rPr>
          <w:sz w:val="20"/>
          <w:szCs w:val="20"/>
          <w:color w:val="auto"/>
        </w:rPr>
      </w:pPr>
      <w:r>
        <w:rPr>
          <w:rFonts w:ascii="Courier New" w:cs="Courier New" w:eastAsia="Courier New" w:hAnsi="Courier New"/>
          <w:sz w:val="17"/>
          <w:szCs w:val="17"/>
          <w:color w:val="auto"/>
        </w:rPr>
        <w:t>Any retained portion of the value of AT&amp;T Consumer Services Group represented by AT&amp;T common stock will be included in AT&amp;T Business Services Group. See "-- AT&amp;T Consumer Services Group Allocation Fraction."</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X-2</w:t>
      </w:r>
    </w:p>
    <w:p>
      <w:pPr>
        <w:sectPr>
          <w:pgSz w:w="11900" w:h="16838" w:orient="portrait"/>
          <w:cols w:equalWidth="0" w:num="1">
            <w:col w:w="10219"/>
          </w:cols>
          <w:pgMar w:left="240" w:top="719" w:right="1440" w:bottom="1440" w:gutter="0" w:footer="0" w:header="0"/>
        </w:sectPr>
      </w:pPr>
    </w:p>
    <w:bookmarkStart w:id="253" w:name="page254"/>
    <w:bookmarkEnd w:id="253"/>
    <w:p>
      <w:pPr>
        <w:ind w:left="220"/>
        <w:spacing w:after="0"/>
        <w:rPr>
          <w:sz w:val="20"/>
          <w:szCs w:val="20"/>
          <w:color w:val="auto"/>
        </w:rPr>
      </w:pPr>
      <w:r>
        <w:rPr>
          <w:rFonts w:ascii="Courier New" w:cs="Courier New" w:eastAsia="Courier New" w:hAnsi="Courier New"/>
          <w:sz w:val="17"/>
          <w:szCs w:val="17"/>
          <w:color w:val="auto"/>
        </w:rPr>
        <w:t>AT&amp;T CONSUMER SERVICES GROUP ALLOCATION FRACTION</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Operation of the Allocation Fraction. If AT&amp;T distributes to the public shares of AT&amp;T Consumer Services Group tracking stock intended to represent all of AT&amp;T Consumer Services Group, AT&amp;T will not initially have any retained portion of that group and the fraction discussed in this section will initially equal one.</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Consumer Services Group tracking stock issued to the public may not represent all of the interest in the financial performance and economic value of AT&amp;T Consumer Services Group. The Consumer Services Group tracking stock amendment defines the "AT&amp;T Consumer Services Group allocation fraction" to represent the interest in the financial performance and economic value of AT&amp;T Consumer Services Group reflected by AT&amp;T Consumer Services Group tracking stock distributed to the public.</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To the extent that AT&amp;T Consumer Services Group tracking stock issued to the public does not represent all of the interest in the financial performance and economic value of AT&amp;T Consumer Services Group, the remaining interest in the financial performance and economic value of AT&amp;T Consumer Services Group will be allocated to AT&amp;T. If AT&amp;T is allocated an interest in the financial performance and economic value of AT&amp;T Consumer Services Group, AT&amp;T will have the right to participate in any dividend, distribution or liquidation made to holders of AT&amp;T Consumer Services Group tracking stock. This right to participate is AT&amp;T's retained portion of value of AT&amp;T Consumer Services Group. If all of the interest in the financial performance and economic value of AT&amp;T Consumer Services Group is intended to be fully reflected by AT&amp;T Consumer Services Group tracking stock held by the public, none will be allocated to AT&amp;T and this fraction will equal one.</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Adjustments. Because the AT&amp;T Consumer Services Group allocation fraction determines the relative percentage interest in AT&amp;T Consumer Services Group of public holders of AT&amp;T Consumer Services Group tracking stock, on the one hand, and AT&amp;T, on the other hand, the AT&amp;T Consumer Services Group allocation fraction may be adjusted from time to time as the AT&amp;T Board deems appropriate for a number of reasons, including:</w:t>
      </w:r>
    </w:p>
    <w:p>
      <w:pPr>
        <w:spacing w:after="0" w:line="197" w:lineRule="exact"/>
        <w:rPr>
          <w:sz w:val="20"/>
          <w:szCs w:val="20"/>
          <w:color w:val="auto"/>
        </w:rPr>
      </w:pPr>
    </w:p>
    <w:p>
      <w:pPr>
        <w:ind w:left="740" w:right="1939" w:hanging="209"/>
        <w:spacing w:after="0" w:line="254" w:lineRule="auto"/>
        <w:tabs>
          <w:tab w:leader="none" w:pos="740"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the fair market value of contributions or allocations by AT&amp;T of cash, property or other assets or liabilities from AT&amp;T or AT&amp;T Business Services Group to AT&amp;T Consumer Services Group (or vice versa);</w:t>
      </w:r>
    </w:p>
    <w:p>
      <w:pPr>
        <w:spacing w:after="0" w:line="194"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the fair market value of contributions or allocations by AT&amp;T of cash, property or other assets or liabilities of AT&amp;T or AT&amp;T Business Services Group to, or for the benefit of, employees of AT&amp;T Consumer Services Group in connection with employee benefit plans or arrangements of AT&amp;T or any of its subsidiaries (or vice versa);</w:t>
      </w:r>
    </w:p>
    <w:p>
      <w:pPr>
        <w:spacing w:after="0" w:line="197"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the number of shares of AT&amp;T capital stock contributed to, or for the benefit of, employees of AT&amp;T Consumer Services Group in connection with benefit plans or arrangements of AT&amp;T or any of its subsidiaries;</w:t>
      </w:r>
    </w:p>
    <w:p>
      <w:pPr>
        <w:spacing w:after="0" w:line="195" w:lineRule="exact"/>
        <w:rPr>
          <w:rFonts w:ascii="Courier New" w:cs="Courier New" w:eastAsia="Courier New" w:hAnsi="Courier New"/>
          <w:sz w:val="17"/>
          <w:szCs w:val="17"/>
          <w:color w:val="auto"/>
        </w:rPr>
      </w:pPr>
    </w:p>
    <w:p>
      <w:pPr>
        <w:ind w:left="740" w:right="1939" w:hanging="209"/>
        <w:spacing w:after="0" w:line="257" w:lineRule="auto"/>
        <w:tabs>
          <w:tab w:leader="none" w:pos="740"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repurchases by AT&amp;T of shares of AT&amp;T Consumer Services Group tracking stock for the account of AT&amp;T Consumer Services Group;</w:t>
      </w:r>
    </w:p>
    <w:p>
      <w:pPr>
        <w:spacing w:after="0" w:line="191" w:lineRule="exact"/>
        <w:rPr>
          <w:rFonts w:ascii="Courier New" w:cs="Courier New" w:eastAsia="Courier New" w:hAnsi="Courier New"/>
          <w:sz w:val="17"/>
          <w:szCs w:val="17"/>
          <w:color w:val="auto"/>
        </w:rPr>
      </w:pPr>
    </w:p>
    <w:p>
      <w:pPr>
        <w:ind w:left="740" w:right="2039" w:hanging="209"/>
        <w:spacing w:after="0" w:line="257" w:lineRule="auto"/>
        <w:tabs>
          <w:tab w:leader="none" w:pos="740"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issuances of AT&amp;T Consumer Services Group tracking stock for the account of AT&amp;T Consumer Services Group;</w:t>
      </w:r>
    </w:p>
    <w:p>
      <w:pPr>
        <w:spacing w:after="0" w:line="191"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dividends or other distributions to holders of AT&amp;T Consumer Services Group tracking stock, to the extent no required payment is made to AT&amp;T;</w:t>
      </w:r>
    </w:p>
    <w:p>
      <w:pPr>
        <w:spacing w:after="0" w:line="194"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subdivisions and combinations of AT&amp;T Consumer Services Group tracking stock and stock dividends payable in shares of AT&amp;T Consumer Services Group tracking stock; and</w:t>
      </w:r>
    </w:p>
    <w:p>
      <w:pPr>
        <w:spacing w:after="0" w:line="194" w:lineRule="exact"/>
        <w:rPr>
          <w:rFonts w:ascii="Courier New" w:cs="Courier New" w:eastAsia="Courier New" w:hAnsi="Courier New"/>
          <w:sz w:val="17"/>
          <w:szCs w:val="17"/>
          <w:color w:val="auto"/>
        </w:rPr>
      </w:pPr>
    </w:p>
    <w:p>
      <w:pPr>
        <w:ind w:left="740" w:right="2259" w:hanging="209"/>
        <w:spacing w:after="0" w:line="257" w:lineRule="auto"/>
        <w:tabs>
          <w:tab w:leader="none" w:pos="740"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other circumstances as the AT&amp;T Board determines appropriate to reflect the economic substance of any other event or circumstance.</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X-3</w:t>
      </w:r>
    </w:p>
    <w:p>
      <w:pPr>
        <w:sectPr>
          <w:pgSz w:w="11900" w:h="16838" w:orient="portrait"/>
          <w:cols w:equalWidth="0" w:num="1">
            <w:col w:w="10219"/>
          </w:cols>
          <w:pgMar w:left="240" w:top="719" w:right="1440" w:bottom="1440" w:gutter="0" w:footer="0" w:header="0"/>
        </w:sectPr>
      </w:pPr>
    </w:p>
    <w:bookmarkStart w:id="254" w:name="page255"/>
    <w:bookmarkEnd w:id="254"/>
    <w:p>
      <w:pPr>
        <w:ind w:right="1839" w:firstLine="524"/>
        <w:spacing w:after="0" w:line="252" w:lineRule="auto"/>
        <w:rPr>
          <w:sz w:val="20"/>
          <w:szCs w:val="20"/>
          <w:color w:val="auto"/>
        </w:rPr>
      </w:pPr>
      <w:r>
        <w:rPr>
          <w:rFonts w:ascii="Courier New" w:cs="Courier New" w:eastAsia="Courier New" w:hAnsi="Courier New"/>
          <w:sz w:val="17"/>
          <w:szCs w:val="17"/>
          <w:color w:val="auto"/>
        </w:rPr>
        <w:t>In addition, in determining the percentage interest of holders of AT&amp;T Consumer Services Group tracking stock in any particular dividend or other distribution, AT&amp;T will reduce the economic interest of holders of AT&amp;T Consumer Services Group tracking stock to reflect dilution arising from shares of AT&amp;T Consumer Services Group tracking stock reserved for issuance upon conversion, exercise or exchange of other securities that are entitled to participate in this dividend or other distribution.</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Consumer Services Group tracking stock amendment provides that any adjustment of this kind must be made in a manner that the AT&amp;T Board determines to be fair and equitable to holders of AT&amp;T common stock and AT&amp;T Consumer Services Group tracking stock. In the event that any assets or other property are acquired by AT&amp;T or AT&amp;T Business Services Group and allocated or contributed to AT&amp;T Consumer Services Group, the consideration paid by AT&amp;T or AT&amp;T Business Services Group to acquire these assets or other property will be presumed to be its "fair market value" as of its acquisition. Any adjustment to the AT&amp;T Consumer Services Group allocation fraction made by the AT&amp;T Board in good faith in accordance with these principles will be at the sole discretion of the AT&amp;T Board, and this good faith determination of the AT&amp;T Board will be final and binding on all AT&amp;T shareholders.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VOTING RIGHTS</w:t>
      </w:r>
    </w:p>
    <w:p>
      <w:pPr>
        <w:spacing w:after="0" w:line="210" w:lineRule="exact"/>
        <w:rPr>
          <w:sz w:val="20"/>
          <w:szCs w:val="20"/>
          <w:color w:val="auto"/>
        </w:rPr>
      </w:pPr>
    </w:p>
    <w:p>
      <w:pPr>
        <w:jc w:val="center"/>
        <w:ind w:right="1939"/>
        <w:spacing w:after="0" w:line="251" w:lineRule="auto"/>
        <w:rPr>
          <w:sz w:val="20"/>
          <w:szCs w:val="20"/>
          <w:color w:val="auto"/>
        </w:rPr>
      </w:pPr>
      <w:r>
        <w:rPr>
          <w:rFonts w:ascii="Courier New" w:cs="Courier New" w:eastAsia="Courier New" w:hAnsi="Courier New"/>
          <w:sz w:val="17"/>
          <w:szCs w:val="17"/>
          <w:color w:val="auto"/>
        </w:rPr>
        <w:t>Currently, holders of AT&amp;T common stock have one vote per share. Each outstanding share of AT&amp;T Consumer Services Group tracking stock initially will</w:t>
      </w:r>
    </w:p>
    <w:p>
      <w:pPr>
        <w:ind w:right="2039"/>
        <w:spacing w:after="0" w:line="252" w:lineRule="auto"/>
        <w:rPr>
          <w:sz w:val="20"/>
          <w:szCs w:val="20"/>
          <w:color w:val="auto"/>
        </w:rPr>
      </w:pPr>
      <w:r>
        <w:rPr>
          <w:rFonts w:ascii="Courier New" w:cs="Courier New" w:eastAsia="Courier New" w:hAnsi="Courier New"/>
          <w:sz w:val="17"/>
          <w:szCs w:val="17"/>
          <w:color w:val="auto"/>
        </w:rPr>
        <w:t>have [ ] of a vote. The voting rights of AT&amp;T Consumer Services Group tracking stock will be subject to adjustments to reflect stock splits, reverse stock splits, stock dividends or certain stock distributions with respect to AT&amp;T common stock, AT&amp;T Consumer Services Group tracking stock or any other class of AT&amp;T common shares.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Except as otherwise required by New York law or any special voting rights of any class or series of AT&amp;T preferred stock or any other class of AT&amp;T common shares, holders of shares of AT&amp;T common stock, AT&amp;T Consumer Services Group tracking stock, each other class of AT&amp;T common shares, if any, that is entitled to vote, and holders of shares of each class or series of AT&amp;T preferred stock, if any, that is entitled to vote, will vote as one class with respect to all matters to be voted on by AT&amp;T shareholders. No separate class vote of AT&amp;T Consumer Services Group tracking stock will be required, except as required by the New York Business Corporation Law.</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DIVIDENDS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General. Following any issuance of AT&amp;T Consumer Services Group tracking stock, it is currently expected that one-third of the current dividend payable on AT&amp;T common stock will be allocated to AT&amp;T common stock and that two-thirds of the dividend will be allocated to AT&amp;T Consumer Services Group tracking stock. In that event, the aggregate dividend payable to holders of AT&amp;T common stock and holders of AT&amp;T Consumer Services Group tracking stock would be the same as that payable to holders of AT&amp;T common stock before the issuance of AT&amp;T Consumer Services Group tracking stock. The declaration of dividends by AT&amp;T and the amount thereof will, however, be in the discretion of the AT&amp;T Board and will depend upon each AT&amp;T group's financial performance, the dividend policies and capital structures of comparable companies, each AT&amp;T group's ongoing capital needs, and AT&amp;T's results of operations, financial condition, cash requirements and future prospects and other factors deemed relevant by the AT&amp;T Board. Payment of dividends also may be restricted by loan agreements, indentures and other transactions that AT&amp;T enters into from time to time.</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Provided that AT&amp;T has sufficient assets to pay a dividend under applicable law, the Consumer Services Group tracking stock amendment provides that dividends on AT&amp;T Consumer Services Group tracking stock are limited to an available dividend amount that is designed to be equivalent to the amount that would legally be available for dividends on that stock if AT&amp;T Consumer Services Group were a stand-alone entity. Dividends on AT&amp;T common stock are limited to the amount of legally available funds for all of AT&amp;T less the sum of the available dividend amount for AT&amp;T Consumer Services Group tracking stock.</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X-4</w:t>
      </w:r>
    </w:p>
    <w:p>
      <w:pPr>
        <w:sectPr>
          <w:pgSz w:w="11900" w:h="16838" w:orient="portrait"/>
          <w:cols w:equalWidth="0" w:num="1">
            <w:col w:w="10219"/>
          </w:cols>
          <w:pgMar w:left="240" w:top="719" w:right="1440" w:bottom="1440" w:gutter="0" w:footer="0" w:header="0"/>
        </w:sectPr>
      </w:pPr>
    </w:p>
    <w:bookmarkStart w:id="255" w:name="page256"/>
    <w:bookmarkEnd w:id="255"/>
    <w:p>
      <w:pPr>
        <w:ind w:right="1839" w:firstLine="524"/>
        <w:spacing w:after="0" w:line="251" w:lineRule="auto"/>
        <w:rPr>
          <w:sz w:val="20"/>
          <w:szCs w:val="20"/>
          <w:color w:val="auto"/>
        </w:rPr>
      </w:pPr>
      <w:r>
        <w:rPr>
          <w:rFonts w:ascii="Courier New" w:cs="Courier New" w:eastAsia="Courier New" w:hAnsi="Courier New"/>
          <w:sz w:val="17"/>
          <w:szCs w:val="17"/>
          <w:color w:val="auto"/>
        </w:rPr>
        <w:t>Discrimination among classes of common shares. The Consumer Services Group tracking stock amendment does not provide for mandatory dividends. The AT&amp;T Board will have the sole authority and discretion to declare and pay dividends (or to refrain from declaring or paying dividends), in equal or unequal amounts, on AT&amp;T common stock, AT&amp;T Consumer Services Group tracking stock, any other class of AT&amp;T common shares or any two or more of these classes. Subject to not exceeding the applicable available dividend amount, the AT&amp;T Board has this power regardless of the relative available dividend amounts, prior dividend amounts declared, liquidation rights or any other factor.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SHARE DISTRIBUTIONS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may declare and pay a distribution consisting of shares of AT&amp;T common stock, AT&amp;T Consumer Services Group tracking stock or any other securities of AT&amp;T, any subsidiary of AT&amp;T or any other person to holders of AT&amp;T common stock or AT&amp;T Consumer Services Group tracking stock in accordance with the provisions described below. We refer to this type of distribution as a "share distribution."</w:t>
      </w:r>
    </w:p>
    <w:p>
      <w:pPr>
        <w:spacing w:after="0" w:line="399"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Distributions on AT&amp;T common stock or AT&amp;T Consumer Services Group tracking stock. AT&amp;T may declare and pay a share distribution to holders of AT&amp;T common stock, AT&amp;T Consumer Services Group tracking stock or any other class of AT&amp;T common shares consisting of any securities of AT&amp;T, any subsidiary of AT&amp;T, or any other person. However, securities attributable to an AT&amp;T group may be distributed to holders of another AT&amp;T group only for consideration. In the case of shares of AT&amp;T Consumer Services Group tracking stock distributed to holders of AT&amp;T common stock, the consideration may consist, in whole or in part, of a decrease in the retained portion of the value, if any, held by AT&amp;T in AT&amp;T Consumer Services Group.</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Discrimination among classes of AT&amp;T common shares. The Consumer Services Group tracking stock amendment does not provide for mandatory share distributions. The AT&amp;T Board will have the sole authority and discretion to declare and pay share distributions (or to refrain from declaring or paying share distributions), in equal or unequal amounts, on AT&amp;T common stock, AT&amp;T Consumer Services Group tracking stock, any other class of AT&amp;T common shares or any two or more of these classes. Subject to not exceeding the applicable available dividend amounts, the AT&amp;T Board has this power regardless of the relative available dividend amounts, prior share distributions amounts declared, liquidation rights or any other factor.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REDEMPTION</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As described in this section, there are a number of different redemption alternatives, more than one of which may be available at a given time or in connection with a particular transaction. Holders could receive very different treatment depending on which alternative the AT&amp;T Board selects. The AT&amp;T Board is under no obligation to select the alternative that will treat holders of AT&amp;T Consumer Services Group tracking stock most favorably.</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Redemption in exchange for shares of a new tracking stock of another company. At any time, the AT&amp;T Board may redeem all outstanding shares of AT&amp;T Consumer Services Group tracking stock for a new tracking stock of another entity that owns, holds or is subject to, directly or indirectly, all or substantially all of the assets and liabilities of AT&amp;T Consumer Services Group as of immediately prior to the time of the redemption. In order to effect a redemption of this type, the new tracking stock must have substantially the same terms as those governing AT&amp;T Consumer Services Group tracking stock (except as may result due to different law governing the other entity or as a result of provisions of the other entity's governing documents that are generally applicable to all classes of common stock), including with regard to the definition of "AT&amp;T Consumer Services Group." Also, the number of shares of the new tracking stock issued per share of AT&amp;T Consumer Services Group tracking stock must be intended to represent the same proportionate interest in AT&amp;T Consumer Services Group as a share of AT&amp;T Consumer Services Group tracking stock. In the event of a redemption of this type, the voting rights of the new tracking stock will be set based on the ratio, over a fixed measurement period, of the initial</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X-5</w:t>
      </w:r>
    </w:p>
    <w:p>
      <w:pPr>
        <w:sectPr>
          <w:pgSz w:w="11900" w:h="16838" w:orient="portrait"/>
          <w:cols w:equalWidth="0" w:num="1">
            <w:col w:w="10219"/>
          </w:cols>
          <w:pgMar w:left="240" w:top="719" w:right="1440" w:bottom="1440" w:gutter="0" w:footer="0" w:header="0"/>
        </w:sectPr>
      </w:pPr>
    </w:p>
    <w:bookmarkStart w:id="256" w:name="page257"/>
    <w:bookmarkEnd w:id="256"/>
    <w:p>
      <w:pPr>
        <w:ind w:right="2039"/>
        <w:spacing w:after="0" w:line="257" w:lineRule="auto"/>
        <w:rPr>
          <w:sz w:val="20"/>
          <w:szCs w:val="20"/>
          <w:color w:val="auto"/>
        </w:rPr>
      </w:pPr>
      <w:r>
        <w:rPr>
          <w:rFonts w:ascii="Courier New" w:cs="Courier New" w:eastAsia="Courier New" w:hAnsi="Courier New"/>
          <w:sz w:val="17"/>
          <w:szCs w:val="17"/>
          <w:color w:val="auto"/>
        </w:rPr>
        <w:t>trading prices of the new tracking stock to trading prices of the other common stock of the entity issuing the new tracking stock.</w:t>
      </w:r>
    </w:p>
    <w:p>
      <w:pPr>
        <w:spacing w:after="0" w:line="19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Redemption in exchange for shares of AT&amp;T common stock. At any time, the AT&amp;T Board, in its sole discretion, may redeem all outstanding shares of AT&amp;T Consumer Services Group tracking stock for shares of AT&amp;T common stock. In this event, each share of AT&amp;T Consumer Services Group tracking stock will be redeemed in exchange for that number of shares of AT&amp;T common stock, calculated</w:t>
      </w:r>
    </w:p>
    <w:p>
      <w:pPr>
        <w:jc w:val="both"/>
        <w:ind w:right="2139"/>
        <w:spacing w:after="0" w:line="254" w:lineRule="auto"/>
        <w:rPr>
          <w:sz w:val="20"/>
          <w:szCs w:val="20"/>
          <w:color w:val="auto"/>
        </w:rPr>
      </w:pPr>
      <w:r>
        <w:rPr>
          <w:rFonts w:ascii="Courier New" w:cs="Courier New" w:eastAsia="Courier New" w:hAnsi="Courier New"/>
          <w:sz w:val="17"/>
          <w:szCs w:val="17"/>
          <w:color w:val="auto"/>
        </w:rPr>
        <w:t>to the nearest 1/10,000, equal to [ ]% of the ratio of the average market price per share of AT&amp;T Consumer Services Group tracking stock to the average market price per share of AT&amp;T common stock.</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Redemption in exchange for stock of subsidiaries in connection with a spin-off of AT&amp;T Consumer Services Group. The Consumer Services Group tracking stock amendment also provides that AT&amp;T may, at any time, redeem all outstanding shares of AT&amp;T Consumer Services Group tracking stock in exchange for a specified number of outstanding shares of common stock of a subsidiary of AT&amp;T that satisfies certain requirements under the Code and that holds all of the assets and liabilities of AT&amp;T Consumer Services Group. We refer to a subsidiary that satisfies these requirements as a "qualifying subsidiary." This type of redemption only may be made on a pro rata basis, and must be tax free to the holders of AT&amp;T Consumer Services Group tracking stock, except with respect to any cash that holders receive in lieu of fractional shares.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this case, AT&amp;T would exchange each share of AT&amp;T Consumer Services Group tracking stock, on a pro rata basis, for an aggregate number of shares of common stock of the qualifying subsidiary equal to the number of outstanding shares of common stock of the qualifying subsidiary held by AT&amp;T (or the number of shares of such qualifying subsidiary as is proportionate to the portion of the financial performance and economic value of AT&amp;T Consumer Services Group intended to be represented by AT&amp;T Consumer Services Group tracking stock if the AT&amp;T Consumer Services Group allocation fraction is less than one).</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Redemption in connection with significant dispositions. In the event of a sale, transfer, assignment or other disposition by AT&amp;T in a transaction or series of related transactions, of all or substantially all of the properties and assets of AT&amp;T Consumer Services Group, AT&amp;T generally is required to take one of the following actions, which action will be selected in the sole discretion of the AT&amp;T Board:</w:t>
      </w:r>
    </w:p>
    <w:p>
      <w:pPr>
        <w:spacing w:after="0" w:line="197" w:lineRule="exact"/>
        <w:rPr>
          <w:sz w:val="20"/>
          <w:szCs w:val="20"/>
          <w:color w:val="auto"/>
        </w:rPr>
      </w:pPr>
    </w:p>
    <w:p>
      <w:pPr>
        <w:ind w:left="740" w:hanging="209"/>
        <w:spacing w:after="0"/>
        <w:tabs>
          <w:tab w:leader="none" w:pos="740" w:val="left"/>
        </w:tabs>
        <w:numPr>
          <w:ilvl w:val="0"/>
          <w:numId w:val="2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may redeem each outstanding share of AT&amp;T Consumer Services Group</w:t>
      </w:r>
    </w:p>
    <w:p>
      <w:pPr>
        <w:spacing w:after="0" w:line="8" w:lineRule="exact"/>
        <w:rPr>
          <w:rFonts w:ascii="Courier New" w:cs="Courier New" w:eastAsia="Courier New" w:hAnsi="Courier New"/>
          <w:sz w:val="17"/>
          <w:szCs w:val="17"/>
          <w:color w:val="auto"/>
        </w:rPr>
      </w:pP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tracking stock in exchange for a number of shares of AT&amp;T common stock</w:t>
      </w:r>
    </w:p>
    <w:p>
      <w:pPr>
        <w:spacing w:after="0" w:line="210" w:lineRule="exact"/>
        <w:rPr>
          <w:sz w:val="20"/>
          <w:szCs w:val="20"/>
          <w:color w:val="auto"/>
        </w:rPr>
      </w:pPr>
    </w:p>
    <w:p>
      <w:pPr>
        <w:ind w:left="740" w:right="2139"/>
        <w:spacing w:after="0" w:line="254" w:lineRule="auto"/>
        <w:rPr>
          <w:sz w:val="20"/>
          <w:szCs w:val="20"/>
          <w:color w:val="auto"/>
        </w:rPr>
      </w:pPr>
      <w:r>
        <w:rPr>
          <w:rFonts w:ascii="Courier New" w:cs="Courier New" w:eastAsia="Courier New" w:hAnsi="Courier New"/>
          <w:sz w:val="17"/>
          <w:szCs w:val="17"/>
          <w:color w:val="auto"/>
        </w:rPr>
        <w:t>(calculated to the nearest 1/10,000) equal to [ ]% of the ratio of the average market price per share of AT&amp;T Consumer Services Group tracking stock to the average market price per share of AT&amp;T common stock.</w:t>
      </w:r>
    </w:p>
    <w:p>
      <w:pPr>
        <w:spacing w:after="0" w:line="396" w:lineRule="exact"/>
        <w:rPr>
          <w:sz w:val="20"/>
          <w:szCs w:val="20"/>
          <w:color w:val="auto"/>
        </w:rPr>
      </w:pPr>
    </w:p>
    <w:p>
      <w:pPr>
        <w:ind w:left="740" w:right="1939" w:hanging="209"/>
        <w:spacing w:after="0" w:line="252" w:lineRule="auto"/>
        <w:tabs>
          <w:tab w:leader="none" w:pos="740" w:val="left"/>
        </w:tabs>
        <w:numPr>
          <w:ilvl w:val="0"/>
          <w:numId w:val="2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limitations, AT&amp;T may declare and pay a dividend in cash and/or in securities (other than AT&amp;T common stock) or other property to holders of the outstanding shares of AT&amp;T Consumer Services Group tracking stock equally on a share-for-share basis in an aggregate amount equal to the after-tax net proceeds of the disposition allocable to AT&amp;T Consumer Services Group tracking stock.</w:t>
      </w:r>
    </w:p>
    <w:p>
      <w:pPr>
        <w:spacing w:after="0" w:line="196" w:lineRule="exact"/>
        <w:rPr>
          <w:rFonts w:ascii="Courier New" w:cs="Courier New" w:eastAsia="Courier New" w:hAnsi="Courier New"/>
          <w:sz w:val="17"/>
          <w:szCs w:val="17"/>
          <w:color w:val="auto"/>
        </w:rPr>
      </w:pPr>
    </w:p>
    <w:p>
      <w:pPr>
        <w:ind w:left="740" w:right="2039" w:hanging="209"/>
        <w:spacing w:after="0" w:line="252" w:lineRule="auto"/>
        <w:tabs>
          <w:tab w:leader="none" w:pos="740" w:val="left"/>
        </w:tabs>
        <w:numPr>
          <w:ilvl w:val="0"/>
          <w:numId w:val="2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limitations, if the disposition involves the disposition of all, not merely substantially all, of the properties and assets of AT&amp;T Consumer Services Group, AT&amp;T may redeem all outstanding shares of AT&amp;T Consumer Services Group tracking stock in exchange for cash and/or securities or other property in an aggregate amount equal to the net proceeds of the disposition allocable to AT&amp;T Consumer Services Group tracking stock.</w:t>
      </w:r>
    </w:p>
    <w:p>
      <w:pPr>
        <w:spacing w:after="0" w:line="195"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2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limitations, if the disposition involves substantially all, but not all, of the properties and assets of AT&amp;T Consumer Services Group, AT&amp;T may redeem a number of outstanding shares of AT&amp;T Consumer Services Group tracking stock in exchange for a redemption price equal to the net proceeds of that disposition. The number of shares of AT&amp;T Consumer Services Group tracking stock to be redeemed would be equal to the lesser of (1) a number determined by dividing the aggregate amount allocated to the redemption of these shares by the average market value of one share of AT&amp;T Consumer Services Group tracking stock during the ten trading-day period</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X-6</w:t>
      </w:r>
    </w:p>
    <w:p>
      <w:pPr>
        <w:sectPr>
          <w:pgSz w:w="11900" w:h="16838" w:orient="portrait"/>
          <w:cols w:equalWidth="0" w:num="1">
            <w:col w:w="10219"/>
          </w:cols>
          <w:pgMar w:left="240" w:top="719" w:right="1440" w:bottom="659" w:gutter="0" w:footer="0" w:header="0"/>
        </w:sectPr>
      </w:pPr>
    </w:p>
    <w:bookmarkStart w:id="257" w:name="page258"/>
    <w:bookmarkEnd w:id="257"/>
    <w:p>
      <w:pPr>
        <w:jc w:val="both"/>
        <w:ind w:left="740" w:right="2559"/>
        <w:spacing w:after="0" w:line="254" w:lineRule="auto"/>
        <w:rPr>
          <w:sz w:val="20"/>
          <w:szCs w:val="20"/>
          <w:color w:val="auto"/>
        </w:rPr>
      </w:pPr>
      <w:r>
        <w:rPr>
          <w:rFonts w:ascii="Courier New" w:cs="Courier New" w:eastAsia="Courier New" w:hAnsi="Courier New"/>
          <w:sz w:val="17"/>
          <w:szCs w:val="17"/>
          <w:color w:val="auto"/>
        </w:rPr>
        <w:t>beginning on the 15th trading day following the completion of that disposition and (2) the total number of outstanding shares of AT&amp;T Consumer Services Group tracking stock.</w:t>
      </w:r>
    </w:p>
    <w:p>
      <w:pPr>
        <w:spacing w:after="0" w:line="194" w:lineRule="exact"/>
        <w:rPr>
          <w:sz w:val="20"/>
          <w:szCs w:val="20"/>
          <w:color w:val="auto"/>
        </w:rPr>
      </w:pPr>
    </w:p>
    <w:p>
      <w:pPr>
        <w:ind w:left="740" w:right="1839" w:hanging="209"/>
        <w:spacing w:after="0" w:line="251" w:lineRule="auto"/>
        <w:tabs>
          <w:tab w:leader="none" w:pos="740" w:val="left"/>
        </w:tabs>
        <w:numPr>
          <w:ilvl w:val="0"/>
          <w:numId w:val="2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limitations, AT&amp;T may take a combination of the actions described in the preceding bullets whereby AT&amp;T may redeem some shares of AT&amp;T Consumer Services Group tracking stock in exchange for shares of AT&amp;T common stock at the exchange rate described in the first bullet above, and use an amount equal to a portion of the net proceeds of the disposition allocable to AT&amp;T Consumer Services Group tracking stock to either (1) declare and pay a dividend as described in the second bullet above, or (2) redeem part or all of the remaining shares of AT&amp;T Consumer Services Group tracking stock as described in the third or fourth bullet above.</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For purposes of these provisions, "substantially all of the properties and assets" of AT&amp;T Consumer Services Group as of any date means a portion of these properties and assets that represents at least 80% of the fair value of the properties and assets attributed to AT&amp;T Consumer Services Group as of that date.</w:t>
      </w:r>
    </w:p>
    <w:p>
      <w:pPr>
        <w:spacing w:after="0" w:line="396"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Exceptions. The provisions described under "-- Redemption in connection with significant dispositions" will not apply, and AT&amp;T will not be required to redeem any securities or make any dividend or other distribution it would otherwise be required to make, in some circumstances, including the following:</w:t>
      </w:r>
    </w:p>
    <w:p>
      <w:pPr>
        <w:spacing w:after="0" w:line="195" w:lineRule="exact"/>
        <w:rPr>
          <w:sz w:val="20"/>
          <w:szCs w:val="20"/>
          <w:color w:val="auto"/>
        </w:rPr>
      </w:pPr>
    </w:p>
    <w:p>
      <w:pPr>
        <w:ind w:left="740" w:right="1839" w:hanging="209"/>
        <w:spacing w:after="0" w:line="251" w:lineRule="auto"/>
        <w:tabs>
          <w:tab w:leader="none" w:pos="740"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in connection with the underlying transaction, the AT&amp;T Board redeems all outstanding shares of AT&amp;T Consumer Services Group tracking stock for a new tracking stock of another entity that owns all of the material assets and liabilities of AT&amp;T Consumer Services Group pursuant to</w:t>
      </w:r>
    </w:p>
    <w:p>
      <w:pPr>
        <w:ind w:left="740" w:right="25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Redemption in exchange for shares of new tracking stock of new company;"</w:t>
      </w:r>
    </w:p>
    <w:p>
      <w:pPr>
        <w:spacing w:after="0" w:line="191"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underlying disposition is conditioned upon the affirmative vote of a majority of holders of AT&amp;T Consumer Services Group tracking stock, voting as a separate class;</w:t>
      </w:r>
    </w:p>
    <w:p>
      <w:pPr>
        <w:spacing w:after="0" w:line="194"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disposition is in connection with a liquidation of AT&amp;T;</w:t>
      </w:r>
    </w:p>
    <w:p>
      <w:pPr>
        <w:spacing w:after="0" w:line="210" w:lineRule="exact"/>
        <w:rPr>
          <w:rFonts w:ascii="Courier New" w:cs="Courier New" w:eastAsia="Courier New" w:hAnsi="Courier New"/>
          <w:sz w:val="17"/>
          <w:szCs w:val="17"/>
          <w:color w:val="auto"/>
        </w:rPr>
      </w:pPr>
    </w:p>
    <w:p>
      <w:pPr>
        <w:ind w:left="740" w:right="1939" w:hanging="209"/>
        <w:spacing w:after="0" w:line="254" w:lineRule="auto"/>
        <w:tabs>
          <w:tab w:leader="none" w:pos="740"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disposition is to a person or group of which AT&amp;T is the majority owner and AT&amp;T Consumer Services Group receives in exchange primarily equity securities of that person or group as consideration;</w:t>
      </w:r>
    </w:p>
    <w:p>
      <w:pPr>
        <w:spacing w:after="0" w:line="194" w:lineRule="exact"/>
        <w:rPr>
          <w:rFonts w:ascii="Courier New" w:cs="Courier New" w:eastAsia="Courier New" w:hAnsi="Courier New"/>
          <w:sz w:val="17"/>
          <w:szCs w:val="17"/>
          <w:color w:val="auto"/>
        </w:rPr>
      </w:pPr>
    </w:p>
    <w:p>
      <w:pPr>
        <w:ind w:left="740" w:right="2139" w:hanging="209"/>
        <w:spacing w:after="0" w:line="254" w:lineRule="auto"/>
        <w:tabs>
          <w:tab w:leader="none" w:pos="740"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disposition results in AT&amp;T or its successor continuing to hold directly or indirectly all or substantially all of the properties and assets of AT&amp;T Consumer Services Group;</w:t>
      </w:r>
    </w:p>
    <w:p>
      <w:pPr>
        <w:spacing w:after="0" w:line="194" w:lineRule="exact"/>
        <w:rPr>
          <w:rFonts w:ascii="Courier New" w:cs="Courier New" w:eastAsia="Courier New" w:hAnsi="Courier New"/>
          <w:sz w:val="17"/>
          <w:szCs w:val="17"/>
          <w:color w:val="auto"/>
        </w:rPr>
      </w:pPr>
    </w:p>
    <w:p>
      <w:pPr>
        <w:ind w:left="740" w:right="1939" w:hanging="209"/>
        <w:spacing w:after="0" w:line="252" w:lineRule="auto"/>
        <w:tabs>
          <w:tab w:leader="none" w:pos="740"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 spin-off or similar distribution of AT&amp;T's entire interest in AT&amp;T Consumer Services Group to the holders of AT&amp;T Consumer Services Group tracking stock, including a distribution that is made in connection with a mandatory redemption as described under "-- Redemption in exchange for stock of subsidiaries in connection with a spin-off of AT&amp;T Consumer Services Group"; and</w:t>
      </w:r>
    </w:p>
    <w:p>
      <w:pPr>
        <w:spacing w:after="0" w:line="196" w:lineRule="exact"/>
        <w:rPr>
          <w:rFonts w:ascii="Courier New" w:cs="Courier New" w:eastAsia="Courier New" w:hAnsi="Courier New"/>
          <w:sz w:val="17"/>
          <w:szCs w:val="17"/>
          <w:color w:val="auto"/>
        </w:rPr>
      </w:pPr>
    </w:p>
    <w:p>
      <w:pPr>
        <w:ind w:left="740" w:right="1939" w:hanging="209"/>
        <w:spacing w:after="0" w:line="252" w:lineRule="auto"/>
        <w:tabs>
          <w:tab w:leader="none" w:pos="740"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 "related business transaction," which generally means a disposition of all or substantially all of the assets attributed to AT&amp;T Consumer Services Group in which AT&amp;T receives equity securities of an entity that engages or proposes to engage primarily in one or more businesses similar or complementary to the businesses conducted by AT&amp;T Consumer Services Group prior to that transaction.</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Additionally, the provisions described under "-- Redemption in connection with significant dispositions" will not apply with respect to any merger, consolidation, sale of assets or stock, recapitalization or any other transaction or series of transactions in which all or substantially all of the properties and assets of AT&amp;T are transferred to an entity not directly controlled by AT&amp;T or AT&amp;T shareholders, if in such transaction or series of transactions, each share of AT&amp;T Consumer Services Group tracking stock is entitled to receive the same consideration (both in type and amount) as such share of AT&amp;T Consumer Services Group tracking stock would have been entitled to receive had it been redeemed.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X-7</w:t>
      </w:r>
    </w:p>
    <w:p>
      <w:pPr>
        <w:sectPr>
          <w:pgSz w:w="11900" w:h="16838" w:orient="portrait"/>
          <w:cols w:equalWidth="0" w:num="1">
            <w:col w:w="10219"/>
          </w:cols>
          <w:pgMar w:left="240" w:top="719" w:right="1440" w:bottom="860" w:gutter="0" w:footer="0" w:header="0"/>
        </w:sectPr>
      </w:pPr>
    </w:p>
    <w:bookmarkStart w:id="258" w:name="page259"/>
    <w:bookmarkEnd w:id="258"/>
    <w:p>
      <w:pPr>
        <w:ind w:left="220"/>
        <w:spacing w:after="0"/>
        <w:rPr>
          <w:sz w:val="20"/>
          <w:szCs w:val="20"/>
          <w:color w:val="auto"/>
        </w:rPr>
      </w:pPr>
      <w:r>
        <w:rPr>
          <w:rFonts w:ascii="Courier New" w:cs="Courier New" w:eastAsia="Courier New" w:hAnsi="Courier New"/>
          <w:sz w:val="17"/>
          <w:szCs w:val="17"/>
          <w:color w:val="auto"/>
        </w:rPr>
        <w:t>GENERAL PROCEDURES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Conditions. With regard to any redemption at the discretion of the AT&amp;T Board, the AT&amp;T Board may, in its discretion, condition such redemption on the occurrence or failure to occur of any events set forth in the applicable notice of redemption. The AT&amp;T Board will have the right to waive any of these conditions in its sole discretion.</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Public announcements; notices. The Consumer Services Group tracking stock amendment provides that, in the case of specified dispositions or a redemption, AT&amp;T will publicly announce or otherwise provide specified information to holders of AT&amp;T Consumer Services Group tracking stock and, in the case of redemption at the discretion of the AT&amp;T Board, give the notice of redemption no less than 15 days nor more than 90 days prior to the date of redemption. The redemption date may be a specified date or a date determined by reference to the occurrence of events.</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Fractional shares. The AT&amp;T Board will not have to issue or deliver any fractional shares to any holder of AT&amp;T Consumer Services Group tracking stock upon any redemption, dividend or other distribution under the provisions described under "-- Redemption." Instead of issuing fractional shares, AT&amp;T will pay cash for the fractional share in an amount equal to the fair market value of the fractional share, without interest.</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No adjustments for dividends or other distributions. No adjustments for dividends will be made upon the exchange of any shares of AT&amp;T Consumer Services Group tracking stock; except that, if a redemption date with respect to AT&amp;T Consumer Services Group tracking stock comes after the record date for the payment of a dividend or other distribution to be paid on AT&amp;T Consumer Services Group tracking stock but before the payment or distribution, the registered holders of those shares of AT&amp;T Consumer Services Group tracking stock at the close of business on that record date will be entitled to receive the dividend or other distribution on the payment date, notwithstanding the redemption of those shares of stock or AT&amp;T's default in payment of the dividend or distribution.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Payment of taxes. If any person exchanging a certificate representing shares of AT&amp;T Consumer Services Group tracking stock wants AT&amp;T to issue a certificate in a different name than the registered name on the old certificate, that person must pay any transfer or other taxes required by reason of the issuance of the certificate in another name, or establish, to the satisfaction of AT&amp;T or its agent, that the tax has been paid or is not applicable.</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LIQUIDATION RIGHTS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event of a liquidation, dissolution or winding up of AT&amp;T, whether voluntary or involuntary, AT&amp;T will first pay or provide for payment of debts and other liabilities of AT&amp;T, including the liquidation preferences of any class or series of AT&amp;T preferred stock. Thereafter, holders of the shares of AT&amp;T common stock, AT&amp;T Consumer Services Group tracking stock and any other class of AT&amp;T common shares will share in the funds of AT&amp;T remaining for distribution to its common shareholders in proportion to the aggregate market capitalization of the outstanding shares of each class of stock, as applicable, to the aggregate market capitalization of all the classes of AT&amp;T common shares. AT&amp;T will calculate the market capitalizations based on the 20 trading-day period ending on the trading day prior to the date of the public announcement of the liquidation, dissolution or winding up of AT&amp;T.</w:t>
      </w:r>
    </w:p>
    <w:p>
      <w:pPr>
        <w:spacing w:after="0" w:line="201" w:lineRule="exact"/>
        <w:rPr>
          <w:sz w:val="20"/>
          <w:szCs w:val="20"/>
          <w:color w:val="auto"/>
        </w:rPr>
      </w:pPr>
    </w:p>
    <w:p>
      <w:pPr>
        <w:ind w:right="2979" w:firstLine="524"/>
        <w:spacing w:after="0" w:line="257" w:lineRule="auto"/>
        <w:rPr>
          <w:sz w:val="20"/>
          <w:szCs w:val="20"/>
          <w:color w:val="auto"/>
        </w:rPr>
      </w:pPr>
      <w:r>
        <w:rPr>
          <w:rFonts w:ascii="Courier New" w:cs="Courier New" w:eastAsia="Courier New" w:hAnsi="Courier New"/>
          <w:sz w:val="17"/>
          <w:szCs w:val="17"/>
          <w:color w:val="auto"/>
        </w:rPr>
        <w:t>None of the following, by itself, will constitute a liquidation, dissolution or winding up of AT&amp;T:</w:t>
      </w:r>
    </w:p>
    <w:p>
      <w:pPr>
        <w:spacing w:after="0" w:line="192" w:lineRule="exact"/>
        <w:rPr>
          <w:sz w:val="20"/>
          <w:szCs w:val="20"/>
          <w:color w:val="auto"/>
        </w:rPr>
      </w:pPr>
    </w:p>
    <w:p>
      <w:pPr>
        <w:ind w:left="740" w:right="1839" w:hanging="209"/>
        <w:spacing w:after="0" w:line="254" w:lineRule="auto"/>
        <w:tabs>
          <w:tab w:leader="none" w:pos="740" w:val="left"/>
        </w:tabs>
        <w:numPr>
          <w:ilvl w:val="0"/>
          <w:numId w:val="2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consolidation or merger of AT&amp;T with or into any other corporation or corporations or the sale, transfer or lease of all or substantially all of the assets of AT&amp;T; or</w:t>
      </w:r>
    </w:p>
    <w:p>
      <w:pPr>
        <w:spacing w:after="0" w:line="194"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2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transaction or series of related transactions that results in all of the assets and liabilities included in AT&amp;T Consumer Services Group being held by one or more AT&amp;T Consumer Services Group subsidiaries and the distribution of AT&amp;T Consumer Services Group subsidiaries, and no other material assets or liabilities, to the holders of the outstanding AT&amp;T Consumer Services Group tracking stock.</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X-8</w:t>
      </w:r>
    </w:p>
    <w:p>
      <w:pPr>
        <w:sectPr>
          <w:pgSz w:w="11900" w:h="16838" w:orient="portrait"/>
          <w:cols w:equalWidth="0" w:num="1">
            <w:col w:w="10219"/>
          </w:cols>
          <w:pgMar w:left="240" w:top="719" w:right="1440" w:bottom="860" w:gutter="0" w:footer="0" w:header="0"/>
        </w:sectPr>
      </w:pPr>
    </w:p>
    <w:bookmarkStart w:id="259" w:name="page260"/>
    <w:bookmarkEnd w:id="259"/>
    <w:p>
      <w:pPr>
        <w:ind w:left="220"/>
        <w:spacing w:after="0"/>
        <w:rPr>
          <w:sz w:val="20"/>
          <w:szCs w:val="20"/>
          <w:color w:val="auto"/>
        </w:rPr>
      </w:pPr>
      <w:r>
        <w:rPr>
          <w:rFonts w:ascii="Courier New" w:cs="Courier New" w:eastAsia="Courier New" w:hAnsi="Courier New"/>
          <w:sz w:val="17"/>
          <w:szCs w:val="17"/>
          <w:color w:val="auto"/>
        </w:rPr>
        <w:t>DETERMINATIONS BY THE AT&amp;T BOARD</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Any determinations made by the AT&amp;T Board under any provision described in this section "-- Terms of the Consumer Services Group Tracking Stock Amendment" will be final and binding on all AT&amp;T shareholders, except as may otherwise be required by law. AT&amp;T will prepare a statement of any determination by the AT&amp;T Board respecting the fair market value of any properties, assets or securities, and will file the statement with AT&amp;T's Corporate Secretary. To the maximum extent permitted by law:</w:t>
      </w:r>
    </w:p>
    <w:p>
      <w:pPr>
        <w:spacing w:after="0" w:line="196" w:lineRule="exact"/>
        <w:rPr>
          <w:sz w:val="20"/>
          <w:szCs w:val="20"/>
          <w:color w:val="auto"/>
        </w:rPr>
      </w:pPr>
    </w:p>
    <w:p>
      <w:pPr>
        <w:ind w:left="740" w:right="2039" w:hanging="209"/>
        <w:spacing w:after="0" w:line="253" w:lineRule="auto"/>
        <w:tabs>
          <w:tab w:leader="none" w:pos="740" w:val="left"/>
        </w:tabs>
        <w:numPr>
          <w:ilvl w:val="0"/>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of AT&amp;T Consumer Services Group tracking stock grant to the AT&amp;T Board discretion to select among different exchange, redemption or other options, more than one of which may be available at a particular time or in connection with a particular transaction,</w:t>
      </w:r>
    </w:p>
    <w:p>
      <w:pPr>
        <w:spacing w:after="0" w:line="195" w:lineRule="exact"/>
        <w:rPr>
          <w:rFonts w:ascii="Courier New" w:cs="Courier New" w:eastAsia="Courier New" w:hAnsi="Courier New"/>
          <w:sz w:val="17"/>
          <w:szCs w:val="17"/>
          <w:color w:val="auto"/>
        </w:rPr>
      </w:pPr>
    </w:p>
    <w:p>
      <w:pPr>
        <w:ind w:left="740" w:right="1939" w:hanging="209"/>
        <w:spacing w:after="0" w:line="252" w:lineRule="auto"/>
        <w:tabs>
          <w:tab w:leader="none" w:pos="740" w:val="left"/>
        </w:tabs>
        <w:numPr>
          <w:ilvl w:val="0"/>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selection of an alternative, if any, will be a matter solely within the discretion of the AT&amp;T Board and that the AT&amp;T Board has no duty to select the alternative that will result in the best economic treatment for holders of either AT&amp;T Consumer Services Group tracking stock or the AT&amp;T common stock, and</w:t>
      </w:r>
    </w:p>
    <w:p>
      <w:pPr>
        <w:spacing w:after="0" w:line="197"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holder of any shares of AT&amp;T Consumer Services Group tracking stock or AT&amp;T common stock will have any claim based on which alternative the AT&amp;T Board may elect, even if the holders of the classes of stock are not treated equally.</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NO PREEMPTIVE RIGHTS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Holders of AT&amp;T common stock or AT&amp;T Consumer Services Group tracking stock do not have any preemptive rights to subscribe for any additional shares of capital stock or other obligations convertible into or exercisable for shares of capital stock that may hereafter be issued by AT&amp;T.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 FEDERAL INCOME TAX CONSEQUENCES</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Subject to the discussion under this section, neither the adoption of the Consumer Services Group tracking stock amendment nor the distribution of AT&amp;T Consumer Services Group tracking stock to holders of AT&amp;T common stock will be taxable to AT&amp;T or holders of AT&amp;T common stock.</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Holders of AT&amp;T common stock who receive AT&amp;T Consumer Services tracking stock in a pro rata distribution will allocate their tax basis in AT&amp;T common stock between AT&amp;T common stock and AT&amp;T Consumer Services Group tracking stock in accordance with the relative fair market values of such stocks on the date on which AT&amp;T Consumer Services Group tracking stock is distributed. A holder's holding period for AT&amp;T Consumer Services Group tracking stock will include such holder's holding period of AT&amp;T common stock with respect to which AT&amp;T Consumer Services Group tracking stock is distributed.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conclusions in the two preceding paragraphs are not free from doubt. These conclusions assume that AT&amp;T Consumer Services Group tracking stock is treated as a class of common stock of AT&amp;T. The filing of consolidated income tax returns by AT&amp;T together with AT&amp;T Consumer Services Group also assumes that AT&amp;T Consumer Services Group tracking stock is treated as a class of common stock of AT&amp;T. While AT&amp;T believes that, under current law, AT&amp;T Consumer Services Group tracking stock will be treated as common stock of AT&amp;T, there are no authorities directly on point nor will AT&amp;T receive an advance ruling from the Internal Revenue Service. There is a risk that the Internal Revenue Service could assert that AT&amp;T Consumer Services Group tracking stock is property other than common stock of AT&amp;T. AT&amp;T believes it is unlikely the Internal Revenue Service would prevail on that view, but no assurance can be given that the views expressed in the two preceding paragraphs, if contested, would be sustained by a court.</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foregoing discussion under this section "-- Material Federal Income Tax Consequences" is only a general summary of the material U.S. federal income tax consequences of the issuance and distribution of AT&amp;T Consumer Services Group tracking stock. It is not a complete analysis of all potential tax effects relevant to the issuance or distribution of AT&amp;T Consumer Services Group tracking stock. The discussion</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X-9</w:t>
      </w:r>
    </w:p>
    <w:p>
      <w:pPr>
        <w:sectPr>
          <w:pgSz w:w="11900" w:h="16838" w:orient="portrait"/>
          <w:cols w:equalWidth="0" w:num="1">
            <w:col w:w="10219"/>
          </w:cols>
          <w:pgMar w:left="240" w:top="719" w:right="1440" w:bottom="1062" w:gutter="0" w:footer="0" w:header="0"/>
        </w:sectPr>
      </w:pPr>
    </w:p>
    <w:bookmarkStart w:id="260" w:name="page261"/>
    <w:bookmarkEnd w:id="260"/>
    <w:p>
      <w:pPr>
        <w:ind w:right="1839"/>
        <w:spacing w:after="0" w:line="251" w:lineRule="auto"/>
        <w:rPr>
          <w:sz w:val="20"/>
          <w:szCs w:val="20"/>
          <w:color w:val="auto"/>
        </w:rPr>
      </w:pPr>
      <w:r>
        <w:rPr>
          <w:rFonts w:ascii="Courier New" w:cs="Courier New" w:eastAsia="Courier New" w:hAnsi="Courier New"/>
          <w:sz w:val="17"/>
          <w:szCs w:val="17"/>
          <w:color w:val="auto"/>
        </w:rPr>
        <w:t>does not address consequences that may be relevant to a particular AT&amp;T common stock holder in light of this particular circumstances or to holders subject to special treatment under U.S. federal income tax laws (such as dealers in securities, banks, insurance companies, tax-exempt organizations, non-U.S. persons, holders that acquired their AT&amp;T common stock pursuant to the exercise of options or otherwise as compensation and holders that do not hold such shares as capital assets), nor any consequences arising under the laws of any state, local or foreign jurisdiction. The discussion is based on the Code, Treasury Regulations promulgated thereunder, judicial opinions, published positions of the Internal Revenue Service, and all other applicable authorities as of the date of this document, all of which are subject to change (possibly with retroactive effect).</w:t>
      </w:r>
    </w:p>
    <w:p>
      <w:pPr>
        <w:spacing w:after="0" w:line="200" w:lineRule="exact"/>
        <w:rPr>
          <w:sz w:val="20"/>
          <w:szCs w:val="20"/>
          <w:color w:val="auto"/>
        </w:rPr>
      </w:pPr>
    </w:p>
    <w:p>
      <w:pPr>
        <w:spacing w:after="0" w:line="203"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AT&amp;T URGES AT&amp;T SHAREHOLDERS TO CONSULT THEIR OWN TAX ADVISORS CONCERNING THE U.S. FEDERAL, STATE AND LOCAL, AND FOREIGN TAX CONSEQUENCES OF THE ISSUANCE AND DISTRIBUTION OF AT&amp;T CONSUMER SERVICES GROUP TRACKING STOCK TO THEM.</w:t>
      </w:r>
    </w:p>
    <w:p>
      <w:pPr>
        <w:spacing w:after="0" w:line="194"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REASONS FOR AT&amp;T CONSUMER SERVICES GROUP TRACKING STOCK</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AT&amp;T Board recommends the Consumer Services charter amendment proposal based on its view that the Consumer Services charter amendment proposal will promote greater market recognition of the value of the various AT&amp;T businesses. The AT&amp;T Board considered the following factors among others in approving and recommending that AT&amp;T shareholders approve the Consumer Services charter amendment proposal.</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GREATER MARKET RECOGNITION OF VALUE</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AT&amp;T believes that issuing securities intended to reflect the separate performance of AT&amp;T Consumer Services Group will result in greater market recognition and realization of the value of AT&amp;T and the distinct lines of business represented by each of AT&amp;T Consumer Services Group and AT&amp;T Business Services Group and allow the market to evaluate each of AT&amp;T Consumer Services Group's and AT&amp;T Business Services Group's results against those of its competitors.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GREATER FINANCIAL AND STRATEGIC FLEXIBILITY</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believes that the creation of AT&amp;T Consumer Services Group tracking stock will provide AT&amp;T with greater financial flexibility. AT&amp;T expects that AT&amp;T Consumer Services Group tracking stock may assist AT&amp;T in meeting its capital needs by creating an additional publicly traded equity security that it can use to raise capital. In addition, the creation of AT&amp;T Consumer Services Group tracking stock prior to the AT&amp;T Comcast transaction will allow AT&amp;T to issue AT&amp;T Consumer Services Group tracking stock in potential group-specific acquisitions and investments. This would allow shareholders of an entity that AT&amp;T Consumer Services Group acquires the opportunity to participate more directly in the success of the business in which that entity engages, rather than participating in the larger and more diversified AT&amp;T enterprise.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INCREASED SHAREHOLDER CHOICE</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 corporation typically uses tracking stocks in situations where the corporation has two or more businesses that have different investor profiles. In this case, AT&amp;T Consumer Services Group offers a particular set of services and targets a particular type of customer, distinct from AT&amp;T Business Services Group. AT&amp;T believes that the creation and issuance of AT&amp;T Consumer Services Group tracking stock will provide investors with greater choice among the different types of investment currently embedded in AT&amp;T.</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X-10</w:t>
      </w:r>
    </w:p>
    <w:p>
      <w:pPr>
        <w:sectPr>
          <w:pgSz w:w="11900" w:h="16838" w:orient="portrait"/>
          <w:cols w:equalWidth="0" w:num="1">
            <w:col w:w="10219"/>
          </w:cols>
          <w:pgMar w:left="240" w:top="719" w:right="1440" w:bottom="1440" w:gutter="0" w:footer="0" w:header="0"/>
        </w:sectPr>
      </w:pPr>
    </w:p>
    <w:bookmarkStart w:id="261" w:name="page262"/>
    <w:bookmarkEnd w:id="261"/>
    <w:p>
      <w:pPr>
        <w:spacing w:after="0"/>
        <w:rPr>
          <w:sz w:val="20"/>
          <w:szCs w:val="20"/>
          <w:color w:val="auto"/>
        </w:rPr>
      </w:pPr>
      <w:r>
        <w:rPr>
          <w:rFonts w:ascii="Courier New" w:cs="Courier New" w:eastAsia="Courier New" w:hAnsi="Courier New"/>
          <w:sz w:val="17"/>
          <w:szCs w:val="17"/>
          <w:color w:val="auto"/>
        </w:rPr>
        <w:t>MORE FOCUSED AND FLEXIBLE MANAGEMENT TEAMS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believes that if the Consumer Services charter amendment proposal is approved and implemented, management of each of AT&amp;T Consumer Services Group and AT&amp;T Business Services Group would have a greater ability to focus on the execution of strategic objectives in its particular business and on reacting to changes in its competitive environment. AT&amp;T believes that each of the AT&amp;T groups would be a smaller, but more focused and flexible, business unit, in a better position to implement its respective business strategy and serve its customers more effectively through quicker decision making, more efficient deployment of resources, increased operational agility, and enhanced responsiveness to customers and markets and technological changes.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INCENTIVES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believes the existence of AT&amp;T Consumer Services Group tracking stock will permit the creation of more effective management incentive and retention programs. In particular, AT&amp;T will be able to grant stock options and other incentive awards to employees of each of AT&amp;T Consumer Services Group and AT&amp;T Business Services Group that are tied more directly to the performance of each respective AT&amp;T group. AT&amp;T will seek to develop compensation plans to incent the delivery of services to benefit both groups.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CONSIDERATIONS</w:t>
      </w:r>
    </w:p>
    <w:p>
      <w:pPr>
        <w:spacing w:after="0" w:line="210"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In addition, the AT&amp;T Board considered that AT&amp;T expects that implementation of the Consumer Services charter amendment will not be taxable for U.S. federal income tax purposes to AT&amp;T or to AT&amp;T shareholders.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POTENTIAL NEGATIVE CONSEQUENCES OF THE PROPOSALS</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AT&amp;T Board also considered the following potential adverse consequences of the creation of AT&amp;T Consumer Services Group tracking stock, including the following:</w:t>
      </w:r>
    </w:p>
    <w:p>
      <w:pPr>
        <w:spacing w:after="0" w:line="194" w:lineRule="exact"/>
        <w:rPr>
          <w:sz w:val="20"/>
          <w:szCs w:val="20"/>
          <w:color w:val="auto"/>
        </w:rPr>
      </w:pPr>
    </w:p>
    <w:p>
      <w:pPr>
        <w:ind w:left="740" w:right="2039" w:hanging="209"/>
        <w:spacing w:after="0" w:line="257" w:lineRule="auto"/>
        <w:tabs>
          <w:tab w:leader="none" w:pos="740" w:val="left"/>
        </w:tabs>
        <w:numPr>
          <w:ilvl w:val="0"/>
          <w:numId w:val="2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market price of AT&amp;T Consumer Services Group tracking stock may not reflect the separate performance of AT&amp;T Consumer Services Group,</w:t>
      </w:r>
    </w:p>
    <w:p>
      <w:pPr>
        <w:spacing w:after="0" w:line="191"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2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AT&amp;T common stock and of AT&amp;T Consumer Services Group tracking stock will continue to bear the risks associated with an investment in a single corporation and all of AT&amp;T's businesses, assets and liabilities, and</w:t>
      </w:r>
    </w:p>
    <w:p>
      <w:pPr>
        <w:spacing w:after="0" w:line="195"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2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managing relationships between the groups may be more difficult than has historically been the case as a result of potential conflicts between the groups.</w:t>
      </w:r>
    </w:p>
    <w:p>
      <w:pPr>
        <w:spacing w:after="0" w:line="194"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The AT&amp;T Board also considered the risk factors related to the creation of AT&amp;T Consumer Services Group tracking stock, described under "Summary and Overview -- Risk Factors Relating to AT&amp;T Consumer Services Group Tracking Stock."</w:t>
      </w:r>
    </w:p>
    <w:p>
      <w:pPr>
        <w:spacing w:after="0" w:line="195"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AT&amp;T Board believes, however, that, on balance, the positive aspects of AT&amp;T Consumer Services Group tracking stock outweigh any potentially adverse consequences.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OF THE AT&amp;T BOARD</w:t>
      </w:r>
    </w:p>
    <w:p>
      <w:pPr>
        <w:spacing w:after="0" w:line="210"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The AT&amp;T Board has approved the Consumer Services charter amendment proposal and recommends that AT&amp;T shareholders vote FOR the Consumer Services charter amendment proposal.</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X-11</w:t>
      </w:r>
    </w:p>
    <w:p>
      <w:pPr>
        <w:sectPr>
          <w:pgSz w:w="11900" w:h="16838" w:orient="portrait"/>
          <w:cols w:equalWidth="0" w:num="1">
            <w:col w:w="10219"/>
          </w:cols>
          <w:pgMar w:left="240" w:top="719" w:right="1440" w:bottom="1440" w:gutter="0" w:footer="0" w:header="0"/>
        </w:sectPr>
      </w:pPr>
    </w:p>
    <w:bookmarkStart w:id="262" w:name="page263"/>
    <w:bookmarkEnd w:id="262"/>
    <w:p>
      <w:pPr>
        <w:ind w:left="1900"/>
        <w:spacing w:after="0"/>
        <w:rPr>
          <w:sz w:val="20"/>
          <w:szCs w:val="20"/>
          <w:color w:val="auto"/>
        </w:rPr>
      </w:pPr>
      <w:r>
        <w:rPr>
          <w:rFonts w:ascii="Courier New" w:cs="Courier New" w:eastAsia="Courier New" w:hAnsi="Courier New"/>
          <w:sz w:val="17"/>
          <w:szCs w:val="17"/>
          <w:color w:val="auto"/>
        </w:rPr>
        <w:t>DESCRIPTION OF AT&amp;T CONSUMER SERVICES GROUP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is the leading provider of domestic and international long distance and transaction based services to residential consumers in the United States with approximately 60 million customer relationships. AT&amp;T Consumer Services Group provides interstate and intrastate long distance communications services throughout the continental United States, and provides, or joins in providing with other carriers, communications services to and from Alaska, Hawaii, Puerto Rico and the Virgin Islands and international communications services to and from virtually all nations and territories around the world.</w:t>
      </w:r>
    </w:p>
    <w:p>
      <w:pPr>
        <w:spacing w:after="0" w:line="201" w:lineRule="exact"/>
        <w:rPr>
          <w:sz w:val="20"/>
          <w:szCs w:val="20"/>
          <w:color w:val="auto"/>
        </w:rPr>
      </w:pPr>
    </w:p>
    <w:p>
      <w:pPr>
        <w:jc w:val="both"/>
        <w:ind w:right="2459" w:firstLine="524"/>
        <w:spacing w:after="0" w:line="254" w:lineRule="auto"/>
        <w:rPr>
          <w:sz w:val="20"/>
          <w:szCs w:val="20"/>
          <w:color w:val="auto"/>
        </w:rPr>
      </w:pPr>
      <w:r>
        <w:rPr>
          <w:rFonts w:ascii="Courier New" w:cs="Courier New" w:eastAsia="Courier New" w:hAnsi="Courier New"/>
          <w:sz w:val="17"/>
          <w:szCs w:val="17"/>
          <w:color w:val="auto"/>
        </w:rPr>
        <w:t>AT&amp;T Consumer Services Group provides a broad range of communications services to consumers individually and in combination with other services, including:</w:t>
      </w:r>
    </w:p>
    <w:p>
      <w:pPr>
        <w:spacing w:after="0" w:line="194" w:lineRule="exact"/>
        <w:rPr>
          <w:sz w:val="20"/>
          <w:szCs w:val="20"/>
          <w:color w:val="auto"/>
        </w:rPr>
      </w:pPr>
    </w:p>
    <w:p>
      <w:pPr>
        <w:ind w:left="740" w:hanging="209"/>
        <w:spacing w:after="0"/>
        <w:tabs>
          <w:tab w:leader="none" w:pos="740" w:val="left"/>
        </w:tabs>
        <w:numPr>
          <w:ilvl w:val="0"/>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inbound and outbound domestic and international long distance;</w:t>
      </w:r>
    </w:p>
    <w:p>
      <w:pPr>
        <w:spacing w:after="0" w:line="210" w:lineRule="exact"/>
        <w:rPr>
          <w:rFonts w:ascii="Courier New" w:cs="Courier New" w:eastAsia="Courier New" w:hAnsi="Courier New"/>
          <w:sz w:val="17"/>
          <w:szCs w:val="17"/>
          <w:color w:val="auto"/>
        </w:rPr>
      </w:pPr>
    </w:p>
    <w:p>
      <w:pPr>
        <w:ind w:left="740" w:right="2459" w:hanging="209"/>
        <w:spacing w:after="0" w:line="257" w:lineRule="auto"/>
        <w:tabs>
          <w:tab w:leader="none" w:pos="740" w:val="left"/>
        </w:tabs>
        <w:numPr>
          <w:ilvl w:val="0"/>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transaction-based long distance services, such as operator-assisted calling services and prepaid phone cards;</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local calling offers through an unbundled network elements platform; and</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dial-up Internet service through AT&amp;T WorldNet Service.</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In addition, AT&amp;T Consumer Services Group offers combined long distance and local services in selected locations and is developing a multi-service platform, the AT&amp;T Worldnet High Speed Service, based upon DSL technology for combined voice, data and other broadband services.</w:t>
      </w:r>
    </w:p>
    <w:p>
      <w:pPr>
        <w:spacing w:after="0" w:line="195"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For the nine-month period ended September 30, 2001, AT&amp;T Consumer Services Group had combined revenue of approximately $11.6 billion and combined EBITDA of approximately $3.9 billion.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CONSUMER SERVICES GROUP</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tracking stock is designed to reflect the economic performance of AT&amp;T Consumer Services Group, which includes the assets and liabilities shown in the combined balance sheets of AT&amp;T Consumer Services Group. If AT&amp;T acquires interests in other businesses, AT&amp;T intends to attribute those assets and any related liabilities to AT&amp;T Consumer Services Group or to AT&amp;T Business Services Group in accordance with the AT&amp;T Groups policy statement. All net income and cash flows generated by the assets attributed to AT&amp;T Consumer Services Group will be attributed to AT&amp;T Consumer Services Group and all net proceeds from any disposition of these assets also will be attributed to AT&amp;T Consumer Services Group.</w:t>
      </w:r>
    </w:p>
    <w:p>
      <w:pPr>
        <w:spacing w:after="0" w:line="201" w:lineRule="exact"/>
        <w:rPr>
          <w:sz w:val="20"/>
          <w:szCs w:val="20"/>
          <w:color w:val="auto"/>
        </w:rPr>
      </w:pPr>
    </w:p>
    <w:p>
      <w:pPr>
        <w:ind w:right="2259" w:firstLine="524"/>
        <w:spacing w:after="0" w:line="254" w:lineRule="auto"/>
        <w:rPr>
          <w:sz w:val="20"/>
          <w:szCs w:val="20"/>
          <w:color w:val="auto"/>
        </w:rPr>
      </w:pPr>
      <w:r>
        <w:rPr>
          <w:rFonts w:ascii="Courier New" w:cs="Courier New" w:eastAsia="Courier New" w:hAnsi="Courier New"/>
          <w:sz w:val="17"/>
          <w:szCs w:val="17"/>
          <w:color w:val="auto"/>
        </w:rPr>
        <w:t>Except as described elsewhere in this document AT&amp;T attributes all of AT&amp;T's current Consumer Services operations to AT&amp;T Consumer Services Group, including:</w:t>
      </w:r>
    </w:p>
    <w:p>
      <w:pPr>
        <w:spacing w:after="0" w:line="194" w:lineRule="exact"/>
        <w:rPr>
          <w:sz w:val="20"/>
          <w:szCs w:val="20"/>
          <w:color w:val="auto"/>
        </w:rPr>
      </w:pPr>
    </w:p>
    <w:p>
      <w:pPr>
        <w:ind w:left="740" w:right="1839" w:hanging="209"/>
        <w:spacing w:after="0" w:line="257" w:lineRule="auto"/>
        <w:tabs>
          <w:tab w:leader="none" w:pos="740" w:val="left"/>
        </w:tabs>
        <w:numPr>
          <w:ilvl w:val="0"/>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Consumer Services wireline long distance and local customers and AT&amp;T WorldNet Service consumer customers;</w:t>
      </w:r>
    </w:p>
    <w:p>
      <w:pPr>
        <w:spacing w:after="0" w:line="191" w:lineRule="exact"/>
        <w:rPr>
          <w:rFonts w:ascii="Courier New" w:cs="Courier New" w:eastAsia="Courier New" w:hAnsi="Courier New"/>
          <w:sz w:val="17"/>
          <w:szCs w:val="17"/>
          <w:color w:val="auto"/>
        </w:rPr>
      </w:pPr>
    </w:p>
    <w:p>
      <w:pPr>
        <w:ind w:left="740" w:right="2459" w:hanging="209"/>
        <w:spacing w:after="0" w:line="257" w:lineRule="auto"/>
        <w:tabs>
          <w:tab w:leader="none" w:pos="740" w:val="left"/>
        </w:tabs>
        <w:numPr>
          <w:ilvl w:val="0"/>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Consumer Services support non-network infrastructure, including ordering, provisioning, billing and care; and</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Consumer Services marketing operations.</w:t>
      </w:r>
    </w:p>
    <w:p>
      <w:pPr>
        <w:spacing w:after="0" w:line="210"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AT&amp;T Consumer Services Group does not include any network plant, nodes, routing, switching or other transport infrastructure.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AGREEMENTS BETWEEN AT&amp;T GROUPS</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AT&amp;T Groups policy statement provides that AT&amp;T will seek to manage the AT&amp;T Groups in a manner designed to give due consideration to the operations of both of the AT&amp;T Groups. Following the</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X-12</w:t>
      </w:r>
    </w:p>
    <w:p>
      <w:pPr>
        <w:sectPr>
          <w:pgSz w:w="11900" w:h="16838" w:orient="portrait"/>
          <w:cols w:equalWidth="0" w:num="1">
            <w:col w:w="10219"/>
          </w:cols>
          <w:pgMar w:left="240" w:top="719" w:right="1440" w:bottom="1440" w:gutter="0" w:footer="0" w:header="0"/>
        </w:sectPr>
      </w:pPr>
    </w:p>
    <w:bookmarkStart w:id="263" w:name="page264"/>
    <w:bookmarkEnd w:id="263"/>
    <w:p>
      <w:pPr>
        <w:ind w:right="1939"/>
        <w:spacing w:after="0" w:line="257" w:lineRule="auto"/>
        <w:rPr>
          <w:sz w:val="20"/>
          <w:szCs w:val="20"/>
          <w:color w:val="auto"/>
        </w:rPr>
      </w:pPr>
      <w:r>
        <w:rPr>
          <w:rFonts w:ascii="Courier New" w:cs="Courier New" w:eastAsia="Courier New" w:hAnsi="Courier New"/>
          <w:sz w:val="17"/>
          <w:szCs w:val="17"/>
          <w:color w:val="auto"/>
        </w:rPr>
        <w:t>issuance of AT&amp;T Consumer Services Group tracking stock, AT&amp;T Consumer Services Group will be able to:</w:t>
      </w:r>
    </w:p>
    <w:p>
      <w:pPr>
        <w:spacing w:after="0" w:line="192" w:lineRule="exact"/>
        <w:rPr>
          <w:sz w:val="20"/>
          <w:szCs w:val="20"/>
          <w:color w:val="auto"/>
        </w:rPr>
      </w:pPr>
    </w:p>
    <w:p>
      <w:pPr>
        <w:ind w:left="740" w:hanging="209"/>
        <w:spacing w:after="0"/>
        <w:tabs>
          <w:tab w:leader="none" w:pos="740" w:val="left"/>
        </w:tabs>
        <w:numPr>
          <w:ilvl w:val="0"/>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the AT&amp;T brand name in accordance with a brand agreement with AT&amp;T,</w:t>
      </w:r>
    </w:p>
    <w:p>
      <w:pPr>
        <w:spacing w:after="0" w:line="210" w:lineRule="exact"/>
        <w:rPr>
          <w:rFonts w:ascii="Courier New" w:cs="Courier New" w:eastAsia="Courier New" w:hAnsi="Courier New"/>
          <w:sz w:val="17"/>
          <w:szCs w:val="17"/>
          <w:color w:val="auto"/>
        </w:rPr>
      </w:pPr>
    </w:p>
    <w:p>
      <w:pPr>
        <w:ind w:left="740" w:right="2879" w:hanging="209"/>
        <w:spacing w:after="0" w:line="257" w:lineRule="auto"/>
        <w:tabs>
          <w:tab w:leader="none" w:pos="740" w:val="left"/>
        </w:tabs>
        <w:numPr>
          <w:ilvl w:val="0"/>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AT&amp;T's extensive network assets including its DSL assets in accordance with a master carrier agreement,</w:t>
      </w:r>
    </w:p>
    <w:p>
      <w:pPr>
        <w:spacing w:after="0" w:line="191" w:lineRule="exact"/>
        <w:rPr>
          <w:rFonts w:ascii="Courier New" w:cs="Courier New" w:eastAsia="Courier New" w:hAnsi="Courier New"/>
          <w:sz w:val="17"/>
          <w:szCs w:val="17"/>
          <w:color w:val="auto"/>
        </w:rPr>
      </w:pPr>
    </w:p>
    <w:p>
      <w:pPr>
        <w:ind w:left="740" w:right="2259" w:hanging="209"/>
        <w:spacing w:after="0" w:line="257" w:lineRule="auto"/>
        <w:tabs>
          <w:tab w:leader="none" w:pos="740" w:val="left"/>
        </w:tabs>
        <w:numPr>
          <w:ilvl w:val="0"/>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AT&amp;T's intellectual property and technology in accordance with an intellectual property agreement, and</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 in AT&amp;T's purchasing contracts with major suppliers.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relationship between AT&amp;T Business Services Group and AT&amp;T Consumer Services Group will be governed by the AT&amp;T Groups policy statement, including the process of fair dealing described under "-- Relationship between the AT&amp;T Groups -- The AT&amp;T Groups Policy Statement -- General Policy." Although the AT&amp;T Board has no present intention to do so, it may modify, suspend or rescind the policies set forth in the AT&amp;T Groups policy statement, adopt additional policies or make exceptions to existing polices, at any time, without the approval of AT&amp;T shareholders, subject to limitations we describe under "Relationship between the AT&amp;T Groups -- The AT&amp;T Groups Policy Statement" the AT&amp;T Board's fiduciary duties.</w:t>
      </w:r>
    </w:p>
    <w:p>
      <w:pPr>
        <w:spacing w:after="0" w:line="201"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If AT&amp;T Consumer Services Group tracking stock is issued prior to the AT&amp;T Broadband spin-off or if the spin-off does not occur, AT&amp;T will include the business and operations of AT&amp;T Broadband Group.</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STRATEGY</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AT&amp;T Consumer Services Group's goal is to maintain a leadership position in the long distance market and develop complementary products and services to maximize cash flow. Key strategic elements include:</w:t>
      </w:r>
    </w:p>
    <w:p>
      <w:pPr>
        <w:spacing w:after="0" w:line="194"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Attract and retain high value customers. AT&amp;T Consumer Services Group focuses on acquiring and maintaining high value long distance customers with targeted offers and solicitations. AT&amp;T Consumer Services Group believes that high value customers use AT&amp;T's services more frequently and are more likely to use multiple service offerings such as local toll, calling card, international plans, AT&amp;T WorldNet Service, local services and the AT&amp;T Worldnet High Speed Service. Through the greater utilization of services, high value customers generate greater margins and hasten recuperation of marketing, sales and provisioning expenses.</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Increase operating efficiencies and reduce operating costs. AT&amp;T Consumer Services Group seeks to maximize the utilization of its assets and reduce operating costs. In the three year period ended September 30, 2001, aggregate selling, general and administrative expenses have been reduced by over $1 billion and overall costs and expenses have decreased by nearly $5 billion. AT&amp;T Consumer Services Group expects it will continue to reduce operating costs through further outsourcing of care and billing functions.</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Broaden its service lines. AT&amp;T Consumer Services Group believes it can generate additional revenue by bundling AT&amp;T long distance with other communications services including local services, AT&amp;T WorldNet Services and high-speed data services. By bundling value-added services, AT&amp;T Consumer Services Group believes it will substantially enhance its customers' reliance on its services, improve customer satisfaction and retention levels and increase sales of more profitable services.</w:t>
      </w:r>
    </w:p>
    <w:p>
      <w:pPr>
        <w:spacing w:after="0" w:line="196"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addition, AT&amp;T Consumer Services Group continues to evaluate new growth businesses that would provide additional services complementary to its current suite of product offerings. AT&amp;T Consumer Services Group believes additional high value product offerings better enable it to attract new customers, migrate existing customers to more profitable product offerings and better satisfy the overall needs of its</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X-13</w:t>
      </w:r>
    </w:p>
    <w:p>
      <w:pPr>
        <w:sectPr>
          <w:pgSz w:w="11900" w:h="16838" w:orient="portrait"/>
          <w:cols w:equalWidth="0" w:num="1">
            <w:col w:w="10219"/>
          </w:cols>
          <w:pgMar w:left="240" w:top="719" w:right="1440" w:bottom="1440" w:gutter="0" w:footer="0" w:header="0"/>
        </w:sectPr>
      </w:pPr>
    </w:p>
    <w:bookmarkStart w:id="264" w:name="page265"/>
    <w:bookmarkEnd w:id="264"/>
    <w:p>
      <w:pPr>
        <w:ind w:right="1939"/>
        <w:spacing w:after="0" w:line="254" w:lineRule="auto"/>
        <w:rPr>
          <w:sz w:val="20"/>
          <w:szCs w:val="20"/>
          <w:color w:val="auto"/>
        </w:rPr>
      </w:pPr>
      <w:r>
        <w:rPr>
          <w:rFonts w:ascii="Courier New" w:cs="Courier New" w:eastAsia="Courier New" w:hAnsi="Courier New"/>
          <w:sz w:val="17"/>
          <w:szCs w:val="17"/>
          <w:color w:val="auto"/>
        </w:rPr>
        <w:t>customers. New product and service offerings are evaluated and implemented in a manner designed to be consistent with AT&amp;T Consumer Services Group's overall goal of maximizing cash flow.</w:t>
      </w:r>
    </w:p>
    <w:p>
      <w:pPr>
        <w:spacing w:after="0" w:line="194"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Leverage the AT&amp;T brand to attract new customers. AT&amp;T Consumer Services Group believes that the AT&amp;T brand is very influential in consumers' purchasing decisions and positively impacts consumer awareness of, and confidence in, AT&amp;T Consumer Services Group's products and services, as well as providing for an enhanced ability to cross-sell consumer services with other AT&amp;T services. In addition, AT&amp;T Consumer Services Group believes that its efforts to bundle products and services will help to further strengthen the AT&amp;T brand by providing consumers with exposure to a broader range of AT&amp;T Consumer Services Group's services and an improved overall consumer experience.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Enhance customer satisfaction and loyalty. AT&amp;T Consumer Services Group believes that achieving a high level of customer satisfaction is critical to successfully acquiring new customers and increasing retention of its existing customer base. AT&amp;T Consumer Services Group has historically strived to maintain a high level of customer satisfaction through a portfolio of loyalty programs such as its spot loyalty bonus program, its Continental Airlines rewards program and its UPromise college education savings plan. AT&amp;T Consumer Services Group will continue to focus on improving the customer care experience through various service enhancement initiatives including the introduction of convenience features such as e-payment of bills as well as increasing its portfolio of loyalty plans.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OVERVIEW</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communications services industry continues to change competitively and technologically both domestically and internationally, providing significant opportunities and risks to the participants in these markets. In the United States, the Telecommunications Act has had a significant impact on AT&amp;T Consumer Services Group's business by establishing a statutory framework for opening the local service markets to competition and by allowing regional phone companies to provide in-region long distance services bundled with their existing local franchise. In addition, prices for long distance minutes and other basic communications services have declined as a result of competitive pressures, excess capacity as a result of substantial network build-out, the introduction of more efficient networks and advanced technologies, product substitution, and deregulation. In particular, consumer long distance voice usage is declining as a result of substitution of wireless services, Internet access and e-mail/instant messaging services. Competition in the provision of basic communications services to consumers is based more on price and less on other differentiating factors that appeal to the larger business market customers, such as the range of services offered, bundling of products, customer service, and communication quality, reliability and availability.</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consumer long distance market is characterized by rapid deregulation and intense competition among long distance providers, and, more recently, incumbent local exchange carriers. Under the Telecommunications Act, a regional phone company may offer long distance services in a state within its region if the FCC finds, first, that the regional phone company's service territory within the state has been sufficiently opened to local competition, and second, that allowing the regional phone company to provide these services is in the public interest. As of January 30, 2002, regional phone companies have received approval to offer long distance in nine states and AT&amp;T Consumer Services Group expects that regional phone companies will be successful in obtaining approval to offer long distance in the majority of the remaining states by the end of 2002. The incumbent local exchange carriers presently have numerous advantages as a result of their historic monopoly control over local exchanges. While these dynamics are creating downward pressure on stand-alone long distance, new opportunities are being created in the consumer industry, including local, data and bundled offers.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local voice market is currently dominated by the incumbent local exchange carriers. The Telecommunications Act has established a statutory framework for opening the local service markets to competition. AT&amp;T Consumer Services Group has already entered the local voice business in selected markets and expects to expand its presence in this area.</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X-14</w:t>
      </w:r>
    </w:p>
    <w:p>
      <w:pPr>
        <w:sectPr>
          <w:pgSz w:w="11900" w:h="16838" w:orient="portrait"/>
          <w:cols w:equalWidth="0" w:num="1">
            <w:col w:w="10219"/>
          </w:cols>
          <w:pgMar w:left="240" w:top="719" w:right="1440" w:bottom="1440" w:gutter="0" w:footer="0" w:header="0"/>
        </w:sectPr>
      </w:pPr>
    </w:p>
    <w:bookmarkStart w:id="265" w:name="page266"/>
    <w:bookmarkEnd w:id="265"/>
    <w:p>
      <w:pPr>
        <w:ind w:right="1939" w:firstLine="524"/>
        <w:spacing w:after="0" w:line="252" w:lineRule="auto"/>
        <w:rPr>
          <w:sz w:val="20"/>
          <w:szCs w:val="20"/>
          <w:color w:val="auto"/>
        </w:rPr>
      </w:pPr>
      <w:r>
        <w:rPr>
          <w:rFonts w:ascii="Courier New" w:cs="Courier New" w:eastAsia="Courier New" w:hAnsi="Courier New"/>
          <w:sz w:val="17"/>
          <w:szCs w:val="17"/>
          <w:color w:val="auto"/>
        </w:rPr>
        <w:t>The data services market in the consumer segment is comprised primarily of Internet access, utilizing either dial-up or high speed access technologies, such as DSL and cable modems. Currently, AT&amp;T Consumer Services Group offers products in both narrowband and broadband data segments. Both narrowband and broadband data services represent substantial revenue growth opportunities for AT&amp;T Consumer Services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SERVICES AND PRODUCTS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LONG DISTANCE</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provides interstate and intrastate long distance telecommunications services throughout the continental United States and provides, or joins in providing with other carriers, telecommunications services to and from Alaska, Hawaii, Puerto Rico and the Virgin Islands and international telecommunications services to and from virtually all nations and territories around the world. Consumers can use AT&amp;T Consumer Services Group's domestic and international long distance services through traditional "one plus" dialing of the desired call destination, through dial-up access or through use of AT&amp;T calling cards.</w:t>
      </w:r>
    </w:p>
    <w:p>
      <w:pPr>
        <w:spacing w:after="0" w:line="201"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In the continental United States, AT&amp;T Consumer Services Group provides long distance telecommunications services over AT&amp;T Business Services' backbone network.</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CALLING CARD</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Consumer Services Group provides a vehicle for placing all "away from home" calls. The AT&amp;T calling card can be used to place domestic and international calls in the U.S. and Canada by accessing 1-800CALLATT, 10-10-288 or 0+ the number dialed. Features include purchase limits, geographic restrictions, native language preference, voice messaging and sequence dialing. Customers can place calls over the AT&amp;T network by using any of the following options: AT&amp;T calling cards, local exchange carrier cards and commercial credit cards.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TRANSACTION-BASED SERVICES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AT&amp;T Consumer Services Group offers a variety of transaction-based services that are designed to provide customers with an alternative to access long distance services as well as to provide assistance in completing long distance communications.</w:t>
      </w:r>
    </w:p>
    <w:p>
      <w:pPr>
        <w:spacing w:after="0" w:line="195"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Operator Services. Operator-assisted calling services include traditional collect calls, third party billing, person to person and long distance pay phone service.</w:t>
      </w:r>
    </w:p>
    <w:p>
      <w:pPr>
        <w:spacing w:after="0" w:line="194"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Directory Assistance. Directory Assistance is provided to customers both domestically and internationally, with an option to complete the call for a nominal extra charge.</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Direct Services. AT&amp;T Consumer Services Group provides customers with the ability to reach the AT&amp;T network from outside the U.S. By dialing the access code associated with the country of origin, customers can receive all the benefits of AT&amp;T Consumer Services Group's calling card and operator-assisted calling services.</w:t>
      </w:r>
    </w:p>
    <w:p>
      <w:pPr>
        <w:spacing w:after="0" w:line="1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AT&amp;T True Messages. AT&amp;T True Messages is a voice store and forward service. Using this service, callers can record a message in their own voice and have it delivered to a telephone number that they called or they can access AT&amp;T True Messages directly and send a message.</w:t>
      </w:r>
    </w:p>
    <w:p>
      <w:pPr>
        <w:spacing w:after="0" w:line="195"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Accessible Communication Service. AT&amp;T Consumer Services Group provides Telecommunications Relay Service for the deaf and hearing-impaired customers to help them communicate with anyone in the world on the phone.</w:t>
      </w:r>
    </w:p>
    <w:p>
      <w:pPr>
        <w:spacing w:after="0" w:line="194"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1-800CALLATT (Collect). 1-800CALLATT for collect calls continues to be AT&amp;T Consumer Services Group's lead discounted collect calling offer in the operator services portfolio. 1-800CALLATT is a domestic, automated, flat-rate collect calling service. The service is targeted at price conscious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X-15</w:t>
      </w:r>
    </w:p>
    <w:p>
      <w:pPr>
        <w:sectPr>
          <w:pgSz w:w="11900" w:h="16838" w:orient="portrait"/>
          <w:cols w:equalWidth="0" w:num="1">
            <w:col w:w="10219"/>
          </w:cols>
          <w:pgMar w:left="240" w:top="719" w:right="1440" w:bottom="1062" w:gutter="0" w:footer="0" w:header="0"/>
        </w:sectPr>
      </w:pPr>
    </w:p>
    <w:bookmarkStart w:id="266" w:name="page267"/>
    <w:bookmarkEnd w:id="266"/>
    <w:p>
      <w:pPr>
        <w:ind w:right="2139"/>
        <w:spacing w:after="0" w:line="257" w:lineRule="auto"/>
        <w:rPr>
          <w:sz w:val="20"/>
          <w:szCs w:val="20"/>
          <w:color w:val="auto"/>
        </w:rPr>
      </w:pPr>
      <w:r>
        <w:rPr>
          <w:rFonts w:ascii="Courier New" w:cs="Courier New" w:eastAsia="Courier New" w:hAnsi="Courier New"/>
          <w:sz w:val="17"/>
          <w:szCs w:val="17"/>
          <w:color w:val="auto"/>
        </w:rPr>
        <w:t>consumers and advertised nationally through multiple media channels. Optional collect messaging capabilities exist as well.</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PrePaid Card. AT&amp;T PrePaid cards provide local, long distance and international calls charged to an AT&amp;T PrePaid card account maintained on AT&amp;T's PrePaid platform. The AT&amp;T PrePaid card service is available 24 hours a day, 7 days a week. Currently, AT&amp;T PrePaid cards are available in over 60,000 retail locations of various types including grocery, drug, convenience, mass merchandise, wholesale clubs, electronics/office and military/government.</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10-10-345. 10-10-345 is a non-AT&amp;T-branded dial-around service that allows customers an alternative way to make a long distance call. The service is targeted at price-sensitive dial-around and other common carriers' users completing domestic and/or international calls from home. When customers dial</w:t>
      </w:r>
    </w:p>
    <w:p>
      <w:pPr>
        <w:ind w:right="1839"/>
        <w:spacing w:after="0" w:line="254" w:lineRule="auto"/>
        <w:rPr>
          <w:sz w:val="20"/>
          <w:szCs w:val="20"/>
          <w:color w:val="auto"/>
        </w:rPr>
      </w:pPr>
      <w:r>
        <w:rPr>
          <w:rFonts w:ascii="Courier New" w:cs="Courier New" w:eastAsia="Courier New" w:hAnsi="Courier New"/>
          <w:sz w:val="17"/>
          <w:szCs w:val="17"/>
          <w:color w:val="auto"/>
        </w:rPr>
        <w:t>10-10-345, they pay a competitive per-minute rate, 24 hours a day, 7 days a week with a minimal surcharge per call. Charges made for calls using 10-10-345 are billed through the local exchange carrier.</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AT&amp;T WORLDNET HIGH SPEED SERVICE</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is currently developing and testing an offer that bundles AT&amp;T long distance with local services (using incumbent local exchange carrier network combinations), AT&amp;T Worldnet Services and high-speed Internet access services, which AT&amp;T Consumer Services Group delivers using DSL technology. The AT&amp;T Worldnet High Speed Service would broaden AT&amp;T Consumer Services Group's franchise from long distance to a portfolio of voice, Internet, high speed data, e-mail and messaging. In addition, AT&amp;T Consumer Services Group would offer competitively priced local and long distance packages to customers with features such as voice mail and call waiting.</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AT&amp;T Worldnet High Speed Service would be provided over traditional telephone "twisted pair" copper lines leased from local exchange carriers. Using electronics attached to a typical telephone line both at the customer premises (through a modem) and at a point in the AT&amp;T network, the AT&amp;T Worldnet High Speed Service provides customers with a continuous connection to the Internet, featuring AT&amp;T Worldnet Service. The typical residential offering would feature connection speeds up to 12 times faster than 56k modem technology.</w:t>
      </w:r>
    </w:p>
    <w:p>
      <w:pPr>
        <w:spacing w:after="0" w:line="19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COMBINED LOCAL AND LONG DISTANCE</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Consumer Services Group offers customers combined local (via unbundled network elements platform) and long distance service in New York and Texas. AT&amp;T Consumer Services Group handles all aspects of the phone service for the customer, including ordering, customer service, billing and inside wiring. AT&amp;T Consumer Services Group also offers many of the same local calling features as the incumbent local exchange carriers, such as call waiting and caller ID.</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AT&amp;T WORLDNET SERVICE</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offers dial-up Internet access to consumers through its AT&amp;T WorldNet Service, a leading provider of Internet access service in the United States. AT&amp;T WorldNet Service currently has dial-up subscribers that use IP communication services within the AT&amp;T WorldNet Service offer, such as e-mail, calendar and alerting. AT&amp;T Consumer Services Group's objective is to increase usage by the long distance customer base of AT&amp;T Consumer Services Group's IP-based services and then migrate those customers to more advanced IP-based services, such as voice mail.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MARKETING, SALES AND CUSTOMER CARE</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Consumer Services Group develops customer awareness through its marketing and promotion efforts. AT&amp;T Consumer Services Group markets its products and services to a broad spectrum of customers seeking to communicate locally or globally. AT&amp;T Consumer Services Group markets under the AT&amp;T brand, with the exception of its 10-10-345 service and certain prepaid card offerings, and strives to provide superior customer care. AT&amp;T Consumer Services Group extensively utilizes direct marketing</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X-16</w:t>
      </w:r>
    </w:p>
    <w:p>
      <w:pPr>
        <w:sectPr>
          <w:pgSz w:w="11900" w:h="16838" w:orient="portrait"/>
          <w:cols w:equalWidth="0" w:num="1">
            <w:col w:w="10219"/>
          </w:cols>
          <w:pgMar w:left="240" w:top="719" w:right="1440" w:bottom="1440" w:gutter="0" w:footer="0" w:header="0"/>
        </w:sectPr>
      </w:pPr>
    </w:p>
    <w:bookmarkStart w:id="267" w:name="page268"/>
    <w:bookmarkEnd w:id="267"/>
    <w:p>
      <w:pPr>
        <w:ind w:right="2039"/>
        <w:spacing w:after="0" w:line="251" w:lineRule="auto"/>
        <w:rPr>
          <w:sz w:val="20"/>
          <w:szCs w:val="20"/>
          <w:color w:val="auto"/>
        </w:rPr>
      </w:pPr>
      <w:r>
        <w:rPr>
          <w:rFonts w:ascii="Courier New" w:cs="Courier New" w:eastAsia="Courier New" w:hAnsi="Courier New"/>
          <w:sz w:val="17"/>
          <w:szCs w:val="17"/>
          <w:color w:val="auto"/>
        </w:rPr>
        <w:t>channels, including the Internet, direct mail, mass media, probe and transfer, and outbound telemarketing to communicate with its existing customer base as well as to market to prospective customers regarding the breadth of services available to them. AT&amp;T Consumer Services Group's marketing efforts focus on offering its services to its customers based on their needs. These efforts involve the selling of stand-alone services, such as long distance, local and AT&amp;T WorldNet Service, as well as bundled service offerings including long distance/AT&amp;T WorldNet Service, long distance/local, and long distance/calling card.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relies on an integrated sales and service team to solicit and handle customer contact opportunities. The customer care centers consist of a network of internal and external vendors. The breadth of support provided by the centers ranges from universal sales and service to specialized services based on functional area or customer needs. AT&amp;T Consumer Services Group generally pays its vendors based on a contracted hourly rate and some on a pay-for-performance scale methodology. AT&amp;T Consumer Services Group has 22 service centers, of which ten are operated by AT&amp;T and 12 are outsourced to outside vendors. These service centers handle 9 million calls per month in 12 different languages.</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Consumer Services Group also has begun to implement various initiatives aimed at improving the overall quality of its sales channels as well as lowering its costs of adding new subscribers. Recent initiatives targeted at reducing costs and enhancing channel efficiencies have included the expansion of AT&amp;T Consumer Services Group's on-line capacity and capabilities (including billing, sales and service) and the increased use of interactive voice response technology.</w:t>
      </w:r>
    </w:p>
    <w:p>
      <w:pPr>
        <w:spacing w:after="0" w:line="398"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is pursuing an e-enabling strategy designed to create a more convenient, interactive relationship with the consumer, while streamlining its existing processes and reducing the costs of providing services. AT&amp;T Consumer Services Group's electronic consumer strategy embodies the entire business process from advertising and marketing through sales, ordering, billing, fulfillment, customer service, and after-sales support. AT&amp;T Consumer Services Group is supplying a range of product information, bill management utilities and customer care capabilities designed to attract and retain its most valuable customers. AT&amp;T Consumer Services Group's on-line billing infrastructure enables customers to view, sort, adjust, investigate and resolve questions regarding their billing statements. To further the relationship with specific customer segments, AT&amp;T Consumer Services Group provides access to information in five languages other than English. These transactions are designed to increase consumer satisfaction by providing a new level of control and, in many cases, reduce time-consuming contacts with AT&amp;T Consumer Services Group's care and sales channels.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January 2002, AT&amp;T entered into a $2.6 billion, five-year agreement with Accenture Ltd., for Accenture to provide management, new technology and training for AT&amp;T Consumer Services Group. Under the terms of the agreement, Accenture will be responsible for providing new technology development and ongoing management direction to improve AT&amp;T Consumer Services Group's customer care operations, with goals of reducing costs, raising productivity, and improving sales and customer service. AT&amp;T Consumer Services Group will continue to develop and implement its overall business and marketing strategies and new product offerings.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CUSTOMER OFFERS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Consumer Services Group offers long distance customers a family of calling plans. These calling plans are simple and are consistently offered on the web and over the telephone. Further, these plans offer customers a broad choice of price points designed to meet their needs. Currently, the lead long distance offer is the AT&amp;T One Rate 7c Plan. For a monthly plan fee of $3.95, customers pay 7c per minute for direct dialed state-to-state long distance calls from home, at all times.</w:t>
      </w:r>
    </w:p>
    <w:p>
      <w:pPr>
        <w:spacing w:after="0" w:line="196"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AT&amp;T Consumer Services Group also offers various reward and partnership programs for higher spending long distance customers. For example, customers enrolled in AT&amp;T rewards receive redemption options every six months based on their long distance spending. AT&amp;T Consumer Services Group relationships with companies such as Continental Airlines, Inc., Starwood Hotels &amp; Resorts Worldwide Inc. and Cablevision, among others, provide customers with options ranging from airline miles to hotel</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X-17</w:t>
      </w:r>
    </w:p>
    <w:p>
      <w:pPr>
        <w:sectPr>
          <w:pgSz w:w="11900" w:h="16838" w:orient="portrait"/>
          <w:cols w:equalWidth="0" w:num="1">
            <w:col w:w="10219"/>
          </w:cols>
          <w:pgMar w:left="240" w:top="720" w:right="1440" w:bottom="457" w:gutter="0" w:footer="0" w:header="0"/>
        </w:sectPr>
      </w:pPr>
    </w:p>
    <w:bookmarkStart w:id="268" w:name="page269"/>
    <w:bookmarkEnd w:id="268"/>
    <w:p>
      <w:pPr>
        <w:ind w:right="1939"/>
        <w:spacing w:after="0" w:line="252" w:lineRule="auto"/>
        <w:rPr>
          <w:sz w:val="20"/>
          <w:szCs w:val="20"/>
          <w:color w:val="auto"/>
        </w:rPr>
      </w:pPr>
      <w:r>
        <w:rPr>
          <w:rFonts w:ascii="Courier New" w:cs="Courier New" w:eastAsia="Courier New" w:hAnsi="Courier New"/>
          <w:sz w:val="17"/>
          <w:szCs w:val="17"/>
          <w:color w:val="auto"/>
        </w:rPr>
        <w:t>nights to premium cable channel upgrades. Recently, market research has indicated consumer interest in college investment funds. Through an agreement announced in January 2001 with UPromise Inc., a customer can receive a contribution equal to 4% of the cost of residential long distance calls made into a UPromise savings account to be used for college education. Consumers can also invite family and friends to participate in collectively building the UPromise savings account.</w:t>
      </w:r>
    </w:p>
    <w:p>
      <w:pPr>
        <w:spacing w:after="0" w:line="398"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WorldNet Service seeks to build brand recognition and customer loyalty and to make it easy for consumers to remain with AT&amp;T WorldNet Service. In addition to direct marketing through brand name mass advertising, direct mail and magazine insert promotions and bundling offers, AT&amp;T WorldNet Service maintains a large indirect channel marketing effort. Through this indirect channel, AT&amp;T WorldNet Service software is bundled in new computers produced by major manufacturers and is included in millions of copies of software titles published by independent software vendors. AT&amp;T WorldNet Service also has a co-branded ISP offer that enables businesses to offer customers their own branded, full-featured Internet access in affiliation with AT&amp;T. AT&amp;T WorldNet Service currently offers AT&amp;T WorldNet Service Plus for $16.95 per month, which includes 150 hours of monthly usage (with additional hours billed at $.99/hour), video e-mail, and live technical support.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RATES AND BILLING</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Consumer Services Group generally continues to charge long distance customers for jurisdictionally intrastate services based on applicable tariffs filed with various individual states. However, effective as of August 1, 2001, the rates for state-to-state and international calls are now generally set by contract rather than by FCC tariffs as a result of an FCC de-tariffing order. Customers select different services and various rate plans, which determine the price per minute that customers pay on their long distance calls. Rates typically vary based on a variety of factors, particularly the volume of usage and the day and time that calls are made.</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Consumer Services Group long distance charges may include fees per minute for transporting a call, per call or per minute surcharges, monthly recurring charges, minimums and price structures that offer a fixed number of minutes each month for a specific price. The fees per minute for transporting a call may vary by time of day or length of call and by whether the call is domestic or international. Within the United States, in-state rates may vary from interstate rates. These rate structures apply to customer dialed calls, calling card calls, directory assistance calls, operator-assisted calls and certain miscellaneous services. Customers also may be assessed a percentage of revenue, or a fixed monthly fee, to satisfy AT&amp;T Consumer Services Group's obligations to recover U.S. federal- and state-mandated assessments and access surcharges.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Customers for combined long distance and local services are charged a flat rate per month for local service and usage fees for long distance. AT&amp;T WorldNet Service offers a variety of pricing plan options. Generally, customers are charged a flat rate for a certain number of hours with charges for each additional hour of usage. AT&amp;T WorldNet Service also offers a plan without a usage restriction. The AT&amp;T WorldNet High Speed Service will offer integrated high speed data combined with comprehensive voice services for one flat rate each month, billed electronically to a credit card or through electronic funds transfers.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Consumer Services Group generally provides billing via traditional paper copy or on-line billing. The traditional paper bills provide call details and are sent directly by AT&amp;T or indirectly through local exchange carriers. An additional fee is charged for customers receiving their bills through local exchange carriers. In the case of on-line billing, the charges are billed to a credit card or directly debited from a checking account; call details are available via the AT&amp;T website.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Competition in communications services is based on price and pricing plans, types of services offered, customer service, access to customer premises and communications quality, reliability and availability. AT&amp;T Consumer Services Group's principal competitors include the MCI Group of Worldcom, Inc.,</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X-18</w:t>
      </w:r>
    </w:p>
    <w:p>
      <w:pPr>
        <w:sectPr>
          <w:pgSz w:w="11900" w:h="16838" w:orient="portrait"/>
          <w:cols w:equalWidth="0" w:num="1">
            <w:col w:w="10219"/>
          </w:cols>
          <w:pgMar w:left="240" w:top="719" w:right="1440" w:bottom="860" w:gutter="0" w:footer="0" w:header="0"/>
        </w:sectPr>
      </w:pPr>
    </w:p>
    <w:bookmarkStart w:id="269" w:name="page270"/>
    <w:bookmarkEnd w:id="269"/>
    <w:p>
      <w:pPr>
        <w:ind w:right="1839"/>
        <w:spacing w:after="0" w:line="251" w:lineRule="auto"/>
        <w:rPr>
          <w:sz w:val="20"/>
          <w:szCs w:val="20"/>
          <w:color w:val="auto"/>
        </w:rPr>
      </w:pPr>
      <w:r>
        <w:rPr>
          <w:rFonts w:ascii="Courier New" w:cs="Courier New" w:eastAsia="Courier New" w:hAnsi="Courier New"/>
          <w:sz w:val="17"/>
          <w:szCs w:val="17"/>
          <w:color w:val="auto"/>
        </w:rPr>
        <w:t>Sprint Corporation and regional phone companies. AT&amp;T also experiences significant competition in long distance from dial-around resellers. In addition, long distance telecommunications providers have been facing competition from non-traditional sources, including as a result of technological substitutions, such as Internet telephony, high speed cable Internet service, e-mail and wireless services. Providers of competitive high-speed data offerings include cable television companies, fixed wireless companies, direct broadcast satellite companies and DSL resellers.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Incumbent local exchange carriers own the only universal telephone connection to the home, have very substantial capital and other resources, long-standing customer relationships and extensive existing facilities and network rights-of-way, and are AT&amp;T Consumer Services Group's primary competitors in the local services market. In addition, it is anticipated that a number of long distance telecommunication, wireless and cable service providers and others have entered or will enter the local services market in competition with AT&amp;T Consumer Services Group. Some of these potential competitors have substantial financial and other resources. AT&amp;T Consumer Services Group also competes in the local services market with a number of competitive local exchange carriers, a few of which have existing local networks and significant financial resources. See "Summary and Overview of the Transactions -- Risk Factors -- Risk Factors Relating to AT&amp;T Consumer Services Group and AT&amp;T Business Services Group -- AT&amp;T Consumer Services Group and AT&amp;T Business Services Group face substantial competition that may materially adversely impact both market share and margins."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currently faces significant competition and expects that the level of competition will continue to increase. As competitive, regulatory and technological changes occur, including those occasioned by the Telecommunications Act described under "-- Legislative and Regulatory Developments -- Telecommunications Act of 1996," AT&amp;T Consumer Services Group anticipates that new and different competitors will enter and expand their position in the communications services markets. These will include regional phone company competitors in existing states and new states plus entrants from other segments of the communications and information services industry or global competitors seeking to expand their market opportunities. Many of these new competitors are likely to enter with a strong market presence, well-recognized names and pre-existing direct customer relationships.</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Telecommunications Act already has affected the competitive environment. Anticipating changes in the industry, non-regional phone company local exchange carriers, which are not required to implement the Telecommunications Act's competitive checklist prior to offering long distance in their home markets, have integrated their local service offerings with long distance offerings in advance of AT&amp;T Consumer Services Group offering combined local and long distance service in these areas, adversely affecting AT&amp;T Consumer Services Group's revenues and earnings in these service regions.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the Telecommunications Act permits regional phone companies to provide in-region interLATA interexchange services after demonstrating to the FCC that providing these services is in the public interest and satisfying the conditions for developing local competition established by the Telecommunications Act. See "-- Legislative and Regulatory</w:t>
      </w:r>
    </w:p>
    <w:p>
      <w:pPr>
        <w:ind w:right="1839"/>
        <w:spacing w:after="0" w:line="251" w:lineRule="auto"/>
        <w:rPr>
          <w:sz w:val="20"/>
          <w:szCs w:val="20"/>
          <w:color w:val="auto"/>
        </w:rPr>
      </w:pPr>
      <w:r>
        <w:rPr>
          <w:rFonts w:ascii="Courier New" w:cs="Courier New" w:eastAsia="Courier New" w:hAnsi="Courier New"/>
          <w:sz w:val="17"/>
          <w:szCs w:val="17"/>
          <w:color w:val="auto"/>
        </w:rPr>
        <w:t>Developments -- Telecommunications Act of 1996." Regional phone companies have petitioned the FCC for permission to provide interLATA interexchange services in one or more states within their home markets. In December 1999, Verizon became the first regional phone company to obtain approval to provide long distance in a state within its home territory, in New York, and was granted authorization to provide long distance service in Massachusetts in April 2001, in Connecticut in July 2001 and in Pennsylvania in September 2001. SBC was granted authorization to provide long distance service in Texas in April 2000, in Kansas and Oklahoma in January 2001, and, more recently, in Missouri and Arkansas. Applications are currently pending with the FCC for the states of New Jersey, Rhode Island and Vermont, and additional applications are expected to be filed in the future.</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To the extent that regional phone companies obtain in-region interLATA authority before the Telecommunications Act's checklist of conditions have been fully or satisfactorily implemented and adequate facilities-based local exchange competition exists, or before there is an ability to resell at fair and competitive rates there is a substantial risk that AT&amp;T Consumer Services Group and other interexchange</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X-19</w:t>
      </w:r>
    </w:p>
    <w:p>
      <w:pPr>
        <w:sectPr>
          <w:pgSz w:w="11900" w:h="16838" w:orient="portrait"/>
          <w:cols w:equalWidth="0" w:num="1">
            <w:col w:w="10219"/>
          </w:cols>
          <w:pgMar w:left="240" w:top="719" w:right="1440" w:bottom="860" w:gutter="0" w:footer="0" w:header="0"/>
        </w:sectPr>
      </w:pPr>
    </w:p>
    <w:bookmarkStart w:id="270" w:name="page271"/>
    <w:bookmarkEnd w:id="270"/>
    <w:p>
      <w:pPr>
        <w:ind w:right="1839"/>
        <w:spacing w:after="0" w:line="251" w:lineRule="auto"/>
        <w:rPr>
          <w:sz w:val="20"/>
          <w:szCs w:val="20"/>
          <w:color w:val="auto"/>
        </w:rPr>
      </w:pPr>
      <w:r>
        <w:rPr>
          <w:rFonts w:ascii="Courier New" w:cs="Courier New" w:eastAsia="Courier New" w:hAnsi="Courier New"/>
          <w:sz w:val="17"/>
          <w:szCs w:val="17"/>
          <w:color w:val="auto"/>
        </w:rPr>
        <w:t>service providers, will be at a disadvantage to regional phone companies in providing both local service and combined service packages. Because it is widely anticipated that substantial numbers of long distance customers will seek to purchase local, interexchange and other services from a single carrier as part of a combined or full service package, any competitive disadvantage, inability to profitably provide local service at competitive rates or delays or limitations in providing local service or combined service packages could materially adversely affect AT&amp;T Consumer Services Group's future revenue and earnings. In any event, the simultaneous entrance of numerous new competitors for interexchange and combined service packages is likely to materially adversely affect AT&amp;T Consumer Services Group's future long distance revenue and could affect materially adversely future earnings.</w:t>
      </w:r>
    </w:p>
    <w:p>
      <w:pPr>
        <w:spacing w:after="0" w:line="201"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 addition to the matters referred to above, various other factors, including technological hurdles, market acceptance, start-up and ongoing costs associated with the provision of new services and local conditions and obstacles, could materially adversely affect the timing and success of AT&amp;T Consumer Services Group's entrance into the local exchange services market and AT&amp;T Consumer Services Group's ability to offer combined service packages that include local service.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 September 30, 2001, AT&amp;T Consumer Services Group employed approximately 15,000 individuals in its operations, virtually all of whom are located in the United States. About 76% of the domestically located employees of AT&amp;T Consumer Services Group are represented by unions. Of those represented by unions, about 96% are represented by the Communications Workers of America and about 4% are represented by the International Brotherhood of Electrical Workers, both of which are affiliated with the AFL-CIO. Labor agreements with most of these unions extend through May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PROCEEDINGS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normal course of business, AT&amp;T Consumer Services Group is subject to proceedings, lawsuits and other claims, including proceedings under government laws and regulations related to environmental and other matters. Such matters are subject to many uncertainties and outcomes are not predictable with assurance. Consequently, AT&amp;T Consumer Services Group is unable to ascertain the ultimate aggregate amount of monetary liability or financial impact with respect to these matters at December 31, 2000. While these matters could affect operating results of any one quarter when resolved in future periods, it is management's opinion that after final disposition, any monetary liability or financial impact to AT&amp;T Consumer Services Group beyond that provided for at year-end would not be material to AT&amp;T Consumer Services Group's annual combined financial statements.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For additional information on legal proceedings, please see the discussion on legal proceedings under "Legal Proceedings" contained in AT&amp;T's Annual Report on Form 10-K, as amended, for the year ended December 31, 2000, which is incorporated by reference in this document. See "Additional Information for Shareholders -- Where You Can Find More Information."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LEGISLATIVE AND REGULATORY DEVELOPMENTS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Telecommunications Act of 1996. In February 1996, the Telecommunications Act became law. The Telecommunications Act, among other things, was designed to foster local exchange competition by establishing a regulatory framework to govern new competitive entry in local and long distance telecommunications services. The Telecommunications Act permits a regional phone company to provide interexchange services originating in any state in its region after it demonstrates to the FCC that this provision is in the public interest and it satisfies the conditions for developing local competition established by the Telecommunications Act.</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August 1996, the FCC adopted rules and regulations, including pricing rules, to implement the local competition provisions of the Telecommunications Act, including with respect to the terms and conditions of interconnection with local exchange carrier networks and the standards governing the purchase of unbundled network elements and wholesale services from local exchange carriers. These rules</w:t>
      </w:r>
    </w:p>
    <w:p>
      <w:pPr>
        <w:ind w:left="4100"/>
        <w:spacing w:after="0"/>
        <w:rPr>
          <w:sz w:val="20"/>
          <w:szCs w:val="20"/>
          <w:color w:val="auto"/>
        </w:rPr>
      </w:pPr>
      <w:r>
        <w:rPr>
          <w:rFonts w:ascii="Courier New" w:cs="Courier New" w:eastAsia="Courier New" w:hAnsi="Courier New"/>
          <w:sz w:val="17"/>
          <w:szCs w:val="17"/>
          <w:color w:val="auto"/>
        </w:rPr>
        <w:t>X-20</w:t>
      </w:r>
    </w:p>
    <w:p>
      <w:pPr>
        <w:sectPr>
          <w:pgSz w:w="11900" w:h="16838" w:orient="portrait"/>
          <w:cols w:equalWidth="0" w:num="1">
            <w:col w:w="10219"/>
          </w:cols>
          <w:pgMar w:left="240" w:top="719" w:right="1440" w:bottom="1062" w:gutter="0" w:footer="0" w:header="0"/>
        </w:sectPr>
      </w:pPr>
    </w:p>
    <w:bookmarkStart w:id="271" w:name="page272"/>
    <w:bookmarkEnd w:id="271"/>
    <w:p>
      <w:pPr>
        <w:ind w:right="2139"/>
        <w:spacing w:after="0" w:line="254" w:lineRule="auto"/>
        <w:rPr>
          <w:sz w:val="20"/>
          <w:szCs w:val="20"/>
          <w:color w:val="auto"/>
        </w:rPr>
      </w:pPr>
      <w:r>
        <w:rPr>
          <w:rFonts w:ascii="Courier New" w:cs="Courier New" w:eastAsia="Courier New" w:hAnsi="Courier New"/>
          <w:sz w:val="17"/>
          <w:szCs w:val="17"/>
          <w:color w:val="auto"/>
        </w:rPr>
        <w:t>and regulations rely on state public utility commissions, or PUCs, to develop the specific rates and procedures applicable to particular states within the framework prescribed by the FCC.</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July 18, 1997, the Eighth Circuit Court of Appeals issued a decision holding that the FCC lacked authority to establish pricing rules to implement the sections of the local competition provisions of the Telecommunications Act applicable to interconnection with incumbent local exchange carrier networks and the purchase of unbundled network elements and wholesale services from incumbent local exchange carriers. Accordingly, the Eighth Circuit Court of Appeals vacated the rules that the FCC had adopted in August 1996, and that had been stayed by the Court since September 1996. On October 14, 1997, the Eighth Circuit Court of Appeals vacated an FCC rule that prohibited incumbent local exchange carriers from separating network elements that are combined in an incumbent local exchange carrier's network, except at the request of the competitor purchasing the elements. This decision increased the difficulty and cost of providing competitive local service through the use of unbundled network elements purchased from incumbent local exchange carriers.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January 25, 1999, the Supreme Court issued a decision reversing the Eighth Circuit Court of Appeals' holding that the FCC lacks jurisdiction to establish pricing rules applicable to interconnection and the purchase of unbundled network elements, and the Eighth Circuit Court of Appeals' decision to vacate the FCC's rule prohibiting incumbent local exchange carriers from separating network elements that are combined in an incumbent local exchange carrier's network. The effect of the Supreme Court's decision was to reinstate the FCC's rules governing pricing and the separation of unbundled network elements. The pricing issues were then remanded to the Eighth Circuit Court of Appeals to consider the incumbent local exchange carriers' claims that, although the FCC has jurisdiction to adopt pricing rules, the rules it adopted are not consistent with the applicable provisions of the Telecommunications Act. The Supreme Court also vacated the FCC's rule identifying and defining the unbundled network elements that incumbent local exchange carriers are required to make available to new entrants, and directed the FCC to reexamine this issue in light of the standards mandated by the Telecommunications Act.</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response to the Supreme Court's decision, in November 1999, the FCC completed its reexamination of, and released an order identifying and defining, the unbundled network elements that incumbent local exchange carriers are required to make available to new entrants. That order re-adopted the original list of elements, with certain limited exceptions. An association of incumbent local exchange carriers has appealed the FCC's order to the District of Columbia Circuit Court of Appeals, and has asked this Court to hear the appeal on an expedited basis. A number of parties, including AT&amp;T and other incumbent local exchange carriers, have petitioned the FCC to reconsider and/or clarify its order. The FCC has moved to hold the appeal in abeyance pending its disposition of the reconsideration petitions. In addition, in December 2001 the FCC opened a proceeding in which it proposes to review the availability of unbundled network elements based on current market conditions. The FCC has proposed to respond to issues raised in the earlier reconsideration petitions in this new docket.</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July 2000, the Eighth Circuit Court of Appeals issued a decision addressing the incumbent local exchange carriers' claims that the FCC's pricing rules are not consistent with the applicable provisions of the Telecommunications Act. It rejected the incumbent local exchange carriers' claims that the prices for network elements must be based on their "historical costs" rather than, as the FCC had held, their "forward-looking" costs. It also held, however, that the FCC rule providing that forward-looking costs should be calculated on the basis of the cost of the most efficient alternatives was contrary to the Telecommunications Act. The Eighth Circuit Court of Appeals then stayed this ruling to enable the parties to seek review before the Supreme Court, so the FCC's rules remain in effect until the Supreme Court decides the case. The Supreme Court agreed to review the Eighth Circuit Court of Appeals' decision, and a decision by the Supreme Court is anticipated by the end of June 2002. The Supreme Court will be considering the claims of AT&amp;T, the FCC and others that the Eighth Circuit Court of Appeals erred by invalidating the FCC rule, and the claim by the incumbent local exchange carriers that the Eighth Circuit Court of Appeals erred by not requiring prices to be based on their historical cost. The Supreme Court is also considering the Eighth Circuit's decision that incumbent local exchange carriers are not required to provide competitors with "new" combinations of unbundled network elements.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X-21</w:t>
      </w:r>
    </w:p>
    <w:p>
      <w:pPr>
        <w:sectPr>
          <w:pgSz w:w="11900" w:h="16838" w:orient="portrait"/>
          <w:cols w:equalWidth="0" w:num="1">
            <w:col w:w="10219"/>
          </w:cols>
          <w:pgMar w:left="240" w:top="719" w:right="1440" w:bottom="860" w:gutter="0" w:footer="0" w:header="0"/>
        </w:sectPr>
      </w:pPr>
    </w:p>
    <w:bookmarkStart w:id="272" w:name="page273"/>
    <w:bookmarkEnd w:id="272"/>
    <w:p>
      <w:pPr>
        <w:ind w:right="2139" w:firstLine="524"/>
        <w:spacing w:after="0" w:line="254" w:lineRule="auto"/>
        <w:rPr>
          <w:sz w:val="20"/>
          <w:szCs w:val="20"/>
          <w:color w:val="auto"/>
        </w:rPr>
      </w:pPr>
      <w:r>
        <w:rPr>
          <w:rFonts w:ascii="Courier New" w:cs="Courier New" w:eastAsia="Courier New" w:hAnsi="Courier New"/>
          <w:sz w:val="17"/>
          <w:szCs w:val="17"/>
          <w:color w:val="auto"/>
        </w:rPr>
        <w:t>The Eighth Circuit Court of Appeals also invalidated the FCC's rules setting the pricing methodology for resold local services. That aspect of its decision was not stayed and will not be reviewed by the Supreme Court.</w:t>
      </w:r>
    </w:p>
    <w:p>
      <w:pPr>
        <w:spacing w:after="0" w:line="194"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view of the proceedings pending before the Supreme Court, the District of Columbia Circuit Court of Appeals, the FCC and state PUCs and possible legislation, there can be no assurance that the prices and other conditions established in each state will provide for effective local service entry and competition or provide AT&amp;T Consumer Services Group with new market opportunities. The effect of the most recent decision by the Eighth Circuit Court of Appeals is to increase the risks, costs, difficulties, and uncertainty of entering local markets through using the incumbent local exchange carriers' facilities and services.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Regulation of Rates. AT&amp;T Consumer Services Group is subject to the jurisdiction of the FCC with respect to interstate and international rates, lines and services, and other matters. From July 1989 to October 1995, the FCC regulated AT&amp;T Consumer Services Group under a system known as "price caps" whereby AT&amp;T Consumer Services Group's prices, rather than its earnings, were limited. On October 12, 1995, recognizing a decade of enormous change in the long distance market and finding that AT&amp;T lacked market power in the interstate long distance market, the FCC reclassified AT&amp;T as a "non-dominant" carrier for its domestic interstate services. Subsequently, the FCC determined that AT&amp;T Consumer Services Group's international services were also non-dominant. As a result, AT&amp;T Consumer Services Group became subject to the same regulations as its long distance competitors for these services. Thus, AT&amp;T Consumer Services Group was no longer subject to price cap regulation for these services, was able to file tariffs that are presumed lawful on one day's notice, and was free of other regulations and reporting requirements that apply only to dominant carriers.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subsequent orders, the FCC decided to exercise its authority to forbear from requiring non-dominant carriers to file tariffs for their services; first for domestic interstate services and then for international services. As a result, non-dominant carriers, including AT&amp;T Consumer Services Group, have implemented mechanisms other than tariffs to establish the terms and conditions that apply both to domestic, interstate telecommunications services and international services, effective August 1, 2001. Accordingly these mechanisms apply to virtually all of AT&amp;T Consumer Services Group's interstate and international telecommunications services.</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May 1997, the FCC adopted orders relating to price caps, access reform and universal service that substantially revised the level and structure of access charges that AT&amp;T Consumer Services Group, as a long distance carrier, pays to incumbent local exchange carriers. Under the price cap order, local exchange carriers were required to reduce their price cap indices by 6.5% annually, less an adjustment for inflation, which has resulted in significant reductions in access charges that long distance companies pay to local exchange carriers. The access reform order permitted increased flat-rate assessments to multiline business customers and to residential customers other than for the primary telephone line. AT&amp;T Consumer Services Group has agreed to pass through to consumers any savings to AT&amp;T Consumer Services Group as a result of these access charge reforms. Consequently, AT&amp;T Consumer Services Group's results after June 1997 reflect lower revenue per minute of usage and lower access and other interconnection costs per minute of usage.</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May 2000, the FCC adopted the CALLS order for the price cap local exchange carriers, which made additional significant access and price cap changes. The CALLS order reduced by $3.2 billion during 2000 the interstate access charges that AT&amp;T Consumer Services Group and other long distance carriers paid to these local exchange carriers for access to their networks, and established target access rates for the long distance carriers companies, which, over the next two years, will result in further reductions, albeit of a much smaller magnitude. Once the target rates are reached, the annual price reductions required by the price cap order no longer apply. In addition, the CALLS order removed implicit subsidies from access charges and converted them into an explicit, portable subsidy administered as part of the universal service program described below. Also, under the CALLS order, the caps on certain line-based costs that do not vary with usage have been increased so that these costs increasingly are recovered from end user customers. These restructurings allowed the reduction in access charges assessed on long distance carriers on a usage basis. As part of the CALLS order, AT&amp;T Consumer Services Group agreed to pass through to customers access charge reductions over the</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X-22</w:t>
      </w:r>
    </w:p>
    <w:p>
      <w:pPr>
        <w:sectPr>
          <w:pgSz w:w="11900" w:h="16838" w:orient="portrait"/>
          <w:cols w:equalWidth="0" w:num="1">
            <w:col w:w="10219"/>
          </w:cols>
          <w:pgMar w:left="240" w:top="719" w:right="1440" w:bottom="457" w:gutter="0" w:footer="0" w:header="0"/>
        </w:sectPr>
      </w:pPr>
    </w:p>
    <w:bookmarkStart w:id="273" w:name="page274"/>
    <w:bookmarkEnd w:id="273"/>
    <w:p>
      <w:pPr>
        <w:ind w:right="1839"/>
        <w:spacing w:after="0" w:line="253" w:lineRule="auto"/>
        <w:rPr>
          <w:sz w:val="20"/>
          <w:szCs w:val="20"/>
          <w:color w:val="auto"/>
        </w:rPr>
      </w:pPr>
      <w:r>
        <w:rPr>
          <w:rFonts w:ascii="Courier New" w:cs="Courier New" w:eastAsia="Courier New" w:hAnsi="Courier New"/>
          <w:sz w:val="17"/>
          <w:szCs w:val="17"/>
          <w:color w:val="auto"/>
        </w:rPr>
        <w:t>five-year life of the CALLS order and made certain other commitments regarding the rate structure of certain residential long distance offerings. The FCC CALLS order was recently reversed and remanded in part, and is the subject of ongoing remand proceedings before the FCC.</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Under the August 1999 local exchange carrier pricing flexibility order, which was affirmed by the District of Columbia Circuit Court of Appeals in February 2001, the FCC established certain triggers that enable the price cap local exchange carriers to obtain pricing flexibility for their interstate access services, including Phase II relief that permits them to remove these services from price cap regulation. Although these triggers purportedly indicate a competitive presence, they may allow for premature deregulation that could force access rates upwards.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Finally, in the universal service order, the FCC adopted a new mechanism for funding universal service, which includes programs that defray the costs of telephone service in high-cost areas, for low-income consumers, and for schools, libraries and rural health care providers. Specifically, the FCC expanded the set of carriers that must contribute to support universal service from solely long distance carriers to all carriers, including local exchange carriers, that provide interstate telecommunications services. Similarly, the set of carriers eligible for the universal service support has been expanded from only local exchange carriers to any eligible carrier providing local service to a customer, including AT&amp;T Consumer Services Group as a new entrant in local markets. The universal service order also adopted measures to provide discounts on telecommunications services, Internet access and inside wiring for eligible schools and libraries and on telecommunications services only for rural health care providers.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Consumer Services Group remains subject to the statutory requirements of Title II of the Communications Act of 1934, as amended. AT&amp;T Consumer Services Group must offer service under rates, terms and conditions that are just, reasonable and not unreasonably discriminatory. It also is subject to the FCC's complaint process, and it must give notice to the FCC and affected customers prior to discontinuance, reduction or impairment of service.</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legislation is currently pending before the United States House of Representatives that would permit the regional phone companies to provide certain long distance services without satisfying the Telecommunications Act's checklist of conditions and also would substantially reduce the regional phone companies' obligations to provide AT&amp;T Consumer Services Group and other local competitors with the faculties needed to provide competitive local services, particularly high speed data services. Additionally, the Federal Communications Commission proceeding referenced could limit the regional phone companies obligations to provide facilities to AT&amp;T Consumer Services Group and other local competitors, and could accelerate the regional phone companies' ability to provide long distance services.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to the matters described above with respect to the Telecommunications Act, PUCs or similar authorities having regulatory power over intrastate rates, lines and services and other matters regulate AT&amp;T Consumer Services Group's local and intrastate communications services. The system of regulation applied to AT&amp;T Consumer Services Group's intrastate and local communications services varies from state to state and generally includes various forms of pricing flexibility rules. AT&amp;T Consumer Services Group's services are not regulated in the states through rate of return regulation.</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X-23</w:t>
      </w:r>
    </w:p>
    <w:p>
      <w:pPr>
        <w:sectPr>
          <w:pgSz w:w="11900" w:h="16838" w:orient="portrait"/>
          <w:cols w:equalWidth="0" w:num="1">
            <w:col w:w="10219"/>
          </w:cols>
          <w:pgMar w:left="240" w:top="719" w:right="1440" w:bottom="1440" w:gutter="0" w:footer="0" w:header="0"/>
        </w:sectPr>
      </w:pPr>
    </w:p>
    <w:bookmarkStart w:id="274" w:name="page275"/>
    <w:bookmarkEnd w:id="274"/>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MANAGEMENT'S DISCUSSION AND ANALYSIS OF</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210" w:lineRule="exact"/>
        <w:rPr>
          <w:sz w:val="20"/>
          <w:szCs w:val="20"/>
          <w:color w:val="auto"/>
        </w:rPr>
      </w:pPr>
    </w:p>
    <w:p>
      <w:pPr>
        <w:ind w:right="2679" w:firstLine="524"/>
        <w:spacing w:after="0" w:line="254" w:lineRule="auto"/>
        <w:rPr>
          <w:sz w:val="20"/>
          <w:szCs w:val="20"/>
          <w:color w:val="auto"/>
        </w:rPr>
      </w:pPr>
      <w:r>
        <w:rPr>
          <w:rFonts w:ascii="Courier New" w:cs="Courier New" w:eastAsia="Courier New" w:hAnsi="Courier New"/>
          <w:sz w:val="17"/>
          <w:szCs w:val="17"/>
          <w:color w:val="auto"/>
        </w:rPr>
        <w:t>To understand and place in context AT&amp;T Consumer Services Group Management's Discussion and Analysis, we urge you to read the AT&amp;T Corp. Management's Discussion and Analysis on page .</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is an integrated business of AT&amp;T and is not a stand-alone entity. The combined financial statements included herein reflect the results of the proposed AT&amp;T Consumer Services Group tracking stock. Separate financial statements are not required to be filed for tracking stocks. However, AT&amp;T Consumer Services Group has provided the financial statements as an exhibit to this document to provide additional disclosures to investors to allow them to assess the financial performance of AT&amp;T Consumer Services Group. Presenting separate financial statements for AT&amp;T Consumer Services Group does not indicate that AT&amp;T has changed title to any assets or responsibility for any liabilities, and does not purport to affect the rights of any of AT&amp;T's creditors. Holders of AT&amp;T Consumer Services Group tracking stock do not have claims against the assets of AT&amp;T Consumer Services Group. Instead, AT&amp;T Consumer Services Group shareholders own a separate class of AT&amp;T common stock that is intended to reflect the financial performance and economic value of AT&amp;T's consumer services businesses. Since the tracking stocks are governed by a common board of directors, AT&amp;T's board of directors could make operational and financial decisions or implement policies that affect disproportionately the businesses of any group. For example, AT&amp;T's board of directors may decide to transfer funds or to reallocate assets, liabilities, revenue, expenses and cash flows among groups, without the consent of shareholders. All actions by the board of directors are subject to the board members' fiduciary duties to all shareholders of AT&amp;T as a group, not just to holders of a particular class of tracking stock, and to AT&amp;T's charter, policy statements, by-laws and inter-company agreements.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AT&amp;T's board of directors may change or supplement the policies set forth in the tracking stock policy statements and AT&amp;T's by-laws at the sole discretion of AT&amp;T's board of directors, subject to the provisions of any inter-group agreement but without approval of AT&amp;T's shareholders. In addition, the fact that AT&amp;T has separate classes of common stock could give rise to occasions when the interests of the holders of the various classes of stock diverge, conflict or appear to diverge or conflict. AT&amp;T's board of directors would make any change or addition to the policies set forth in the tracking stock policy statements or AT&amp;T's by-laws, and would respond to any actual or apparent divergence of interest among AT&amp;T's groups, in a manner consistent with its fiduciary duties to AT&amp;T and all of AT&amp;T's shareholders after giving consideration to the potentially divergent interests and all other relevant interests of the holders of the separate classes of AT&amp;T shares.</w:t>
      </w:r>
    </w:p>
    <w:p>
      <w:pPr>
        <w:spacing w:after="0" w:line="201"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YOU SHOULD CONSIDER THAT AS A RESULT OF THE FLEXIBILITY PROVIDED TO AT&amp;T'S BOARD OF DIRECTORS, IT MAY BE DIFFICULT FOR INVESTORS TO ASSESS THE FUTURE PROSPECTS OF A TRACKING STOCK GROUP BASED ON THAT GROUP'S PAST PERFORMANCE.</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is a leading provider of domestic and international long distance and transaction based services to residential consumers in the United States with approximately 60 million customer relationships. AT&amp;T Consumer Services Group provides interstate and intrastate long distance communications services throughout the continental United States and provides, or joins in providing with other carriers, communications services to and from Alaska, Hawaii, Puerto Rico and the Virgin Islands and international communications services to and from virtually all nations and territories around the world.</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Consumer Services Group provides a broad range of communications services to consumers individually and in combination with other services, including: inbound and outbound domestic and international long distance through the traditional "one plus" dialing of the desired call destination; local toll calling; transaction-based long distance services such as calling cards and prepaid phone cards; local</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X-24</w:t>
      </w:r>
    </w:p>
    <w:p>
      <w:pPr>
        <w:sectPr>
          <w:pgSz w:w="11900" w:h="16838" w:orient="portrait"/>
          <w:cols w:equalWidth="0" w:num="1">
            <w:col w:w="10219"/>
          </w:cols>
          <w:pgMar w:left="240" w:top="719" w:right="1440" w:bottom="860" w:gutter="0" w:footer="0" w:header="0"/>
        </w:sectPr>
      </w:pPr>
    </w:p>
    <w:bookmarkStart w:id="275" w:name="page276"/>
    <w:bookmarkEnd w:id="275"/>
    <w:p>
      <w:pPr>
        <w:ind w:right="2039"/>
        <w:spacing w:after="0" w:line="257" w:lineRule="auto"/>
        <w:rPr>
          <w:sz w:val="20"/>
          <w:szCs w:val="20"/>
          <w:color w:val="auto"/>
        </w:rPr>
      </w:pPr>
      <w:r>
        <w:rPr>
          <w:rFonts w:ascii="Courier New" w:cs="Courier New" w:eastAsia="Courier New" w:hAnsi="Courier New"/>
          <w:sz w:val="17"/>
          <w:szCs w:val="17"/>
          <w:color w:val="auto"/>
        </w:rPr>
        <w:t>calling through unbundled network elements platform resale service offers; and dial-up Internet service through AT&amp;T WorldNet Service.</w:t>
      </w:r>
    </w:p>
    <w:p>
      <w:pPr>
        <w:spacing w:after="0" w:line="19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October 25, 2000, AT&amp;T announced a restructuring plan designed to fully separate or issue separately tracked stocks intended to reflect the financial performance and economic value of each of AT&amp;T's four major operating units. On December 19, 2001 AT&amp;T reaffirmed its commitment to creating a tracking stock designed to reflect the financial performance and economic value of AT&amp;T Consumer Services Group. If the Consumer Services charter amendment proposal is approved, AT&amp;T expects to distribute some or all of the tracking stock to AT&amp;T shareholders in 2002.</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Debt has been allocated to AT&amp;T Consumer Services Group based on AT&amp;T's future view of AT&amp;T's debt position after taking into account the significant deleveraging activities of AT&amp;T. This allocation took into account the following factors: prospective financing requirements, working capital and capital expenditure requirements and comparable company profiles. Increases in historical debt levels are based, in general, on historical cash flows generated by AT&amp;T Consumer Services Group in relation to total AT&amp;T. Such cash outflows include acquisitions, dividend payments and capital expenditures partially offset by cash flow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TCI merger and the MediaOne acquisition. The interest expense on the allocated debt was calculated based on a rate intended to be equivalent to the rate AT&amp;T Consumer Services Group would have received if it were a stand-alone entity. Due to the expected positive operating cash flow of AT&amp;T Consumer Services Group, the level of debt of AT&amp;T Consumer Services Group in the future is expected to be significantly lower than the level at September 30,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COMBINED RESULTS OF OPERATIONS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comparison of 2001 results with 2000 was impacted by events that occurred during these two periods. For example, effective July 1, 2000, the FCC eliminated Primary Interexchange Carrier Charges, or per-line charges, that AT&amp;T Consumer Services Group pays for residential and single-line businesses. The elimination of these per-line charges resulted in lower access expense as well as lower revenue, since AT&amp;T Consumer Services Group has historically billed its customers for these charges.</w:t>
      </w:r>
    </w:p>
    <w:p>
      <w:pPr>
        <w:spacing w:after="0" w:line="196"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comparison of 2000 results with 1999 was impacted by events that occurred during these two years. For example, on January 5, 2000, AT&amp;T launched Concert, its global joint venture with BT. AT&amp;T contributed all of its international cross-border network facilities and the economic value of approximately 270 AT&amp;T Business Services Group multinational customers specifically targeted for direct sales by Concert and substantially all international traffic of AT&amp;T Consumer Services Group. As a result, AT&amp;T Consumer Services Group's 2000 results do not include the revenue and expenses associated with international traffic contributed to Concert.</w:t>
      </w:r>
    </w:p>
    <w:p>
      <w:pPr>
        <w:spacing w:after="0" w:line="201"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In addition, comparison of 2000 results with 1999 was impacted by the elimination of Primary Interexchange Carrier Charges.</w:t>
      </w:r>
    </w:p>
    <w:p>
      <w:pPr>
        <w:spacing w:after="0" w:line="192" w:lineRule="exact"/>
        <w:rPr>
          <w:sz w:val="20"/>
          <w:szCs w:val="20"/>
          <w:color w:val="auto"/>
        </w:rPr>
      </w:pPr>
    </w:p>
    <w:p>
      <w:pPr>
        <w:ind w:left="420" w:right="1939"/>
        <w:spacing w:after="0" w:line="257" w:lineRule="auto"/>
        <w:rPr>
          <w:sz w:val="20"/>
          <w:szCs w:val="20"/>
          <w:color w:val="auto"/>
        </w:rPr>
      </w:pPr>
      <w:r>
        <w:rPr>
          <w:rFonts w:ascii="Courier New" w:cs="Courier New" w:eastAsia="Courier New" w:hAnsi="Courier New"/>
          <w:sz w:val="17"/>
          <w:szCs w:val="17"/>
          <w:color w:val="auto"/>
        </w:rPr>
        <w:t>THREE AND NINE MONTHS ENDED SEPTEMBER 30, 2001 COMPARED WITH THREE AND NINE MONTHS ENDED SEPTEMBER 30, 2000</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Revenue</w:t>
      </w:r>
    </w:p>
    <w:p>
      <w:pPr>
        <w:spacing w:after="0" w:line="210"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FOR THE THREE FOR THE NINE MONTHS ENDED MONTHS</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ENDED SEPTEMBER 30, SEPTEMBER 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----------------- 2001 2000 2001 2000 ------ -</w:t>
      </w:r>
    </w:p>
    <w:p>
      <w:pPr>
        <w:spacing w:after="0" w:line="9" w:lineRule="exact"/>
        <w:rPr>
          <w:sz w:val="20"/>
          <w:szCs w:val="20"/>
          <w:color w:val="auto"/>
        </w:rPr>
      </w:pPr>
    </w:p>
    <w:p>
      <w:pPr>
        <w:ind w:right="5079" w:firstLine="320"/>
        <w:spacing w:after="0" w:line="251" w:lineRule="auto"/>
        <w:tabs>
          <w:tab w:leader="none" w:pos="941" w:val="left"/>
        </w:tabs>
        <w:numPr>
          <w:ilvl w:val="0"/>
          <w:numId w:val="2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(DOLLARS IN MILLIONS) Revenue..........................................</w:t>
      </w:r>
    </w:p>
    <w:p>
      <w:pPr>
        <w:ind w:left="1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$3,822 $4,651 $11,614 $14,651</w:t>
      </w:r>
    </w:p>
    <w:p>
      <w:pPr>
        <w:spacing w:after="0" w:line="200" w:lineRule="exact"/>
        <w:rPr>
          <w:sz w:val="20"/>
          <w:szCs w:val="20"/>
          <w:color w:val="auto"/>
        </w:rPr>
      </w:pPr>
    </w:p>
    <w:p>
      <w:pPr>
        <w:spacing w:after="0" w:line="212"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AT&amp;T Consumer Services Group revenue declined 17.8%, or $829 million, in the third quarter of 2001 and declined 20.7%, or $3,037 million, for the first nine months of 2001 compared with the</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X-25</w:t>
      </w:r>
    </w:p>
    <w:p>
      <w:pPr>
        <w:sectPr>
          <w:pgSz w:w="11900" w:h="16838" w:orient="portrait"/>
          <w:cols w:equalWidth="0" w:num="1">
            <w:col w:w="10219"/>
          </w:cols>
          <w:pgMar w:left="240" w:top="719" w:right="1440" w:bottom="1062" w:gutter="0" w:footer="0" w:header="0"/>
        </w:sectPr>
      </w:pPr>
    </w:p>
    <w:bookmarkStart w:id="276" w:name="page277"/>
    <w:bookmarkEnd w:id="276"/>
    <w:p>
      <w:pPr>
        <w:ind w:right="1839"/>
        <w:spacing w:after="0" w:line="251" w:lineRule="auto"/>
        <w:rPr>
          <w:sz w:val="20"/>
          <w:szCs w:val="20"/>
          <w:color w:val="auto"/>
        </w:rPr>
      </w:pPr>
      <w:r>
        <w:rPr>
          <w:rFonts w:ascii="Courier New" w:cs="Courier New" w:eastAsia="Courier New" w:hAnsi="Courier New"/>
          <w:sz w:val="17"/>
          <w:szCs w:val="17"/>
          <w:color w:val="auto"/>
        </w:rPr>
        <w:t>corresponding periods in 2000. The revenue decline in both periods reflects the impacts of volume reductions, primarily in traditional voice services due to the acceleration of wireless and e-mail substitution, the impacts of ongoing competition and the continued migration of customers to lower-priced products and optional calling plans. The revenue decline in the third quarter of 2001 was slightly offset by an increase in the level of call volumes related to the events of September 11, 2001. In addition, the revenue decline for the nine months ended September 30, 2001, reflects the elimination of per-line charges in July 2000 of approximately $496 million.</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calling volume declined at a low double-digit percentage rate in both the third quarter of 2001 and the nine months ended September 30, 2001, primarily due to product substitution and competition in the long distance industry, which AT&amp;T Consumer Services Group expects will continue to negatively impact AT&amp;T Consumer Services Group's revenue.</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Operating Expenses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THREE FOR THE NINE MONTHS</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ENDED MONTHS ENDED SEPTEMBER 30,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SEPTEMBER 30, --------------- ---</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------------ 2001 2000 2001 2000</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(DOLLARS IN MILLIONS) Access and</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connection........................</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$1,014 $1,185 $3,112 $4,126</w:t>
      </w:r>
    </w:p>
    <w:p>
      <w:pPr>
        <w:spacing w:after="0" w:line="200" w:lineRule="exact"/>
        <w:rPr>
          <w:sz w:val="20"/>
          <w:szCs w:val="20"/>
          <w:color w:val="auto"/>
        </w:rPr>
      </w:pPr>
    </w:p>
    <w:p>
      <w:pPr>
        <w:spacing w:after="0" w:line="212"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Access and other connection expenses decreased 14.4%, or $171 million, in the third quarter of 2001, compared with the third quarter of 2000. Included within access and other connection expenses are costs that AT&amp;T Consumer Services Group pays to connect calls on the facilities of other service providers. Approximately $129 million of the decrease was due to lower international connection rates and lower per minute access rates and approximately $96 million was due to lower volumes. Partially offsetting this decline was an increase in local connectivity expense of $43 million primarily due to the expansion of local service in New York and Texas.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Access and other connection expenses decreased 24.6%, or $1,014 million, for the nine months ended September 30, 2001, compared with the same period in 2000. Approximately $911 million of the decrease was due to lower per-line charges, mandated reductions in per minute access rates and lower international connection rates. In July 2000 per line charges that AT&amp;T paid for residential customers were eliminated by the FCC. Also contributing to the decrease was $296 million due to lower volumes. Partially offsetting these declines was higher local connectivity expense of $177 million primarily due to the expansion of local service in New York and Texas.</w:t>
      </w:r>
    </w:p>
    <w:p>
      <w:pPr>
        <w:spacing w:after="0" w:line="201"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FOR THE THREE FOR THE NINE</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MONTHS ENDED MONTHS ENDED</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SEPTEMBER 30, SEPTEMBER 30,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--------------- 2001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2001 2000 ----- ----- -----</w:t>
      </w:r>
    </w:p>
    <w:p>
      <w:pPr>
        <w:spacing w:after="0" w:line="9" w:lineRule="exact"/>
        <w:rPr>
          <w:sz w:val="20"/>
          <w:szCs w:val="20"/>
          <w:color w:val="auto"/>
        </w:rPr>
      </w:pPr>
    </w:p>
    <w:p>
      <w:pPr>
        <w:ind w:left="680" w:right="6919" w:hanging="518"/>
        <w:spacing w:after="0" w:line="251" w:lineRule="auto"/>
        <w:tabs>
          <w:tab w:leader="none" w:pos="366" w:val="left"/>
        </w:tabs>
        <w:numPr>
          <w:ilvl w:val="0"/>
          <w:numId w:val="2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Selling, general and</w:t>
      </w:r>
    </w:p>
    <w:p>
      <w:pPr>
        <w:spacing w:after="0"/>
        <w:rPr>
          <w:sz w:val="20"/>
          <w:szCs w:val="20"/>
          <w:color w:val="auto"/>
        </w:rPr>
      </w:pPr>
      <w:r>
        <w:rPr>
          <w:rFonts w:ascii="Courier New" w:cs="Courier New" w:eastAsia="Courier New" w:hAnsi="Courier New"/>
          <w:sz w:val="17"/>
          <w:szCs w:val="17"/>
          <w:color w:val="auto"/>
        </w:rPr>
        <w:t>administrative...................</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$913 $979 $2,855 $3,195</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Selling, general and administrative (SG&amp;A) expenses decreased 6.7%, or $66 million, in the third quarter of 2001, compared with the third quarter of 2000. SG&amp;A expenses decreased 10.6%, or $340 million, for the nine months ended September 30, 2001, compared with the same period in 2000. The decline in both periods was primarily due to lower costs associated with customer care and billing expenses and cost management efforts.</w:t>
      </w:r>
    </w:p>
    <w:p>
      <w:pPr>
        <w:spacing w:after="0" w:line="197"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FOR THE THREE FOR THE NINE</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MONTHS ENDED MONTHS ENDED</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SEPTEMBER 30, SEPTEMBER 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--------------- 2001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2001 2000 -----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(DOLLARS IN MILLIONS)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Costs of services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products........................</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$590 $661 $1,758 $1,957</w:t>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Costs of services and products decreased 10.7%, or $71 million, in the</w:t>
      </w:r>
    </w:p>
    <w:p>
      <w:pPr>
        <w:sectPr>
          <w:pgSz w:w="11900" w:h="16838" w:orient="portrait"/>
          <w:cols w:equalWidth="0" w:num="1">
            <w:col w:w="10219"/>
          </w:cols>
          <w:pgMar w:left="240" w:top="719" w:right="1440" w:bottom="0" w:gutter="0" w:footer="0" w:header="0"/>
        </w:sectPr>
      </w:pPr>
    </w:p>
    <w:bookmarkStart w:id="277" w:name="page278"/>
    <w:bookmarkEnd w:id="277"/>
    <w:p>
      <w:pPr>
        <w:ind w:right="2139"/>
        <w:spacing w:after="0" w:line="257" w:lineRule="auto"/>
        <w:rPr>
          <w:sz w:val="20"/>
          <w:szCs w:val="20"/>
          <w:color w:val="auto"/>
        </w:rPr>
      </w:pPr>
      <w:r>
        <w:rPr>
          <w:rFonts w:ascii="Courier New" w:cs="Courier New" w:eastAsia="Courier New" w:hAnsi="Courier New"/>
          <w:sz w:val="17"/>
          <w:szCs w:val="17"/>
          <w:color w:val="auto"/>
        </w:rPr>
        <w:t>third quarter of 2001, compared with the third quarter of 2000. Approximately $58 million of the decrease was due to lower costs for</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X-26</w:t>
      </w:r>
    </w:p>
    <w:p>
      <w:pPr>
        <w:sectPr>
          <w:pgSz w:w="11900" w:h="16838" w:orient="portrait"/>
          <w:cols w:equalWidth="0" w:num="1">
            <w:col w:w="10219"/>
          </w:cols>
          <w:pgMar w:left="240" w:top="142" w:right="1440" w:bottom="1440" w:gutter="0" w:footer="0" w:header="0"/>
        </w:sectPr>
      </w:pPr>
    </w:p>
    <w:bookmarkStart w:id="278" w:name="page279"/>
    <w:bookmarkEnd w:id="278"/>
    <w:p>
      <w:pPr>
        <w:ind w:right="1939"/>
        <w:spacing w:after="0" w:line="254" w:lineRule="auto"/>
        <w:rPr>
          <w:sz w:val="20"/>
          <w:szCs w:val="20"/>
          <w:color w:val="auto"/>
        </w:rPr>
      </w:pPr>
      <w:r>
        <w:rPr>
          <w:rFonts w:ascii="Courier New" w:cs="Courier New" w:eastAsia="Courier New" w:hAnsi="Courier New"/>
          <w:sz w:val="17"/>
          <w:szCs w:val="17"/>
          <w:color w:val="auto"/>
        </w:rPr>
        <w:t>utilizing AT&amp;T's network, primarily as a result of lower volumes. An additional $14 million of the decrease was due to lower operator services costs, also related to lower volumes.</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Costs of services and products decreased 10.2%, or $199 million, for the nine months ended September 30, 2001, compared with the same period in 2000. Approximately $142 million of the decrease was due to lower costs for utilizing AT&amp;T's network, primarily as a result of lower volumes. An additional $52 million of the decrease was due to lower operator services costs, also related to lower volumes.</w:t>
      </w:r>
    </w:p>
    <w:p>
      <w:pPr>
        <w:spacing w:after="0" w:line="19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THREE FOR THE NINE MONTHS ENDED</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MONTHS ENDED SEPTEMBER 30, SEPTEMBER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30, -------------- ------------- 2001</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2000 2001 2000 ----- ----- ----- -----</w:t>
      </w:r>
    </w:p>
    <w:p>
      <w:pPr>
        <w:spacing w:after="0" w:line="9"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7"/>
          <w:szCs w:val="17"/>
          <w:color w:val="auto"/>
        </w:rPr>
        <w:t>(DOLLARS IN MILLIONS) Depreciation and</w:t>
      </w:r>
    </w:p>
    <w:p>
      <w:pPr>
        <w:spacing w:after="0" w:line="9"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7"/>
          <w:szCs w:val="17"/>
          <w:color w:val="auto"/>
        </w:rPr>
        <w:t>amortization............................</w:t>
      </w:r>
    </w:p>
    <w:p>
      <w:pPr>
        <w:spacing w:after="0" w:line="9"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$49 $43 $145 $123</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Depreciation and amortization expenses increased 14.0%, or $6 million, compared with the third quarter of 2000. Depreciation and amortization expenses increased 17.9%, or $22 million, for the nine months ended September 30, 2001 compared with the corresponding prior-year period. Capital expenditures and additions to internal use software for the nine months ended September 30, 2001 and 2000 were $96 million and $104 million, respectively.</w:t>
      </w:r>
    </w:p>
    <w:p>
      <w:pPr>
        <w:spacing w:after="0" w:line="197"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FOR THE THREE FOR THE NINE</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MONTHS ENDED MONTHS ENDED</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SEPTEMBER 30, SEPTEMBER 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-------------- 2001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2001 2000 ----- ----- ----</w:t>
      </w:r>
    </w:p>
    <w:p>
      <w:pPr>
        <w:spacing w:after="0" w:line="9" w:lineRule="exact"/>
        <w:rPr>
          <w:sz w:val="20"/>
          <w:szCs w:val="20"/>
          <w:color w:val="auto"/>
        </w:rPr>
      </w:pPr>
    </w:p>
    <w:p>
      <w:pPr>
        <w:ind w:left="360" w:right="7019" w:hanging="200"/>
        <w:spacing w:after="0" w:line="251" w:lineRule="auto"/>
        <w:tabs>
          <w:tab w:leader="none" w:pos="360" w:val="left"/>
        </w:tabs>
        <w:numPr>
          <w:ilvl w:val="0"/>
          <w:numId w:val="2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Net Restructuring &amp; Other</w:t>
      </w:r>
    </w:p>
    <w:p>
      <w:pPr>
        <w:spacing w:after="0"/>
        <w:rPr>
          <w:sz w:val="20"/>
          <w:szCs w:val="20"/>
          <w:color w:val="auto"/>
        </w:rPr>
      </w:pPr>
      <w:r>
        <w:rPr>
          <w:rFonts w:ascii="Courier New" w:cs="Courier New" w:eastAsia="Courier New" w:hAnsi="Courier New"/>
          <w:sz w:val="17"/>
          <w:szCs w:val="17"/>
          <w:color w:val="auto"/>
        </w:rPr>
        <w:t>Charges.........................</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 $-- $-- $97</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During the first quarter of 2000, AT&amp;T Consumer Services Group recorded $97 million of net restructuring and other charges, which included $79 million for restructuring and exit costs associated with AT&amp;T's initiative to reduce costs by the end of 2000.</w:t>
      </w:r>
    </w:p>
    <w:p>
      <w:pPr>
        <w:spacing w:after="0" w:line="195"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Also included in restructuring and other charges was an asset impairment charge of $18 million related to the write-down of unrecoverable assets in certain businesses in which the carrying value was no longer supported by future cash flows.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FOR THE THREE FOR THE NINE MONTHS ENDED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MONTHS ENDED SEPTEMBER 30, SEPTEMBER 30,</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--------------- 2001</w:t>
            </w:r>
          </w:p>
        </w:tc>
      </w:tr>
      <w:tr>
        <w:trPr>
          <w:trHeight w:val="201"/>
        </w:trPr>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w w:val="86"/>
              </w:rPr>
              <w:t>2000 2001 2000 ------</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 ------ ----</w:t>
            </w:r>
          </w:p>
        </w:tc>
      </w:tr>
    </w:tbl>
    <w:p>
      <w:pPr>
        <w:spacing w:after="0" w:line="4" w:lineRule="exact"/>
        <w:rPr>
          <w:sz w:val="20"/>
          <w:szCs w:val="20"/>
          <w:color w:val="auto"/>
        </w:rPr>
      </w:pPr>
    </w:p>
    <w:p>
      <w:pPr>
        <w:ind w:right="5919" w:firstLine="368"/>
        <w:spacing w:after="0" w:line="251" w:lineRule="auto"/>
        <w:tabs>
          <w:tab w:leader="none" w:pos="675" w:val="left"/>
        </w:tabs>
        <w:numPr>
          <w:ilvl w:val="0"/>
          <w:numId w:val="2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Operating income...................................</w:t>
      </w: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$1,256 $1,783 $3,744 $5,153</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Operating income decreased 29.6%, or $527 million, in the third quarter of 2001, compared with the same period in 2000. Operating income decreased 27.3%, or $1,409 million, for the nine months ended September 30, 2001 compared with the corresponding prior year period. The decrease in both periods was primarily due to revenue declines partially offset by reductions in operating expenses. Operating income margin (operating income as a percent of revenue) was 32.9% and 38.3% for the three months ended September 30, 2001 and 2000, respectively, and</w:t>
      </w:r>
    </w:p>
    <w:p>
      <w:pPr>
        <w:ind w:right="2879"/>
        <w:spacing w:after="0" w:line="257" w:lineRule="auto"/>
        <w:rPr>
          <w:sz w:val="20"/>
          <w:szCs w:val="20"/>
          <w:color w:val="auto"/>
        </w:rPr>
      </w:pPr>
      <w:r>
        <w:rPr>
          <w:rFonts w:ascii="Courier New" w:cs="Courier New" w:eastAsia="Courier New" w:hAnsi="Courier New"/>
          <w:sz w:val="17"/>
          <w:szCs w:val="17"/>
          <w:color w:val="auto"/>
        </w:rPr>
        <w:t>32.2% and 35.2% for the nine months ended September 30, 2001 and 2000, respectively.</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FOR THE THREE FOR THE NINE MONTHS ENDED MONTHS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ENDED SEPTEMBER 30, SEPTEMBER 30, -------------</w:t>
      </w:r>
    </w:p>
    <w:p>
      <w:pPr>
        <w:spacing w:after="0" w:line="9" w:lineRule="exact"/>
        <w:rPr>
          <w:sz w:val="20"/>
          <w:szCs w:val="20"/>
          <w:color w:val="auto"/>
        </w:rPr>
      </w:pPr>
    </w:p>
    <w:p>
      <w:pPr>
        <w:ind w:left="260" w:hanging="203"/>
        <w:spacing w:after="0"/>
        <w:tabs>
          <w:tab w:leader="none" w:pos="260"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-------------- 2001 2000 2001 2000 ----- ----</w:t>
      </w:r>
    </w:p>
    <w:p>
      <w:pPr>
        <w:spacing w:after="0" w:line="8" w:lineRule="exact"/>
        <w:rPr>
          <w:rFonts w:ascii="Courier New" w:cs="Courier New" w:eastAsia="Courier New" w:hAnsi="Courier New"/>
          <w:sz w:val="17"/>
          <w:szCs w:val="17"/>
          <w:color w:val="auto"/>
        </w:rPr>
      </w:pPr>
    </w:p>
    <w:p>
      <w:pPr>
        <w:ind w:right="5179" w:firstLine="214"/>
        <w:spacing w:after="0" w:line="251" w:lineRule="auto"/>
        <w:tabs>
          <w:tab w:leader="none" w:pos="416" w:val="left"/>
        </w:tabs>
        <w:numPr>
          <w:ilvl w:val="1"/>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(DOLLARS IN MILLIONS) Interest expense.........................................</w:t>
      </w:r>
    </w:p>
    <w:p>
      <w:pPr>
        <w:ind w:left="1680"/>
        <w:spacing w:after="0"/>
        <w:rPr>
          <w:sz w:val="20"/>
          <w:szCs w:val="20"/>
          <w:color w:val="auto"/>
        </w:rPr>
      </w:pPr>
      <w:r>
        <w:rPr>
          <w:rFonts w:ascii="Courier New" w:cs="Courier New" w:eastAsia="Courier New" w:hAnsi="Courier New"/>
          <w:sz w:val="17"/>
          <w:szCs w:val="17"/>
          <w:color w:val="auto"/>
        </w:rPr>
        <w:t>$28 $76 $134 $98</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Interest expense decreased 63.2%, or $48 million, in third quarter of 2001 compared with the same period in 2000. The decrease was attributable to a decrease in long-term debt due to AT&amp;T.</w:t>
      </w:r>
    </w:p>
    <w:p>
      <w:pPr>
        <w:sectPr>
          <w:pgSz w:w="11900" w:h="16838" w:orient="portrait"/>
          <w:cols w:equalWidth="0" w:num="1">
            <w:col w:w="10219"/>
          </w:cols>
          <w:pgMar w:left="240" w:top="719" w:right="1440" w:bottom="0" w:gutter="0" w:footer="0" w:header="0"/>
        </w:sectPr>
      </w:pPr>
    </w:p>
    <w:bookmarkStart w:id="279" w:name="page280"/>
    <w:bookmarkEnd w:id="279"/>
    <w:p>
      <w:pPr>
        <w:ind w:left="2900"/>
        <w:spacing w:after="0"/>
        <w:rPr>
          <w:sz w:val="20"/>
          <w:szCs w:val="20"/>
          <w:color w:val="auto"/>
        </w:rPr>
      </w:pPr>
      <w:r>
        <w:rPr>
          <w:rFonts w:ascii="Courier New" w:cs="Courier New" w:eastAsia="Courier New" w:hAnsi="Courier New"/>
          <w:sz w:val="17"/>
          <w:szCs w:val="17"/>
          <w:color w:val="auto"/>
        </w:rPr>
        <w:t>X-27</w:t>
      </w:r>
    </w:p>
    <w:p>
      <w:pPr>
        <w:sectPr>
          <w:pgSz w:w="11900" w:h="16838" w:orient="portrait"/>
          <w:cols w:equalWidth="0" w:num="1">
            <w:col w:w="9019"/>
          </w:cols>
          <w:pgMar w:left="1440" w:top="343" w:right="1440" w:bottom="1440" w:gutter="0" w:footer="0" w:header="0"/>
        </w:sectPr>
      </w:pPr>
    </w:p>
    <w:bookmarkStart w:id="280" w:name="page281"/>
    <w:bookmarkEnd w:id="280"/>
    <w:p>
      <w:pPr>
        <w:jc w:val="both"/>
        <w:ind w:right="1939" w:firstLine="524"/>
        <w:spacing w:after="0" w:line="253" w:lineRule="auto"/>
        <w:rPr>
          <w:sz w:val="20"/>
          <w:szCs w:val="20"/>
          <w:color w:val="auto"/>
        </w:rPr>
      </w:pPr>
      <w:r>
        <w:rPr>
          <w:rFonts w:ascii="Courier New" w:cs="Courier New" w:eastAsia="Courier New" w:hAnsi="Courier New"/>
          <w:sz w:val="17"/>
          <w:szCs w:val="17"/>
          <w:color w:val="auto"/>
        </w:rPr>
        <w:t>Interest expense increased 36.7%, or $36 million, in the nine month period ended September 30, 2001 compared with the corresponding prior year period. The increase was attributable to an increase in the average long-term debt balance due to AT&amp;T.</w:t>
      </w:r>
    </w:p>
    <w:p>
      <w:pPr>
        <w:spacing w:after="0" w:line="195"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FOR THE THREE FOR THE NINE</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MONTHS ENDED MONTHS ENDED</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SEPTEMBER 30, SEPTEMBER 30,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--------------- 2001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2001 2000 ----- ----- -----</w:t>
      </w:r>
    </w:p>
    <w:p>
      <w:pPr>
        <w:spacing w:after="0" w:line="9" w:lineRule="exact"/>
        <w:rPr>
          <w:sz w:val="20"/>
          <w:szCs w:val="20"/>
          <w:color w:val="auto"/>
        </w:rPr>
      </w:pPr>
    </w:p>
    <w:p>
      <w:pPr>
        <w:ind w:left="680" w:right="6919" w:hanging="518"/>
        <w:spacing w:after="0" w:line="251" w:lineRule="auto"/>
        <w:tabs>
          <w:tab w:leader="none" w:pos="366" w:val="left"/>
        </w:tabs>
        <w:numPr>
          <w:ilvl w:val="0"/>
          <w:numId w:val="2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Provision for income</w:t>
      </w:r>
    </w:p>
    <w:p>
      <w:pPr>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$473 $655 $1,389 $1,957</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provision for income taxes decreased 27.8%, or $182 million, in the third quarter of 2001, compared with the third quarter of 2000. The provision for income taxes decreased 29.0%, or $568 million, in the nine month period ended September 30, 2001 compared with the corresponding prior year period. The decrease in both periods was primarily due to lower income before income taxes. The effective tax rate for third quarter of 2001 was 38.3% compared with 38.2% in the third quarter of 2000. The effective tax rate for the nine months ended September 30, 2001 and 2000 was 38.2% for both periods. The effective tax rate is higher than the 35% statutory federal tax rate principally due to state income taxes, net of federal benefits.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THREE YEARS ENDED DECEMBER 31, 2000</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--------- 2000 1999 1998 ------- ------- -------</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$18,894 $21,753 $22,763</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2000, AT&amp;T Consumer Services Group's revenue decreased $2,859 million or 13.1%, on a mid-single-digit decline in volumes. Revenue in 1999 fell $1,010 million, or 4.4%, on a mid-single-digit decline in volumes. In 2000, approximately $884 million of this decline was due to the elimination of per-line charges and the impact of Concert. The remaining decline in both years reflects the ongoing competitive nature of the consumer long distance industry, which has resulted in pricing pressures and a loss of customers, which is expected to continue. Also negatively impacting revenue growth was product substitution and market migration away from direct dial wireline and higher-priced calling card services to rapidly growing wireless services and lower-priced prepaid card services. During 2000, the New York and Texas long distance markets were opened up to competition by the RBOCs. The continued entry of the RBOCs into the long distance market is expected to increase competitive pressures in 2001.</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has continued to focus on providing customers with choice, simplicity and competitive rates. AT&amp;T Consumer Services Group's One Rate plans, which allow customers to make long distance calls 24 hours a day, seven days a week for the same rate, have continued to be well received. As of December 31, 2000, over 12 million customers were enrolled in these plans, with more than 60% of those customers electing to bundle their long distance with local toll (intraLATA) service. Over one-half of the customers enrolled in the One Rate plans were new long distance customers.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WorldNet Service revenue increased 5.9% to $319 million in 2000, and 41.2% to $301 million in 1999. The increase in 2000 is due to stronger subscription revenue in the first half of 2000 as well as increased advertising revenue. Growth in 1999 was higher primarily due to increased marketing efforts and the introduction of the premium $21.95 unlimited access price plan. Competition within the ISP industry has recently increased. AT&amp;T WorldNet Service has remained competitive with the industry, and launched their i495 plan in July 2000, which provides up to 150 hours of Internet service for $4.95 per month.</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X-28</w:t>
      </w:r>
    </w:p>
    <w:p>
      <w:pPr>
        <w:sectPr>
          <w:pgSz w:w="11900" w:h="16838" w:orient="portrait"/>
          <w:cols w:equalWidth="0" w:num="1">
            <w:col w:w="10219"/>
          </w:cols>
          <w:pgMar w:left="240" w:top="719" w:right="1440" w:bottom="1440" w:gutter="0" w:footer="0" w:header="0"/>
        </w:sectPr>
      </w:pPr>
    </w:p>
    <w:bookmarkStart w:id="281" w:name="page282"/>
    <w:bookmarkEnd w:id="281"/>
    <w:p>
      <w:pPr>
        <w:ind w:right="1839" w:firstLine="524"/>
        <w:spacing w:after="0" w:line="253" w:lineRule="auto"/>
        <w:rPr>
          <w:sz w:val="20"/>
          <w:szCs w:val="20"/>
          <w:color w:val="auto"/>
        </w:rPr>
      </w:pPr>
      <w:r>
        <w:rPr>
          <w:rFonts w:ascii="Courier New" w:cs="Courier New" w:eastAsia="Courier New" w:hAnsi="Courier New"/>
          <w:sz w:val="17"/>
          <w:szCs w:val="17"/>
          <w:color w:val="auto"/>
        </w:rPr>
        <w:t>AT&amp;T WorldNet Service served 1.42 million residential customers as of December 31, 2000, a decrease of 3.8% over 1999, due to the competitive nature of the industry. At December 31, 1999, AT&amp;T WorldNet Service served 1.48 million residential customers, an increase of 29.5% over 1998.</w:t>
      </w:r>
    </w:p>
    <w:p>
      <w:pPr>
        <w:spacing w:after="0" w:line="19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------------------------ 2000 1999</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1998 ------ ------ ------ (DOLLARS IN</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MILLIONS) Access and other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connection............................</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$5,204 $6,223 $7,453</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Access and other connection expenses declined $1,019 million, or 16.4%, in 2000 compared with 1999. Included within access and other connection expenses are costs paid to connect domestic calls on the facilities of other service providers. Approximately $932 million of this decline was driven by mandated reductions in per-minute access rates in 2000 and decreased per-line charges. Approximately $295 million of this decline was driven by volume declines in 2000. These decreases were partially offset by an increase in Universal Service Fund contributions of $224 million. Since most of these charges are passed through to the customer, the per-minute access-rate, the per-line charge reductions and the increased Universal Service Fund contributions have generally resulted in a corresponding impact on revenue. In addition, local connectivity charges increased $173 million, reflecting growth in the local business.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Costs paid to telephone companies outside of the United States to connect calls made to countries outside of the United States (international settlements) also are included within access and other connection expenses. These costs decreased $193 million in 2000, as a result of the commencement of operations of Concert. Concert now incurs most of AT&amp;T's international settlements as well as earns most of AT&amp;T's foreign-billed revenue, previously incurred and earned directly by AT&amp;T Consumer Services Group. In 2000, Concert billed AT&amp;T Consumer Services Group a net expense composed of international settlement (interconnection) expense, administrative fees, and foreign-billed revenue. The amount charged by Concert in 2000 was lower than interconnection expense incurred in 1999, since AT&amp;T Consumer Services Group recorded these transactions as revenue and expense, as applicable.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Access and other connection expenses declined $1,230 million, or 16.5%, in 1999 compared with the prior year. Approximately $960 million of this decline resulted from mandated reductions in per-minute access rates and lower international settlement rates resulting from AT&amp;T's negotiations with international carriers. Approximately $236 million of this decline was driven by volume declines in 1999. These reductions were partially offset by increased per-line charges and Universal Service Fund contributions in the amount of $172 million.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1260" w:type="dxa"/>
            <w:vAlign w:val="bottom"/>
          </w:tcPr>
          <w:p>
            <w:pPr>
              <w:spacing w:after="0"/>
              <w:rPr>
                <w:sz w:val="20"/>
                <w:szCs w:val="20"/>
                <w:color w:val="auto"/>
              </w:rPr>
            </w:pPr>
            <w:r>
              <w:rPr>
                <w:rFonts w:ascii="Courier New" w:cs="Courier New" w:eastAsia="Courier New" w:hAnsi="Courier New"/>
                <w:sz w:val="12"/>
                <w:szCs w:val="12"/>
                <w:color w:val="auto"/>
                <w:w w:val="71"/>
              </w:rPr>
              <w:t>------------------------</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2000 1999</w:t>
            </w:r>
          </w:p>
        </w:tc>
      </w:tr>
      <w:tr>
        <w:trPr>
          <w:trHeight w:val="201"/>
        </w:trPr>
        <w:tc>
          <w:tcPr>
            <w:tcW w:w="1260" w:type="dxa"/>
            <w:vAlign w:val="bottom"/>
          </w:tcPr>
          <w:p>
            <w:pPr>
              <w:spacing w:after="0"/>
              <w:rPr>
                <w:sz w:val="20"/>
                <w:szCs w:val="20"/>
                <w:color w:val="auto"/>
              </w:rPr>
            </w:pPr>
            <w:r>
              <w:rPr>
                <w:rFonts w:ascii="Courier New" w:cs="Courier New" w:eastAsia="Courier New" w:hAnsi="Courier New"/>
                <w:sz w:val="17"/>
                <w:szCs w:val="17"/>
                <w:color w:val="auto"/>
              </w:rPr>
              <w:t>1998 ------</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 ------ (DOLLARS</w:t>
            </w:r>
          </w:p>
        </w:tc>
      </w:tr>
    </w:tbl>
    <w:p>
      <w:pPr>
        <w:spacing w:after="0" w:line="4"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7"/>
          <w:szCs w:val="17"/>
          <w:color w:val="auto"/>
        </w:rPr>
        <w:t>IN MILLIONS) Selling, general and</w:t>
      </w:r>
    </w:p>
    <w:p>
      <w:pPr>
        <w:spacing w:after="0" w:line="9"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7"/>
          <w:szCs w:val="17"/>
          <w:color w:val="auto"/>
        </w:rPr>
        <w:t>administrative......................</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$4,128 $4,688 $5,453</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Selling, general and administrative, or SG&amp;A, expenses decreased $560 million, or 11.9%, in 2000 compared with 1999. These reductions were primarily attributed to cost control efforts such as targeted marketing, consolidation of functions and reduction of support and corporate staff headcounts.</w:t>
      </w:r>
    </w:p>
    <w:p>
      <w:pPr>
        <w:spacing w:after="0" w:line="195"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In 1999, SG&amp;A expenses decreased $765 million, or 14.0% compared with the prior year. This decrease was primarily due to AT&amp;T Consumer Services Group's focus on high-value customers, which led to lower spending on customer-acquisition and retention programs.</w:t>
      </w:r>
    </w:p>
    <w:p>
      <w:pPr>
        <w:spacing w:after="0" w:line="19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------------------------- 2000</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1999 1998 ------ ------ ------</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(DOLLARS IN MILLIONS) Costs of</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services and</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products...........................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$2,557 $3,316 $3,656</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Costs of services and products expenses include such costs as the transport costs for utilizing AT&amp;T's network, operator service costs, and the provision for uncollectible receivables. These costs decreased $759</w:t>
      </w:r>
    </w:p>
    <w:p>
      <w:pPr>
        <w:sectPr>
          <w:pgSz w:w="11900" w:h="16838" w:orient="portrait"/>
          <w:cols w:equalWidth="0" w:num="1">
            <w:col w:w="10219"/>
          </w:cols>
          <w:pgMar w:left="240" w:top="719" w:right="1440" w:bottom="0" w:gutter="0" w:footer="0" w:header="0"/>
        </w:sectPr>
      </w:pPr>
    </w:p>
    <w:bookmarkStart w:id="282" w:name="page283"/>
    <w:bookmarkEnd w:id="282"/>
    <w:p>
      <w:pPr>
        <w:ind w:left="2900"/>
        <w:spacing w:after="0"/>
        <w:rPr>
          <w:sz w:val="20"/>
          <w:szCs w:val="20"/>
          <w:color w:val="auto"/>
        </w:rPr>
      </w:pPr>
      <w:r>
        <w:rPr>
          <w:rFonts w:ascii="Courier New" w:cs="Courier New" w:eastAsia="Courier New" w:hAnsi="Courier New"/>
          <w:sz w:val="17"/>
          <w:szCs w:val="17"/>
          <w:color w:val="auto"/>
        </w:rPr>
        <w:t>X-29</w:t>
      </w:r>
    </w:p>
    <w:p>
      <w:pPr>
        <w:sectPr>
          <w:pgSz w:w="11900" w:h="16838" w:orient="portrait"/>
          <w:cols w:equalWidth="0" w:num="1">
            <w:col w:w="9019"/>
          </w:cols>
          <w:pgMar w:left="1440" w:top="343" w:right="1440" w:bottom="1440" w:gutter="0" w:footer="0" w:header="0"/>
        </w:sectPr>
      </w:pPr>
    </w:p>
    <w:bookmarkStart w:id="283" w:name="page284"/>
    <w:bookmarkEnd w:id="283"/>
    <w:p>
      <w:pPr>
        <w:ind w:right="1839"/>
        <w:spacing w:after="0" w:line="254" w:lineRule="auto"/>
        <w:rPr>
          <w:sz w:val="20"/>
          <w:szCs w:val="20"/>
          <w:color w:val="auto"/>
        </w:rPr>
      </w:pPr>
      <w:r>
        <w:rPr>
          <w:rFonts w:ascii="Courier New" w:cs="Courier New" w:eastAsia="Courier New" w:hAnsi="Courier New"/>
          <w:sz w:val="17"/>
          <w:szCs w:val="17"/>
          <w:color w:val="auto"/>
        </w:rPr>
        <w:t>million, or 22.9%, in 2000 and $340 million, or 9.3%, in 1999 compared with the prior year. These declines are largely due to volume declines and network cost-control initiatives, and the lower provision for uncollectible receivables.</w:t>
      </w:r>
    </w:p>
    <w:p>
      <w:pPr>
        <w:spacing w:after="0" w:line="19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-------------- 2000 1999 1998 -----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(DOLLARS IN MILLIONS) Depreciation</w:t>
      </w:r>
    </w:p>
    <w:p>
      <w:pPr>
        <w:spacing w:after="0" w:line="9"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7"/>
          <w:szCs w:val="17"/>
          <w:color w:val="auto"/>
        </w:rPr>
        <w:t>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amortization...............................</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$167 $184 $116</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Depreciation and amortization expenses decreased $17 million, or 9.2%, in 2000. Depreciation and amortization expenses increased $68 million, or 58.6%, in 1999 compared with 1998. Total capital expenditures for 2000, 1999 and 1998 were $148 million, $300 million and $98 million, respectively.</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FOR THE YEARS ENDED DECEMBER</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31,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1999 1998 ----- ----- ----</w:t>
      </w:r>
    </w:p>
    <w:p>
      <w:pPr>
        <w:spacing w:after="0" w:line="9" w:lineRule="exact"/>
        <w:rPr>
          <w:sz w:val="20"/>
          <w:szCs w:val="20"/>
          <w:color w:val="auto"/>
        </w:rPr>
      </w:pPr>
    </w:p>
    <w:p>
      <w:pPr>
        <w:ind w:left="480" w:right="7119" w:hanging="215"/>
        <w:spacing w:after="0" w:line="251" w:lineRule="auto"/>
        <w:tabs>
          <w:tab w:leader="none" w:pos="480"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Net restructuring and other</w:t>
      </w:r>
    </w:p>
    <w:p>
      <w:pPr>
        <w:spacing w:after="0"/>
        <w:rPr>
          <w:sz w:val="20"/>
          <w:szCs w:val="20"/>
          <w:color w:val="auto"/>
        </w:rPr>
      </w:pPr>
      <w:r>
        <w:rPr>
          <w:rFonts w:ascii="Courier New" w:cs="Courier New" w:eastAsia="Courier New" w:hAnsi="Courier New"/>
          <w:sz w:val="17"/>
          <w:szCs w:val="17"/>
          <w:color w:val="auto"/>
        </w:rPr>
        <w:t>charges.........................</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$97 $7 $(19)</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During 2000, AT&amp;T Consumer Services Group recorded $97 million of net restructuring and other charges. The charge for restructuring and exit plans was primarily due to headcount reductions, including the consolidation of customer care and call centers. Included in exit costs was $79 million of cash termination benefits associated with the involuntary separation of about 1,300 employees. Approximately 65% of the individuals were management employees and 35% were non-management employees.</w:t>
      </w:r>
    </w:p>
    <w:p>
      <w:pPr>
        <w:spacing w:after="0" w:line="196"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AT&amp;T Consumer Services Group also recorded an asset impairment charge of $18 million related to the write-down of unrecoverable assets in certain businesses where the carrying value was no longer supported by estimated future cash flows.</w:t>
      </w:r>
    </w:p>
    <w:p>
      <w:pPr>
        <w:spacing w:after="0" w:line="396"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During 1999, AT&amp;T Consumer Services Group recorded $7 million of net restructuring and other charges. This $7 million charge for restructuring and exit costs was recorded in conjunction with AT&amp;T's initiative to reduce costs. The restructuring and exit plans primarily focused on the maximization of synergies through headcount reductions, including the consolidation of customer-care and call centers.</w:t>
      </w:r>
    </w:p>
    <w:p>
      <w:pPr>
        <w:spacing w:after="0" w:line="197" w:lineRule="exact"/>
        <w:rPr>
          <w:sz w:val="20"/>
          <w:szCs w:val="20"/>
          <w:color w:val="auto"/>
        </w:rPr>
      </w:pPr>
    </w:p>
    <w:p>
      <w:pPr>
        <w:ind w:right="2359" w:firstLine="524"/>
        <w:spacing w:after="0" w:line="254" w:lineRule="auto"/>
        <w:rPr>
          <w:sz w:val="20"/>
          <w:szCs w:val="20"/>
          <w:color w:val="auto"/>
        </w:rPr>
      </w:pPr>
      <w:r>
        <w:rPr>
          <w:rFonts w:ascii="Courier New" w:cs="Courier New" w:eastAsia="Courier New" w:hAnsi="Courier New"/>
          <w:sz w:val="17"/>
          <w:szCs w:val="17"/>
          <w:color w:val="auto"/>
        </w:rPr>
        <w:t>The exit costs represent cash termination benefits associated with the separation of approximately 164 employees as part of voluntary termination plans. All of the terminations were nonmanagement employees.</w:t>
      </w:r>
    </w:p>
    <w:p>
      <w:pPr>
        <w:spacing w:after="0" w:line="194"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During 1998, AT&amp;T Consumer Services Group recorded a $19 million benefit to net restructuring and other charges. This benefit represents the reversal of 1995 business restructuring reserves primarily resulting from the overlap of AT&amp;T's 1998 voluntary retirement incentive program, or VRIP, on certain 1995 projects.</w:t>
      </w:r>
    </w:p>
    <w:p>
      <w:pPr>
        <w:spacing w:after="0" w:line="396"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------------- 2000 1999 1998 ------ ------ ---</w:t>
      </w:r>
    </w:p>
    <w:p>
      <w:pPr>
        <w:spacing w:after="0" w:line="9" w:lineRule="exact"/>
        <w:rPr>
          <w:sz w:val="20"/>
          <w:szCs w:val="20"/>
          <w:color w:val="auto"/>
        </w:rPr>
      </w:pPr>
    </w:p>
    <w:p>
      <w:pPr>
        <w:ind w:right="5299" w:firstLine="632"/>
        <w:spacing w:after="0" w:line="251" w:lineRule="auto"/>
        <w:tabs>
          <w:tab w:leader="none" w:pos="1043" w:val="left"/>
        </w:tabs>
        <w:numPr>
          <w:ilvl w:val="0"/>
          <w:numId w:val="2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Operating income.........................................</w:t>
      </w:r>
    </w:p>
    <w:p>
      <w:pPr>
        <w:ind w:left="1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$6,741 $7,335 $6,104</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Operating income decreased 8.1% in 2000 compared with 1999. These results primarily reflect a decline in revenues, partially offset by cost reductions, primarily in SG&amp;A, and costs of services and products. The decrease was also attributed to higher net restructuring and other charges in 2000 of $90 million. Operating income margin (operating income as a percent of revenue) was 35.7% in 2000 compared with 33.7% in 1999. Increased competition and migration of customers to products which may have a lower margin will negatively impact operating margins in the future.</w:t>
      </w:r>
    </w:p>
    <w:p>
      <w:pPr>
        <w:spacing w:after="0" w:line="201"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 1999, operating income increased 20.2% compared to the prior year. This increase was primarily driven by reduced SG&amp;A expenses, largely due to AT&amp;T Consumer Services Group's focus on high-value customers, which led to lower spending on customer-acquisition and retention programs.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X-30</w:t>
      </w:r>
    </w:p>
    <w:p>
      <w:pPr>
        <w:sectPr>
          <w:pgSz w:w="11900" w:h="16838" w:orient="portrait"/>
          <w:cols w:equalWidth="0" w:num="1">
            <w:col w:w="10219"/>
          </w:cols>
          <w:pgMar w:left="240" w:top="719" w:right="1440" w:bottom="0" w:gutter="0" w:footer="0" w:header="0"/>
        </w:sectPr>
      </w:pPr>
    </w:p>
    <w:bookmarkStart w:id="284" w:name="page285"/>
    <w:bookmarkEnd w:id="284"/>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----------- 2000 1999 1998 ----- ----- -----</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(DOLLARS IN MILLIONS) Other income,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$81 $208 $86</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Other income decreased $127 million or 61.1% in 2000 compared with 1999. Other income increased $122 million or 141.9% in 1999 compared with the prior year. These results are primarily due to the 1999 sale of AT&amp;T Consumer Services Group's Language Line Services business, which resulted in a gain of $153 million.</w:t>
      </w:r>
    </w:p>
    <w:p>
      <w:pPr>
        <w:spacing w:after="0" w:line="396"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------ 2000 1999 1998 ----- ----- ----- (DOLLARS</w:t>
      </w:r>
    </w:p>
    <w:p>
      <w:pPr>
        <w:spacing w:after="0" w:line="9"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7"/>
          <w:szCs w:val="17"/>
          <w:color w:val="auto"/>
        </w:rPr>
        <w:t>IN MILLIONS) Interest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w:t>
      </w:r>
    </w:p>
    <w:p>
      <w:pPr>
        <w:spacing w:after="0" w:line="9"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$164 $41 $27</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In 2000, interest expense was $164 million compared to interest expense of $41 million in 1999. This interest expense is primarily due to an increase in long-term debt from AT&amp;T.</w:t>
      </w:r>
    </w:p>
    <w:p>
      <w:pPr>
        <w:spacing w:after="0" w:line="194"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In 1999, interest expense increased $14 million versus the prior year. This is primarily due to the increase in long-term debt in 1999.</w:t>
      </w:r>
    </w:p>
    <w:p>
      <w:pPr>
        <w:spacing w:after="0" w:line="19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1260" w:type="dxa"/>
            <w:vAlign w:val="bottom"/>
          </w:tcPr>
          <w:p>
            <w:pPr>
              <w:spacing w:after="0"/>
              <w:rPr>
                <w:sz w:val="20"/>
                <w:szCs w:val="20"/>
                <w:color w:val="auto"/>
              </w:rPr>
            </w:pPr>
            <w:r>
              <w:rPr>
                <w:rFonts w:ascii="Courier New" w:cs="Courier New" w:eastAsia="Courier New" w:hAnsi="Courier New"/>
                <w:sz w:val="12"/>
                <w:szCs w:val="12"/>
                <w:color w:val="auto"/>
                <w:w w:val="71"/>
              </w:rPr>
              <w:t>------------------------</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2000 1999</w:t>
            </w:r>
          </w:p>
        </w:tc>
      </w:tr>
      <w:tr>
        <w:trPr>
          <w:trHeight w:val="201"/>
        </w:trPr>
        <w:tc>
          <w:tcPr>
            <w:tcW w:w="1260" w:type="dxa"/>
            <w:vAlign w:val="bottom"/>
          </w:tcPr>
          <w:p>
            <w:pPr>
              <w:spacing w:after="0"/>
              <w:rPr>
                <w:sz w:val="20"/>
                <w:szCs w:val="20"/>
                <w:color w:val="auto"/>
              </w:rPr>
            </w:pPr>
            <w:r>
              <w:rPr>
                <w:rFonts w:ascii="Courier New" w:cs="Courier New" w:eastAsia="Courier New" w:hAnsi="Courier New"/>
                <w:sz w:val="17"/>
                <w:szCs w:val="17"/>
                <w:color w:val="auto"/>
              </w:rPr>
              <w:t>1998 ------</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 ------ (DOLLARS</w:t>
            </w:r>
          </w:p>
        </w:tc>
      </w:tr>
    </w:tbl>
    <w:p>
      <w:pPr>
        <w:spacing w:after="0" w:line="4"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7"/>
          <w:szCs w:val="17"/>
          <w:color w:val="auto"/>
        </w:rPr>
        <w:t>IN MILLIONS) Provision for income</w:t>
      </w:r>
    </w:p>
    <w:p>
      <w:pPr>
        <w:spacing w:after="0" w:line="9"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$2,546 $2,869 $2,356</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effective income tax rate is the provision for income taxes as a percent of income from continuing operations before income taxes. The effective income tax rate for AT&amp;T Consumer Services Group was 38.24%, 38.24%, and 38.22%, in 2000, 1999, and 1998, respectively.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NINE MONTHS ENDED SEPTEMBER 30,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---------------------- 2001 2000 ------</w:t>
      </w:r>
    </w:p>
    <w:p>
      <w:pPr>
        <w:spacing w:after="0" w:line="9" w:lineRule="exact"/>
        <w:rPr>
          <w:sz w:val="20"/>
          <w:szCs w:val="20"/>
          <w:color w:val="auto"/>
        </w:rPr>
      </w:pPr>
    </w:p>
    <w:p>
      <w:pPr>
        <w:ind w:left="380" w:right="6279" w:hanging="111"/>
        <w:spacing w:after="0" w:line="251" w:lineRule="auto"/>
        <w:tabs>
          <w:tab w:leader="none" w:pos="694" w:val="left"/>
        </w:tabs>
        <w:numPr>
          <w:ilvl w:val="0"/>
          <w:numId w:val="2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Cash flows: Provided by operating</w:t>
      </w:r>
    </w:p>
    <w:p>
      <w:pPr>
        <w:jc w:val="center"/>
        <w:ind w:right="6019"/>
        <w:spacing w:after="0"/>
        <w:rPr>
          <w:sz w:val="20"/>
          <w:szCs w:val="20"/>
          <w:color w:val="auto"/>
        </w:rPr>
      </w:pPr>
      <w:r>
        <w:rPr>
          <w:rFonts w:ascii="Courier New" w:cs="Courier New" w:eastAsia="Courier New" w:hAnsi="Courier New"/>
          <w:sz w:val="17"/>
          <w:szCs w:val="17"/>
          <w:color w:val="auto"/>
        </w:rPr>
        <w:t>activities.......................... $</w:t>
      </w:r>
    </w:p>
    <w:p>
      <w:pPr>
        <w:spacing w:after="0" w:line="9"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7"/>
          <w:szCs w:val="17"/>
          <w:color w:val="auto"/>
        </w:rPr>
        <w:t>3,099 $ 3,636 Used in investing</w:t>
      </w:r>
    </w:p>
    <w:p>
      <w:pPr>
        <w:spacing w:after="0" w:line="9"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7"/>
          <w:szCs w:val="17"/>
          <w:color w:val="auto"/>
        </w:rPr>
        <w:t>activities..............................</w:t>
      </w:r>
    </w:p>
    <w:p>
      <w:pPr>
        <w:spacing w:after="0" w:line="9" w:lineRule="exact"/>
        <w:rPr>
          <w:sz w:val="20"/>
          <w:szCs w:val="20"/>
          <w:color w:val="auto"/>
        </w:rPr>
      </w:pPr>
    </w:p>
    <w:p>
      <w:pPr>
        <w:ind w:right="6019" w:firstLine="636"/>
        <w:spacing w:after="0" w:line="251" w:lineRule="auto"/>
        <w:tabs>
          <w:tab w:leader="none" w:pos="1152"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(104) Used in financing activities..............................</w:t>
      </w:r>
    </w:p>
    <w:p>
      <w:pPr>
        <w:ind w:left="1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(3,002) (3,537)</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For the nine months ended September 30, 2001, net cash provided by operating activities decreased $537 million, compared with the prior year period. This decrease was primarily due to decreases in net income and accounts payable, partially offset by an increase in income taxes payable and lower accounts receivable.</w:t>
      </w:r>
    </w:p>
    <w:p>
      <w:pPr>
        <w:spacing w:after="0" w:line="197" w:lineRule="exact"/>
        <w:rPr>
          <w:sz w:val="20"/>
          <w:szCs w:val="20"/>
          <w:color w:val="auto"/>
        </w:rPr>
      </w:pPr>
    </w:p>
    <w:p>
      <w:pPr>
        <w:ind w:right="2359" w:firstLine="524"/>
        <w:spacing w:after="0" w:line="254" w:lineRule="auto"/>
        <w:rPr>
          <w:sz w:val="20"/>
          <w:szCs w:val="20"/>
          <w:color w:val="auto"/>
        </w:rPr>
      </w:pPr>
      <w:r>
        <w:rPr>
          <w:rFonts w:ascii="Courier New" w:cs="Courier New" w:eastAsia="Courier New" w:hAnsi="Courier New"/>
          <w:sz w:val="17"/>
          <w:szCs w:val="17"/>
          <w:color w:val="auto"/>
        </w:rPr>
        <w:t>Investing activities of $96 million in 2001 and $104 million in 2000 represented capital expenditures and other additions including internal use software.</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For the nine months ended September 30, 2001, net cash used in financing activities decreased by $535 million over the same prior year period. This decrease was due to lower contributions to AT&amp;T as well as lower dividend payments due to the reductions in the AT&amp;T annual dividend rate from $0.88 per share to $0.15 per share, two-thirds of which is funded by AT&amp;T Consumer Services Group. These decreases were partially offset by repayments of long-term debt due to AT&amp;T.</w:t>
      </w:r>
    </w:p>
    <w:p>
      <w:pPr>
        <w:spacing w:after="0" w:line="398"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X-31</w:t>
      </w:r>
    </w:p>
    <w:p>
      <w:pPr>
        <w:sectPr>
          <w:pgSz w:w="11900" w:h="16838" w:orient="portrait"/>
          <w:cols w:equalWidth="0" w:num="1">
            <w:col w:w="10219"/>
          </w:cols>
          <w:pgMar w:left="240" w:top="719" w:right="1440" w:bottom="860" w:gutter="0" w:footer="0" w:header="0"/>
        </w:sectPr>
      </w:pPr>
    </w:p>
    <w:bookmarkStart w:id="285" w:name="page286"/>
    <w:bookmarkEnd w:id="285"/>
    <w:p>
      <w:pPr>
        <w:ind w:right="1939" w:firstLine="524"/>
        <w:spacing w:after="0" w:line="252" w:lineRule="auto"/>
        <w:rPr>
          <w:sz w:val="20"/>
          <w:szCs w:val="20"/>
          <w:color w:val="auto"/>
        </w:rPr>
      </w:pPr>
      <w:r>
        <w:rPr>
          <w:rFonts w:ascii="Courier New" w:cs="Courier New" w:eastAsia="Courier New" w:hAnsi="Courier New"/>
          <w:sz w:val="17"/>
          <w:szCs w:val="17"/>
          <w:color w:val="auto"/>
        </w:rPr>
        <w:t>Due to the expected positive operating cash flow of AT&amp;T Consumer Services Group, the level of debt of AT&amp;T Consumer Services Group in the future is expected to be significantly lower than the level at September 30, 2001. Accordingly, the interest payments on the debt are expected to significantly decline.</w:t>
      </w:r>
    </w:p>
    <w:p>
      <w:pPr>
        <w:spacing w:after="0" w:line="197"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FOR THE YEARS ENDED DECEMBER 31,</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1999 1998 ------- ------- --</w:t>
      </w:r>
    </w:p>
    <w:p>
      <w:pPr>
        <w:spacing w:after="0" w:line="9" w:lineRule="exact"/>
        <w:rPr>
          <w:sz w:val="20"/>
          <w:szCs w:val="20"/>
          <w:color w:val="auto"/>
        </w:rPr>
      </w:pPr>
    </w:p>
    <w:p>
      <w:pPr>
        <w:ind w:left="320" w:right="6759" w:hanging="209"/>
        <w:spacing w:after="0" w:line="251" w:lineRule="auto"/>
        <w:tabs>
          <w:tab w:leader="none" w:pos="739" w:val="left"/>
        </w:tabs>
        <w:numPr>
          <w:ilvl w:val="0"/>
          <w:numId w:val="2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CASH FLOWS: Provided by operating</w:t>
      </w:r>
    </w:p>
    <w:p>
      <w:pPr>
        <w:jc w:val="center"/>
        <w:ind w:right="6659"/>
        <w:spacing w:after="0"/>
        <w:rPr>
          <w:sz w:val="20"/>
          <w:szCs w:val="20"/>
          <w:color w:val="auto"/>
        </w:rPr>
      </w:pPr>
      <w:r>
        <w:rPr>
          <w:rFonts w:ascii="Courier New" w:cs="Courier New" w:eastAsia="Courier New" w:hAnsi="Courier New"/>
          <w:sz w:val="17"/>
          <w:szCs w:val="17"/>
          <w:color w:val="auto"/>
        </w:rPr>
        <w:t>activities.................... $</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4,787 $ 4,350 $ 4,141 (Used</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in)/provided by investing</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activities.......... (132) 1,398</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(1,641) Used in financing</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activities........................</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(4,661) (5,742) (2,500)</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2000, net cash provided by operating activities increased $437 million. This increase is primarily due to changes in accounts receivable and accounts payable. These increases in net cash were partially offset by a decrease in net income, excluding the noncash impacts of depreciation and amortization, net restructuring and other charges and provision for uncollectibles. The increase in net cash provided by operating activities in 1999 compared with 1998 was primarily due to an increase in net income.</w:t>
      </w:r>
    </w:p>
    <w:p>
      <w:pPr>
        <w:spacing w:after="0" w:line="196"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Investing activities resulted in a net use of cash of $132 million for 2000. The primary use of cash in 2000 was for capital expenditures.</w:t>
      </w:r>
    </w:p>
    <w:p>
      <w:pPr>
        <w:spacing w:after="0" w:line="192" w:lineRule="exact"/>
        <w:rPr>
          <w:sz w:val="20"/>
          <w:szCs w:val="20"/>
          <w:color w:val="auto"/>
        </w:rPr>
      </w:pPr>
    </w:p>
    <w:p>
      <w:pPr>
        <w:ind w:right="2359" w:firstLine="524"/>
        <w:spacing w:after="0" w:line="253" w:lineRule="auto"/>
        <w:rPr>
          <w:sz w:val="20"/>
          <w:szCs w:val="20"/>
          <w:color w:val="auto"/>
        </w:rPr>
      </w:pPr>
      <w:r>
        <w:rPr>
          <w:rFonts w:ascii="Courier New" w:cs="Courier New" w:eastAsia="Courier New" w:hAnsi="Courier New"/>
          <w:sz w:val="17"/>
          <w:szCs w:val="17"/>
          <w:color w:val="auto"/>
        </w:rPr>
        <w:t>Net cash provided by investing activities in 1999 was $1,398 million, compared with a net use of cash in 1998 of $1,641 million. In 1998, AT&amp;T Consumer Services Group made a short term loan to AT&amp;T; this receivable was collected in 1999.</w:t>
      </w:r>
    </w:p>
    <w:p>
      <w:pPr>
        <w:spacing w:after="0" w:line="195"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In 2000, net cash used in financing activities decreased by $1,081 million. This decrease is primarily due to an increase in long term debt due to AT&amp;T, partially offset by a higher transfer to AT&amp;T and dividend payment in 2000.</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 1999, net cash used in financing activities increased $3,242 million.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increase is primarily due to an increase in transfers to AT&amp;T.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AT&amp;T'S BOARD OF DIRECTORS HAS THE POWER TO MAKE DETERMINATIONS THAT MAY IMPACT THE FINANCIAL AND LIQUIDITY POSITION OF EACH OF ITS TRACKING STOCK GROUPS. THIS POWER INCLUDES THE ABILITY TO SET PRIORITIES FOR USE OF CAPITAL AND DEBT CAPACITY, TO DETERMINE CASH MANAGEMENT POLICIES AND TO MAKE DECISIONS REGARDING WHETHER TO MAKE CAPITAL EXPENDITURES AND AS TO THE TIMING AND AMOUNT OF ANY CAPITAL EXPENDITURES. ALL ACTIONS BY THE BOARD OF DIRECTORS ARE SUBJECT TO THE BOARD MEMBERS FIDUCIARY DUTIES TO ALL SHAREHOLDERS OF AT&amp;T AS A GROUP, NOT JUST TO HOLDERS OF A PARTICULAR CLASS OF TRACKING STOCK, TO AT&amp;T'S POLICY STATEMENTS, BY-LAWS AND INTER-COMPANY AGREEMENTS. AS A RESULT OF THIS DISCRETION OF AT&amp;T'S BOARD OF DIRECTORS, IT MAY BE DIFFICULT FOR INVESTORS TO ASSESS EACH GROUP'S LIQUIDITY AND CAPITAL RESOURCE NEEDS AND IN TURN THE FUTURE PROSPECTS OF EACH GROUP BASED ON PAST PERFORMANCE.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SEPTEMBER 30, DECEMBER 31, 2001 2000 ----------</w:t>
      </w:r>
    </w:p>
    <w:p>
      <w:pPr>
        <w:spacing w:after="0" w:line="9" w:lineRule="exact"/>
        <w:rPr>
          <w:sz w:val="20"/>
          <w:szCs w:val="20"/>
          <w:color w:val="auto"/>
        </w:rPr>
      </w:pPr>
    </w:p>
    <w:p>
      <w:pPr>
        <w:ind w:right="5179" w:firstLine="214"/>
        <w:spacing w:after="0" w:line="251" w:lineRule="auto"/>
        <w:tabs>
          <w:tab w:leader="none" w:pos="625" w:val="left"/>
        </w:tabs>
        <w:numPr>
          <w:ilvl w:val="0"/>
          <w:numId w:val="2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Total assets..........................................</w:t>
      </w:r>
    </w:p>
    <w:p>
      <w:pPr>
        <w:jc w:val="center"/>
        <w:ind w:right="5199"/>
        <w:spacing w:after="0"/>
        <w:rPr>
          <w:sz w:val="20"/>
          <w:szCs w:val="20"/>
          <w:color w:val="auto"/>
        </w:rPr>
      </w:pPr>
      <w:r>
        <w:rPr>
          <w:rFonts w:ascii="Courier New" w:cs="Courier New" w:eastAsia="Courier New" w:hAnsi="Courier New"/>
          <w:sz w:val="17"/>
          <w:szCs w:val="17"/>
          <w:color w:val="auto"/>
        </w:rPr>
        <w:t>$2,833 $ 3,543 Total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3,659 6,084 Combined attributed net</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318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(826) (2,541)</w:t>
            </w:r>
          </w:p>
        </w:tc>
      </w:tr>
    </w:tbl>
    <w:p>
      <w:pPr>
        <w:spacing w:after="0" w:line="200" w:lineRule="exact"/>
        <w:rPr>
          <w:sz w:val="20"/>
          <w:szCs w:val="20"/>
          <w:color w:val="auto"/>
        </w:rPr>
      </w:pPr>
    </w:p>
    <w:p>
      <w:pPr>
        <w:spacing w:after="0" w:line="207"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Total assets decreased $710 million, or 20.0%, at September 30, 2001, primarily due to lower receivables as a result of lower revenue.</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X-32</w:t>
      </w:r>
    </w:p>
    <w:p>
      <w:pPr>
        <w:sectPr>
          <w:pgSz w:w="11900" w:h="16838" w:orient="portrait"/>
          <w:cols w:equalWidth="0" w:num="1">
            <w:col w:w="10219"/>
          </w:cols>
          <w:pgMar w:left="240" w:top="719" w:right="1440" w:bottom="1440" w:gutter="0" w:footer="0" w:header="0"/>
        </w:sectPr>
      </w:pPr>
    </w:p>
    <w:bookmarkStart w:id="286" w:name="page287"/>
    <w:bookmarkEnd w:id="286"/>
    <w:p>
      <w:pPr>
        <w:ind w:right="1839" w:firstLine="524"/>
        <w:spacing w:after="0" w:line="253" w:lineRule="auto"/>
        <w:rPr>
          <w:sz w:val="20"/>
          <w:szCs w:val="20"/>
          <w:color w:val="auto"/>
        </w:rPr>
      </w:pPr>
      <w:r>
        <w:rPr>
          <w:rFonts w:ascii="Courier New" w:cs="Courier New" w:eastAsia="Courier New" w:hAnsi="Courier New"/>
          <w:sz w:val="17"/>
          <w:szCs w:val="17"/>
          <w:color w:val="auto"/>
        </w:rPr>
        <w:t>Total liabilities decreased $2,425 million, or 39.9%, at September 30, 2001. This decrease primarily resulted from a decrease in debt due to AT&amp;T and a decrease in accounts payable, partially offset by an increase in income taxes payable due to the timing of the tax payments.</w:t>
      </w:r>
    </w:p>
    <w:p>
      <w:pPr>
        <w:spacing w:after="0" w:line="195"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Total combined attributed net liabilities decreased $1,715 million, or 67.5%, at September 30, 2001, primarily due to net income partially offset by dividends declared to AT&amp;T and contributions to AT&amp;T.</w:t>
      </w:r>
    </w:p>
    <w:p>
      <w:pPr>
        <w:spacing w:after="0" w:line="19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--------------------- 2000 1999 -----</w:t>
      </w:r>
    </w:p>
    <w:p>
      <w:pPr>
        <w:spacing w:after="0" w:line="9"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 ------- (DOLLARS IN MILLIONS) Total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$ 3,543 $4,072 Total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6,084 3,002 Combined attributed net (liabilities)</w:t>
      </w:r>
    </w:p>
    <w:p>
      <w:pPr>
        <w:spacing w:after="0" w:line="9" w:lineRule="exact"/>
        <w:rPr>
          <w:sz w:val="20"/>
          <w:szCs w:val="20"/>
          <w:color w:val="auto"/>
        </w:rPr>
      </w:pPr>
    </w:p>
    <w:tbl>
      <w:tblPr>
        <w:tblLayout w:type="fixed"/>
        <w:tblInd w:w="940" w:type="dxa"/>
        <w:tblCellMar>
          <w:top w:w="0" w:type="dxa"/>
          <w:left w:w="0" w:type="dxa"/>
          <w:bottom w:w="0" w:type="dxa"/>
          <w:right w:w="0" w:type="dxa"/>
        </w:tblCellMar>
      </w:tblPr>
      <w:tr>
        <w:trPr>
          <w:trHeight w:val="197"/>
        </w:trPr>
        <w:tc>
          <w:tcPr>
            <w:tcW w:w="23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(2,541) 1,070</w:t>
            </w: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Total assets decreased $529 million, or 13.0%, during 2000. The decrease in total assets was primarily associated with a decrease in accounts receivable, reflecting lower revenue.</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Total liabilities at December 31, 2000 increased $3,082 million or 102.7% during 2000. This increase is primarily due to an increase in long-term debt due to AT&amp;T.</w:t>
      </w:r>
    </w:p>
    <w:p>
      <w:pPr>
        <w:spacing w:after="0" w:line="194"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Total combined attributed net (liabilities) assets at December 31, 2000, decreased $3,611 million from the previous year, reflecting dividends and transfers to AT&amp;T of $7.7 billion, partially offset by net income of $4.1 billion.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PRONOUNCEMENTS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June 2001, the Financial Accounting Standards Board (FASB) issued SFAS No. 141, "Business Combinations," which supercedes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These requirements are effective for fiscal years beginning after December 15, 2001, which for AT&amp;T Consumer Services Group means January 1, 2002. AT&amp;T Consumer Services Group does not expect that the adoption of SFAS No. 141 will have a material effect on AT&amp;T Consumer Services Group's results of operations, financial position or cash flows.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Also in June 2001, the FASB issued SFAS No. 142, "Goodwill and Other Intangible Assets," which supercedes APB Opinion No. 17. Under SFAS No.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fiscal years beginning after December 15, 2001, which for AT&amp;T Consumer Services Group means the standard will be adopted on January 1, 2002. In connection with the adoption of this standard, AT&amp;T Consumer Services Group's unamortized goodwill balance will no longer be amortized, but will continue to be tested for impairment. AT&amp;T Consumer Services Group does not expect that the adoption of SFAS No. 142 will have a material effect on AT&amp;T Consumer Services Group's results of operations, financial position or cash flows.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which for AT&amp;T Consumer Services Group means the standard will be adopted on January 1, 2003. AT&amp;T Consumer Services Group does not</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X-33</w:t>
      </w:r>
    </w:p>
    <w:p>
      <w:pPr>
        <w:sectPr>
          <w:pgSz w:w="11900" w:h="16838" w:orient="portrait"/>
          <w:cols w:equalWidth="0" w:num="1">
            <w:col w:w="10219"/>
          </w:cols>
          <w:pgMar w:left="240" w:top="720" w:right="1440" w:bottom="658" w:gutter="0" w:footer="0" w:header="0"/>
        </w:sectPr>
      </w:pPr>
    </w:p>
    <w:bookmarkStart w:id="287" w:name="page288"/>
    <w:bookmarkEnd w:id="287"/>
    <w:p>
      <w:pPr>
        <w:ind w:right="2039"/>
        <w:spacing w:after="0" w:line="254" w:lineRule="auto"/>
        <w:rPr>
          <w:sz w:val="20"/>
          <w:szCs w:val="20"/>
          <w:color w:val="auto"/>
        </w:rPr>
      </w:pPr>
      <w:r>
        <w:rPr>
          <w:rFonts w:ascii="Courier New" w:cs="Courier New" w:eastAsia="Courier New" w:hAnsi="Courier New"/>
          <w:sz w:val="17"/>
          <w:szCs w:val="17"/>
          <w:color w:val="auto"/>
        </w:rPr>
        <w:t>expect that the adoption of this statement will have a material impact on AT&amp;T Consumer Services Group's results of operations, financial position or cash flows.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October 2001, the FASB issued SFAS No. 144, "Accounting for the Impairment or Disposal of Long-Lived Assets," which supercedes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is effective for financial statements issued for fiscal years beginning after December 15, 2001, which for AT&amp;T Consumer Services Group means the standard will be adopted on January 1, 2002. AT&amp;T Consumer Services Group does not expect that the adoption of SFAS No. 144 will have a material impact on AT&amp;T Consumer Services Group's results of operations, financial position or cash flows.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SUBSEQUENT EVENTS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October 16, 2001, AT&amp;T announced a decision to unwind Concert, its global venture with British Telecommunications plc. Currently, Concert incurs most of AT&amp;T's international settlements and bills AT&amp;T Consumer Services Group a net expense composed of international settlement (interconnection) expense and foreign-billed revenue to settle calls completed outside of the United States. In conjunction with the unwinding of Concert, AT&amp;T Consumer Services Group will record both foreign-billed revenue and interconnection expense for these transactions.</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January 2002, AT&amp;T entered into a $2.6 billion five-year agreement with Accenture Ltd. for Accenture to provide management, new technology and training for AT&amp;T Consumer Services Group. Under the terms of the agreement, Accenture will be responsible for providing new technology development and ongoing management direction to improve AT&amp;T Consumer Services Group customer care operations, with goals of reducing costs, raising productivity, and improving sales and customer service. AT&amp;T Consumer Services Group will continue to develop and implement its overall business and marketing strategies and new product offerings.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X-34</w:t>
      </w:r>
    </w:p>
    <w:p>
      <w:pPr>
        <w:sectPr>
          <w:pgSz w:w="11900" w:h="16838" w:orient="portrait"/>
          <w:cols w:equalWidth="0" w:num="1">
            <w:col w:w="10219"/>
          </w:cols>
          <w:pgMar w:left="240" w:top="719" w:right="1440" w:bottom="1440" w:gutter="0" w:footer="0" w:header="0"/>
        </w:sectPr>
      </w:pPr>
    </w:p>
    <w:bookmarkStart w:id="288" w:name="page289"/>
    <w:bookmarkEnd w:id="288"/>
    <w:p>
      <w:pPr>
        <w:jc w:val="center"/>
        <w:ind w:right="1839"/>
        <w:spacing w:after="0"/>
        <w:rPr>
          <w:sz w:val="20"/>
          <w:szCs w:val="20"/>
          <w:color w:val="auto"/>
        </w:rPr>
      </w:pPr>
      <w:r>
        <w:rPr>
          <w:rFonts w:ascii="Courier New" w:cs="Courier New" w:eastAsia="Courier New" w:hAnsi="Courier New"/>
          <w:sz w:val="17"/>
          <w:szCs w:val="17"/>
          <w:color w:val="auto"/>
        </w:rPr>
        <w:t>RELATIONSHIP BETWEEN THE AT&amp;T GROUPS</w:t>
      </w:r>
    </w:p>
    <w:p>
      <w:pPr>
        <w:spacing w:after="0" w:line="210"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AT&amp;T shareholders should read the by-law amendment relating to the AT&amp;T Groups capital stock committee and the AT&amp;T Groups policy statement, copies of which are attached as Annexes N and O, respectively, to this document.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AT&amp;T GROUPS CAPITAL STOCK COMMITTEE</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Upon creation and issuance of AT&amp;T Consumer Services Group tracking stock, AT&amp;T will amend AT&amp;T's by-laws to establish an AT&amp;T Groups capital stock committee of the AT&amp;T Board to oversee the interaction among the businesses of the AT&amp;T groups. The members of the AT&amp;T Groups capital stock committee will be independent directors selected by the AT&amp;T Board. The by-law amendment provides that the AT&amp;T Board will delegate to the AT&amp;T Groups capital stock committee authority to:</w:t>
      </w:r>
    </w:p>
    <w:p>
      <w:pPr>
        <w:spacing w:after="0" w:line="196" w:lineRule="exact"/>
        <w:rPr>
          <w:sz w:val="20"/>
          <w:szCs w:val="20"/>
          <w:color w:val="auto"/>
        </w:rPr>
      </w:pPr>
    </w:p>
    <w:p>
      <w:pPr>
        <w:ind w:left="740" w:right="2139" w:hanging="209"/>
        <w:spacing w:after="0" w:line="253" w:lineRule="auto"/>
        <w:tabs>
          <w:tab w:leader="none" w:pos="740" w:val="left"/>
        </w:tabs>
        <w:numPr>
          <w:ilvl w:val="0"/>
          <w:numId w:val="2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interpret, make determinations under and oversee the implementation of the policies described in the Policy Statement Regarding AT&amp;T Groups Tracking Stock Matters described under "-- The AT&amp;T Groups Policy Statement;"</w:t>
      </w:r>
    </w:p>
    <w:p>
      <w:pPr>
        <w:spacing w:after="0" w:line="195"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the policies, programs and practices of AT&amp;T relating to:</w:t>
      </w:r>
    </w:p>
    <w:p>
      <w:pPr>
        <w:spacing w:after="0" w:line="210" w:lineRule="exact"/>
        <w:rPr>
          <w:rFonts w:ascii="Courier New" w:cs="Courier New" w:eastAsia="Courier New" w:hAnsi="Courier New"/>
          <w:sz w:val="17"/>
          <w:szCs w:val="17"/>
          <w:color w:val="auto"/>
        </w:rPr>
      </w:pPr>
    </w:p>
    <w:p>
      <w:pPr>
        <w:ind w:left="960" w:hanging="324"/>
        <w:spacing w:after="0"/>
        <w:tabs>
          <w:tab w:leader="none" w:pos="960" w:val="left"/>
        </w:tabs>
        <w:numPr>
          <w:ilvl w:val="1"/>
          <w:numId w:val="2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and financial relationships of the AT&amp;T groups, and</w:t>
      </w:r>
    </w:p>
    <w:p>
      <w:pPr>
        <w:spacing w:after="0" w:line="210" w:lineRule="exact"/>
        <w:rPr>
          <w:rFonts w:ascii="Courier New" w:cs="Courier New" w:eastAsia="Courier New" w:hAnsi="Courier New"/>
          <w:sz w:val="17"/>
          <w:szCs w:val="17"/>
          <w:color w:val="auto"/>
        </w:rPr>
      </w:pPr>
    </w:p>
    <w:p>
      <w:pPr>
        <w:ind w:left="960" w:right="1839" w:hanging="324"/>
        <w:spacing w:after="0" w:line="258" w:lineRule="auto"/>
        <w:tabs>
          <w:tab w:leader="none" w:pos="960" w:val="left"/>
        </w:tabs>
        <w:numPr>
          <w:ilvl w:val="1"/>
          <w:numId w:val="2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matters arising in connection with any of the foregoing, all to the extent the AT&amp;T Groups capital stock committee may deem appropriate; and</w:t>
      </w:r>
    </w:p>
    <w:p>
      <w:pPr>
        <w:spacing w:after="0" w:line="391" w:lineRule="exact"/>
        <w:rPr>
          <w:rFonts w:ascii="Courier New" w:cs="Courier New" w:eastAsia="Courier New" w:hAnsi="Courier New"/>
          <w:sz w:val="17"/>
          <w:szCs w:val="17"/>
          <w:color w:val="auto"/>
        </w:rPr>
      </w:pPr>
    </w:p>
    <w:p>
      <w:pPr>
        <w:ind w:left="740" w:right="2039" w:hanging="209"/>
        <w:spacing w:after="0" w:line="257" w:lineRule="auto"/>
        <w:tabs>
          <w:tab w:leader="none" w:pos="740" w:val="left"/>
        </w:tabs>
        <w:numPr>
          <w:ilvl w:val="0"/>
          <w:numId w:val="2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recommend changes in the policies, programs and practices that the AT&amp;T Groups capital stock committee may deem appropriate.</w:t>
      </w:r>
    </w:p>
    <w:p>
      <w:pPr>
        <w:spacing w:after="0" w:line="192"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AT&amp;T Groups capital stock committee will have and may exercise other powers, authority and responsibilities as the AT&amp;T Board may determine from time to time.</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However, there will not be a separate board of directors for AT&amp;T Consumer Services Group and the AT&amp;T Groups capital stock committee will not function as a board of directors for AT&amp;T Consumer Services Group tracking stock. Under existing law, neither the AT&amp;T Board nor the AT&amp;T Groups capital stock committee owes a separate fiduciary duty to the holders of AT&amp;T Consumer Services Group tracking stock apart from the general duty that is owed to all AT&amp;T shareholders.</w:t>
      </w:r>
    </w:p>
    <w:p>
      <w:pPr>
        <w:spacing w:after="0" w:line="398"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Although the AT&amp;T Board has no present intention to do so, it may modify, suspend or rescind the by-law amendment or adopt additional by-laws, at any time, without the approval of AT&amp;T shareholders, subject to the AT&amp;T Board's fiduciary duties.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AT&amp;T GROUPS POLICY STATEMENT</w:t>
      </w:r>
    </w:p>
    <w:p>
      <w:pPr>
        <w:spacing w:after="0" w:line="210" w:lineRule="exact"/>
        <w:rPr>
          <w:sz w:val="20"/>
          <w:szCs w:val="20"/>
          <w:color w:val="auto"/>
        </w:rPr>
      </w:pPr>
    </w:p>
    <w:p>
      <w:pPr>
        <w:ind w:right="2359" w:firstLine="524"/>
        <w:spacing w:after="0" w:line="254" w:lineRule="auto"/>
        <w:rPr>
          <w:sz w:val="20"/>
          <w:szCs w:val="20"/>
          <w:color w:val="auto"/>
        </w:rPr>
      </w:pPr>
      <w:r>
        <w:rPr>
          <w:rFonts w:ascii="Courier New" w:cs="Courier New" w:eastAsia="Courier New" w:hAnsi="Courier New"/>
          <w:sz w:val="17"/>
          <w:szCs w:val="17"/>
          <w:color w:val="auto"/>
        </w:rPr>
        <w:t>In connection with the creation and issuance of AT&amp;T Consumer Services Group tracking stock, AT&amp;T will, effective upon issuance of AT&amp;T Consumer Services Group tracking stock, adopt the AT&amp;T Groups policy statement.</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GENERAL POLICY</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AT&amp;T Board has determined that all material matters in which holders of AT&amp;T common stock and AT&amp;T Consumer Services Group tracking stock may have divergent interests generally will be resolved in a manner that is in the best interests of AT&amp;T and all AT&amp;T common shareholders as a whole after giving fair consideration to the potentially divergent interests and all other relevant interests of the holders of the separate classes of AT&amp;T common shares. Under the AT&amp;T Groups policy statement, the relationships between AT&amp;T groups and the means by which the terms of any material transactions among them will be determined will be governed by a process of fair dealing.</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X-35</w:t>
      </w:r>
    </w:p>
    <w:p>
      <w:pPr>
        <w:sectPr>
          <w:pgSz w:w="11900" w:h="16838" w:orient="portrait"/>
          <w:cols w:equalWidth="0" w:num="1">
            <w:col w:w="10219"/>
          </w:cols>
          <w:pgMar w:left="240" w:top="720" w:right="1440" w:bottom="1440" w:gutter="0" w:footer="0" w:header="0"/>
        </w:sectPr>
      </w:pPr>
    </w:p>
    <w:bookmarkStart w:id="289" w:name="page290"/>
    <w:bookmarkEnd w:id="289"/>
    <w:p>
      <w:pPr>
        <w:ind w:left="220"/>
        <w:spacing w:after="0"/>
        <w:rPr>
          <w:sz w:val="20"/>
          <w:szCs w:val="20"/>
          <w:color w:val="auto"/>
        </w:rPr>
      </w:pPr>
      <w:r>
        <w:rPr>
          <w:rFonts w:ascii="Courier New" w:cs="Courier New" w:eastAsia="Courier New" w:hAnsi="Courier New"/>
          <w:sz w:val="17"/>
          <w:szCs w:val="17"/>
          <w:color w:val="auto"/>
        </w:rPr>
        <w:t>RELATIONSHIP BETWEEN AT&amp;T GROUPS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AT&amp;T Groups policy statement provides that AT&amp;T will seek to manage AT&amp;T groups in a manner that maximizes the operational performance and value of all AT&amp;T groups taken as a whole, even though in certain circumstances actions could disproportionately impact an individual group; provided, however, that such disproportionate actions will not, in the aggregate, have an adverse material impact on the results of operations or financial position of either group.</w:t>
      </w:r>
    </w:p>
    <w:p>
      <w:pPr>
        <w:spacing w:after="0" w:line="398"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General. Subject to special arrangements or existing commercial arrangements in effect at the time the AT&amp;T Groups policy statement is adopted, the AT&amp;T Groups policy statement provides that, except as otherwise provided in the AT&amp;T Groups policy statement (and renewals or extensions thereof), all material commercial transactions among the AT&amp;T groups will be on commercially reasonable terms taken as a whole, and will be subject to the review and approval of the AT&amp;T Groups capital stock committee.</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AT&amp;T groups may make loans to each other on terms and conditions substantially equivalent to the interest rates and terms and conditions that the AT&amp;T groups would be able to obtain from third parties without the benefit of support or guarantee by AT&amp;T. AT&amp;T expects that AT&amp;T Consumer Services Group will make such loans from time to time to AT&amp;T Business Services Group. For example, AT&amp;T Consumer Services Group may loan funds to AT&amp;T Business Services Group to continue to upgrade its network and make new functions and features available on the network.</w:t>
      </w:r>
    </w:p>
    <w:p>
      <w:pPr>
        <w:spacing w:after="0" w:line="201"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For shared corporate services that arise as a result of being part of a combined entity, including securities filing and financial reporting services, costs relating to these services will be:</w:t>
      </w:r>
    </w:p>
    <w:p>
      <w:pPr>
        <w:spacing w:after="0" w:line="194" w:lineRule="exact"/>
        <w:rPr>
          <w:sz w:val="20"/>
          <w:szCs w:val="20"/>
          <w:color w:val="auto"/>
        </w:rPr>
      </w:pPr>
    </w:p>
    <w:p>
      <w:pPr>
        <w:ind w:left="740" w:hanging="209"/>
        <w:spacing w:after="0"/>
        <w:tabs>
          <w:tab w:leader="none" w:pos="740" w:val="left"/>
        </w:tabs>
        <w:numPr>
          <w:ilvl w:val="0"/>
          <w:numId w:val="2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allocated directly to the AT&amp;T group utilizing those services, and</w:t>
      </w:r>
    </w:p>
    <w:p>
      <w:pPr>
        <w:spacing w:after="0" w:line="210" w:lineRule="exact"/>
        <w:rPr>
          <w:rFonts w:ascii="Courier New" w:cs="Courier New" w:eastAsia="Courier New" w:hAnsi="Courier New"/>
          <w:sz w:val="17"/>
          <w:szCs w:val="17"/>
          <w:color w:val="auto"/>
        </w:rPr>
      </w:pPr>
    </w:p>
    <w:p>
      <w:pPr>
        <w:ind w:left="740" w:right="2139" w:hanging="209"/>
        <w:spacing w:after="0" w:line="257" w:lineRule="auto"/>
        <w:tabs>
          <w:tab w:leader="none" w:pos="740" w:val="left"/>
        </w:tabs>
        <w:numPr>
          <w:ilvl w:val="0"/>
          <w:numId w:val="2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not directly allocable to an AT&amp;T group, allocated between the AT&amp;T groups on a fair and reasonable basis as the AT&amp;T Board determines.</w:t>
      </w:r>
    </w:p>
    <w:p>
      <w:pPr>
        <w:spacing w:after="0" w:line="192"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For other support services, the AT&amp;T Groups policy statement provides that the AT&amp;T groups will seek to achieve enterprise efficiencies to reduce the aggregate costs incurred by the AT&amp;T groups on a combined basis.</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CORPORATE OPPORTUNITIES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AT&amp;T Groups policy statement provides that the AT&amp;T Board will allocate any business opportunities and operations, any acquired assets and businesses and any assumed liabilities between the AT&amp;T groups, in whole or in part, as it considers to be in the best interests of AT&amp;T and AT&amp;T shareholders as a whole and as contemplated by the other provisions of the AT&amp;T Groups policy statement. If a business opportunity or operation, an acquired asset or business, or an assumed liability would be suitable to be undertaken by or allocated to more than one AT&amp;T group, the AT&amp;T Board will allocate it using its business judgment or in accordance with procedures that the AT&amp;T Board adopts from time to time to ensure that decisions will be made in the best interests of AT&amp;T and AT&amp;T shareholders as a whole. Any allocation of this type may involve the consideration of a number of factors that the AT&amp;T Board determines to be relevant, including, without limitation, whether the business opportunity or operation, the acquired asset or business, or the assumed liability is principally within the existing scope of an AT&amp;T group's business and whether an AT&amp;T group is comparatively better positioned to undertake or have allocated to it the business opportunity or operation, acquired asset or business or assumed liability.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Except under the</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AT&amp;T</w:t>
            </w: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Groups policy statement</w:t>
            </w:r>
          </w:p>
        </w:tc>
        <w:tc>
          <w:tcPr>
            <w:tcW w:w="3080" w:type="dxa"/>
            <w:vAlign w:val="bottom"/>
          </w:tcPr>
          <w:p>
            <w:pPr>
              <w:ind w:left="40"/>
              <w:spacing w:after="0"/>
              <w:rPr>
                <w:sz w:val="20"/>
                <w:szCs w:val="20"/>
                <w:color w:val="auto"/>
              </w:rPr>
            </w:pPr>
            <w:r>
              <w:rPr>
                <w:rFonts w:ascii="Courier New" w:cs="Courier New" w:eastAsia="Courier New" w:hAnsi="Courier New"/>
                <w:sz w:val="17"/>
                <w:szCs w:val="17"/>
                <w:color w:val="auto"/>
              </w:rPr>
              <w:t>and any other policies</w:t>
            </w:r>
          </w:p>
        </w:tc>
      </w:tr>
      <w:tr>
        <w:trPr>
          <w:trHeight w:val="201"/>
        </w:trPr>
        <w:tc>
          <w:tcPr>
            <w:tcW w:w="28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adopted by the AT&amp;T Board,</w:t>
            </w: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and except as may arise</w:t>
            </w:r>
          </w:p>
        </w:tc>
        <w:tc>
          <w:tcPr>
            <w:tcW w:w="3080" w:type="dxa"/>
            <w:vAlign w:val="bottom"/>
          </w:tcPr>
          <w:p>
            <w:pPr>
              <w:ind w:left="40"/>
              <w:spacing w:after="0"/>
              <w:rPr>
                <w:sz w:val="20"/>
                <w:szCs w:val="20"/>
                <w:color w:val="auto"/>
              </w:rPr>
            </w:pPr>
            <w:r>
              <w:rPr>
                <w:rFonts w:ascii="Courier New" w:cs="Courier New" w:eastAsia="Courier New" w:hAnsi="Courier New"/>
                <w:sz w:val="17"/>
                <w:szCs w:val="17"/>
                <w:color w:val="auto"/>
              </w:rPr>
              <w:t>under branding agreements and</w:t>
            </w:r>
          </w:p>
        </w:tc>
      </w:tr>
      <w:tr>
        <w:trPr>
          <w:trHeight w:val="201"/>
        </w:trPr>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arrangements, neither</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AT&amp;T</w:t>
            </w:r>
          </w:p>
        </w:tc>
        <w:tc>
          <w:tcPr>
            <w:tcW w:w="5540" w:type="dxa"/>
            <w:vAlign w:val="bottom"/>
            <w:gridSpan w:val="2"/>
          </w:tcPr>
          <w:p>
            <w:pPr>
              <w:spacing w:after="0"/>
              <w:rPr>
                <w:sz w:val="20"/>
                <w:szCs w:val="20"/>
                <w:color w:val="auto"/>
              </w:rPr>
            </w:pPr>
            <w:r>
              <w:rPr>
                <w:rFonts w:ascii="Courier New" w:cs="Courier New" w:eastAsia="Courier New" w:hAnsi="Courier New"/>
                <w:sz w:val="17"/>
                <w:szCs w:val="17"/>
                <w:color w:val="auto"/>
              </w:rPr>
              <w:t>group will have any duty, responsibility or</w:t>
            </w:r>
          </w:p>
        </w:tc>
      </w:tr>
      <w:tr>
        <w:trPr>
          <w:trHeight w:val="201"/>
        </w:trPr>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obligation to refrain</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from:</w:t>
            </w:r>
          </w:p>
        </w:tc>
        <w:tc>
          <w:tcPr>
            <w:tcW w:w="2460" w:type="dxa"/>
            <w:vAlign w:val="bottom"/>
          </w:tcPr>
          <w:p>
            <w:pPr>
              <w:spacing w:after="0"/>
              <w:rPr>
                <w:sz w:val="17"/>
                <w:szCs w:val="17"/>
                <w:color w:val="auto"/>
              </w:rPr>
            </w:pPr>
          </w:p>
        </w:tc>
        <w:tc>
          <w:tcPr>
            <w:tcW w:w="3080" w:type="dxa"/>
            <w:vAlign w:val="bottom"/>
          </w:tcPr>
          <w:p>
            <w:pPr>
              <w:spacing w:after="0"/>
              <w:rPr>
                <w:sz w:val="17"/>
                <w:szCs w:val="17"/>
                <w:color w:val="auto"/>
              </w:rPr>
            </w:pPr>
          </w:p>
        </w:tc>
      </w:tr>
    </w:tbl>
    <w:p>
      <w:pPr>
        <w:spacing w:after="0" w:line="205" w:lineRule="exact"/>
        <w:rPr>
          <w:sz w:val="20"/>
          <w:szCs w:val="20"/>
          <w:color w:val="auto"/>
        </w:rPr>
      </w:pPr>
    </w:p>
    <w:p>
      <w:pPr>
        <w:ind w:left="740" w:right="2139" w:hanging="209"/>
        <w:spacing w:after="0" w:line="257" w:lineRule="auto"/>
        <w:tabs>
          <w:tab w:leader="none" w:pos="740" w:val="left"/>
        </w:tabs>
        <w:numPr>
          <w:ilvl w:val="0"/>
          <w:numId w:val="2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engaging in the same or similar activities or lines of business as any member of the other AT&amp;T group;</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X-36</w:t>
      </w:r>
    </w:p>
    <w:p>
      <w:pPr>
        <w:sectPr>
          <w:pgSz w:w="11900" w:h="16838" w:orient="portrait"/>
          <w:cols w:equalWidth="0" w:num="1">
            <w:col w:w="10219"/>
          </w:cols>
          <w:pgMar w:left="240" w:top="719" w:right="1440" w:bottom="1440" w:gutter="0" w:footer="0" w:header="0"/>
        </w:sectPr>
      </w:pPr>
    </w:p>
    <w:bookmarkStart w:id="290" w:name="page291"/>
    <w:bookmarkEnd w:id="290"/>
    <w:p>
      <w:pPr>
        <w:ind w:left="740" w:right="2459" w:hanging="209"/>
        <w:spacing w:after="0" w:line="257" w:lineRule="auto"/>
        <w:tabs>
          <w:tab w:leader="none" w:pos="740" w:val="left"/>
        </w:tabs>
        <w:numPr>
          <w:ilvl w:val="0"/>
          <w:numId w:val="2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doing business with any potential or actual supplier, competitor or customer of any member of the other AT&amp;T group; or</w:t>
      </w:r>
    </w:p>
    <w:p>
      <w:pPr>
        <w:spacing w:after="0" w:line="191" w:lineRule="exact"/>
        <w:rPr>
          <w:rFonts w:ascii="Courier New" w:cs="Courier New" w:eastAsia="Courier New" w:hAnsi="Courier New"/>
          <w:sz w:val="17"/>
          <w:szCs w:val="17"/>
          <w:color w:val="auto"/>
        </w:rPr>
      </w:pPr>
    </w:p>
    <w:p>
      <w:pPr>
        <w:jc w:val="both"/>
        <w:ind w:left="740" w:right="1839" w:hanging="209"/>
        <w:spacing w:after="0" w:line="254" w:lineRule="auto"/>
        <w:tabs>
          <w:tab w:leader="none" w:pos="740" w:val="left"/>
        </w:tabs>
        <w:numPr>
          <w:ilvl w:val="0"/>
          <w:numId w:val="2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engaging in, or refraining from, any other activities whatsoever relating to any of the potential or actual suppliers or customers of any member of the other AT&amp;T group.</w:t>
      </w:r>
    </w:p>
    <w:p>
      <w:pPr>
        <w:spacing w:after="0" w:line="194"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In addition, except under the AT&amp;T Groups policy statement and any other policies adopted by the AT&amp;T Board, neither AT&amp;T group will have any duty, responsibility or obligation:</w:t>
      </w:r>
    </w:p>
    <w:p>
      <w:pPr>
        <w:spacing w:after="0" w:line="194" w:lineRule="exact"/>
        <w:rPr>
          <w:sz w:val="20"/>
          <w:szCs w:val="20"/>
          <w:color w:val="auto"/>
        </w:rPr>
      </w:pPr>
    </w:p>
    <w:p>
      <w:pPr>
        <w:ind w:left="740" w:right="1839" w:hanging="209"/>
        <w:spacing w:after="0" w:line="252" w:lineRule="auto"/>
        <w:tabs>
          <w:tab w:leader="none" w:pos="740" w:val="left"/>
        </w:tabs>
        <w:numPr>
          <w:ilvl w:val="0"/>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communicate or offer any business or other corporate opportunity to any other person, including any business or other corporate opportunity that may arise that more than one AT&amp;T group may be financially able to undertake, and that is, from its nature, in the line of more than one AT&amp;T group's business and is of practical advantage to more than one AT&amp;T group;</w:t>
      </w:r>
    </w:p>
    <w:p>
      <w:pPr>
        <w:spacing w:after="0" w:line="196" w:lineRule="exact"/>
        <w:rPr>
          <w:rFonts w:ascii="Courier New" w:cs="Courier New" w:eastAsia="Courier New" w:hAnsi="Courier New"/>
          <w:sz w:val="17"/>
          <w:szCs w:val="17"/>
          <w:color w:val="auto"/>
        </w:rPr>
      </w:pPr>
    </w:p>
    <w:p>
      <w:pPr>
        <w:jc w:val="both"/>
        <w:ind w:left="740" w:right="2139" w:hanging="209"/>
        <w:spacing w:after="0" w:line="254" w:lineRule="auto"/>
        <w:tabs>
          <w:tab w:leader="none" w:pos="740" w:val="left"/>
        </w:tabs>
        <w:numPr>
          <w:ilvl w:val="0"/>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provide financial support to the other AT&amp;T group, or any member of the other AT&amp;T group, except as described under "-- Relationships with AT&amp;T Business Services Group -- Financing Arrangements;" or</w:t>
      </w:r>
    </w:p>
    <w:p>
      <w:pPr>
        <w:spacing w:after="0" w:line="194"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otherwise to assist the other AT&amp;T group.</w:t>
      </w:r>
    </w:p>
    <w:p>
      <w:pPr>
        <w:spacing w:after="0" w:line="210"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Under no circumstances will any members of either AT&amp;T group be prevented from entering into written agreements with the other AT&amp;T group to define or restrict any aspect of the relationship between the AT&amp;T groups.</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DIVIDEND POLICY</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AT&amp;T Groups policy statement provides that, subject to the limitations on dividends set forth in AT&amp;T's charter, including any preferential rights of any series of AT&amp;T preferred stock, and to the limitations of applicable law, holders of shares of any class of AT&amp;T common stock will be entitled to receive dividends on that AT&amp;T stock when, as and if the AT&amp;T Board authorizes and declares dividends on that AT&amp;T stock. The payment of dividends on any class of AT&amp;T common stock will be a business decision that the AT&amp;T Board makes from time to time based on the results of operations, financial condition, cash requirements and future prospects of AT&amp;T and other factors that the AT&amp;T Board considers relevant. Payment of dividends on any class of AT&amp;T common stock also may be restricted by loan agreements, indentures and other transactions that AT&amp;T enters into from time to time.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Following any issuance of AT&amp;T Consumer Services Group tracking stock, it is currently expected that one-third of the current dividend payable on AT&amp;T common stock will be allocated to AT&amp;T common stock and that two-thirds will be allocated to AT&amp;T Consumer Services Group tracking stock in a manner to be determined by the AT&amp;T Board. The declaration of dividends by AT&amp;T and the amount of that dividend will, however, be in the discretion of the AT&amp;T Board, and will depend upon the AT&amp;T groups' financial performance, the dividend policies and capital structures of comparable companies and each AT&amp;T group's ongoing capital needs. If and when the AT&amp;T Board determines to pay any dividends on shares of AT&amp;T Consumer Services Group tracking stock, the AT&amp;T Groups policy statement provides that this determination also will be subject to factors similar to those described above with respect to the payment of dividends on each class of AT&amp;T common stock.</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AT&amp;T GROUPS CAPITAL STOCK COMMITTEE</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AT&amp;T's bylaws will provide for the AT&amp;T Groups capital stock committee of the AT&amp;T Board. In making determinations in connection with the policies set forth in the AT&amp;T Groups policy statement, the members of the AT&amp;T Board and the AT&amp;T Groups capital stock committee will act in a fiduciary capacity and in accordance with legal guidance concerning their respective obligations under applicable law. The delegation of responsibilities to the AT&amp;T Groups capital stock committee will be subject to changes the AT&amp;T Board may determine.</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X-37</w:t>
      </w:r>
    </w:p>
    <w:p>
      <w:pPr>
        <w:sectPr>
          <w:pgSz w:w="11900" w:h="16838" w:orient="portrait"/>
          <w:cols w:equalWidth="0" w:num="1">
            <w:col w:w="10219"/>
          </w:cols>
          <w:pgMar w:left="240" w:top="719" w:right="1440" w:bottom="1440" w:gutter="0" w:footer="0" w:header="0"/>
        </w:sectPr>
      </w:pPr>
    </w:p>
    <w:bookmarkStart w:id="291" w:name="page292"/>
    <w:bookmarkEnd w:id="291"/>
    <w:p>
      <w:pPr>
        <w:ind w:left="220"/>
        <w:spacing w:after="0"/>
        <w:rPr>
          <w:sz w:val="20"/>
          <w:szCs w:val="20"/>
          <w:color w:val="auto"/>
        </w:rPr>
      </w:pPr>
      <w:r>
        <w:rPr>
          <w:rFonts w:ascii="Courier New" w:cs="Courier New" w:eastAsia="Courier New" w:hAnsi="Courier New"/>
          <w:sz w:val="17"/>
          <w:szCs w:val="17"/>
          <w:color w:val="auto"/>
        </w:rPr>
        <w:t>AMENDMENT AND MODIFICATION TO THE AT&amp;T GROUPS POLICY STATEMENT</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AT&amp;T Board may modify, suspend or rescind the policies set forth in the AT&amp;T Groups policy statement, including any resolution implementing the provisions of the AT&amp;T Groups policy statement. The AT&amp;T Board also may adopt additional or other policies or make exceptions with respect to the application of the policies described in the AT&amp;T Groups policy statement in connection with particular facts and circumstances, all as the AT&amp;T Board may determine, consistent with its fiduciary duties to AT&amp;T and AT&amp;T shareholders as a whole.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WITH AT&amp;T BUSINESS SERVICES GROUP</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BRANDING</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will continue to own and manage all AT&amp;T brands, and AT&amp;T Consumer Services Group will have the right, on a royalty-free basis, to continue to use certain of the AT&amp;T brands, including the AT&amp;T globe design and the AT&amp;T trade dress, which we collectively refer to as "AT&amp;T Consumer Services brands," in accordance with a brand agreement. Under the brand agreement, AT&amp;T Consumer Services Group will be entitled to use AT&amp;T Consumer Services brands for the provision of stand-alone residential long distance services, prepaid consumer calling card services, consumer calling card services, operator-assisted international telephone services for consumer travelers, certain DSL-based communications services, residential local telephony services, consumer dial-up narrow-band Internet access services and consumer high-speed Internet access services, and certain portals, content, equipment and software, and for bundles of the foregoing offered by AT&amp;T Consumer Services Group. The rights of AT&amp;T Consumer Services Group under the brand agreement will remain in effect while AT&amp;T Consumer Services Group tracking stock remains outstanding.</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Under the brand agreement, AT&amp;T Consumer Services Group's rights to use the AT&amp;T Consumer Services brands in connection with the foregoing services provided (directly or indirectly) and billed to consumers will be exclusive domestically (subject to preexisting agreements, AT&amp;T's right to use the brand with all customers in Alaska, and any applicable legal requirements) and nonexclusive internationally. The agreement will establish principles to delineate whether particular customers for certain services are within the brand scope of AT&amp;T Business Services Group or AT&amp;T Consumer Services Group.</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territory of the brand agreement generally will be worldwide, with exceptions where AT&amp;T already has granted brand license agreements or where another AT&amp;T unit has exclusive brand rights for competing services. Subject to certain conditions set forth in the brand agreement, AT&amp;T Consumer Services Group also may extend certain rights to use the AT&amp;T Consumer Services brands to authorized dealers of AT&amp;T Consumer Services Group's services. The brand agreement will provide that AT&amp;T Consumer Services Group must comply with specified quality, customer care, graphics and marketing standards and guidelines to avoid confusion in connection with the use of the AT&amp;T Consumer Services brands. It also will provide that, for so long as AT&amp;T Consumer Services Group uses the AT&amp;T Consumer Services brands, it will pay AT&amp;T a brand maintenance fee for the administration, protection and promotion of the AT&amp;T Consumer Services brands.</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INTELLECTUAL PROPERTY</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Intellectual property will generally continue to be managed by the AT&amp;T group that has managed it historically. Each AT&amp;T group will have the right to use certain intellectual property managed by the other AT&amp;T group, or with respect to which either AT&amp;T group has the power to grant these rights, in accordance with an intellectual property agreement. Rights under future intellectual property will be governed by sponsored development agreements that may, or may not, be entered into by the AT&amp;T groups. Pursuant to any sponsored development agreement, the AT&amp;T group that performed the work would own the newly developed intellectual property and the funding group would be granted perpetual, paid-up rights necessary to use the development on a worldwide basis as well as certain rights designed to secure a competitive advantage.</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X-38</w:t>
      </w:r>
    </w:p>
    <w:p>
      <w:pPr>
        <w:sectPr>
          <w:pgSz w:w="11900" w:h="16838" w:orient="portrait"/>
          <w:cols w:equalWidth="0" w:num="1">
            <w:col w:w="10219"/>
          </w:cols>
          <w:pgMar w:left="240" w:top="720" w:right="1440" w:bottom="1440" w:gutter="0" w:footer="0" w:header="0"/>
        </w:sectPr>
      </w:pPr>
    </w:p>
    <w:bookmarkStart w:id="292" w:name="page293"/>
    <w:bookmarkEnd w:id="292"/>
    <w:p>
      <w:pPr>
        <w:ind w:right="1839" w:firstLine="524"/>
        <w:spacing w:after="0" w:line="251" w:lineRule="auto"/>
        <w:rPr>
          <w:sz w:val="20"/>
          <w:szCs w:val="20"/>
          <w:color w:val="auto"/>
        </w:rPr>
      </w:pPr>
      <w:r>
        <w:rPr>
          <w:rFonts w:ascii="Courier New" w:cs="Courier New" w:eastAsia="Courier New" w:hAnsi="Courier New"/>
          <w:sz w:val="17"/>
          <w:szCs w:val="17"/>
          <w:color w:val="auto"/>
        </w:rPr>
        <w:t>The intellectual property agreement to be entered into by AT&amp;T Consumer Services Group will specify the ownership and license rights in existing patents, patents that may result from pending patent applications, software, copyrights and trade secrets. AT&amp;T Consumer Services Group will have a nonexclusive, fully paid-up, worldwide, perpetual license under such patents to make, use and sell all products and services in the conduct of its present and future business. AT&amp;T Consumer Services Group also will have special rights under those patents, for defensive protection, special affiliate licensing and supplier licensing. Each AT&amp;T group will own all of the software, trade secrets and copyrights that it created prior to the effective date of the intellectual property agreement. Each AT&amp;T group will grant to the other AT&amp;T group a nonexclusive, fully paid-up, worldwide, perpetual license to use the AT&amp;T group's software, trade secrets (excluding customer information and other commercial information that relates solely to one of the units) and copyrights that the other AT&amp;T group possesses as of the effective date of the intellectual property agreement. Proprietary information related to an AT&amp;T group's customers will receive special protection under the intellectual property agreement.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COMMERCIAL TRANSACTIONS BETWEEN AT&amp;T GROUPS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intends that, except as otherwise provided in the AT&amp;T Groups policy statement, all commercial transactions between the AT&amp;T groups will be on commercially reasonable terms taken as a whole. AT&amp;T expects the AT&amp;T groups will negotiate and develop their arrangements over time, and that these arrangements will be subject to the review and approval of the AT&amp;T Groups capital stock committee, either at the time of execution or as part of periodic reviews.</w:t>
      </w:r>
    </w:p>
    <w:p>
      <w:pPr>
        <w:spacing w:after="0" w:line="398"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There will be two network agreements between AT&amp;T Consumer Services Group and AT&amp;T.</w:t>
      </w:r>
    </w:p>
    <w:p>
      <w:pPr>
        <w:spacing w:after="0" w:line="192" w:lineRule="exact"/>
        <w:rPr>
          <w:sz w:val="20"/>
          <w:szCs w:val="20"/>
          <w:color w:val="auto"/>
        </w:rPr>
      </w:pPr>
    </w:p>
    <w:p>
      <w:pPr>
        <w:ind w:left="740" w:right="1839" w:hanging="209"/>
        <w:spacing w:after="0" w:line="251" w:lineRule="auto"/>
        <w:tabs>
          <w:tab w:leader="none" w:pos="740" w:val="left"/>
        </w:tabs>
        <w:numPr>
          <w:ilvl w:val="0"/>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Master Carrier Agreement. The master carrier agreement will specify the rates, terms and conditions on which Network Services within AT&amp;T Business Services Group will provide voice, data, IP dial-up access and other services to AT&amp;T Consumer Services Group, both for internal corporate purposes and for resale to other customers. AT&amp;T Consumer Services Group will procure all of its telecommunications needs during the multi-year term of the agreement directly from Network Services within AT&amp;T Business Services Group. Pricing of such services will be based on the costs to Network Services of providing those services, unless otherwise agreed, and the agreement will contain provisions assuring that AT&amp;T Consumer Services Group is treated no less favorably than AT&amp;T Business Services Group with respect to the allocation of costs between the units, including a fair allocation of any low cost capacity that Network Services provides or obtains. In addition, in those circumstances where substantial new investment is required, the agreements will contain provisions covering the responsibility for deploying assets and the mechanisms for recovering that investment.</w:t>
      </w:r>
    </w:p>
    <w:p>
      <w:pPr>
        <w:spacing w:after="0" w:line="201" w:lineRule="exact"/>
        <w:rPr>
          <w:rFonts w:ascii="Courier New" w:cs="Courier New" w:eastAsia="Courier New" w:hAnsi="Courier New"/>
          <w:sz w:val="17"/>
          <w:szCs w:val="17"/>
          <w:color w:val="auto"/>
        </w:rPr>
      </w:pPr>
    </w:p>
    <w:p>
      <w:pPr>
        <w:ind w:left="740" w:right="1939" w:hanging="209"/>
        <w:spacing w:after="0" w:line="253" w:lineRule="auto"/>
        <w:tabs>
          <w:tab w:leader="none" w:pos="740" w:val="left"/>
        </w:tabs>
        <w:numPr>
          <w:ilvl w:val="0"/>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Intercarrier Compensation Agreement. The intercarrier compensation agreement will specify the terms (including whether there shall be any compensation) under which AT&amp;T Business Services Group and AT&amp;T Consumer Services Group will provide each other services:</w:t>
      </w:r>
    </w:p>
    <w:p>
      <w:pPr>
        <w:spacing w:after="0" w:line="195" w:lineRule="exact"/>
        <w:rPr>
          <w:rFonts w:ascii="Courier New" w:cs="Courier New" w:eastAsia="Courier New" w:hAnsi="Courier New"/>
          <w:sz w:val="17"/>
          <w:szCs w:val="17"/>
          <w:color w:val="auto"/>
        </w:rPr>
      </w:pPr>
    </w:p>
    <w:p>
      <w:pPr>
        <w:ind w:left="960" w:hanging="324"/>
        <w:spacing w:after="0"/>
        <w:tabs>
          <w:tab w:leader="none" w:pos="960" w:val="left"/>
        </w:tabs>
        <w:numPr>
          <w:ilvl w:val="1"/>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originate and terminate interexchange traffic, and</w:t>
      </w:r>
    </w:p>
    <w:p>
      <w:pPr>
        <w:spacing w:after="0" w:line="210" w:lineRule="exact"/>
        <w:rPr>
          <w:rFonts w:ascii="Courier New" w:cs="Courier New" w:eastAsia="Courier New" w:hAnsi="Courier New"/>
          <w:sz w:val="17"/>
          <w:szCs w:val="17"/>
          <w:color w:val="auto"/>
        </w:rPr>
      </w:pPr>
    </w:p>
    <w:p>
      <w:pPr>
        <w:ind w:left="960" w:hanging="324"/>
        <w:spacing w:after="0"/>
        <w:tabs>
          <w:tab w:leader="none" w:pos="960" w:val="left"/>
        </w:tabs>
        <w:numPr>
          <w:ilvl w:val="1"/>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local traffic between each other's local customers.</w:t>
      </w:r>
    </w:p>
    <w:p>
      <w:pPr>
        <w:spacing w:after="0" w:line="210"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In addition, there will be a number of other agreements governing the provision of other services between AT&amp;T Consumer Services Group and AT&amp;T Business Services Group.</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REALLOCATION OF ASSETS AND LIABILITIES</w:t>
      </w:r>
    </w:p>
    <w:p>
      <w:pPr>
        <w:spacing w:after="0" w:line="210"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AT&amp;T may reallocate assets and liabilities between the AT&amp;T groups in exchange for an increase or decrease in the retained portion of value held by AT&amp;T Business Services Group. Any reallocations of assets and liabilities between the AT&amp;T groups that do not result in this adjustment, other than</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X-39</w:t>
      </w:r>
    </w:p>
    <w:p>
      <w:pPr>
        <w:sectPr>
          <w:pgSz w:w="11900" w:h="16838" w:orient="portrait"/>
          <w:cols w:equalWidth="0" w:num="1">
            <w:col w:w="10219"/>
          </w:cols>
          <w:pgMar w:left="240" w:top="719" w:right="1440" w:bottom="1440" w:gutter="0" w:footer="0" w:header="0"/>
        </w:sectPr>
      </w:pPr>
    </w:p>
    <w:bookmarkStart w:id="293" w:name="page294"/>
    <w:bookmarkEnd w:id="293"/>
    <w:p>
      <w:pPr>
        <w:ind w:right="2459"/>
        <w:spacing w:after="0" w:line="257" w:lineRule="auto"/>
        <w:rPr>
          <w:sz w:val="20"/>
          <w:szCs w:val="20"/>
          <w:color w:val="auto"/>
        </w:rPr>
      </w:pPr>
      <w:r>
        <w:rPr>
          <w:rFonts w:ascii="Courier New" w:cs="Courier New" w:eastAsia="Courier New" w:hAnsi="Courier New"/>
          <w:sz w:val="17"/>
          <w:szCs w:val="17"/>
          <w:color w:val="auto"/>
        </w:rPr>
        <w:t>reallocations made under a contract for the provision of goods or services between the AT&amp;T groups, will be accompanied by:</w:t>
      </w:r>
    </w:p>
    <w:p>
      <w:pPr>
        <w:spacing w:after="0" w:line="192" w:lineRule="exact"/>
        <w:rPr>
          <w:sz w:val="20"/>
          <w:szCs w:val="20"/>
          <w:color w:val="auto"/>
        </w:rPr>
      </w:pPr>
    </w:p>
    <w:p>
      <w:pPr>
        <w:ind w:left="740" w:right="2459" w:hanging="209"/>
        <w:spacing w:after="0" w:line="257" w:lineRule="auto"/>
        <w:tabs>
          <w:tab w:leader="none" w:pos="740" w:val="left"/>
        </w:tabs>
        <w:numPr>
          <w:ilvl w:val="0"/>
          <w:numId w:val="2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reallocation by one AT&amp;T group to the other AT&amp;T group of other assets, liabilities or consideration,</w:t>
      </w:r>
    </w:p>
    <w:p>
      <w:pPr>
        <w:spacing w:after="0" w:line="191" w:lineRule="exact"/>
        <w:rPr>
          <w:rFonts w:ascii="Courier New" w:cs="Courier New" w:eastAsia="Courier New" w:hAnsi="Courier New"/>
          <w:sz w:val="17"/>
          <w:szCs w:val="17"/>
          <w:color w:val="auto"/>
        </w:rPr>
      </w:pPr>
    </w:p>
    <w:p>
      <w:pPr>
        <w:ind w:left="740" w:right="1839" w:hanging="209"/>
        <w:spacing w:after="0" w:line="257" w:lineRule="auto"/>
        <w:tabs>
          <w:tab w:leader="none" w:pos="740" w:val="left"/>
        </w:tabs>
        <w:numPr>
          <w:ilvl w:val="0"/>
          <w:numId w:val="2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creation of inter-group debt owed by one AT&amp;T group to the other AT&amp;T group, or</w:t>
      </w:r>
    </w:p>
    <w:p>
      <w:pPr>
        <w:spacing w:after="0" w:line="191" w:lineRule="exact"/>
        <w:rPr>
          <w:rFonts w:ascii="Courier New" w:cs="Courier New" w:eastAsia="Courier New" w:hAnsi="Courier New"/>
          <w:sz w:val="17"/>
          <w:szCs w:val="17"/>
          <w:color w:val="auto"/>
        </w:rPr>
      </w:pPr>
    </w:p>
    <w:p>
      <w:pPr>
        <w:ind w:left="740" w:right="2259" w:hanging="209"/>
        <w:spacing w:after="0" w:line="257" w:lineRule="auto"/>
        <w:tabs>
          <w:tab w:leader="none" w:pos="740" w:val="left"/>
        </w:tabs>
        <w:numPr>
          <w:ilvl w:val="0"/>
          <w:numId w:val="2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reduction of inter-group debt owed by one AT&amp;T group to the other AT&amp;T group,</w:t>
      </w:r>
    </w:p>
    <w:p>
      <w:pPr>
        <w:spacing w:after="0" w:line="192"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in each case, in an amount having a fair market value, in the judgment of the AT&amp;T Board, equivalent to the fair market value of the assets or liabilities, as applicable, reallocated.</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FINANCING ARRANGEMENTS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Loans between AT&amp;T groups will be made at interest rates and on other terms and conditions designed to be substantially equivalent to the interest rates and other terms and conditions that the borrowing AT&amp;T group would be able to obtain from third parties, including the public markets, as a non-affiliate of AT&amp;T without the benefit of any guaranty by AT&amp;T or any member of either AT&amp;T group. This policy contemplates that these loans will be made on the basis set forth above, regardless of the interest rates and other terms and conditions on which AT&amp;T or members of any AT&amp;T group may have acquired the funds. If, however, an AT&amp;T group incurs any fees or charges in order to keep available funds for use by the other AT&amp;T group, those fees or charges will be allocated to the borrowing AT&amp;T group.</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case of AT&amp;T Consumer Services Group, the financial statements included elsewhere in this document make no distinction between the inter-group rate and the cost at which AT&amp;T historically was able to raise funds in the external market. AT&amp;T believes that the inter-group rate is a reasonable estimate of the rate of borrowing in the external market. However, in the future, AT&amp;T Consumer Services Group may be charged interest at a rate higher or lower than its current rate. The actual rates of interest charged or paid by AT&amp;T Consumer Services Group in the future is uncertain, and will depend on a variety of factors, including the credit profile of AT&amp;T Consumer Services Group and market conditions. As a result, future interest rates charged or paid by AT&amp;T Consumer Services Group may materially exceed those reflected in the financial statements included elsewhere in this document.</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Although AT&amp;T may borrow funds and provide the proceeds to AT&amp;T Consumer Services Group on the terms and conditions described above, AT&amp;T expects that AT&amp;T Consumer Services Group will from time to time loan or otherwise make available funds to AT&amp;T Business Services Group, on commercially reasonable terms. AT&amp;T expects that AT&amp;T Business Services Group will use these funds to repay debt and for other general corporate purposes, including to continue to upgrade its network and make new features and functions available on the network. To the extent that any of the cash flow of AT&amp;T Consumer Services Group is loaned or otherwise made available to AT&amp;T Business Services Group, fewer funds may be immediately available to support new activities of AT&amp;T Consumer Services Group.</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ACCOUNTING MATTERS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Following the issuance of shares of AT&amp;T Consumer Services Group tracking stock, AT&amp;T will continue to prepare financial statements in accordance with generally accepted accounting principles, consistently applied, for AT&amp;T Consumer Services Group, as well as full consolidated financial statements of AT&amp;T. The financial statements and information for each of the AT&amp;T groups principally will reflect the financial position, results of operations and cash flows of the businesses included in those AT&amp;T groups, respectively. Notwithstanding any allocation of assets or liabilities for dividend purposes or the purpose of preparing AT&amp;T group financial statements, holders of AT&amp;T common stock and holders of AT&amp;T Consumer Services tracking stock will continue to be subject to risks associated with an investment in a single corporation and all of AT&amp;T's businesses, assets and liabilities.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X-40</w:t>
      </w:r>
    </w:p>
    <w:p>
      <w:pPr>
        <w:sectPr>
          <w:pgSz w:w="11900" w:h="16838" w:orient="portrait"/>
          <w:cols w:equalWidth="0" w:num="1">
            <w:col w:w="10219"/>
          </w:cols>
          <w:pgMar w:left="240" w:top="719" w:right="1440" w:bottom="1440" w:gutter="0" w:footer="0" w:header="0"/>
        </w:sectPr>
      </w:pPr>
    </w:p>
    <w:bookmarkStart w:id="294" w:name="page295"/>
    <w:bookmarkEnd w:id="294"/>
    <w:p>
      <w:pPr>
        <w:ind w:left="220"/>
        <w:spacing w:after="0"/>
        <w:rPr>
          <w:sz w:val="20"/>
          <w:szCs w:val="20"/>
          <w:color w:val="auto"/>
        </w:rPr>
      </w:pPr>
      <w:r>
        <w:rPr>
          <w:rFonts w:ascii="Courier New" w:cs="Courier New" w:eastAsia="Courier New" w:hAnsi="Courier New"/>
          <w:sz w:val="17"/>
          <w:szCs w:val="17"/>
          <w:color w:val="auto"/>
        </w:rPr>
        <w:t>TAX SHARING AGREEMENT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Prior to issuance of any shares of AT&amp;T Consumer Services Group tracking stock, AT&amp;T Consumer Services Group and AT&amp;T Business Services Group will enter into a tax sharing agreement that will provide for tax sharing payments between AT&amp;T Consumer Services Group and AT&amp;T Business Services Group based on the taxes or tax benefits of a hypothetical affiliated group consisting of AT&amp;T Consumer Services Group and AT&amp;T Business Services Group. Each of AT&amp;T Consumer Services Group and AT&amp;T Business Services Group shall generally be responsible for the taxes attributable to its lines of business and entities comprising its group as of such date.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Under the tax sharing agreement between AT&amp;T Consumer Services Group and AT&amp;T Business Services Group, the consolidated tax liability before credits of the hypothetical group will be allocated to each of AT&amp;T Consumer Services Group and AT&amp;T Business Services Group and based on each of AT&amp;T Consumer Services Group's and AT&amp;T Business Services Group's contribution to consolidated taxable income of the hypothetical group. This allocation will take into account losses, deductions and other tax attributes, such as capital losses or charitable deductions,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Consumer Services Group and AT&amp;T Business Services Group consistent with the allocations under the tax sharing agreement. In addition, under the tax sharing agreement, AT&amp;T Consumer Services Group will be responsible for all tax items (and benefits from all tax benefits) resulting from the attribution of assets or interests to AT&amp;T Consumer Services Group, or transfer to a legal entity that is a member of such group of assets, as well as any tax items and benefits resulting from the distribution of the stock of any company the assets of which are tracked by AT&amp;T Consumer Services Group tracking stock. Tax items or tax benefits arising from or related to assets or interests that are not tracked by AT&amp;T Consumer Services Group tracking stock will be for the account of AT&amp;T Business Services Group.</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tax sharing payments under the tax sharing agreement assume that the members of AT&amp;T Consumer Services Group and AT&amp;T Business Services Group are members of the same affiliated, consolidated, combined or unitary group for the relevant U.S. federal, state or local or foreign income tax purposes with respect to taxable periods ending after the issuance of the shares of AT&amp;T Consumer Services Group tracking stock. It is possible, however, that the Internal Revenue Service may assert that AT&amp;T Consumer Services Group tracking stock is not stock of AT&amp;T, in which case each of AT&amp;T Consumer Services Group and AT&amp;T Business Services Group may not be members of the same U.S. federal income tax affiliated group filing consolidated returns. AT&amp;T believes that it is unlikely that the Internal Revenue Service would prevail on that view, but no assurance can be given in that regard. AT&amp;T Consumer Services Group will be responsible, under the tax sharing agreement, for any corporate-level taxes resulting from the treatment of AT&amp;T Consumer Services Group tracking stock as not stock of AT&amp;T, and any corporate-level taxes on the actual or deemed disposition of assets caused by the issuance of AT&amp;T Consumer Services Group tracking stock.</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Non-income tax liabilities generally will be allocated based on line of business as of the issue date. As between AT&amp;T Consumer Services Group and AT&amp;T Business Services Group, if the tax liability is associated with a particular line of business, but the portion of the tax liability associated with the line of business is not readily determinable, then the tax liability will be shared between the businesses based on an allocation formula.</w:t>
      </w:r>
    </w:p>
    <w:p>
      <w:pPr>
        <w:spacing w:after="0" w:line="197"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With respect to taxes resulting from audit adjustments, other than those relating to characterization of tracking stock as not stock of AT&amp;T, tax liabilities generally will be allocated among AT&amp;T Consumer Services Group and AT&amp;T Business Services Group based on line of business.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X-41</w:t>
      </w:r>
    </w:p>
    <w:p>
      <w:pPr>
        <w:sectPr>
          <w:pgSz w:w="11900" w:h="16838" w:orient="portrait"/>
          <w:cols w:equalWidth="0" w:num="1">
            <w:col w:w="10219"/>
          </w:cols>
          <w:pgMar w:left="240" w:top="719" w:right="1440" w:bottom="1440" w:gutter="0" w:footer="0" w:header="0"/>
        </w:sectPr>
      </w:pPr>
    </w:p>
    <w:bookmarkStart w:id="295" w:name="page296"/>
    <w:bookmarkEnd w:id="295"/>
    <w:p>
      <w:pPr>
        <w:ind w:left="2740"/>
        <w:spacing w:after="0"/>
        <w:rPr>
          <w:sz w:val="20"/>
          <w:szCs w:val="20"/>
          <w:color w:val="auto"/>
        </w:rPr>
      </w:pPr>
      <w:r>
        <w:rPr>
          <w:rFonts w:ascii="Courier New" w:cs="Courier New" w:eastAsia="Courier New" w:hAnsi="Courier New"/>
          <w:sz w:val="17"/>
          <w:szCs w:val="17"/>
          <w:color w:val="auto"/>
        </w:rPr>
        <w:t>THE INCENTIVE PLAN PROPOSAL</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currently issues stock-based awards to its employees and non-employee directors under the AT&amp;T 1997 Long Term Incentive Program. AT&amp;T shareholders approved this plan in 1997 and approved amendments to the plan in 1999 and 2000.</w:t>
      </w:r>
    </w:p>
    <w:p>
      <w:pPr>
        <w:ind w:right="2559"/>
        <w:spacing w:after="0" w:line="257" w:lineRule="auto"/>
        <w:rPr>
          <w:sz w:val="20"/>
          <w:szCs w:val="20"/>
          <w:color w:val="auto"/>
        </w:rPr>
      </w:pPr>
      <w:r>
        <w:rPr>
          <w:rFonts w:ascii="Courier New" w:cs="Courier New" w:eastAsia="Courier New" w:hAnsi="Courier New"/>
          <w:sz w:val="17"/>
          <w:szCs w:val="17"/>
          <w:color w:val="auto"/>
        </w:rPr>
        <w:t>As of , 2002, this plan authorized a total of approximately million shares of AT&amp;T common stock for stock-based awards consisting of:</w:t>
      </w:r>
    </w:p>
    <w:p>
      <w:pPr>
        <w:spacing w:after="0" w:line="192" w:lineRule="exact"/>
        <w:rPr>
          <w:sz w:val="20"/>
          <w:szCs w:val="20"/>
          <w:color w:val="auto"/>
        </w:rPr>
      </w:pPr>
    </w:p>
    <w:p>
      <w:pPr>
        <w:ind w:left="740" w:right="2359" w:hanging="209"/>
        <w:spacing w:after="0" w:line="257" w:lineRule="auto"/>
        <w:tabs>
          <w:tab w:leader="none" w:pos="740"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options, including incentive stock options, or ISOs, under the Code,</w:t>
      </w:r>
    </w:p>
    <w:p>
      <w:pPr>
        <w:spacing w:after="0" w:line="191" w:lineRule="exact"/>
        <w:rPr>
          <w:rFonts w:ascii="Courier New" w:cs="Courier New" w:eastAsia="Courier New" w:hAnsi="Courier New"/>
          <w:sz w:val="17"/>
          <w:szCs w:val="17"/>
          <w:color w:val="auto"/>
        </w:rPr>
      </w:pPr>
    </w:p>
    <w:p>
      <w:pPr>
        <w:ind w:left="740" w:right="2459" w:hanging="209"/>
        <w:spacing w:after="0" w:line="257" w:lineRule="auto"/>
        <w:tabs>
          <w:tab w:leader="none" w:pos="740"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appreciation rights, or SARs, in tandem with stock options or free-standing,</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w:t>
      </w:r>
    </w:p>
    <w:p>
      <w:pPr>
        <w:spacing w:after="0" w:line="210" w:lineRule="exact"/>
        <w:rPr>
          <w:rFonts w:ascii="Courier New" w:cs="Courier New" w:eastAsia="Courier New" w:hAnsi="Courier New"/>
          <w:sz w:val="17"/>
          <w:szCs w:val="17"/>
          <w:color w:val="auto"/>
        </w:rPr>
      </w:pPr>
    </w:p>
    <w:p>
      <w:pPr>
        <w:ind w:left="740" w:right="2679" w:hanging="209"/>
        <w:spacing w:after="0" w:line="257" w:lineRule="auto"/>
        <w:tabs>
          <w:tab w:leader="none" w:pos="740"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shares and performance units conditioned upon meeting performance criteria, and</w:t>
      </w:r>
    </w:p>
    <w:p>
      <w:pPr>
        <w:spacing w:after="0" w:line="191" w:lineRule="exact"/>
        <w:rPr>
          <w:rFonts w:ascii="Courier New" w:cs="Courier New" w:eastAsia="Courier New" w:hAnsi="Courier New"/>
          <w:sz w:val="17"/>
          <w:szCs w:val="17"/>
          <w:color w:val="auto"/>
        </w:rPr>
      </w:pPr>
    </w:p>
    <w:p>
      <w:pPr>
        <w:ind w:left="740" w:right="1839" w:hanging="209"/>
        <w:spacing w:after="0" w:line="254" w:lineRule="auto"/>
        <w:tabs>
          <w:tab w:leader="none" w:pos="740"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awards of stock or awards valued, in whole or in part, by reference to, or otherwise based on, stock or other property of AT&amp;T, or other stock unit awards.</w:t>
      </w:r>
    </w:p>
    <w:p>
      <w:pPr>
        <w:spacing w:after="0" w:line="194"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In connection with any award or any deferred award, payments also may be made representing dividends or their equivalent.</w:t>
      </w:r>
    </w:p>
    <w:p>
      <w:pPr>
        <w:spacing w:after="0" w:line="192"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In anticipation of the issuance of AT&amp;T Consumer Services Group tracking stock, the AT&amp;T Board will approve the adoption of the AT&amp;T Consumer Services Group 2002 Long Term Incentive Program, or Consumer Services incentive plan, subject to the approval of AT&amp;T shareholders.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Approval of the Consumer Services incentive plan requires a majority of the votes cast by all outstanding shares of AT&amp;T common stock to vote in its favor.</w:t>
      </w:r>
    </w:p>
    <w:p>
      <w:pPr>
        <w:ind w:right="1939"/>
        <w:spacing w:after="0" w:line="254" w:lineRule="auto"/>
        <w:rPr>
          <w:sz w:val="20"/>
          <w:szCs w:val="20"/>
          <w:color w:val="auto"/>
        </w:rPr>
      </w:pPr>
      <w:r>
        <w:rPr>
          <w:rFonts w:ascii="Courier New" w:cs="Courier New" w:eastAsia="Courier New" w:hAnsi="Courier New"/>
          <w:sz w:val="17"/>
          <w:szCs w:val="17"/>
          <w:color w:val="auto"/>
        </w:rPr>
        <w:t>THE AT&amp;T BOARD RECOMMENDS THAT YOU VOTE FOR APPROVAL OF THE CONSUMER SERVICES INCENTIVE PLAN. Any shares not voted, whether by abstention, broker non-vote or otherwise, will have no effect on the approval of the Incentive Plan proposal.</w:t>
      </w:r>
    </w:p>
    <w:p>
      <w:pPr>
        <w:spacing w:after="0" w:line="194" w:lineRule="exact"/>
        <w:rPr>
          <w:sz w:val="20"/>
          <w:szCs w:val="20"/>
          <w:color w:val="auto"/>
        </w:rPr>
      </w:pPr>
    </w:p>
    <w:p>
      <w:pPr>
        <w:jc w:val="both"/>
        <w:ind w:right="2359" w:firstLine="524"/>
        <w:spacing w:after="0" w:line="254" w:lineRule="auto"/>
        <w:rPr>
          <w:sz w:val="20"/>
          <w:szCs w:val="20"/>
          <w:color w:val="auto"/>
        </w:rPr>
      </w:pPr>
      <w:r>
        <w:rPr>
          <w:rFonts w:ascii="Courier New" w:cs="Courier New" w:eastAsia="Courier New" w:hAnsi="Courier New"/>
          <w:sz w:val="17"/>
          <w:szCs w:val="17"/>
          <w:color w:val="auto"/>
        </w:rPr>
        <w:t>The AT&amp;T Board will not implement the Consumer Services incentive plan unless its shareholders approve the corresponding Consumer Services charter amendment proposal.</w:t>
      </w:r>
    </w:p>
    <w:p>
      <w:pPr>
        <w:spacing w:after="0" w:line="194" w:lineRule="exact"/>
        <w:rPr>
          <w:sz w:val="20"/>
          <w:szCs w:val="20"/>
          <w:color w:val="auto"/>
        </w:rPr>
      </w:pPr>
    </w:p>
    <w:p>
      <w:pPr>
        <w:ind w:right="2259" w:firstLine="524"/>
        <w:spacing w:after="0" w:line="251" w:lineRule="auto"/>
        <w:rPr>
          <w:sz w:val="20"/>
          <w:szCs w:val="20"/>
          <w:color w:val="auto"/>
        </w:rPr>
      </w:pPr>
      <w:r>
        <w:rPr>
          <w:rFonts w:ascii="Courier New" w:cs="Courier New" w:eastAsia="Courier New" w:hAnsi="Courier New"/>
          <w:sz w:val="17"/>
          <w:szCs w:val="17"/>
          <w:color w:val="auto"/>
        </w:rPr>
        <w:t>The 1997 incentive plan, and a number of additional compensation plans, under which stock-based awards with respect to AT&amp;T common stock are outstanding, are administered by the Compensation and Employee Benefits Committee of the AT&amp;T Board, subject to delegations by the Compensation and Employee Benefits Committee to AT&amp;T's Chairman and Chief Executive Officer, committees comprised of other AT&amp;T senior officers or other compensation committees that may be designated in the additional plans. If approved, the Consumer Services incentive plan is expected to be administered in the same manner.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THE CONSUMER SERVICES INCENTIVE PLAN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Administration and Eligibility. The Consumer Services incentive plan will be administered by a committee, each of the members of which is a "non-employee director" as defined in the Securities Exchange Act of 1934, as amended, and an "outside director" as defined in the Code. Under the Consumer Services incentive plan, the committee has the authority to select employees to whom awards are granted, to determine the types of awards and the number of shares covered, and to set the terms, conditions, and provisions of these awards and to cancel or suspend awards. In each case, the committee is authorized to interpret the incentive plan and to establish, amend, and rescind any rules and regulations relating to the incentive plan, to determine the terms and provisions of any agreements entered into under the incentive plan, and to make all other determinations which may be necessary or advisable for the administration of the plan. Prospectively, all active employees and non-employee directors and certain former employees and former non-employee directors of AT&amp;T and its subsidiaries and other affiliates are eligible to be participants in the Consumer Services incentive plan.</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X-42</w:t>
      </w:r>
    </w:p>
    <w:p>
      <w:pPr>
        <w:sectPr>
          <w:pgSz w:w="11900" w:h="16838" w:orient="portrait"/>
          <w:cols w:equalWidth="0" w:num="1">
            <w:col w:w="10219"/>
          </w:cols>
          <w:pgMar w:left="240" w:top="719" w:right="1440" w:bottom="860" w:gutter="0" w:footer="0" w:header="0"/>
        </w:sectPr>
      </w:pPr>
    </w:p>
    <w:bookmarkStart w:id="296" w:name="page297"/>
    <w:bookmarkEnd w:id="296"/>
    <w:p>
      <w:pPr>
        <w:ind w:right="2359" w:firstLine="524"/>
        <w:spacing w:after="0" w:line="254" w:lineRule="auto"/>
        <w:rPr>
          <w:sz w:val="20"/>
          <w:szCs w:val="20"/>
          <w:color w:val="auto"/>
        </w:rPr>
      </w:pPr>
      <w:r>
        <w:rPr>
          <w:rFonts w:ascii="Courier New" w:cs="Courier New" w:eastAsia="Courier New" w:hAnsi="Courier New"/>
          <w:sz w:val="17"/>
          <w:szCs w:val="17"/>
          <w:color w:val="auto"/>
        </w:rPr>
        <w:t>Shares Subject to Plan. Subject to adjustment as described below, the following shares will be available for awards granted under the Consumer Services incentive plan during its term:</w:t>
      </w:r>
    </w:p>
    <w:p>
      <w:pPr>
        <w:spacing w:after="0" w:line="194" w:lineRule="exact"/>
        <w:rPr>
          <w:sz w:val="20"/>
          <w:szCs w:val="20"/>
          <w:color w:val="auto"/>
        </w:rPr>
      </w:pPr>
    </w:p>
    <w:p>
      <w:pPr>
        <w:ind w:left="740" w:right="1839" w:hanging="209"/>
        <w:spacing w:after="0" w:line="257" w:lineRule="auto"/>
        <w:tabs>
          <w:tab w:leader="none" w:pos="740" w:val="left"/>
        </w:tabs>
        <w:numPr>
          <w:ilvl w:val="0"/>
          <w:numId w:val="2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of the total number of outstanding shares of AT&amp;T Consumer Services Group tracking stock.</w:t>
      </w:r>
    </w:p>
    <w:p>
      <w:pPr>
        <w:spacing w:after="0" w:line="191" w:lineRule="exact"/>
        <w:rPr>
          <w:rFonts w:ascii="Courier New" w:cs="Courier New" w:eastAsia="Courier New" w:hAnsi="Courier New"/>
          <w:sz w:val="17"/>
          <w:szCs w:val="17"/>
          <w:color w:val="auto"/>
        </w:rPr>
      </w:pPr>
    </w:p>
    <w:p>
      <w:pPr>
        <w:ind w:left="740" w:right="2039" w:hanging="209"/>
        <w:spacing w:after="0" w:line="253" w:lineRule="auto"/>
        <w:tabs>
          <w:tab w:leader="none" w:pos="740" w:val="left"/>
        </w:tabs>
        <w:numPr>
          <w:ilvl w:val="0"/>
          <w:numId w:val="2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of the total number of shares available for awards under the plan will be reserved for adjustment awards to former employees and former non-employee directors of AT&amp;T who hold equity awards with respect to AT&amp;T common stock.</w:t>
      </w:r>
    </w:p>
    <w:p>
      <w:pPr>
        <w:spacing w:after="0" w:line="195"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As defined in the plan, the term "outstanding" includes:</w:t>
      </w:r>
    </w:p>
    <w:p>
      <w:pPr>
        <w:spacing w:after="0" w:line="210" w:lineRule="exact"/>
        <w:rPr>
          <w:sz w:val="20"/>
          <w:szCs w:val="20"/>
          <w:color w:val="auto"/>
        </w:rPr>
      </w:pPr>
    </w:p>
    <w:p>
      <w:pPr>
        <w:ind w:left="740" w:right="2039" w:hanging="209"/>
        <w:spacing w:after="0" w:line="257" w:lineRule="auto"/>
        <w:tabs>
          <w:tab w:leader="none" w:pos="740" w:val="left"/>
        </w:tabs>
        <w:numPr>
          <w:ilvl w:val="0"/>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issued and outstanding shares of AT&amp;T Consumer Services Group tracking stock, plus</w:t>
      </w:r>
    </w:p>
    <w:p>
      <w:pPr>
        <w:spacing w:after="0" w:line="191" w:lineRule="exact"/>
        <w:rPr>
          <w:rFonts w:ascii="Courier New" w:cs="Courier New" w:eastAsia="Courier New" w:hAnsi="Courier New"/>
          <w:sz w:val="17"/>
          <w:szCs w:val="17"/>
          <w:color w:val="auto"/>
        </w:rPr>
      </w:pPr>
    </w:p>
    <w:p>
      <w:pPr>
        <w:ind w:left="740" w:right="2039" w:hanging="209"/>
        <w:spacing w:after="0" w:line="254" w:lineRule="auto"/>
        <w:tabs>
          <w:tab w:leader="none" w:pos="740" w:val="left"/>
        </w:tabs>
        <w:numPr>
          <w:ilvl w:val="0"/>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AT&amp;T Consumer Services Group tracking stock represented by the retained portion of the interest held by AT&amp;T on the particular reference date.</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If another company is acquired by AT&amp;T, or combines with AT&amp;T, any shares of AT&amp;T Consumer Services Group tracking stock issued or reserved for issuance as a result of the assumption or substitution of outstanding grants of the acquired company would not be deemed issued under the incentive plan and would not be subtracted from the shares of AT&amp;T Consumer Services Group tracking stock available for grant under the incentive plan. If any shares subject to any award under the Consumer Services incentive plan are forfeited, or such award is settled for cash, or expires, or is otherwise terminated without issuance of shares, the shares subject to such award will again be available for grant under that incentive plan. The number of shares available for awards under the Consumer Services incentive plan will also increase by the number of shares AT&amp;T withholds or tenders in connection with the payment of the exercise price of an option or other award under the Consumer Services incentive plan or the satisfaction of tax withholding obligations. The shares of stock deliverable under the Consumer Services incentive plan may consist in whole or in part of authorized and unissued shares, treasury shares, or shares purchased in the open market, or otherwise.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Stock Options. The price per share of stock purchasable under any stock option will be determined by a committee, but will not be less than 100% of the fair market value of the stock on the date of the grant of such option. The term of each option will be fixed by the committee. Options will be exercisable at such time or times as determined by the committee, but no stock option will be exercisable after the expiration of ten years from the date the option is granted.</w:t>
      </w:r>
    </w:p>
    <w:p>
      <w:pPr>
        <w:spacing w:after="0" w:line="398"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Stock Appreciation Rights. An SAR may be granted free-standing or in tandem with new options or after the grant of a related option that is not an ISO. Upon exercise of an SAR, the holder of that SAR is entitled to receive the excess of the fair market value of the shares for which the right is exercised, calculated as of the exercise date or, if the committee shall so determine in the case of any SAR, not related to an ISO, as of any time during a specified period before the exercise date, over the grant price of the SAR. The grant price, which will not be less than the fair market value of the shares on the date of grant, and other terms of the SAR will be determined by the committee. Payment by AT&amp;T upon exercise of an SAR will be in cash, stock, other property or any combination, as the committee determines. Unless otherwise determined by the committee, any related option will no longer be exercisable to the extent the SAR has been exercised and the exercise of an option will cancel the related SAR to the extent of the exercise.</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Restricted Stock. Restricted stock may not be disposed of by the recipient until restrictions established by the committee lapse. Recipients of restricted stock are not required to provide consideration other than the rendering of services or the payment of any minimum amount required by law. The participant will have, with respect to restricted stock, all of the rights of a shareholder of AT&amp;T, including the right to vote the shares, and the right to receive any cash dividends, unless the committee determines otherwise. Upon termination of employment during the restriction period, all restricted stock shall be forfeited, subject to such exceptions, if any, as are authorized by the committee.</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X-43</w:t>
      </w:r>
    </w:p>
    <w:p>
      <w:pPr>
        <w:sectPr>
          <w:pgSz w:w="11900" w:h="16838" w:orient="portrait"/>
          <w:cols w:equalWidth="0" w:num="1">
            <w:col w:w="10219"/>
          </w:cols>
          <w:pgMar w:left="240" w:top="719" w:right="1440" w:bottom="659" w:gutter="0" w:footer="0" w:header="0"/>
        </w:sectPr>
      </w:pPr>
    </w:p>
    <w:bookmarkStart w:id="297" w:name="page298"/>
    <w:bookmarkEnd w:id="297"/>
    <w:p>
      <w:pPr>
        <w:ind w:right="1839" w:firstLine="524"/>
        <w:spacing w:after="0" w:line="251" w:lineRule="auto"/>
        <w:rPr>
          <w:sz w:val="20"/>
          <w:szCs w:val="20"/>
          <w:color w:val="auto"/>
        </w:rPr>
      </w:pPr>
      <w:r>
        <w:rPr>
          <w:rFonts w:ascii="Courier New" w:cs="Courier New" w:eastAsia="Courier New" w:hAnsi="Courier New"/>
          <w:sz w:val="17"/>
          <w:szCs w:val="17"/>
          <w:color w:val="auto"/>
        </w:rPr>
        <w:t>Performance Awards. From time to time, the committee may select a period during which performance criteria determined by the committee are measured for the purpose of determining the extent to which a performance award has been earned. Performance awards may be in the form of performance shares, which are units valued by reference to shares of stock, or performance units, which are units valued by reference to cash or property other than stock. Performance awards may be paid in cash, stock, other property, or a combination thereof. Recipients of performance awards are not required to provide consideration other than the rendering of service or the payment of any minimum amount required by law.</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Other Stock Unit Awards. The committee is authorized to grant other stock unit awards to participants, either alone or in addition to other awards granted under the Consumer Services incentive plan. Other stock unit awards may be paid in tracking stock, cash, or any other form of property as the committee determines.</w:t>
      </w:r>
    </w:p>
    <w:p>
      <w:pPr>
        <w:spacing w:after="0" w:line="396"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Performance Accelerated Restricted Stock Awards. The committee may grant awards that combine the characteristics of restricted stock or other stock unit awards with those of performance awards, for example by providing that the vesting of a restricted stock unit award could be accelerated if specified performance criteria determined by the committee are met.</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Nonassignability of Awards. Unless the committee determines otherwise at the time of an award, no award granted under the Consumer Services incentive plan may be assigned, transferred, pledged or otherwise encumbered by a participant, other than by will, by designation of a beneficiary after death, or by the laws of descent and distribution. Each award will be exercisable, during the participant's lifetime, only by the participant, or, if permissible under applicable law, by the participant's guardian or legal representative.</w:t>
      </w:r>
    </w:p>
    <w:p>
      <w:pPr>
        <w:spacing w:after="0" w:line="196"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Deferrals of Awards. The committee may permit participants to defer the distribution of all or part of the specified stock, cash or other consideration in accordance with the terms and conditions as the committee shall establish.</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Adjustments. In the event of any change affecting the shares of AT&amp;T Consumer Services Group tracking stock subject to the Consumer Services incentive plan by reason of any stock dividend or split, recapitalization, reorganization, merger, consolidation, spin-off, combination, or exchange of shares or other corporate change, or any distributions to common shareholders other than cash dividends, the committee will substitute or adjust the aggregate number or class of shares that may be distributed under the Consumer Services incentive plan (including the substitution of similar options to purchase shares of, or other awards denominated in shares of, another company) and substitute or adjust the number, class, and option price or other price of shares subject to the outstanding awards granted under the Consumer Services incentive plan as the committee deems to be appropriate to maintain the purpose of the original grant.</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committee will be authorized to make adjustments in performance award criteria or in the terms and conditions of other awards in recognition of unusual or nonrecurring events affecting AT&amp;T or AT&amp;T's financial statements or changes in applicable laws, regulations or accounting principles. The committee may correct any defect, supply any omission or reconcile any inconsistency in the Consumer Services incentive plan or any award in the manner and to the extent it shall deem desirable to carry the incentive plan into effect.</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Amendment and Termination. The AT&amp;T Board may assume responsibilities otherwise assigned to the committee under the Consumer Services incentive plan and may amend, alter, or discontinue the Consumer Services incentive plan or any portion of the Consumer Services incentive plan at any time. The committee may amend the terms of any award granted under the Consumer Services incentive plan, prospectively or retroactively.</w:t>
      </w:r>
    </w:p>
    <w:p>
      <w:pPr>
        <w:spacing w:after="0" w:line="197" w:lineRule="exact"/>
        <w:rPr>
          <w:sz w:val="20"/>
          <w:szCs w:val="20"/>
          <w:color w:val="auto"/>
        </w:rPr>
      </w:pPr>
    </w:p>
    <w:p>
      <w:pPr>
        <w:ind w:left="540"/>
        <w:spacing w:after="0"/>
        <w:tabs>
          <w:tab w:leader="none" w:pos="1240" w:val="left"/>
        </w:tabs>
        <w:rPr>
          <w:sz w:val="20"/>
          <w:szCs w:val="20"/>
          <w:color w:val="auto"/>
        </w:rPr>
      </w:pPr>
      <w:r>
        <w:rPr>
          <w:rFonts w:ascii="Courier New" w:cs="Courier New" w:eastAsia="Courier New" w:hAnsi="Courier New"/>
          <w:sz w:val="17"/>
          <w:szCs w:val="17"/>
          <w:color w:val="auto"/>
        </w:rPr>
        <w:t>Term.</w:t>
        <w:tab/>
        <w:t>No awards will be granted under the Consumer Services incentive plan</w:t>
      </w:r>
    </w:p>
    <w:p>
      <w:pPr>
        <w:sectPr>
          <w:pgSz w:w="11900" w:h="16838" w:orient="portrait"/>
          <w:cols w:equalWidth="0" w:num="1">
            <w:col w:w="10219"/>
          </w:cols>
          <w:pgMar w:left="240" w:top="719" w:right="1440" w:bottom="860" w:gutter="0" w:footer="0" w:header="0"/>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after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 2011.</w:t>
      </w:r>
    </w:p>
    <w:p>
      <w:pPr>
        <w:spacing w:after="0" w:line="200" w:lineRule="exact"/>
        <w:rPr>
          <w:sz w:val="20"/>
          <w:szCs w:val="20"/>
          <w:color w:val="auto"/>
        </w:rPr>
      </w:pPr>
    </w:p>
    <w:p>
      <w:pPr>
        <w:sectPr>
          <w:pgSz w:w="11900" w:h="16838" w:orient="portrait"/>
          <w:cols w:equalWidth="0" w:num="2">
            <w:col w:w="960" w:space="720"/>
            <w:col w:w="8539"/>
          </w:cols>
          <w:pgMar w:left="240" w:top="719" w:right="1440" w:bottom="860" w:gutter="0" w:footer="0" w:header="0"/>
          <w:type w:val="continuous"/>
        </w:sectPr>
      </w:pPr>
    </w:p>
    <w:p>
      <w:pPr>
        <w:spacing w:after="0" w:line="10" w:lineRule="exact"/>
        <w:rPr>
          <w:sz w:val="20"/>
          <w:szCs w:val="20"/>
          <w:color w:val="auto"/>
        </w:rPr>
      </w:pPr>
    </w:p>
    <w:p>
      <w:pPr>
        <w:ind w:left="540"/>
        <w:spacing w:after="0"/>
        <w:tabs>
          <w:tab w:leader="none" w:pos="2180" w:val="left"/>
        </w:tabs>
        <w:rPr>
          <w:sz w:val="20"/>
          <w:szCs w:val="20"/>
          <w:color w:val="auto"/>
        </w:rPr>
      </w:pPr>
      <w:r>
        <w:rPr>
          <w:rFonts w:ascii="Courier New" w:cs="Courier New" w:eastAsia="Courier New" w:hAnsi="Courier New"/>
          <w:sz w:val="17"/>
          <w:szCs w:val="17"/>
          <w:color w:val="auto"/>
        </w:rPr>
        <w:t>Plan Benefits.</w:t>
        <w:tab/>
        <w:t>Because the Consumer Services incentive plan is</w:t>
      </w:r>
    </w:p>
    <w:p>
      <w:pPr>
        <w:sectPr>
          <w:pgSz w:w="11900" w:h="16838" w:orient="portrait"/>
          <w:cols w:equalWidth="0" w:num="1">
            <w:col w:w="10219"/>
          </w:cols>
          <w:pgMar w:left="240" w:top="719" w:right="1440" w:bottom="860" w:gutter="0" w:footer="0" w:header="0"/>
          <w:type w:val="continuous"/>
        </w:sectPr>
      </w:pPr>
    </w:p>
    <w:p>
      <w:pPr>
        <w:spacing w:after="0" w:line="9"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discretionary and based on AT&amp;T's financial performance, it is not possible to determine or to estimate the benefits or amounts that will be received in the future by individual employees or groups of employees under the Consumer Services incentive plan.</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X-44</w:t>
      </w:r>
    </w:p>
    <w:p>
      <w:pPr>
        <w:sectPr>
          <w:pgSz w:w="11900" w:h="16838" w:orient="portrait"/>
          <w:cols w:equalWidth="0" w:num="1">
            <w:col w:w="10219"/>
          </w:cols>
          <w:pgMar w:left="240" w:top="719" w:right="1440" w:bottom="860" w:gutter="0" w:footer="0" w:header="0"/>
          <w:type w:val="continuous"/>
        </w:sectPr>
      </w:pPr>
    </w:p>
    <w:bookmarkStart w:id="298" w:name="page299"/>
    <w:bookmarkEnd w:id="298"/>
    <w:p>
      <w:pPr>
        <w:ind w:right="1839" w:firstLine="524"/>
        <w:spacing w:after="0" w:line="251" w:lineRule="auto"/>
        <w:rPr>
          <w:sz w:val="20"/>
          <w:szCs w:val="20"/>
          <w:color w:val="auto"/>
        </w:rPr>
      </w:pPr>
      <w:r>
        <w:rPr>
          <w:rFonts w:ascii="Courier New" w:cs="Courier New" w:eastAsia="Courier New" w:hAnsi="Courier New"/>
          <w:sz w:val="17"/>
          <w:szCs w:val="17"/>
          <w:color w:val="auto"/>
        </w:rPr>
        <w:t>Section 162(m) of the Internal Revenue Code Performance-Based Compensation. If the committee determines at the time restricted stock, a performance award, or other stock unit award is granted under the Consumer Services incentive plan to a participant who is, or is likely to be, as of the end of the tax year in which AT&amp;T would claim a tax deduction in connection with such award, a "covered employee" under Section 162(m) of the Code, then the committee may provide as to such award that the lapsing of restrictions thereon and the distribution of cash, shares, or other property pursuant thereto, as applicable, shall be subject to the achievement of one or more objective performance goals established by the committee, which will be based on the achievement of specified levels of one or any combination of the following: net cash provided by operating activities, earnings per share from continuing operations, operating income, revenues, cash flow, return on investment, gross margin, return on operating assets, return on equity, economic value added, stock price appreciation, total shareholder return, or cost control of AT&amp;T or the affiliate or division of AT&amp;T for or within which the participant is primarily employed. Performance goals also may be based on achievement of specified levels of AT&amp;T performance, or performance of the applicable affiliate or division of AT&amp;T, including of AT&amp;T Consumer Services Group, under one or more of the measures described above relative to the performance of other corporations.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80" w:type="dxa"/>
            <w:vAlign w:val="bottom"/>
          </w:tcPr>
          <w:p>
            <w:pPr>
              <w:ind w:left="540"/>
              <w:spacing w:after="0"/>
              <w:rPr>
                <w:sz w:val="20"/>
                <w:szCs w:val="20"/>
                <w:color w:val="auto"/>
              </w:rPr>
            </w:pPr>
            <w:r>
              <w:rPr>
                <w:rFonts w:ascii="Courier New" w:cs="Courier New" w:eastAsia="Courier New" w:hAnsi="Courier New"/>
                <w:sz w:val="17"/>
                <w:szCs w:val="17"/>
                <w:color w:val="auto"/>
                <w:w w:val="99"/>
              </w:rPr>
              <w:t>The Consumer</w:t>
            </w:r>
          </w:p>
        </w:tc>
        <w:tc>
          <w:tcPr>
            <w:tcW w:w="3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Services incentive plan provides</w:t>
            </w:r>
          </w:p>
        </w:tc>
        <w:tc>
          <w:tcPr>
            <w:tcW w:w="2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that, subject to any</w:t>
            </w:r>
          </w:p>
        </w:tc>
        <w:tc>
          <w:tcPr>
            <w:tcW w:w="680" w:type="dxa"/>
            <w:vAlign w:val="bottom"/>
          </w:tcPr>
          <w:p>
            <w:pPr>
              <w:spacing w:after="0"/>
              <w:rPr>
                <w:sz w:val="17"/>
                <w:szCs w:val="17"/>
                <w:color w:val="auto"/>
              </w:rPr>
            </w:pPr>
          </w:p>
        </w:tc>
      </w:tr>
      <w:tr>
        <w:trPr>
          <w:trHeight w:val="201"/>
        </w:trPr>
        <w:tc>
          <w:tcPr>
            <w:tcW w:w="5340" w:type="dxa"/>
            <w:vAlign w:val="bottom"/>
            <w:gridSpan w:val="3"/>
          </w:tcPr>
          <w:p>
            <w:pPr>
              <w:spacing w:after="0"/>
              <w:rPr>
                <w:sz w:val="20"/>
                <w:szCs w:val="20"/>
                <w:color w:val="auto"/>
              </w:rPr>
            </w:pPr>
            <w:r>
              <w:rPr>
                <w:rFonts w:ascii="Courier New" w:cs="Courier New" w:eastAsia="Courier New" w:hAnsi="Courier New"/>
                <w:sz w:val="17"/>
                <w:szCs w:val="17"/>
                <w:color w:val="auto"/>
              </w:rPr>
              <w:t>adjustments described above, no participant may be</w:t>
            </w:r>
          </w:p>
        </w:tc>
        <w:tc>
          <w:tcPr>
            <w:tcW w:w="28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granted options and/or SARs</w:t>
            </w: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in any</w:t>
            </w:r>
          </w:p>
        </w:tc>
        <w:tc>
          <w:tcPr>
            <w:tcW w:w="3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-calendar-year period with respect</w:t>
            </w:r>
          </w:p>
        </w:tc>
        <w:tc>
          <w:tcPr>
            <w:tcW w:w="2160" w:type="dxa"/>
            <w:vAlign w:val="bottom"/>
            <w:gridSpan w:val="2"/>
          </w:tcPr>
          <w:p>
            <w:pPr>
              <w:jc w:val="right"/>
              <w:ind w:right="693"/>
              <w:spacing w:after="0"/>
              <w:rPr>
                <w:sz w:val="20"/>
                <w:szCs w:val="20"/>
                <w:color w:val="auto"/>
              </w:rPr>
            </w:pPr>
            <w:r>
              <w:rPr>
                <w:rFonts w:ascii="Courier New" w:cs="Courier New" w:eastAsia="Courier New" w:hAnsi="Courier New"/>
                <w:sz w:val="17"/>
                <w:szCs w:val="17"/>
                <w:color w:val="auto"/>
              </w:rPr>
              <w:t>to more than</w:t>
            </w:r>
          </w:p>
        </w:tc>
        <w:tc>
          <w:tcPr>
            <w:tcW w:w="680" w:type="dxa"/>
            <w:vAlign w:val="bottom"/>
          </w:tcPr>
          <w:p>
            <w:pPr>
              <w:spacing w:after="0"/>
              <w:rPr>
                <w:sz w:val="17"/>
                <w:szCs w:val="17"/>
                <w:color w:val="auto"/>
              </w:rPr>
            </w:pP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million shares of</w:t>
            </w:r>
          </w:p>
        </w:tc>
        <w:tc>
          <w:tcPr>
            <w:tcW w:w="47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AT&amp;T Consumer Services Group tracking stock,</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and that</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r>
      <w:tr>
        <w:trPr>
          <w:trHeight w:val="201"/>
        </w:trPr>
        <w:tc>
          <w:tcPr>
            <w:tcW w:w="5340" w:type="dxa"/>
            <w:vAlign w:val="bottom"/>
            <w:gridSpan w:val="3"/>
          </w:tcPr>
          <w:p>
            <w:pPr>
              <w:spacing w:after="0"/>
              <w:rPr>
                <w:sz w:val="20"/>
                <w:szCs w:val="20"/>
                <w:color w:val="auto"/>
              </w:rPr>
            </w:pPr>
            <w:r>
              <w:rPr>
                <w:rFonts w:ascii="Courier New" w:cs="Courier New" w:eastAsia="Courier New" w:hAnsi="Courier New"/>
                <w:sz w:val="17"/>
                <w:szCs w:val="17"/>
                <w:color w:val="auto"/>
              </w:rPr>
              <w:t>maximum dollar value payable with respect to other</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performance</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units or</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other</w:t>
            </w: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stock unit awards</w:t>
            </w:r>
          </w:p>
        </w:tc>
        <w:tc>
          <w:tcPr>
            <w:tcW w:w="3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that are valued with reference to</w:t>
            </w:r>
          </w:p>
        </w:tc>
        <w:tc>
          <w:tcPr>
            <w:tcW w:w="2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property other than</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shares</w:t>
            </w:r>
          </w:p>
        </w:tc>
      </w:tr>
      <w:tr>
        <w:trPr>
          <w:trHeight w:val="201"/>
        </w:trPr>
        <w:tc>
          <w:tcPr>
            <w:tcW w:w="5340" w:type="dxa"/>
            <w:vAlign w:val="bottom"/>
            <w:gridSpan w:val="3"/>
          </w:tcPr>
          <w:p>
            <w:pPr>
              <w:spacing w:after="0"/>
              <w:rPr>
                <w:sz w:val="20"/>
                <w:szCs w:val="20"/>
                <w:color w:val="auto"/>
              </w:rPr>
            </w:pPr>
            <w:r>
              <w:rPr>
                <w:rFonts w:ascii="Courier New" w:cs="Courier New" w:eastAsia="Courier New" w:hAnsi="Courier New"/>
                <w:sz w:val="17"/>
                <w:szCs w:val="17"/>
                <w:color w:val="auto"/>
              </w:rPr>
              <w:t>of AT&amp;T Consumer Services Group tracking stock, and</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granted to</w:t>
            </w: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any participant</w:t>
            </w:r>
          </w:p>
        </w:tc>
      </w:tr>
      <w:tr>
        <w:trPr>
          <w:trHeight w:val="201"/>
        </w:trPr>
        <w:tc>
          <w:tcPr>
            <w:tcW w:w="3420" w:type="dxa"/>
            <w:vAlign w:val="bottom"/>
            <w:gridSpan w:val="2"/>
          </w:tcPr>
          <w:p>
            <w:pPr>
              <w:spacing w:after="0"/>
              <w:rPr>
                <w:sz w:val="20"/>
                <w:szCs w:val="20"/>
                <w:color w:val="auto"/>
              </w:rPr>
            </w:pPr>
            <w:r>
              <w:rPr>
                <w:rFonts w:ascii="Courier New" w:cs="Courier New" w:eastAsia="Courier New" w:hAnsi="Courier New"/>
                <w:sz w:val="17"/>
                <w:szCs w:val="17"/>
                <w:color w:val="auto"/>
              </w:rPr>
              <w:t>in any one calendar year is</w:t>
            </w:r>
          </w:p>
        </w:tc>
        <w:tc>
          <w:tcPr>
            <w:tcW w:w="192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5"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Change of Control. The Consumer Services incentive plan will contain provisions requiring or permitting the vesting of awards or the acceleration of options and similar adjustments in the event of a change of control of AT&amp;T.</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Tax Aspects of the Consumer Services Incentive Plan. AT&amp;T believes that under present law, the following are the federal tax consequences generally arising with respect to awards granted under the Consumer Services incentive plan. The grant of an option or SAR will create no tax consequences for an employee or AT&amp;T. The employee will have no taxable income upon exercising an ISO (except that the alternative minimum tax may apply), and AT&amp;T will receive no deduction when an ISO is exercised. Upon exercising an SAR or an option other than an ISO, the employee must recognize ordinary income equal to the difference between the exercise price and the fair market value of the stock on the date of exercise; AT&amp;T will be entitled to a deduction for the same amount. The treatment to an employee of a disposition of shares acquired through the exercise of an option depends on how long the shares have been held and if such shares were acquired by exercising an ISO or by exercising an option other than an ISO. Generally, there will be no tax consequence to AT&amp;T in connection with a disposition of shares acquired under an option, except that AT&amp;T may be entitled to a deduction in the case of a disposition of shares acquired under an ISO before the applicable ISO holding periods have been satisfied.</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With respect to other awards granted under the Consumer Services incentive plan that are settled either in cash or in stock or other property that is either transferable or not subject to substantial risk of forfeiture, the participant must recognize ordinary income equal to the cash or the fair market value of shares or other property received; AT&amp;T will generally be entitled to a deduction for the same amount. With respect to awards that are settled in stock or other property that is restricted as to transferability and subject to substantial risk of forfeiture, the participant must recognize ordinary income equal to the fair market value of the shares or other property received at the first time the shares or other property become transferable or not subject to substantial risk of forfeiture, whichever occurs earlier; AT&amp;T will generally be entitled to a deduction for the same amount.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OF THE AT&amp;T BOARD</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AT&amp;T BOARD HAS APPROVED THE INCENTIVE PLAN PROPOSAL AND RECOMMENDS THAT YOU VOTE FOR THE INCENTIVE PLAN PROPOSAL.</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X-45</w:t>
      </w:r>
    </w:p>
    <w:p>
      <w:pPr>
        <w:sectPr>
          <w:pgSz w:w="11900" w:h="16838" w:orient="portrait"/>
          <w:cols w:equalWidth="0" w:num="1">
            <w:col w:w="10219"/>
          </w:cols>
          <w:pgMar w:left="240" w:top="719" w:right="1440" w:bottom="1061" w:gutter="0" w:footer="0" w:header="0"/>
        </w:sectPr>
      </w:pPr>
    </w:p>
    <w:bookmarkStart w:id="299" w:name="page300"/>
    <w:bookmarkEnd w:id="299"/>
    <w:p>
      <w:pPr>
        <w:ind w:left="2000"/>
        <w:spacing w:after="0"/>
        <w:rPr>
          <w:sz w:val="20"/>
          <w:szCs w:val="20"/>
          <w:color w:val="auto"/>
        </w:rPr>
      </w:pPr>
      <w:r>
        <w:rPr>
          <w:rFonts w:ascii="Courier New" w:cs="Courier New" w:eastAsia="Courier New" w:hAnsi="Courier New"/>
          <w:sz w:val="17"/>
          <w:szCs w:val="17"/>
          <w:color w:val="auto"/>
        </w:rPr>
        <w:t>THE EMPLOYEE STOCK PURCHASE PLAN PROPOSAL</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AT&amp;T's 1996 Employee Stock Purchase Plan was initially adopted in 1996 and authorized the issuance of 50,000,000 shares of AT&amp;T common stock (which was later adjusted for AT&amp;T's three-for-two stock split paid on April 15, 1999). The employee stock purchase plan was restated effective July 1, 2001 authorizing an additional 30,000,000 shares for issuance under this plan. The AT&amp;T Board has approved, subject to the approval of the AT&amp;T shareholders, an AT&amp;T Amended 1996 Employee Stock Purchase Plan. If approved by AT&amp;T shareholders this plan will provide eligible employees with an opportunity to purchase AT&amp;T common stock, and effective [January 1, 2003,] AT&amp;T Consumer Services Group tracking stock, through payroll deductions. This plan is intended to assist eligible employees in acquiring a stock ownership interest in AT&amp;T pursuant to a plan that is intended to qualify as an "employee stock purchase plan" under Section 423 of the Code. This plan also includes a component not intended to qualify under Section 423 of the Code, or the "Non-423 Component," which will permit participation by certain eligible employees based outside the United States. A description of this plan is outlined below.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RESERVED FOR THIS PLAN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aggregate number of shares of AT&amp;T common stock, which may be purchased under the plan during the period from July 1, 2001 through June 30, 2006, will not exceed 30 million, subject to adjustment. Additionally, any shares remaining as of June 30, 2001 of the shares previously reserved to the AT&amp;T 1996 Employee Stock Purchase Plan will continue to be available for issuance under this plan through June 30, 2006. On January 1, 2001, 18,474,247 shares remained available for issuance under the AT&amp;T 1996 Employee Stock Purchase Plan. Of the 30 million shares that were newly authorized effective July 1, 2001, one million are reserved for the Non-423 Component.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Courier New" w:cs="Courier New" w:eastAsia="Courier New" w:hAnsi="Courier New"/>
                <w:sz w:val="17"/>
                <w:szCs w:val="17"/>
                <w:color w:val="auto"/>
              </w:rPr>
              <w:t>The aggregate</w:t>
            </w:r>
          </w:p>
        </w:tc>
        <w:tc>
          <w:tcPr>
            <w:tcW w:w="17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number of shares</w:t>
            </w:r>
          </w:p>
        </w:tc>
        <w:tc>
          <w:tcPr>
            <w:tcW w:w="18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of AT&amp;T Consumer</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Services Group</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tracking</w:t>
            </w:r>
          </w:p>
        </w:tc>
      </w:tr>
      <w:tr>
        <w:trPr>
          <w:trHeight w:val="201"/>
        </w:trPr>
        <w:tc>
          <w:tcPr>
            <w:tcW w:w="540" w:type="dxa"/>
            <w:vAlign w:val="bottom"/>
            <w:gridSpan w:val="2"/>
          </w:tcPr>
          <w:p>
            <w:pPr>
              <w:spacing w:after="0"/>
              <w:rPr>
                <w:sz w:val="20"/>
                <w:szCs w:val="20"/>
                <w:color w:val="auto"/>
              </w:rPr>
            </w:pPr>
            <w:r>
              <w:rPr>
                <w:rFonts w:ascii="Courier New" w:cs="Courier New" w:eastAsia="Courier New" w:hAnsi="Courier New"/>
                <w:sz w:val="17"/>
                <w:szCs w:val="17"/>
                <w:color w:val="auto"/>
              </w:rPr>
              <w:t>stock</w:t>
            </w:r>
          </w:p>
        </w:tc>
        <w:tc>
          <w:tcPr>
            <w:tcW w:w="23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that may be purchased</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under</w:t>
            </w:r>
          </w:p>
        </w:tc>
        <w:tc>
          <w:tcPr>
            <w:tcW w:w="20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the plan during the</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period</w:t>
            </w:r>
          </w:p>
        </w:tc>
        <w:tc>
          <w:tcPr>
            <w:tcW w:w="204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of [January 1,</w:t>
            </w:r>
          </w:p>
        </w:tc>
      </w:tr>
      <w:tr>
        <w:trPr>
          <w:trHeight w:val="201"/>
        </w:trPr>
        <w:tc>
          <w:tcPr>
            <w:tcW w:w="540" w:type="dxa"/>
            <w:vAlign w:val="bottom"/>
            <w:gridSpan w:val="2"/>
          </w:tcPr>
          <w:p>
            <w:pPr>
              <w:spacing w:after="0"/>
              <w:rPr>
                <w:sz w:val="20"/>
                <w:szCs w:val="20"/>
                <w:color w:val="auto"/>
              </w:rPr>
            </w:pPr>
            <w:r>
              <w:rPr>
                <w:rFonts w:ascii="Courier New" w:cs="Courier New" w:eastAsia="Courier New" w:hAnsi="Courier New"/>
                <w:sz w:val="17"/>
                <w:szCs w:val="17"/>
                <w:color w:val="auto"/>
              </w:rPr>
              <w:t>2003]</w:t>
            </w:r>
          </w:p>
        </w:tc>
        <w:tc>
          <w:tcPr>
            <w:tcW w:w="1400" w:type="dxa"/>
            <w:vAlign w:val="bottom"/>
          </w:tcPr>
          <w:p>
            <w:pPr>
              <w:jc w:val="center"/>
              <w:spacing w:after="0"/>
              <w:rPr>
                <w:sz w:val="20"/>
                <w:szCs w:val="20"/>
                <w:color w:val="auto"/>
              </w:rPr>
            </w:pPr>
            <w:r>
              <w:rPr>
                <w:rFonts w:ascii="Courier New" w:cs="Courier New" w:eastAsia="Courier New" w:hAnsi="Courier New"/>
                <w:sz w:val="17"/>
                <w:szCs w:val="17"/>
                <w:color w:val="auto"/>
              </w:rPr>
              <w:t>through June</w:t>
            </w:r>
          </w:p>
        </w:tc>
        <w:tc>
          <w:tcPr>
            <w:tcW w:w="15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30, 2006, will</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not exceed</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million</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shares</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per year. Of</w:t>
            </w:r>
          </w:p>
        </w:tc>
      </w:tr>
      <w:tr>
        <w:trPr>
          <w:trHeight w:val="201"/>
        </w:trPr>
        <w:tc>
          <w:tcPr>
            <w:tcW w:w="380" w:type="dxa"/>
            <w:vAlign w:val="bottom"/>
          </w:tcPr>
          <w:p>
            <w:pPr>
              <w:spacing w:after="0"/>
              <w:rPr>
                <w:sz w:val="20"/>
                <w:szCs w:val="20"/>
                <w:color w:val="auto"/>
              </w:rPr>
            </w:pPr>
            <w:r>
              <w:rPr>
                <w:rFonts w:ascii="Courier New" w:cs="Courier New" w:eastAsia="Courier New" w:hAnsi="Courier New"/>
                <w:sz w:val="17"/>
                <w:szCs w:val="17"/>
                <w:color w:val="auto"/>
              </w:rPr>
              <w:t>the</w:t>
            </w:r>
          </w:p>
        </w:tc>
        <w:tc>
          <w:tcPr>
            <w:tcW w:w="178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newly authorized</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shares</w:t>
            </w: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of AT&amp;T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Consumer</w:t>
            </w:r>
          </w:p>
        </w:tc>
        <w:tc>
          <w:tcPr>
            <w:tcW w:w="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Services</w:t>
            </w:r>
          </w:p>
        </w:tc>
        <w:tc>
          <w:tcPr>
            <w:tcW w:w="28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Group tracking stock, [  ]</w:t>
            </w:r>
          </w:p>
        </w:tc>
      </w:tr>
      <w:tr>
        <w:trPr>
          <w:trHeight w:val="201"/>
        </w:trPr>
        <w:tc>
          <w:tcPr>
            <w:tcW w:w="380" w:type="dxa"/>
            <w:vAlign w:val="bottom"/>
          </w:tcPr>
          <w:p>
            <w:pPr>
              <w:spacing w:after="0"/>
              <w:rPr>
                <w:sz w:val="20"/>
                <w:szCs w:val="20"/>
                <w:color w:val="auto"/>
              </w:rPr>
            </w:pPr>
            <w:r>
              <w:rPr>
                <w:rFonts w:ascii="Courier New" w:cs="Courier New" w:eastAsia="Courier New" w:hAnsi="Courier New"/>
                <w:sz w:val="17"/>
                <w:szCs w:val="17"/>
                <w:color w:val="auto"/>
              </w:rPr>
              <w:t>are</w:t>
            </w:r>
          </w:p>
        </w:tc>
        <w:tc>
          <w:tcPr>
            <w:tcW w:w="178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reserved for the</w:t>
            </w:r>
          </w:p>
        </w:tc>
        <w:tc>
          <w:tcPr>
            <w:tcW w:w="2500" w:type="dxa"/>
            <w:vAlign w:val="bottom"/>
            <w:gridSpan w:val="4"/>
          </w:tcPr>
          <w:p>
            <w:pPr>
              <w:jc w:val="right"/>
              <w:ind w:right="473"/>
              <w:spacing w:after="0"/>
              <w:rPr>
                <w:sz w:val="20"/>
                <w:szCs w:val="20"/>
                <w:color w:val="auto"/>
              </w:rPr>
            </w:pPr>
            <w:r>
              <w:rPr>
                <w:rFonts w:ascii="Courier New" w:cs="Courier New" w:eastAsia="Courier New" w:hAnsi="Courier New"/>
                <w:sz w:val="17"/>
                <w:szCs w:val="17"/>
                <w:color w:val="auto"/>
              </w:rPr>
              <w:t>Non-423 Component.</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r>
    </w:tbl>
    <w:p>
      <w:pPr>
        <w:spacing w:after="0" w:line="205" w:lineRule="exact"/>
        <w:rPr>
          <w:sz w:val="20"/>
          <w:szCs w:val="20"/>
          <w:color w:val="auto"/>
        </w:rPr>
      </w:pPr>
    </w:p>
    <w:p>
      <w:pPr>
        <w:jc w:val="both"/>
        <w:ind w:right="1839" w:firstLine="524"/>
        <w:spacing w:after="0" w:line="257" w:lineRule="auto"/>
        <w:rPr>
          <w:sz w:val="20"/>
          <w:szCs w:val="20"/>
          <w:color w:val="auto"/>
        </w:rPr>
      </w:pPr>
      <w:r>
        <w:rPr>
          <w:rFonts w:ascii="Courier New" w:cs="Courier New" w:eastAsia="Courier New" w:hAnsi="Courier New"/>
          <w:sz w:val="17"/>
          <w:szCs w:val="17"/>
          <w:color w:val="auto"/>
        </w:rPr>
        <w:t>Shares issued under this plan may consist, in whole or in part, of authorized and unissued shares, treasury shares, or shares bought on the market.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ELIGIBLE PARTICIPANTS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All employees of AT&amp;T (and those of a subsidiary designated by AT&amp;T) are eligible if they meet certain conditions. To be eligible, the employee must have completed one month of continuous employment. Part-time employees are eligible to participate.</w:t>
      </w:r>
    </w:p>
    <w:p>
      <w:pPr>
        <w:spacing w:after="0" w:line="195"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Approximately 160,000 employees would have been eligible to participate as of December 31, 2000.</w:t>
      </w:r>
    </w:p>
    <w:p>
      <w:pPr>
        <w:spacing w:after="0" w:line="192"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On the first day of each month beginning [July 1, 2002,] except as otherwise determined by the committee, AT&amp;T will grant options as permitted under this plan. The term of each option will end on the last day of the month containing the date on which the option was granted.</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Each eligible employee on a date of exercise will be entitled to purchase shares of common stock at a purchase price equal to 85% of the average of the reported highest and lowest sale prices of shares of common stock on the NYSE on the applicable date of exercise. Dates of exercise will take place on the last day of each month common stock is traded on the NYSE during the applicable option period. The eligible employee will elect the allocation of AT&amp;T common stock and AT&amp;T Consumer Services Group tracking stock to be purchased.</w:t>
      </w:r>
    </w:p>
    <w:p>
      <w:pPr>
        <w:spacing w:after="0" w:line="196"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Payment for shares of common stock purchased under this plan will be made by authorized payroll deductions from an eligible employee's total regular compensation payable from AT&amp;T or a participating</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X-46</w:t>
      </w:r>
    </w:p>
    <w:p>
      <w:pPr>
        <w:sectPr>
          <w:pgSz w:w="11900" w:h="16838" w:orient="portrait"/>
          <w:cols w:equalWidth="0" w:num="1">
            <w:col w:w="10219"/>
          </w:cols>
          <w:pgMar w:left="240" w:top="719" w:right="1440" w:bottom="1440" w:gutter="0" w:footer="0" w:header="0"/>
        </w:sectPr>
      </w:pPr>
    </w:p>
    <w:bookmarkStart w:id="300" w:name="page301"/>
    <w:bookmarkEnd w:id="300"/>
    <w:p>
      <w:pPr>
        <w:ind w:right="1839"/>
        <w:spacing w:after="0" w:line="257" w:lineRule="auto"/>
        <w:rPr>
          <w:sz w:val="20"/>
          <w:szCs w:val="20"/>
          <w:color w:val="auto"/>
        </w:rPr>
      </w:pPr>
      <w:r>
        <w:rPr>
          <w:rFonts w:ascii="Courier New" w:cs="Courier New" w:eastAsia="Courier New" w:hAnsi="Courier New"/>
          <w:sz w:val="17"/>
          <w:szCs w:val="17"/>
          <w:color w:val="auto"/>
        </w:rPr>
        <w:t>subsidiary of AT&amp;T during an option period or, when authorized by the Committee, an eligible employee may pay an equivalent amount for such shares.</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Eligible employees who elect to participate in this plan will designate a stated whole percentage equaling at least 1%, but no more than 10% of their eligible compensation, to be deposited into a periodic deposit account. On each date of exercise, the entire periodic deposit account of each participant in the plan is used to purchase whole and/or fractional shares of common stock. AT&amp;T will maintain a stock purchase account for each participant to reflect the shares of common stock purchased under the plan by each participant. No participant in this plan is permitted to purchase common stock under this plan at a rate that exceeds $25,000 in fair market value of common stock, determined at the time options are granted, for each calendar year. For purposes of making this determination, all of the AT&amp;T common stock and AT&amp;T Consumer Services Group tracking stock purchased by a participant will be aggregated.</w:t>
      </w:r>
    </w:p>
    <w:p>
      <w:pPr>
        <w:spacing w:after="0" w:line="201"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All funds received by AT&amp;T from the sale of common stock under this plan may be used for any corporate purpose.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PLAN BENEFITS</w:t>
      </w:r>
    </w:p>
    <w:p>
      <w:pPr>
        <w:spacing w:after="0" w:line="210"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It is not possible to determine how many eligible employees will participate in this plan in the future. Therefore, it is not possible to determine with certainty the dollar value or number of shares of common stock that will be distributed under this plan. On the average, approximately 5 million shares of AT&amp;T common stock have been distributed annually during the prior five-year term of this plan.</w:t>
      </w:r>
    </w:p>
    <w:p>
      <w:pPr>
        <w:spacing w:after="0" w:line="197"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The following table sets forth certain information with respect to shares purchased under the 1996 AT&amp;T Employee Stock Purchase Plan during 2000 by all current executive officers as a group, and all employees as a group (excluding executive officers):</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NUMBER OF SHARES NAME AND POSITION DOLLAR VALUE(1)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PURCHASED - ----------------- --------------- -----</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 All current executive officers as a</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group............. $ 38,120.32 2,246.336 All</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employees as a group (excluding current executive</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officers)...........................................</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$84,874,074.73 5,001,418.664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1839" w:hanging="413"/>
        <w:spacing w:after="0" w:line="257" w:lineRule="auto"/>
        <w:tabs>
          <w:tab w:leader="none" w:pos="420" w:val="left"/>
        </w:tabs>
        <w:numPr>
          <w:ilvl w:val="0"/>
          <w:numId w:val="2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upon $16.97 per share, the fair value of AT&amp;T common stock on December 29, 2000.</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TREATMENT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This plan (other than the Non-423 Component) is intended to qualify as an employee stock purchase plan within the meaning of Section 423 of the Code. Under the Code, an employee who elects to participate in an offering under this plan will not realize income at the time the offering commences or when the shares purchased under this plan are transferred to him or her. If an employee disposes of such shares after two years from the date the offering of such shares commences and after one year from the date of the transfer of such shares to him or her, the employee will be required to include in income, as compensation for the year in which such disposition occurs, an amount equal to the lesser of (1) the excess of the fair market value of such shares at the time of disposition over the purchase price, or (2) 15% of the fair market value of such shares at the time the offering commenced. The employee's basis in the shares disposed of will be increased by an amount equal to the amount so includable in his or her income as compensation, and any gain or loss computed with reference to such adjusted basis which is recognized at the time of the disposition will be a capital gain or loss, either short-term or long-term, depending on the holding period for such shares. In such event, AT&amp;T (or the subsidiary by which the employee is employed) will not be entitled to any tax deduction from income.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If any employee disposed of the shares purchased under this plan within such two-year or one-year period, the employee will be required to include in income, as compensation for the year in which such disposition occurs, an amount equal to the excess of the fair market value of such shares on the date of purchase over the purchase price. The employee's basis in such shares disposed of will be increased by an</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X-47</w:t>
      </w:r>
    </w:p>
    <w:p>
      <w:pPr>
        <w:sectPr>
          <w:pgSz w:w="11900" w:h="16838" w:orient="portrait"/>
          <w:cols w:equalWidth="0" w:num="1">
            <w:col w:w="10219"/>
          </w:cols>
          <w:pgMar w:left="240" w:top="719" w:right="1440" w:bottom="54" w:gutter="0" w:footer="0" w:header="0"/>
        </w:sectPr>
      </w:pPr>
    </w:p>
    <w:bookmarkStart w:id="301" w:name="page302"/>
    <w:bookmarkEnd w:id="301"/>
    <w:p>
      <w:pPr>
        <w:ind w:right="1839"/>
        <w:spacing w:after="0" w:line="251" w:lineRule="auto"/>
        <w:rPr>
          <w:sz w:val="20"/>
          <w:szCs w:val="20"/>
          <w:color w:val="auto"/>
        </w:rPr>
      </w:pPr>
      <w:r>
        <w:rPr>
          <w:rFonts w:ascii="Courier New" w:cs="Courier New" w:eastAsia="Courier New" w:hAnsi="Courier New"/>
          <w:sz w:val="17"/>
          <w:szCs w:val="17"/>
          <w:color w:val="auto"/>
        </w:rPr>
        <w:t>amount equal to the amount includable in his or her income as compensation, and any gain or loss computed with reference to such adjusted basis which is recognized at the time of disposition will be a capital gain or loss, either short-term or long-term, depending on the holding period for such shares. In the event of a disposition within such two-year or one-year period, AT&amp;T (or the subsidiary by which the employee is employed) will be entitled to a tax deduction from income equal to the amount the employee is required to include in income as a result of such disposition.</w:t>
      </w:r>
    </w:p>
    <w:p>
      <w:pPr>
        <w:spacing w:after="0" w:line="201"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An AT&amp;T employee who is a non-resident of the United States will generally not be subject to the U.S. federal income tax rules described above with respect to the shares of common stock purchased under this plan.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ADMINISTRATION AND TERMINATION</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AT&amp;T Board, or its delegate, will appoint a committee, which will be composed of one or more employees, to administer the plan on behalf of AT&amp;T. This committee may delegate any or all of the administrative functions under the plan to such individuals, subcommittees, or entities, as the committee considers appropriate. The committee may adopt rules and procedures not inconsistent with the provisions of this plan for its administration. The committee's interpretation and construction of this plan is final and conclusive.</w:t>
      </w:r>
    </w:p>
    <w:p>
      <w:pPr>
        <w:spacing w:after="0" w:line="196"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AT&amp;T Board may at any time, or from time to time, alter or amend this plan in any respect, except that, without approval of the AT&amp;T shareholders, no amendment may increase the number of shares reserved for purchase, or reduce the purchase price per share under this plan, other than as described above.</w:t>
      </w:r>
    </w:p>
    <w:p>
      <w:pPr>
        <w:spacing w:after="0" w:line="195"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The AT&amp;T Board will have the right to terminate this plan or any offering at any time for any reason. The plan may continue in effect through June 30, 2006.</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OF THE AT&amp;T BOARD</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THE AT&amp;T BOARD RECOMMENDS A VOTE FOR THE ADOPTION OF THE AT&amp;T AMENDED 1996 EMPLOYEE STOCK PURCHASE PLAN.</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X-48</w:t>
      </w:r>
    </w:p>
    <w:p>
      <w:pPr>
        <w:sectPr>
          <w:pgSz w:w="11900" w:h="16838" w:orient="portrait"/>
          <w:cols w:equalWidth="0" w:num="1">
            <w:col w:w="10219"/>
          </w:cols>
          <w:pgMar w:left="240" w:top="719" w:right="1440" w:bottom="1440" w:gutter="0" w:footer="0" w:header="0"/>
        </w:sectPr>
      </w:pPr>
    </w:p>
    <w:bookmarkStart w:id="302" w:name="page303"/>
    <w:bookmarkEnd w:id="302"/>
    <w:p>
      <w:pPr>
        <w:jc w:val="center"/>
        <w:ind w:right="1839"/>
        <w:spacing w:after="0"/>
        <w:rPr>
          <w:sz w:val="20"/>
          <w:szCs w:val="20"/>
          <w:color w:val="auto"/>
        </w:rPr>
      </w:pPr>
      <w:r>
        <w:rPr>
          <w:rFonts w:ascii="Courier New" w:cs="Courier New" w:eastAsia="Courier New" w:hAnsi="Courier New"/>
          <w:sz w:val="17"/>
          <w:szCs w:val="17"/>
          <w:color w:val="auto"/>
        </w:rPr>
        <w:t>CHAPTER ELEVEN</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DESCRIPTION OF AT&amp;T BUSINESS SERVICES GROUP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Business Services is one of the nation's largest business services communications providers, offering a variety of global communications services to over 4 million customers, including large domestic and multinational businesses, small and medium-sized businesses and government agencies. AT&amp;T Business Services operates one of the largest telecommunications networks in the United States and, through AT&amp;T's Global Network Services and other investments and affiliates, provides an array of services and customized solutions in 60 countries and 850 cities worldwide.</w:t>
      </w:r>
    </w:p>
    <w:p>
      <w:pPr>
        <w:spacing w:after="0" w:line="201"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AT&amp;T Business Services provides a broad range of communications services and customized solutions, including:</w:t>
      </w:r>
    </w:p>
    <w:p>
      <w:pPr>
        <w:spacing w:after="0" w:line="192" w:lineRule="exact"/>
        <w:rPr>
          <w:sz w:val="20"/>
          <w:szCs w:val="20"/>
          <w:color w:val="auto"/>
        </w:rPr>
      </w:pPr>
    </w:p>
    <w:p>
      <w:pPr>
        <w:ind w:left="740" w:hanging="209"/>
        <w:spacing w:after="0"/>
        <w:tabs>
          <w:tab w:leader="none" w:pos="740" w:val="left"/>
        </w:tabs>
        <w:numPr>
          <w:ilvl w:val="0"/>
          <w:numId w:val="2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 distance, international and toll-free voice services;</w:t>
      </w:r>
    </w:p>
    <w:p>
      <w:pPr>
        <w:spacing w:after="0" w:line="210" w:lineRule="exact"/>
        <w:rPr>
          <w:rFonts w:ascii="Courier New" w:cs="Courier New" w:eastAsia="Courier New" w:hAnsi="Courier New"/>
          <w:sz w:val="17"/>
          <w:szCs w:val="17"/>
          <w:color w:val="auto"/>
        </w:rPr>
      </w:pPr>
    </w:p>
    <w:p>
      <w:pPr>
        <w:ind w:left="740" w:right="2259" w:hanging="209"/>
        <w:spacing w:after="0" w:line="257" w:lineRule="auto"/>
        <w:tabs>
          <w:tab w:leader="none" w:pos="740" w:val="left"/>
        </w:tabs>
        <w:numPr>
          <w:ilvl w:val="0"/>
          <w:numId w:val="2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local services, including private line, local data and special access services;</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data and IP services, including frame relay and ATM;</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managed networking services and outsourcing solutions; and</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2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wholesale transport services.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STRATEGY</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AT&amp;T Business Services intends to leverage its existing leadership position in communications connectivity and substantial customer base to become a leading provider of value-added managed communications services and outsourcing solutions. The following strategic objectives are critical to this transformation:</w:t>
      </w:r>
    </w:p>
    <w:p>
      <w:pPr>
        <w:spacing w:after="0" w:line="396"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Offer comprehensive enterprise networking solutions to large business customers. AT&amp;T Business Services provides integrated communications services to enterprise customers, bundling an array of communications and data services to create customized end-to-end solutions. AT&amp;T Business Services offers large domestic and U.S.-based multinational corporations solutions comprised of local voice and data, long-distance voice and data, IP, virtual private networks, hosting and managed network services. AT&amp;T Business Services believes it has a well-established reputation for reliability, restoration and overall customer satisfaction, and that this provides it with critical competitive advantages in offering enterprise networking solutions.</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Increase sales of new services. AT&amp;T Business Services focuses on increasing sales of high-growth communications services, including local voice and data, IP connectivity and managed services. AT&amp;T Business Services is focused on increasing sales on its extensive existing local, long distance and IP networks. With substantial infrastructure already in place, AT&amp;T Business Services believes that future capital expenditures will be focused primarily on meeting specific customer demands for incremental capabilities and capacity. AT&amp;T Business Services believes that increased sales of high-growth services will help increase asset utilization and expand operating margins for these new services.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Lower operating costs and increase efficiencies. AT&amp;T Business Services believes it is imperative to maintain a cost leadership position. AT&amp;T Business Services continuously evaluates its operations on an ongoing basis to streamline core processes and reduce costs, focusing on key operational areas including access, network operations, provisioning, billing, customer care and sales. In particular, AT&amp;T focuses on providing its customers direct access to its network to enhance service quality and to reduce AT&amp;T's access charge cost. AT&amp;T Business Services routinely evaluates its performance relative to competitors through benchmarking studies. AT&amp;T Business Services also reviews best-of-class companies across all industries to identify new process improvements and additional cost reduction opportunities.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XI-1</w:t>
      </w:r>
    </w:p>
    <w:p>
      <w:pPr>
        <w:sectPr>
          <w:pgSz w:w="11900" w:h="16838" w:orient="portrait"/>
          <w:cols w:equalWidth="0" w:num="1">
            <w:col w:w="10219"/>
          </w:cols>
          <w:pgMar w:left="240" w:top="719" w:right="1440" w:bottom="1440" w:gutter="0" w:footer="0" w:header="0"/>
        </w:sectPr>
      </w:pPr>
    </w:p>
    <w:bookmarkStart w:id="303" w:name="page304"/>
    <w:bookmarkEnd w:id="303"/>
    <w:p>
      <w:pPr>
        <w:ind w:right="2139" w:firstLine="524"/>
        <w:spacing w:after="0" w:line="252" w:lineRule="auto"/>
        <w:rPr>
          <w:sz w:val="20"/>
          <w:szCs w:val="20"/>
          <w:color w:val="auto"/>
        </w:rPr>
      </w:pPr>
      <w:r>
        <w:rPr>
          <w:rFonts w:ascii="Courier New" w:cs="Courier New" w:eastAsia="Courier New" w:hAnsi="Courier New"/>
          <w:sz w:val="17"/>
          <w:szCs w:val="17"/>
          <w:color w:val="auto"/>
        </w:rPr>
        <w:t>Improve asset utilization. AT&amp;T Business Services plans to continue to improve network asset utilization. AT&amp;T Business Services has invested substantial capital to create an end-to-end network that supports next-generation communication services, such as IP-enabled virtual private networks. AT&amp;T Business Services will selectively invest as market demand and asset utilization levels warrant in order to achieve competitive returns on capital.</w:t>
      </w:r>
    </w:p>
    <w:p>
      <w:pPr>
        <w:spacing w:after="0" w:line="398"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Develop and offer new innovative customer solutions. AT&amp;T Business Services believes its market and technological leadership positions enable it to develop and offer new advanced communications services and managed service solutions. AT&amp;T Business Services evaluates and launches new products and services on an ongoing basis to accelerate bundling of transport and connectivity services with other communications products, such as managed network services and outsourcing solutions. AT&amp;T Business Services aims to develop and integrate new advanced applications in a manner that ensures effortless customer migration; for example, to transition from voice private networks to IP-enabled virtual private networks that support voice as an application. AT&amp;T Business Services believes its leadership in voice services coupled with the technological leadership of AT&amp;T Labs in developing IP and enterprise networking solutions will help attract new enterprise network customers and generate incremental revenue among AT&amp;T's existing enterprise customers while increasing network utilization and improving margins.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OVERVIEW</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communications services industry continues to evolve, both domestically and internationally, providing significant opportunities and risks to the participants in these markets. Factors that have been driving this change include:</w:t>
      </w:r>
    </w:p>
    <w:p>
      <w:pPr>
        <w:spacing w:after="0" w:line="396" w:lineRule="exact"/>
        <w:rPr>
          <w:sz w:val="20"/>
          <w:szCs w:val="20"/>
          <w:color w:val="auto"/>
        </w:rPr>
      </w:pPr>
    </w:p>
    <w:p>
      <w:pPr>
        <w:ind w:left="740" w:right="2139" w:hanging="209"/>
        <w:spacing w:after="0" w:line="257" w:lineRule="auto"/>
        <w:tabs>
          <w:tab w:leader="none" w:pos="740" w:val="left"/>
        </w:tabs>
        <w:numPr>
          <w:ilvl w:val="0"/>
          <w:numId w:val="3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entry of new competitors and investment of substantial capital in existing and new services, resulting in significant price competition;</w:t>
      </w:r>
    </w:p>
    <w:p>
      <w:pPr>
        <w:spacing w:after="0" w:line="191" w:lineRule="exact"/>
        <w:rPr>
          <w:rFonts w:ascii="Courier New" w:cs="Courier New" w:eastAsia="Courier New" w:hAnsi="Courier New"/>
          <w:sz w:val="17"/>
          <w:szCs w:val="17"/>
          <w:color w:val="auto"/>
        </w:rPr>
      </w:pPr>
    </w:p>
    <w:p>
      <w:pPr>
        <w:ind w:left="740" w:right="2039" w:hanging="209"/>
        <w:spacing w:after="0" w:line="257" w:lineRule="auto"/>
        <w:tabs>
          <w:tab w:leader="none" w:pos="740" w:val="left"/>
        </w:tabs>
        <w:numPr>
          <w:ilvl w:val="0"/>
          <w:numId w:val="3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technological advances resulting in a proliferation of new services and products and rapid increases in network capacity;</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3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Telecommunications Act; and</w:t>
      </w:r>
    </w:p>
    <w:p>
      <w:pPr>
        <w:spacing w:after="0" w:line="210" w:lineRule="exact"/>
        <w:rPr>
          <w:rFonts w:ascii="Courier New" w:cs="Courier New" w:eastAsia="Courier New" w:hAnsi="Courier New"/>
          <w:sz w:val="17"/>
          <w:szCs w:val="17"/>
          <w:color w:val="auto"/>
        </w:rPr>
      </w:pPr>
    </w:p>
    <w:p>
      <w:pPr>
        <w:ind w:left="740" w:right="2259" w:hanging="209"/>
        <w:spacing w:after="0" w:line="257" w:lineRule="auto"/>
        <w:tabs>
          <w:tab w:leader="none" w:pos="740" w:val="left"/>
        </w:tabs>
        <w:numPr>
          <w:ilvl w:val="0"/>
          <w:numId w:val="3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deregulation of communications services markets in selected countries around the world.</w:t>
      </w:r>
    </w:p>
    <w:p>
      <w:pPr>
        <w:spacing w:after="0" w:line="192"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One factor affecting the communications services industry is the rapid development of data services. The development of frame relay, ATM and IP networks as modes of transmitting information electronically has dramatically transformed the array and breadth of services offered by telecommunications carriers.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Use of the Internet, including intranets and extranets, has grown rapidly in recent years. This growth has been driven by a number of factors, including the large and growing installed base of personal computers, improvements in network architectures, increasing numbers of network-enabled applications, emergence of compelling content and commerce-enabling technologies, and easier, faster and cheaper Internet access. Consequently, the Internet has become an important new global communications and commerce medium. The Internet represents an opportunity for enterprises to interact in new and different ways with both existing and prospective customers, employees, suppliers and partners. Enterprises are responding to this opportunity by substantially increasing their investment in Internet connectivity and services to enhance internal voice and data networks.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United States, the Telecommunications Act has had a significant impact on AT&amp;T Business Services' business by establishing a statutory framework for opening the local service markets to competition and by allowing regional phone companies to provide in-region long distance services. In addition, prices for long distance minutes and other basic communications services have declined as a result of increased competitive pressures, governmental deregulation, introduction of more efficient networks and advanced technologies, and product substitution. Competition in these basic communications services segments has more recently been based more on price and less on other differentiating factors that</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XI-2</w:t>
      </w:r>
    </w:p>
    <w:p>
      <w:pPr>
        <w:sectPr>
          <w:pgSz w:w="11900" w:h="16838" w:orient="portrait"/>
          <w:cols w:equalWidth="0" w:num="1">
            <w:col w:w="10219"/>
          </w:cols>
          <w:pgMar w:left="240" w:top="719" w:right="1440" w:bottom="860" w:gutter="0" w:footer="0" w:header="0"/>
        </w:sectPr>
      </w:pPr>
    </w:p>
    <w:bookmarkStart w:id="304" w:name="page305"/>
    <w:bookmarkEnd w:id="304"/>
    <w:p>
      <w:pPr>
        <w:jc w:val="both"/>
        <w:ind w:right="2259"/>
        <w:spacing w:after="0" w:line="254" w:lineRule="auto"/>
        <w:rPr>
          <w:sz w:val="20"/>
          <w:szCs w:val="20"/>
          <w:color w:val="auto"/>
        </w:rPr>
      </w:pPr>
      <w:r>
        <w:rPr>
          <w:rFonts w:ascii="Courier New" w:cs="Courier New" w:eastAsia="Courier New" w:hAnsi="Courier New"/>
          <w:sz w:val="17"/>
          <w:szCs w:val="17"/>
          <w:color w:val="auto"/>
        </w:rPr>
        <w:t>appeal to the larger business market customers, including range of services offered, bundling of products, customer service, and communications quality, reliability and availability.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SERVICES AND PRODUCTS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VOICE SERVICES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Long Distance Voice Services. AT&amp;T Business Services' long distance voice communication offerings include the traditional "one plus" dialing of domestic and international long distance for customers that select AT&amp;T Business Services as their primary long distance carrier.</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Business Services offers toll-free (for example, 800, 888 or 877) inbound services, where the receiving party pays for the call. These services are used in a wide variety of applications, including sales, reservation centers or customer service centers. AT&amp;T Business Services also offers a variety of value-added features to enhance customers' toll-free services, including call routing by origination point and time-of-day routing. In addition, AT&amp;T Business Services provides virtual private network applications, including dedicated outbound facilities.</w:t>
      </w:r>
    </w:p>
    <w:p>
      <w:pPr>
        <w:spacing w:after="0" w:line="201"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AT&amp;T Business Services also offers audio and video teleconferencing services, as well as web-based video conferencing. These services offer customers the ability to establish automated teleconference lines, as well as teleconferences moderated by an AT&amp;T representative. Customers can also establish a dedicated audio conference number that can be used at any time without the necessity of a reservation.</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Business Services also offers a variety of calling cards that allow the user to place calls from virtually anywhere in the world. Additional features include prepaid phone cards, conference calling, international origination, information service access (such as weather or stock quotes), speed dialing and voice messaging.</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Business Local Services. AT&amp;T Business Local provides a wide range of local voice and data telecommunications services in major metropolitan markets throughout the United States. Services include basic local exchange service, Centrex, exchange access, private line, high speed data and video services. AT&amp;T Business Local typically offers local service as part of a package of services that can include any combination of other AT&amp;T Business Services offerings.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Integrated Voice/Data/IP Offers. AT&amp;T Business Services provides a variety of integrated service offers targeted at business customers. For small businesses, AT&amp;T's All in One service offering provides both local and long distance services through a single bill, providing discounts based on volume and term commitments. The AT&amp;T Business Network service offers a wide range of voice and data services through a single service package. Among the features of the integrated services offering is the ability to enable customers to electronically order new services, perform maintenance and manage administrative functions.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AT&amp;T also has a number of integrated voice and data services, such as Integrated Network Connections, that provide customers the ability to integrate access for their voice and data services and thereby qualify for lower prices.</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DATA AND INTERNET SERVICES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Private Line Services. AT&amp;T Business Services' data services include private line and special access services that use high-capacity digital circuits to carry voice, data and video (or multimedia) transmission from point-to-point in multiple configurations. These services provide high-volume customers with a direct connection to an AT&amp;T Business Services switch instead of switched access shared by many users. These services permit customers to create internal computer networks and to access external computer networks and the Internet, thereby reducing originating access costs.</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Packet Services. Packet services consist of data networks utilizing packet switching and transmission technologies. Packet services include frame relay, ATM and IP connectivity services. Packet services enable customers to transmit large volumes of data economically and securely. Packet services are utilized</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XI-3</w:t>
      </w:r>
    </w:p>
    <w:p>
      <w:pPr>
        <w:sectPr>
          <w:pgSz w:w="11900" w:h="16838" w:orient="portrait"/>
          <w:cols w:equalWidth="0" w:num="1">
            <w:col w:w="10219"/>
          </w:cols>
          <w:pgMar w:left="240" w:top="719" w:right="1440" w:bottom="861" w:gutter="0" w:footer="0" w:header="0"/>
        </w:sectPr>
      </w:pPr>
    </w:p>
    <w:bookmarkStart w:id="305" w:name="page306"/>
    <w:bookmarkEnd w:id="305"/>
    <w:p>
      <w:pPr>
        <w:ind w:right="1839"/>
        <w:spacing w:after="0" w:line="252" w:lineRule="auto"/>
        <w:rPr>
          <w:sz w:val="20"/>
          <w:szCs w:val="20"/>
          <w:color w:val="auto"/>
        </w:rPr>
      </w:pPr>
      <w:r>
        <w:rPr>
          <w:rFonts w:ascii="Courier New" w:cs="Courier New" w:eastAsia="Courier New" w:hAnsi="Courier New"/>
          <w:sz w:val="17"/>
          <w:szCs w:val="17"/>
          <w:color w:val="auto"/>
        </w:rPr>
        <w:t>for local area network interconnection, remote site, point of sale and branch office communications solutions. While frame relay and ATM Services are widely deployed as private data networks, AT&amp;T Business Services offers customers the ability to connect these networks to the Internet through services such as IP-enabled frame relay. High speed packet services, including IP-enabled frame relay service, are utilized extensively by enterprise customers for an expanding range of applications.</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Business Internet Services. AT&amp;T Business Services provides IP connectivity and managed IP services, messaging, and electronic commerce services to businesses. AT&amp;T offers managed Internet services, which give customers dedicated, high-speed access to the Internet for business applications at a variety of speeds and types of access, as well as business dial service, a dial-up version of Internet access designed to meet the needs of small- and medium-sized businesses. AT&amp;T's web services consist of a family of hosting and transactional services and platforms serving the web needs of thousands of businesses; these offers include AT&amp;T Small Business Hosting Services.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MANAGED SERVICES AND OUTSOURCING SOLUTIONS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Business Services provides clients with an array of managed networking services, professional services and outsourcing solutions intended to satisfy clients' complete networking technology needs-ranging from managing individual network components such as routers and frame relay networks to managing entire complex global networks. AT&amp;T Business Services is engaged in: designing, developing and delivering integrated and interoperable global services, allowing enterprises to optimize networking-based mission-critical and electronic commerce applications. AT&amp;T Business Services also works selectively with qualified partners to offer enhanced services to customers.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Enterprise Networking Services. With a global scale and reach in 60 countries and 850 different cities, AT&amp;T Business Services' enterprise networking services strive to provide comprehensive support from network design, implementation and installation to ongoing network operations and lifecycle management of Local Area Network, Wide Area Network, and Virtual Private Network solutions. These managed enterprise networking services enable customers to accommodate specific business applications (e.g., e-mail, voice over IP, order entry systems, employee directories, human resource transaction and other database applications); to create secure remote access intranet and extranet solutions with controlled access to employees, business partners and customers; and, to use Intelligent Content Distribution Services to accelerate delivery of content to any Internet user.</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Web Services. AT&amp;T Business Services' continuum of managed web hosting services supports clients' hosted infrastructure needs from the network layer all the way up through managing the performance of their business applications. With 18 Internet Data Centers located on three continents and with a capacity of more than 1.8 million square feet of web hosting space, AT&amp;T's hosting services provide a fully flexible, managed environment of network, server and security infrastructure as well as built-in data storage. AT&amp;T's full suite of managed hosting services includes application performance management, database management, hardware and operating system management, intelligent content distribution services, high availability data and computing services, storage services, managed security and firewall services. AT&amp;T's web hosting services also include a range of business tools, including client portal services that provide managed hosting customers with personalized, secure access to detailed reporting information about their infrastructure and applications.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High Availability and Security Services. AT&amp;T Business Services' high availability and security services deliver enterprise-class, high-end integrated solutions to ensure the continuous operations of clients' critical business processes and availability of critical data by leveraging the core competencies of AT&amp;T's end-to-end professional services; world-class global networks; global management and monitoring; Internet Data Centers and conditioned facilities. In addition, AT&amp;T's high availability and security services include business continuity and disaster recovery services that provide core network disaster recovery, information technology, work center, and risk management/business continuity analysis, planning and operational capabilities.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XI-4</w:t>
      </w:r>
    </w:p>
    <w:p>
      <w:pPr>
        <w:sectPr>
          <w:pgSz w:w="11900" w:h="16838" w:orient="portrait"/>
          <w:cols w:equalWidth="0" w:num="1">
            <w:col w:w="10219"/>
          </w:cols>
          <w:pgMar w:left="240" w:top="719" w:right="1440" w:bottom="1440" w:gutter="0" w:footer="0" w:header="0"/>
        </w:sectPr>
      </w:pPr>
    </w:p>
    <w:bookmarkStart w:id="306" w:name="page307"/>
    <w:bookmarkEnd w:id="306"/>
    <w:p>
      <w:pPr>
        <w:ind w:right="2139" w:firstLine="524"/>
        <w:spacing w:after="0" w:line="252" w:lineRule="auto"/>
        <w:rPr>
          <w:sz w:val="20"/>
          <w:szCs w:val="20"/>
          <w:color w:val="auto"/>
        </w:rPr>
      </w:pPr>
      <w:r>
        <w:rPr>
          <w:rFonts w:ascii="Courier New" w:cs="Courier New" w:eastAsia="Courier New" w:hAnsi="Courier New"/>
          <w:sz w:val="17"/>
          <w:szCs w:val="17"/>
          <w:color w:val="auto"/>
        </w:rPr>
        <w:t>Outsourcing Solutions. AT&amp;T Business Services provides customers with outsourcing solutions designed to manage customers' highly complex voice and data networks. These services range from consulting to outsourcing and management of highly complex global data networks. AT&amp;T Business Services designs, engineers and implements seamless solutions for clients that are designed to maximize the competitive advantage of networking-based electronic commerce applications.</w:t>
      </w:r>
    </w:p>
    <w:p>
      <w:pPr>
        <w:spacing w:after="0" w:line="196"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Transport. AT&amp;T Business Services considers itself one of the leaders in providing wholesale networking services to other carriers, providing both network capacity and switched services. AT&amp;T Business Services offers a combination of high-volume transmission capacity, conventional dedicated line services and dedicated switched services on a regional and national basis to ISPs and facility-based and switchless resellers. AT&amp;T Business Services' wholesale customers are primarily large tier-one ISPs, competitive local exchange carriers, regional phone companies, interexchange carriers, cable companies and systems integrators. AT&amp;T Business Services focuses on ensuring optimal network utilization through the sale of off-peak capacity. Further, wholesale switched services are priced to reflect the cost of access incurred. In limited circumstances, AT&amp;T Business Services also has sold network capacity through indefeasible rights-of-use agreements under which capacity is furnished for contract terms as long as 25 years.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 AND MARKETING</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Business Services markets its suite of voice and data communications services through its global sales and marketing organization. The sales and marketing organization is primarily organized by customer type and targets retail, wholesale and government organizations throughout the United States and the rest of the world. AT&amp;T Business Services' direct sales and marketing force consists of approximately 6,800 sales representatives. In addition, the sales and marketing group works in connection with several outside telemarketing firms to target small businesses in a cost efficient manner. For small businesses with more sophisticated service needs, AT&amp;T Business Services uses a direct sales force of approximately over 450 representatives trained to market the full suite of products and services and customized services solutions. In addition, the AT&amp;T Solution Center provides a centralized resource designed to respond rapidly to complex customer requirements. For many large and multinational clients, a senior AT&amp;T officer is responsible for maintaining a continuous relationship with the senior management of the customer, helping to ensure a continuous and effective marketing effort.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CUSTOMER CARE AND SUPPORT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Business Services places a high priority on ensuring all customers receive the highest level of customer care, including contracting, ordering, provisioning, maintenance and collections. AT&amp;T's customer care organization places particular emphasis on the ordering, provisioning and maintenance processes. Customer care and support group monitors these functions and responds to inbound customer inquiries in a manner intended to ensure customer orders for new services, service changes and maintenance requests are completed on-time and accurately. Customer care and support has approximately 10,000 customer care associates world-wide at 27 customer care centers, of which 24 are company-owned and three are operated by outside customer care firms.</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Business Services determines the appropriate customer care program based on the size and sophistication of the customer and its communications needs. For larger and multinational customers and government agencies, AT&amp;T Business Services provides customer care services and support through dedicated account teams designed to provide support on a rapid and personalized basis.</w:t>
      </w:r>
    </w:p>
    <w:p>
      <w:pPr>
        <w:spacing w:after="0" w:line="197" w:lineRule="exact"/>
        <w:rPr>
          <w:sz w:val="20"/>
          <w:szCs w:val="20"/>
          <w:color w:val="auto"/>
        </w:rPr>
      </w:pPr>
    </w:p>
    <w:p>
      <w:pPr>
        <w:ind w:right="2259" w:firstLine="524"/>
        <w:spacing w:after="0" w:line="252" w:lineRule="auto"/>
        <w:rPr>
          <w:sz w:val="20"/>
          <w:szCs w:val="20"/>
          <w:color w:val="auto"/>
        </w:rPr>
      </w:pPr>
      <w:r>
        <w:rPr>
          <w:rFonts w:ascii="Courier New" w:cs="Courier New" w:eastAsia="Courier New" w:hAnsi="Courier New"/>
          <w:sz w:val="17"/>
          <w:szCs w:val="17"/>
          <w:color w:val="auto"/>
        </w:rPr>
        <w:t>AT&amp;T Business Services believes that the web has greatly enhanced AT&amp;T Business Services' customer care programs. Through a dedicated customer care website, www.iadvantgage@att.com, customers may submit questions or initiate service requests, including ordering new services or submitting maintenance requests. Customer care delivered via the web is often quicker and more convenient for customers and reduces errors.</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XI-5</w:t>
      </w:r>
    </w:p>
    <w:p>
      <w:pPr>
        <w:sectPr>
          <w:pgSz w:w="11900" w:h="16838" w:orient="portrait"/>
          <w:cols w:equalWidth="0" w:num="1">
            <w:col w:w="10219"/>
          </w:cols>
          <w:pgMar w:left="240" w:top="719" w:right="1440" w:bottom="1440" w:gutter="0" w:footer="0" w:header="0"/>
        </w:sectPr>
      </w:pPr>
    </w:p>
    <w:bookmarkStart w:id="307" w:name="page308"/>
    <w:bookmarkEnd w:id="307"/>
    <w:p>
      <w:pPr>
        <w:spacing w:after="0"/>
        <w:rPr>
          <w:sz w:val="20"/>
          <w:szCs w:val="20"/>
          <w:color w:val="auto"/>
        </w:rPr>
      </w:pPr>
      <w:r>
        <w:rPr>
          <w:rFonts w:ascii="Courier New" w:cs="Courier New" w:eastAsia="Courier New" w:hAnsi="Courier New"/>
          <w:sz w:val="17"/>
          <w:szCs w:val="17"/>
          <w:color w:val="auto"/>
        </w:rPr>
        <w:t>RATES AND BILLING</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Business Services provides the majority of its services through long-term contracts. General descriptions of AT&amp;T Business Services' services, applicable rates, warranties, limitations on liability, user requirements and other material service provisioning information are outlined in service guides that are provided directly to prospective clients or are available on AT&amp;T's website. Clients enter into contracts, based on the service guides, detailing customer-specific terms and information, including volume discounts, service bundling, extended warranties and other customized terms. Through combined offerings, AT&amp;T Business Services also provides customers with such features as single billing, unified services for multi-location companies and customized calling plans. Most intrastate services are provided in accordance with applicable tariffs filed with the states. Revenue subject to government tariffs accounted for approximately 25% of AT&amp;T Business Services' 2000 revenue.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Most domestic and international switched voice services originating in the United States are billed in 1 or 6 second increments after a fixed initial period. Switched voice services originating in international markets are also billed in increments, subject to local market conditions and interconnect agreements. Switched long distance and local services are billed in arrears, with monthly billing statements itemizing date, time, duration and charges. Data services are billed generally in advance, based on a fixed circuit charge, with rates that vary according to speed of transmission and service type.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NETWORK</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Business Services' U.S. network comprises 46,500 route miles of long-haul backbone fiber-optic cable, plus another 17,000 route miles of local metro fiber, capable of carrying OC-192 (10 billion bits, or 10 gigabits per second) traffic. In addition, AT&amp;T Business Services has recently completed installation of over 10,000 new route miles of the latest generation fiber-optic cable capable of carrying OC-768 (40 gigabits per second) when that standard is ready for deployment. This new fiber capacity presently connects 22 of the largest U.S. cities, and provides AT&amp;T substantial capacity for future growth of network traffic with minimal incremental capital expenditure requirements. AT&amp;T Business Services was the first in the industry with a coast-to-coast OC-192 backbone, connecting Boston, New York, Chicago, St. Louis, San Francisco and Los Angeles. In addition to this state-of-the-art 10 gigabits per second backbone, AT&amp;T Business Services also has over 400 Synchronous Optical Network points-of-presence in the continental U.S., offering high-speed data connectivity to the majority of U.S. business centers. Currently, 78 of these points-of-presence are tariffed with OC-48 service.</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Business Services' network, which also supports AT&amp;T Consumer Services Group's services, carries over 300 million voice calls every business day and more than 2,175 trillion bytes (terabytes) of data each day. AT&amp;T Business Services carries more frame relay and ATM traffic than any other U.S. carrier. On the voice network, AT&amp;T Business Services employs its patented Real Time Network Routing to automatically complete domestic voice calls through more than 100 possible routes. The reliability of certain portions of the network is maximized by using Synchronous Optical Network rings that can restore service on a severed fiber optic cable within 50 to 60 milliseconds by sending traffic in the other direction on the ring. On other routes, AT&amp;T uses its patented FASTAR technology to route traffic around a cable cut by automatically transferring traffic to alternative spare capacity. AT&amp;T Business Services stands behind its reliability claims with service level agreements. For example, on its IP backbone, AT&amp;T Business Services guarantees business customers no more than 60 milliseconds of latency, or delay in the transmission of a packet of information, and 0.7% packet loss per month.</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Business Services has been a leader in deploying Dense Wavelength Division Multiplexing, or DWDM, technology that divides an optical fiber into multiple channels, each carrying up to 10 gigabits per second of information today. When DWDM was introduced in 1996, the technology could put only eight wavelengths on a fiber strand. Today, AT&amp;T Business Services is deploying 64-and 80-wavelength DWDM systems, as well as systems capable of carrying 160 wavelengths. When installed with OC-192 capabilities, a 160-wavelength DWDM system will enable 1.6 terabits (trillion bits per second) on a single fiber strand.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XI-6</w:t>
      </w:r>
    </w:p>
    <w:p>
      <w:pPr>
        <w:sectPr>
          <w:pgSz w:w="11900" w:h="16838" w:orient="portrait"/>
          <w:cols w:equalWidth="0" w:num="1">
            <w:col w:w="10219"/>
          </w:cols>
          <w:pgMar w:left="240" w:top="719" w:right="1440" w:bottom="1062" w:gutter="0" w:footer="0" w:header="0"/>
        </w:sectPr>
      </w:pPr>
    </w:p>
    <w:bookmarkStart w:id="308" w:name="page309"/>
    <w:bookmarkEnd w:id="308"/>
    <w:p>
      <w:pPr>
        <w:ind w:right="1839" w:firstLine="524"/>
        <w:spacing w:after="0" w:line="251" w:lineRule="auto"/>
        <w:rPr>
          <w:sz w:val="20"/>
          <w:szCs w:val="20"/>
          <w:color w:val="auto"/>
        </w:rPr>
      </w:pPr>
      <w:r>
        <w:rPr>
          <w:rFonts w:ascii="Courier New" w:cs="Courier New" w:eastAsia="Courier New" w:hAnsi="Courier New"/>
          <w:sz w:val="17"/>
          <w:szCs w:val="17"/>
          <w:color w:val="auto"/>
        </w:rPr>
        <w:t>Since digital switching was introduced in the late 1970s, the heart of the AT&amp;T voice network has been the 4ESS, a circuit switch specifically designed for long distance use, and currently AT&amp;T Business Services has 143 of these switches in the network. AT&amp;T Business Services has recently installed nearly 60 standard tandem switches that allow AT&amp;T to accommodate the transition from circuit-switched to packet networks. While AT&amp;T Business Services will continue to have both circuit and packet switching technologies for some time, significant future capital expenditures are not planned for circuit switching.</w:t>
      </w:r>
    </w:p>
    <w:p>
      <w:pPr>
        <w:spacing w:after="0" w:line="201" w:lineRule="exact"/>
        <w:rPr>
          <w:sz w:val="20"/>
          <w:szCs w:val="20"/>
          <w:color w:val="auto"/>
        </w:rPr>
      </w:pPr>
    </w:p>
    <w:p>
      <w:pPr>
        <w:ind w:right="2139" w:firstLine="524"/>
        <w:spacing w:after="0" w:line="251" w:lineRule="auto"/>
        <w:rPr>
          <w:sz w:val="20"/>
          <w:szCs w:val="20"/>
          <w:color w:val="auto"/>
        </w:rPr>
      </w:pPr>
      <w:r>
        <w:rPr>
          <w:rFonts w:ascii="Courier New" w:cs="Courier New" w:eastAsia="Courier New" w:hAnsi="Courier New"/>
          <w:sz w:val="17"/>
          <w:szCs w:val="17"/>
          <w:color w:val="auto"/>
        </w:rPr>
        <w:t>In addition to its long distance network, AT&amp;T Business Services has an extensive local network serving business customers in 80 U.S. cities. AT&amp;T Business Services has expanded its local network so that it now includes 118 local switches and reaches more than 6,200 buildings. This network provides voice service to business users, as well as data connections up to OC-48 capacity. In order to maximize asset utilization, AT&amp;T's local network also handles consumer traffic, providing most of the dial-in numbers for AT&amp;T WorldNet Service, as well as switching cable telephony calls for customers of AT&amp;T Broadband.</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Business Services also operates one of the largest IP networks in the United States. As a Tier 1 provider, AT&amp;T has direct peering relationships with other Tier 1 providers, providing service to carriers that go through public peering sites. AT&amp;T offers multiple access choices to the IP network, including dial-up, dedicated private line, cable modem and DSL, as well as IP-enabled access through ATM and frame relay networks.</w:t>
      </w:r>
    </w:p>
    <w:p>
      <w:pPr>
        <w:spacing w:after="0" w:line="1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AT&amp;T Business Services is deploying Internet Data Centers across the U.S., offering web hosting services. Currently, AT&amp;T Business Services has 18 Internet Data Centers, with an aggregate 1.8 million square feet of space, all directly connected to AT&amp;T Business Services' high-speed IP backbone.</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Over the next few years, AT&amp;T Business Services plans to evolve its network to an all-optical facility. The first element of the optical network is AT&amp;T Business Services' existing fiber-optic backbone. The next step is the Intelligent Optical Switch, which was introduced by the end of 2001. The Intelligent Optical Switch switches wavelengths of light, and can communicate and establish a connection with other switches automatically when a customer requests a new service. The third element is the Multi-Service Platform, located in either the AT&amp;T local network or on the customer premise, that aggregates low-speed and high-speed services and sends the information to the Intelligent Optical Switch for routing.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INTERNATIONAL</w:t>
      </w:r>
    </w:p>
    <w:p>
      <w:pPr>
        <w:spacing w:after="0" w:line="210"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AT&amp;T Business Services has entered into a number of agreements and alliances with international communications companies, and has made strategic investments in several countries in order to provide customers end-to-end network management capabilities and highly customized solutions.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Concert. On January 5, 2000 AT&amp;T and BT created a global venture to serve the communications needs of multinational companies and the international calling needs of businesses around the world. On October 16, 2001 AT&amp;T and BT announced that they had reached binding agreements to unwind Concert. Under the Concert dissolution agreement with BT, AT&amp;T will reclaim customer contracts and assets that were initially contributed to the venture, including international transport facilities and gateway assets. In addition, AT&amp;T Business Services will obtain ownership of certain frame relay assets located in the Asia Pacific region that BT initially contributed to the venture. AT&amp;T Business Services expects to combine these assets with its existing international networking and other assets. AT&amp;T Business Services will honor all contracts and service level agreements that it will assume from Concert. AT&amp;T Business Services and BT have agreed to enter into transitional commercial agreements enabling them to provide existing Concert services for a period of three years. Under these agreements, AT&amp;T Business Services and BT will pay each other market-based prices.</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Canada. On June 1, 1999, AT&amp;T Canada Corp. merged with MetroNet Communications Corp., Canada's largest competitive local exchange carrier. Under the terms of the merger agreement, AT&amp;T Business Services received 31% of the equity interest and 23% of the voting interest in AT&amp;T Canada in exchange for AT&amp;T Canada Corp. and ACC TelEnterprises Ltd. AT&amp;T Canada is Canada's leading facilities-based end-to-end competitive carrier, covering 25 cities. AT&amp;T Canada is focused on</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XI-7</w:t>
      </w:r>
    </w:p>
    <w:p>
      <w:pPr>
        <w:sectPr>
          <w:pgSz w:w="11900" w:h="16838" w:orient="portrait"/>
          <w:cols w:equalWidth="0" w:num="1">
            <w:col w:w="10219"/>
          </w:cols>
          <w:pgMar w:left="240" w:top="719" w:right="1440" w:bottom="659" w:gutter="0" w:footer="0" w:header="0"/>
        </w:sectPr>
      </w:pPr>
    </w:p>
    <w:bookmarkStart w:id="309" w:name="page310"/>
    <w:bookmarkEnd w:id="309"/>
    <w:p>
      <w:pPr>
        <w:ind w:right="1939"/>
        <w:spacing w:after="0" w:line="253" w:lineRule="auto"/>
        <w:rPr>
          <w:sz w:val="20"/>
          <w:szCs w:val="20"/>
          <w:color w:val="auto"/>
        </w:rPr>
      </w:pPr>
      <w:r>
        <w:rPr>
          <w:rFonts w:ascii="Courier New" w:cs="Courier New" w:eastAsia="Courier New" w:hAnsi="Courier New"/>
          <w:sz w:val="17"/>
          <w:szCs w:val="17"/>
          <w:color w:val="auto"/>
        </w:rPr>
        <w:t>serving large enterprise and international customers. AT&amp;T Canada currently connects over 3,300 buildings, with over 510,000 local access lines in service. AT&amp;T Canada owns over 11,500 route miles of fiber, and has six fiber interconnection points to AT&amp;T's U.S. network at the U.S.-Canada border.</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As part of the merger, AT&amp;T agreed to purchase all of the remaining shares of AT&amp;T Canada upon the removal of Canadian foreign ownership restrictions at the greater of the then appraised fair market value or the accreted minimum price, which initially was C$37.50 per share accreting after June 30, 2000 at a rate of 4% per quarter.</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also has the right at any time to trigger the purchase of such shares. AT&amp;T may acquire the AT&amp;T Canada shares or designate another party to acquire such shares prior to a change in the ownership restrictions by developing a structure that addresses these ownership restrictions. If the foreign ownership restrictions have not been removed and AT&amp;T has not triggered the purchase by June 30, 2003, those shares, along with AT&amp;T's AT&amp;T Canada shares, would be sold through an auction process and AT&amp;T will make whole the other shareowners for the amount they would have been entitled to if AT&amp;T Business Services had purchased all of the remaining shares of AT&amp;T Canada. At its sole option, AT&amp;T can fulfill its obligation either with cash or AT&amp;T common stock. On August 16, 1999, AT&amp;T completed its sale to BT of 30% of AT&amp;T's stake in AT&amp;T Canada. In addition, BT had agreed to purchase 30% of the shares of AT&amp;T Canada that AT&amp;T will be acquiring from the other shareholders, subject to BT's right to cap its purchase at C$1.65 billion. As part of the formation agreement of Concert and as a result of dissolution of Concert, AT&amp;T will acquire BT's investment in AT&amp;T Canada and will assume BT's obligation to purchase additional AT&amp;T Canada shares.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currently owns approximately 21% of the outstanding equity of AT&amp;T Canada and has the right to acquire BT's 9% interest in the outstanding equity of AT&amp;T Canada. Accordingly, AT&amp;T does not currently consolidate AT&amp;T Canada into its results. AT&amp;T has agreed to purchase all the outstanding shares of AT&amp;T Canada that it does not own in the event that Canadian foreign ownership restrictions are removed. Prior to such removal, AT&amp;T also has the right at any time to trigger the purchase of such shares through a structure that complies with such ownership restrictions, including designating a Canadian investor to purchase such shares. In the event AT&amp;T acquires more than 50% of the equity interest in or the total voting power of AT&amp;T Canada, AT&amp;T Canada's results would be consolidated into AT&amp;T's and AT&amp;T Communications Services' results. At September 30, 2001, AT&amp;T Canada had C$4.756 billion of indebtedness. Neither AT&amp;T nor AT&amp;T Communications Services has guaranteed any of the indebtedness of AT&amp;T Canada.</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Latin America Corp. On August 28, 2000, AT&amp;T Business Services established AT&amp;T Latin America in connection with the merger of Netstream, a competitive local exchange carrier in Brazil, and FirstCom Corporation. AT&amp;T Latin America provides voice, data and Internet access services in five countries, Argentina, Brazil, Chile, Colombia and Peru. AT&amp;T Latin America owns over 3,800 route miles of fiber connecting over 5,400 buildings. AT&amp;T Business Services owns a 62.5% economic interest (94% voting interest) in AT&amp;T Latin America.</w:t>
      </w:r>
    </w:p>
    <w:p>
      <w:pPr>
        <w:spacing w:after="0" w:line="201"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Alestra. S. de R.L. de C.V. AT&amp;T Business Services also owns a 49% economic interest in Alestra S. de R.L. de C.V., a competitive telecommunications company in Mexico. Alestra offers voice, data and Internet services throughout Mexico to residential, small business and enterprise customers. Alestra's state-of-the-art network comprises approximately 3,500 route miles, with four interconnection points to AT&amp;T's network at the U.S.-Mexico border.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10"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AT&amp;T Business Services faces the same competition issues applicable generally to the communications services industry that are discussed with respect to AT&amp;T Consumer Services Group. See "AT&amp;T Consumer Services Group Tracking Stock -- Description of AT&amp;T Consumer Services Group -- Competition" and "Summary and Overview of the Transactions -- Risk Factors -- Risk Factors Relating to AT&amp;T Consumer Services Group and AT&amp;T Business Services Group -- AT&amp;T Consumer Services</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XI-8</w:t>
      </w:r>
    </w:p>
    <w:p>
      <w:pPr>
        <w:sectPr>
          <w:pgSz w:w="11900" w:h="16838" w:orient="portrait"/>
          <w:cols w:equalWidth="0" w:num="1">
            <w:col w:w="10219"/>
          </w:cols>
          <w:pgMar w:left="240" w:top="719" w:right="1440" w:bottom="1062" w:gutter="0" w:footer="0" w:header="0"/>
        </w:sectPr>
      </w:pPr>
    </w:p>
    <w:bookmarkStart w:id="310" w:name="page311"/>
    <w:bookmarkEnd w:id="310"/>
    <w:p>
      <w:pPr>
        <w:ind w:right="2259"/>
        <w:spacing w:after="0" w:line="257" w:lineRule="auto"/>
        <w:rPr>
          <w:sz w:val="20"/>
          <w:szCs w:val="20"/>
          <w:color w:val="auto"/>
        </w:rPr>
      </w:pPr>
      <w:r>
        <w:rPr>
          <w:rFonts w:ascii="Courier New" w:cs="Courier New" w:eastAsia="Courier New" w:hAnsi="Courier New"/>
          <w:sz w:val="17"/>
          <w:szCs w:val="17"/>
          <w:color w:val="auto"/>
        </w:rPr>
        <w:t>Group and AT&amp;T Business Services Group face substantial competition that may materially adversely impact both market share and margins."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December 31, 2000, AT&amp;T Business Services employed approximately 66,400 individuals in its operations. Of those employees, approximately 61,900 are located domestically. About 19,400 of the domestically located employees of AT&amp;T Business Services are represented by unions. Of those so represented, about 94% are represented by the Communications Workers of America and about 5% are represented by the International Brotherhood of Electrical Workers, both of which are affiliated with the AFL-CIO. In addition, there is a very small remainder of domestic employees represented by other unions. Labor agreements with most of these unions extend through May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PROCEEDINGS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normal course of business, AT&amp;T Business Services is subject to proceedings, lawsuits and other claims, including proceedings under government laws and regulations related to environmental and other matters. Such matters are subject to many uncertainties and outcomes are not predictable with assurance. Consequently, AT&amp;T Business Services is unable to ascertain the ultimate aggregate amount of monetary liability or financial impact with respect to these matters at December 31, 2000. While these matters could affect operating results of any one quarter when resolved in future periods, it is management's opinion that after final disposition, any monetary liability or financial impact to AT&amp;T Business Services beyond that provided for at year-end would not be material to AT&amp;T Business Services' annual consolidated financial position or results of operations.</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For additional information on legal proceedings, please see the discussion on legal proceedings under "Legal Proceedings" contained in AT&amp;T's Annual Report on Form 10-K for the year ended December 31, 2000, which is incorporated by reference in this document. See "Additional Information for Shareholders -- Where You Can Find More Information."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LABS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Labs conducts research and development for AT&amp;T. AT&amp;T Labs' scientists and engineers conduct research in a variety of areas, including IP and future broadband technologies; advanced network design and architecture; network operations systems; data mining technologies and advanced speech technologies. AT&amp;T Labs works with the other business units within AT&amp;T to create new services and invent tools and systems to manage secure and reliable networks for AT&amp;T and its customers. With a heritage that extends from fundamental advances such as the development of the transistor, AT&amp;T Labs has made numerous recent advances in the areas of IP communications infrastructure, data mining and wireless networks.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PATENTS AND TRADEMARKS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actively pursues patents and trademarks to protect its intellectual property within the United States and abroad. AT&amp;T has developed a focused law practice to prepare and prosecute its patent and trademark applications. On average, AT&amp;T receives over 300 U.S. patents per year and maintains a portfolio of over 2,500 trademark and service mark registrations.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LEGISLATIVE AND REGULATORY DEVELOPMENTS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Legislative and regulatory developments discussed with respect to AT&amp;T Consumer Services Group also apply to AT&amp;T Business Services. See "AT&amp;T Consumer Services Group Tracking Stock -- Description of AT&amp;T Consumer Services Group -- Legislative and Regulatory Developments."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XI-9</w:t>
      </w:r>
    </w:p>
    <w:p>
      <w:pPr>
        <w:sectPr>
          <w:pgSz w:w="11900" w:h="16838" w:orient="portrait"/>
          <w:cols w:equalWidth="0" w:num="1">
            <w:col w:w="10219"/>
          </w:cols>
          <w:pgMar w:left="240" w:top="719" w:right="1440" w:bottom="1440" w:gutter="0" w:footer="0" w:header="0"/>
        </w:sectPr>
      </w:pPr>
    </w:p>
    <w:bookmarkStart w:id="311" w:name="page312"/>
    <w:bookmarkEnd w:id="311"/>
    <w:p>
      <w:pPr>
        <w:jc w:val="center"/>
        <w:ind w:right="1839"/>
        <w:spacing w:after="0"/>
        <w:rPr>
          <w:sz w:val="20"/>
          <w:szCs w:val="20"/>
          <w:color w:val="auto"/>
        </w:rPr>
      </w:pPr>
      <w:r>
        <w:rPr>
          <w:rFonts w:ascii="Courier New" w:cs="Courier New" w:eastAsia="Courier New" w:hAnsi="Courier New"/>
          <w:sz w:val="17"/>
          <w:szCs w:val="17"/>
          <w:color w:val="auto"/>
        </w:rPr>
        <w:t>CHAPTER TWELVE</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INFORMATION ABOUT THE COMCAST SPECIAL MEETING AND VOTING</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Comcast Board is using this document to solicit proxies from the holders of Comcast common stock for use at the Comcast special meeting. Comcast is first mailing this document to Comcast shareholders, and the accompanying form of proxy to holders of Comcast Class A common stock, on or about</w:t>
      </w:r>
    </w:p>
    <w:p>
      <w:pPr>
        <w:ind w:right="1839" w:firstLine="7"/>
        <w:spacing w:after="0" w:line="254" w:lineRule="auto"/>
        <w:tabs>
          <w:tab w:leader="none" w:pos="1362" w:val="left"/>
        </w:tabs>
        <w:numPr>
          <w:ilvl w:val="0"/>
          <w:numId w:val="3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2002. THE INFORMATION AND INSTRUCTIONS CONTAINED IN THIS CHAPTER ARE ADDRESSED TO COMCAST SHAREHOLDERS, AND ALL REFERENCES TO "YOU" IN THIS CHAPTER SHOULD BE UNDERSTOOD TO BE ADDRESSED TO COMCAST SHAREHOLDERS.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MATTERS RELATING TO THE COMCAST SPECIAL MEETING</w:t>
      </w:r>
    </w:p>
    <w:p>
      <w:pPr>
        <w:spacing w:after="0" w:line="210" w:lineRule="exact"/>
        <w:rPr>
          <w:sz w:val="20"/>
          <w:szCs w:val="20"/>
          <w:color w:val="auto"/>
        </w:rPr>
      </w:pPr>
    </w:p>
    <w:p>
      <w:pPr>
        <w:ind w:left="260" w:hanging="202"/>
        <w:spacing w:after="0"/>
        <w:tabs>
          <w:tab w:leader="none" w:pos="260" w:val="left"/>
        </w:tabs>
        <w:numPr>
          <w:ilvl w:val="0"/>
          <w:numId w:val="3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Date, Time</w:t>
      </w:r>
    </w:p>
    <w:p>
      <w:pPr>
        <w:spacing w:after="0" w:line="8" w:lineRule="exact"/>
        <w:rPr>
          <w:rFonts w:ascii="Courier New" w:cs="Courier New" w:eastAsia="Courier New" w:hAnsi="Courier New"/>
          <w:sz w:val="17"/>
          <w:szCs w:val="17"/>
          <w:color w:val="auto"/>
        </w:rPr>
      </w:pPr>
    </w:p>
    <w:p>
      <w:pPr>
        <w:jc w:val="center"/>
        <w:ind w:left="60" w:right="8799" w:firstLine="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Place: [ ], 2002 [ ] a.m. (Eastern Time) 1500 Market Street, West Tower, 9th Floor Philadelphia, Pennsylvania 19102-2148 -</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Purpose of</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Special</w:t>
      </w:r>
    </w:p>
    <w:p>
      <w:pPr>
        <w:spacing w:after="0" w:line="8" w:lineRule="exact"/>
        <w:rPr>
          <w:rFonts w:ascii="Courier New" w:cs="Courier New" w:eastAsia="Courier New" w:hAnsi="Courier New"/>
          <w:sz w:val="17"/>
          <w:szCs w:val="17"/>
          <w:color w:val="auto"/>
        </w:rPr>
      </w:pPr>
    </w:p>
    <w:p>
      <w:pPr>
        <w:jc w:val="center"/>
        <w:ind w:right="8739" w:firstLine="51"/>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Meeting is to Vote on - To approve and adopt the merger agreement and the the Following Items: transactions contemplated by the merger agreement - To approve and adopt an amendment to the Comcast charter to allow the implementation of the Preferred Structure - To vote on such other business which may properly come before the meeting - ---</w:t>
      </w:r>
    </w:p>
    <w:p>
      <w:pPr>
        <w:spacing w:after="0" w:line="201"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18" w:right="1440" w:bottom="0" w:gutter="0" w:footer="0" w:header="0"/>
        </w:sectPr>
      </w:pPr>
    </w:p>
    <w:bookmarkStart w:id="312" w:name="page313"/>
    <w:bookmarkEnd w:id="312"/>
    <w:p>
      <w:pPr>
        <w:spacing w:after="0" w:line="19" w:lineRule="exact"/>
        <w:rPr>
          <w:sz w:val="20"/>
          <w:szCs w:val="20"/>
          <w:color w:val="auto"/>
        </w:rPr>
      </w:pPr>
    </w:p>
    <w:p>
      <w:pPr>
        <w:ind w:left="2"/>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
        <w:spacing w:after="0"/>
        <w:rPr>
          <w:sz w:val="20"/>
          <w:szCs w:val="20"/>
          <w:color w:val="auto"/>
        </w:rPr>
      </w:pPr>
      <w:r>
        <w:rPr>
          <w:rFonts w:ascii="Courier New" w:cs="Courier New" w:eastAsia="Courier New" w:hAnsi="Courier New"/>
          <w:sz w:val="17"/>
          <w:szCs w:val="17"/>
          <w:color w:val="auto"/>
        </w:rPr>
        <w:t>------ Record</w:t>
      </w:r>
    </w:p>
    <w:p>
      <w:pPr>
        <w:spacing w:after="0" w:line="9" w:lineRule="exact"/>
        <w:rPr>
          <w:sz w:val="20"/>
          <w:szCs w:val="20"/>
          <w:color w:val="auto"/>
        </w:rPr>
      </w:pPr>
    </w:p>
    <w:p>
      <w:pPr>
        <w:jc w:val="center"/>
        <w:ind w:right="8798"/>
        <w:spacing w:after="0"/>
        <w:rPr>
          <w:sz w:val="20"/>
          <w:szCs w:val="20"/>
          <w:color w:val="auto"/>
        </w:rPr>
      </w:pPr>
      <w:r>
        <w:rPr>
          <w:rFonts w:ascii="Courier New" w:cs="Courier New" w:eastAsia="Courier New" w:hAnsi="Courier New"/>
          <w:sz w:val="17"/>
          <w:szCs w:val="17"/>
          <w:color w:val="auto"/>
        </w:rPr>
        <w:t>Date: The</w:t>
      </w:r>
    </w:p>
    <w:p>
      <w:pPr>
        <w:spacing w:after="0" w:line="9" w:lineRule="exact"/>
        <w:rPr>
          <w:sz w:val="20"/>
          <w:szCs w:val="20"/>
          <w:color w:val="auto"/>
        </w:rPr>
      </w:pPr>
    </w:p>
    <w:p>
      <w:pPr>
        <w:ind w:left="102"/>
        <w:spacing w:after="0"/>
        <w:rPr>
          <w:sz w:val="20"/>
          <w:szCs w:val="20"/>
          <w:color w:val="auto"/>
        </w:rPr>
      </w:pPr>
      <w:r>
        <w:rPr>
          <w:rFonts w:ascii="Courier New" w:cs="Courier New" w:eastAsia="Courier New" w:hAnsi="Courier New"/>
          <w:sz w:val="17"/>
          <w:szCs w:val="17"/>
          <w:color w:val="auto"/>
        </w:rPr>
        <w:t>record date</w:t>
      </w:r>
    </w:p>
    <w:p>
      <w:pPr>
        <w:spacing w:after="0" w:line="9" w:lineRule="exact"/>
        <w:rPr>
          <w:sz w:val="20"/>
          <w:szCs w:val="20"/>
          <w:color w:val="auto"/>
        </w:rPr>
      </w:pPr>
    </w:p>
    <w:p>
      <w:pPr>
        <w:ind w:left="162"/>
        <w:spacing w:after="0"/>
        <w:rPr>
          <w:sz w:val="20"/>
          <w:szCs w:val="20"/>
          <w:color w:val="auto"/>
        </w:rPr>
      </w:pPr>
      <w:r>
        <w:rPr>
          <w:rFonts w:ascii="Courier New" w:cs="Courier New" w:eastAsia="Courier New" w:hAnsi="Courier New"/>
          <w:sz w:val="17"/>
          <w:szCs w:val="17"/>
          <w:color w:val="auto"/>
        </w:rPr>
        <w:t>for shares</w:t>
      </w:r>
    </w:p>
    <w:p>
      <w:pPr>
        <w:spacing w:after="0" w:line="9" w:lineRule="exact"/>
        <w:rPr>
          <w:sz w:val="20"/>
          <w:szCs w:val="20"/>
          <w:color w:val="auto"/>
        </w:rPr>
      </w:pPr>
    </w:p>
    <w:p>
      <w:pPr>
        <w:ind w:left="102"/>
        <w:spacing w:after="0"/>
        <w:rPr>
          <w:sz w:val="20"/>
          <w:szCs w:val="20"/>
          <w:color w:val="auto"/>
        </w:rPr>
      </w:pPr>
      <w:r>
        <w:rPr>
          <w:rFonts w:ascii="Courier New" w:cs="Courier New" w:eastAsia="Courier New" w:hAnsi="Courier New"/>
          <w:sz w:val="17"/>
          <w:szCs w:val="17"/>
          <w:color w:val="auto"/>
        </w:rPr>
        <w:t>entitled to</w:t>
      </w:r>
    </w:p>
    <w:p>
      <w:pPr>
        <w:spacing w:after="0" w:line="9" w:lineRule="exact"/>
        <w:rPr>
          <w:sz w:val="20"/>
          <w:szCs w:val="20"/>
          <w:color w:val="auto"/>
        </w:rPr>
      </w:pPr>
    </w:p>
    <w:p>
      <w:pPr>
        <w:ind w:left="62"/>
        <w:spacing w:after="0"/>
        <w:rPr>
          <w:sz w:val="20"/>
          <w:szCs w:val="20"/>
          <w:color w:val="auto"/>
        </w:rPr>
      </w:pPr>
      <w:r>
        <w:rPr>
          <w:rFonts w:ascii="Courier New" w:cs="Courier New" w:eastAsia="Courier New" w:hAnsi="Courier New"/>
          <w:sz w:val="17"/>
          <w:szCs w:val="17"/>
          <w:color w:val="auto"/>
        </w:rPr>
        <w:t>vote is [ ],</w:t>
      </w:r>
    </w:p>
    <w:p>
      <w:pPr>
        <w:spacing w:after="0" w:line="9" w:lineRule="exact"/>
        <w:rPr>
          <w:sz w:val="20"/>
          <w:szCs w:val="20"/>
          <w:color w:val="auto"/>
        </w:rPr>
      </w:pPr>
    </w:p>
    <w:p>
      <w:pPr>
        <w:ind w:left="2"/>
        <w:spacing w:after="0"/>
        <w:rPr>
          <w:sz w:val="20"/>
          <w:szCs w:val="20"/>
          <w:color w:val="auto"/>
        </w:rPr>
      </w:pPr>
      <w:r>
        <w:rPr>
          <w:rFonts w:ascii="Courier New" w:cs="Courier New" w:eastAsia="Courier New" w:hAnsi="Courier New"/>
          <w:sz w:val="17"/>
          <w:szCs w:val="17"/>
          <w:color w:val="auto"/>
        </w:rPr>
        <w:t>2002. - -----</w:t>
      </w:r>
    </w:p>
    <w:p>
      <w:pPr>
        <w:spacing w:after="0" w:line="9" w:lineRule="exact"/>
        <w:rPr>
          <w:sz w:val="20"/>
          <w:szCs w:val="20"/>
          <w:color w:val="auto"/>
        </w:rPr>
      </w:pPr>
    </w:p>
    <w:p>
      <w:pPr>
        <w:ind w:left="2"/>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62"/>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8798"/>
        <w:spacing w:after="0"/>
        <w:rPr>
          <w:sz w:val="20"/>
          <w:szCs w:val="20"/>
          <w:color w:val="auto"/>
        </w:rPr>
      </w:pPr>
      <w:r>
        <w:rPr>
          <w:rFonts w:ascii="Courier New" w:cs="Courier New" w:eastAsia="Courier New" w:hAnsi="Courier New"/>
          <w:sz w:val="17"/>
          <w:szCs w:val="17"/>
          <w:color w:val="auto"/>
        </w:rPr>
        <w:t>Outstanding</w:t>
      </w:r>
    </w:p>
    <w:p>
      <w:pPr>
        <w:spacing w:after="0" w:line="9" w:lineRule="exact"/>
        <w:rPr>
          <w:sz w:val="20"/>
          <w:szCs w:val="20"/>
          <w:color w:val="auto"/>
        </w:rPr>
      </w:pPr>
    </w:p>
    <w:p>
      <w:pPr>
        <w:jc w:val="center"/>
        <w:ind w:right="8798"/>
        <w:spacing w:after="0"/>
        <w:rPr>
          <w:sz w:val="20"/>
          <w:szCs w:val="20"/>
          <w:color w:val="auto"/>
        </w:rPr>
      </w:pPr>
      <w:r>
        <w:rPr>
          <w:rFonts w:ascii="Courier New" w:cs="Courier New" w:eastAsia="Courier New" w:hAnsi="Courier New"/>
          <w:sz w:val="17"/>
          <w:szCs w:val="17"/>
          <w:color w:val="auto"/>
        </w:rPr>
        <w:t>Shares Held</w:t>
      </w:r>
    </w:p>
    <w:p>
      <w:pPr>
        <w:spacing w:after="0" w:line="9" w:lineRule="exact"/>
        <w:rPr>
          <w:sz w:val="20"/>
          <w:szCs w:val="20"/>
          <w:color w:val="auto"/>
        </w:rPr>
      </w:pPr>
    </w:p>
    <w:p>
      <w:pPr>
        <w:jc w:val="center"/>
        <w:ind w:right="8798"/>
        <w:spacing w:after="0"/>
        <w:rPr>
          <w:sz w:val="20"/>
          <w:szCs w:val="20"/>
          <w:color w:val="auto"/>
        </w:rPr>
      </w:pPr>
      <w:r>
        <w:rPr>
          <w:rFonts w:ascii="Courier New" w:cs="Courier New" w:eastAsia="Courier New" w:hAnsi="Courier New"/>
          <w:sz w:val="17"/>
          <w:szCs w:val="17"/>
          <w:color w:val="auto"/>
        </w:rPr>
        <w:t>on Record</w:t>
      </w:r>
    </w:p>
    <w:p>
      <w:pPr>
        <w:spacing w:after="0" w:line="9" w:lineRule="exact"/>
        <w:rPr>
          <w:sz w:val="20"/>
          <w:szCs w:val="20"/>
          <w:color w:val="auto"/>
        </w:rPr>
      </w:pPr>
    </w:p>
    <w:p>
      <w:pPr>
        <w:jc w:val="center"/>
        <w:ind w:right="8798"/>
        <w:spacing w:after="0"/>
        <w:rPr>
          <w:sz w:val="20"/>
          <w:szCs w:val="20"/>
          <w:color w:val="auto"/>
        </w:rPr>
      </w:pPr>
      <w:r>
        <w:rPr>
          <w:rFonts w:ascii="Courier New" w:cs="Courier New" w:eastAsia="Courier New" w:hAnsi="Courier New"/>
          <w:sz w:val="17"/>
          <w:szCs w:val="17"/>
          <w:color w:val="auto"/>
        </w:rPr>
        <w:t>Date: As of</w:t>
      </w:r>
    </w:p>
    <w:p>
      <w:pPr>
        <w:spacing w:after="0" w:line="9" w:lineRule="exact"/>
        <w:rPr>
          <w:sz w:val="20"/>
          <w:szCs w:val="20"/>
          <w:color w:val="auto"/>
        </w:rPr>
      </w:pPr>
    </w:p>
    <w:p>
      <w:pPr>
        <w:jc w:val="center"/>
        <w:ind w:right="8798"/>
        <w:spacing w:after="0"/>
        <w:rPr>
          <w:sz w:val="20"/>
          <w:szCs w:val="20"/>
          <w:color w:val="auto"/>
        </w:rPr>
      </w:pPr>
      <w:r>
        <w:rPr>
          <w:rFonts w:ascii="Courier New" w:cs="Courier New" w:eastAsia="Courier New" w:hAnsi="Courier New"/>
          <w:sz w:val="17"/>
          <w:szCs w:val="17"/>
          <w:color w:val="auto"/>
        </w:rPr>
        <w:t>the record</w:t>
      </w:r>
    </w:p>
    <w:p>
      <w:pPr>
        <w:spacing w:after="0" w:line="9" w:lineRule="exact"/>
        <w:rPr>
          <w:sz w:val="20"/>
          <w:szCs w:val="20"/>
          <w:color w:val="auto"/>
        </w:rPr>
      </w:pPr>
    </w:p>
    <w:p>
      <w:pPr>
        <w:jc w:val="center"/>
        <w:ind w:right="8798"/>
        <w:spacing w:after="0"/>
        <w:rPr>
          <w:sz w:val="20"/>
          <w:szCs w:val="20"/>
          <w:color w:val="auto"/>
        </w:rPr>
      </w:pPr>
      <w:r>
        <w:rPr>
          <w:rFonts w:ascii="Courier New" w:cs="Courier New" w:eastAsia="Courier New" w:hAnsi="Courier New"/>
          <w:sz w:val="17"/>
          <w:szCs w:val="17"/>
          <w:color w:val="auto"/>
        </w:rPr>
        <w:t>date, there</w:t>
      </w:r>
    </w:p>
    <w:p>
      <w:pPr>
        <w:spacing w:after="0" w:line="9" w:lineRule="exact"/>
        <w:rPr>
          <w:sz w:val="20"/>
          <w:szCs w:val="20"/>
          <w:color w:val="auto"/>
        </w:rPr>
      </w:pPr>
    </w:p>
    <w:p>
      <w:pPr>
        <w:jc w:val="center"/>
        <w:ind w:right="8798"/>
        <w:spacing w:after="0"/>
        <w:rPr>
          <w:sz w:val="20"/>
          <w:szCs w:val="20"/>
          <w:color w:val="auto"/>
        </w:rPr>
      </w:pPr>
      <w:r>
        <w:rPr>
          <w:rFonts w:ascii="Courier New" w:cs="Courier New" w:eastAsia="Courier New" w:hAnsi="Courier New"/>
          <w:sz w:val="17"/>
          <w:szCs w:val="17"/>
          <w:color w:val="auto"/>
        </w:rPr>
        <w:t>were</w:t>
      </w:r>
    </w:p>
    <w:p>
      <w:pPr>
        <w:spacing w:after="0" w:line="9" w:lineRule="exact"/>
        <w:rPr>
          <w:sz w:val="20"/>
          <w:szCs w:val="20"/>
          <w:color w:val="auto"/>
        </w:rPr>
      </w:pPr>
    </w:p>
    <w:p>
      <w:pPr>
        <w:jc w:val="center"/>
        <w:ind w:right="8798"/>
        <w:spacing w:after="0"/>
        <w:rPr>
          <w:sz w:val="20"/>
          <w:szCs w:val="20"/>
          <w:color w:val="auto"/>
        </w:rPr>
      </w:pPr>
      <w:r>
        <w:rPr>
          <w:rFonts w:ascii="Courier New" w:cs="Courier New" w:eastAsia="Courier New" w:hAnsi="Courier New"/>
          <w:sz w:val="17"/>
          <w:szCs w:val="17"/>
          <w:color w:val="auto"/>
        </w:rPr>
        <w:t>outstanding</w:t>
      </w:r>
    </w:p>
    <w:p>
      <w:pPr>
        <w:spacing w:after="0" w:line="9" w:lineRule="exact"/>
        <w:rPr>
          <w:sz w:val="20"/>
          <w:szCs w:val="20"/>
          <w:color w:val="auto"/>
        </w:rPr>
      </w:pPr>
    </w:p>
    <w:p>
      <w:pPr>
        <w:jc w:val="center"/>
        <w:ind w:right="8798"/>
        <w:spacing w:after="0"/>
        <w:rPr>
          <w:sz w:val="20"/>
          <w:szCs w:val="20"/>
          <w:color w:val="auto"/>
        </w:rPr>
      </w:pPr>
      <w:r>
        <w:rPr>
          <w:rFonts w:ascii="Courier New" w:cs="Courier New" w:eastAsia="Courier New" w:hAnsi="Courier New"/>
          <w:sz w:val="17"/>
          <w:szCs w:val="17"/>
          <w:color w:val="auto"/>
        </w:rPr>
        <w:t>approximately</w:t>
      </w:r>
    </w:p>
    <w:p>
      <w:pPr>
        <w:spacing w:after="0" w:line="9" w:lineRule="exact"/>
        <w:rPr>
          <w:sz w:val="20"/>
          <w:szCs w:val="20"/>
          <w:color w:val="auto"/>
        </w:rPr>
      </w:pPr>
    </w:p>
    <w:p>
      <w:pPr>
        <w:ind w:left="2" w:right="8799" w:hanging="2"/>
        <w:spacing w:after="0" w:line="251" w:lineRule="auto"/>
        <w:tabs>
          <w:tab w:leader="none" w:pos="211" w:val="left"/>
        </w:tabs>
        <w:numPr>
          <w:ilvl w:val="0"/>
          <w:numId w:val="3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shares of Comcast Class A common stock, [ ] shares of Comcast Class A Special common stock and [ ] shares of Comcast Class B common stock. - ----</w:t>
      </w:r>
    </w:p>
    <w:p>
      <w:pPr>
        <w:ind w:left="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jc w:val="both"/>
        <w:ind w:left="62" w:right="8859" w:firstLine="43"/>
        <w:spacing w:after="0" w:line="251" w:lineRule="auto"/>
        <w:tabs>
          <w:tab w:leader="none" w:pos="742" w:val="left"/>
        </w:tabs>
        <w:numPr>
          <w:ilvl w:val="1"/>
          <w:numId w:val="3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Votes Necessary to Approve the</w:t>
      </w:r>
    </w:p>
    <w:p>
      <w:pPr>
        <w:ind w:left="52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w:t>
      </w:r>
    </w:p>
    <w:p>
      <w:pPr>
        <w:spacing w:after="0" w:line="8" w:lineRule="exact"/>
        <w:rPr>
          <w:rFonts w:ascii="Courier New" w:cs="Courier New" w:eastAsia="Courier New" w:hAnsi="Courier New"/>
          <w:sz w:val="17"/>
          <w:szCs w:val="17"/>
          <w:color w:val="auto"/>
        </w:rPr>
      </w:pPr>
    </w:p>
    <w:p>
      <w:pPr>
        <w:ind w:left="10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affirmative</w:t>
      </w:r>
    </w:p>
    <w:p>
      <w:pPr>
        <w:spacing w:after="0" w:line="8" w:lineRule="exact"/>
        <w:rPr>
          <w:rFonts w:ascii="Courier New" w:cs="Courier New" w:eastAsia="Courier New" w:hAnsi="Courier New"/>
          <w:sz w:val="17"/>
          <w:szCs w:val="17"/>
          <w:color w:val="auto"/>
        </w:rPr>
      </w:pPr>
    </w:p>
    <w:p>
      <w:pPr>
        <w:ind w:left="20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vote of a</w:t>
      </w:r>
    </w:p>
    <w:p>
      <w:pPr>
        <w:spacing w:after="0" w:line="8" w:lineRule="exact"/>
        <w:rPr>
          <w:rFonts w:ascii="Courier New" w:cs="Courier New" w:eastAsia="Courier New" w:hAnsi="Courier New"/>
          <w:sz w:val="17"/>
          <w:szCs w:val="17"/>
          <w:color w:val="auto"/>
        </w:rPr>
      </w:pPr>
    </w:p>
    <w:p>
      <w:pPr>
        <w:ind w:left="10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majority of</w:t>
      </w:r>
    </w:p>
    <w:p>
      <w:pPr>
        <w:spacing w:after="0" w:line="8" w:lineRule="exact"/>
        <w:rPr>
          <w:rFonts w:ascii="Courier New" w:cs="Courier New" w:eastAsia="Courier New" w:hAnsi="Courier New"/>
          <w:sz w:val="17"/>
          <w:szCs w:val="17"/>
          <w:color w:val="auto"/>
        </w:rPr>
      </w:pPr>
    </w:p>
    <w:p>
      <w:pPr>
        <w:ind w:left="20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votes</w:t>
      </w:r>
    </w:p>
    <w:p>
      <w:pPr>
        <w:spacing w:after="0" w:line="8" w:lineRule="exact"/>
        <w:rPr>
          <w:rFonts w:ascii="Courier New" w:cs="Courier New" w:eastAsia="Courier New" w:hAnsi="Courier New"/>
          <w:sz w:val="17"/>
          <w:szCs w:val="17"/>
          <w:color w:val="auto"/>
        </w:rPr>
      </w:pPr>
    </w:p>
    <w:p>
      <w:pPr>
        <w:ind w:left="32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cast by</w:t>
      </w:r>
    </w:p>
    <w:p>
      <w:pPr>
        <w:spacing w:after="0" w:line="8" w:lineRule="exact"/>
        <w:rPr>
          <w:rFonts w:ascii="Courier New" w:cs="Courier New" w:eastAsia="Courier New" w:hAnsi="Courier New"/>
          <w:sz w:val="17"/>
          <w:szCs w:val="17"/>
          <w:color w:val="auto"/>
        </w:rPr>
      </w:pPr>
    </w:p>
    <w:p>
      <w:pPr>
        <w:jc w:val="center"/>
        <w:ind w:left="2" w:right="8799" w:firstLine="105"/>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Proposals:* the holders of the outstanding shares of Comcast Class A common stock and Comcast Class B common stock, voting together as a single class, is required to approve the Comcast transaction proposal. Approval of this proposal is assured because Sural LLC, which holds approximately 86.7% of the combined voting power</w:t>
      </w:r>
    </w:p>
    <w:p>
      <w:pPr>
        <w:sectPr>
          <w:pgSz w:w="11900" w:h="16857" w:orient="portrait"/>
          <w:cols w:equalWidth="0" w:num="1">
            <w:col w:w="10161"/>
          </w:cols>
          <w:pgMar w:left="298" w:top="141" w:right="1440" w:bottom="0" w:gutter="0" w:footer="0" w:header="0"/>
        </w:sectPr>
      </w:pPr>
    </w:p>
    <w:bookmarkStart w:id="313" w:name="page314"/>
    <w:bookmarkEnd w:id="313"/>
    <w:p>
      <w:pPr>
        <w:jc w:val="center"/>
        <w:ind w:right="879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stock, has</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agreed in the</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support</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agreement to</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vote its</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shares in</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favor of the</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proposal. -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XII-1</w:t>
      </w:r>
    </w:p>
    <w:p>
      <w:pPr>
        <w:sectPr>
          <w:pgSz w:w="11900" w:h="16838" w:orient="portrait"/>
          <w:cols w:equalWidth="0" w:num="1">
            <w:col w:w="10159"/>
          </w:cols>
          <w:pgMar w:left="300" w:top="142" w:right="1440" w:bottom="1440" w:gutter="0" w:footer="0" w:header="0"/>
        </w:sectPr>
      </w:pPr>
    </w:p>
    <w:bookmarkStart w:id="314" w:name="page315"/>
    <w:bookmarkEnd w:id="314"/>
    <w:p>
      <w:pPr>
        <w:ind w:left="260" w:hanging="202"/>
        <w:spacing w:after="0"/>
        <w:tabs>
          <w:tab w:leader="none" w:pos="260" w:val="left"/>
        </w:tabs>
        <w:numPr>
          <w:ilvl w:val="0"/>
          <w:numId w:val="3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It is a</w:t>
      </w:r>
    </w:p>
    <w:p>
      <w:pPr>
        <w:spacing w:after="0" w:line="8" w:lineRule="exact"/>
        <w:rPr>
          <w:rFonts w:ascii="Courier New" w:cs="Courier New" w:eastAsia="Courier New" w:hAnsi="Courier New"/>
          <w:sz w:val="17"/>
          <w:szCs w:val="17"/>
          <w:color w:val="auto"/>
        </w:rPr>
      </w:pPr>
    </w:p>
    <w:p>
      <w:pPr>
        <w:ind w:left="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 to</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implementation</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the</w:t>
      </w:r>
    </w:p>
    <w:p>
      <w:pPr>
        <w:spacing w:after="0" w:line="8" w:lineRule="exact"/>
        <w:rPr>
          <w:rFonts w:ascii="Courier New" w:cs="Courier New" w:eastAsia="Courier New" w:hAnsi="Courier New"/>
          <w:sz w:val="17"/>
          <w:szCs w:val="17"/>
          <w:color w:val="auto"/>
        </w:rPr>
      </w:pPr>
    </w:p>
    <w:p>
      <w:pPr>
        <w:jc w:val="center"/>
        <w:ind w:left="60" w:right="8799" w:firstLine="20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Preferred Structure that a majority of the votes cast by the holders of the outstanding shares of Comcast Class A common stock, voting as a single class, and holders of outstanding shares of Comcast Class A common stock and Comcast Class B common stock, voting together as a single class, approve the preferred structure proposal. If holders of Comcast Class A common stock, voting as a single class, approve the preferred structure proposal, the Preferred Structure will be implemented upon completion of the AT&amp;T Comcast transaction because Sural LLC which holds approximately 86.7% of the combined voting power of the Comcast Class A common stock and Comcast Class B common stock has indicated that it will vote in favor of the</w:t>
      </w:r>
    </w:p>
    <w:p>
      <w:pPr>
        <w:sectPr>
          <w:pgSz w:w="11900" w:h="16838" w:orient="portrait"/>
          <w:cols w:equalWidth="0" w:num="1">
            <w:col w:w="10219"/>
          </w:cols>
          <w:pgMar w:left="240" w:top="719" w:right="1440" w:bottom="0" w:gutter="0" w:footer="0" w:header="0"/>
        </w:sectPr>
      </w:pPr>
    </w:p>
    <w:bookmarkStart w:id="315" w:name="page316"/>
    <w:bookmarkEnd w:id="315"/>
    <w:p>
      <w:pPr>
        <w:spacing w:after="0" w:line="1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preferred</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structure</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proposal</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thereby</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assuring</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approval of</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the proposal</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by holders of</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Comcast Class</w:t>
      </w:r>
    </w:p>
    <w:p>
      <w:pPr>
        <w:spacing w:after="0" w:line="9" w:lineRule="exact"/>
        <w:rPr>
          <w:sz w:val="20"/>
          <w:szCs w:val="20"/>
          <w:color w:val="auto"/>
        </w:rPr>
      </w:pPr>
    </w:p>
    <w:p>
      <w:pPr>
        <w:jc w:val="both"/>
        <w:ind w:left="200" w:right="8999" w:firstLine="60"/>
        <w:spacing w:after="0" w:line="257" w:lineRule="auto"/>
        <w:tabs>
          <w:tab w:leader="none" w:pos="462" w:val="left"/>
        </w:tabs>
        <w:numPr>
          <w:ilvl w:val="0"/>
          <w:numId w:val="3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and</w:t>
      </w:r>
    </w:p>
    <w:p>
      <w:pPr>
        <w:spacing w:after="0" w:line="192" w:lineRule="exact"/>
        <w:rPr>
          <w:sz w:val="20"/>
          <w:szCs w:val="20"/>
          <w:color w:val="auto"/>
        </w:rPr>
      </w:pPr>
    </w:p>
    <w:p>
      <w:pPr>
        <w:ind w:right="8799" w:firstLine="260"/>
        <w:spacing w:after="0" w:line="251" w:lineRule="auto"/>
        <w:tabs>
          <w:tab w:leader="none" w:pos="471" w:val="left"/>
        </w:tabs>
        <w:numPr>
          <w:ilvl w:val="0"/>
          <w:numId w:val="3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voting together as a single class. Each holder of Comcast Class B common stock is entitled to 15 votes per share, and each holder of Comcast Class A common stock is entitled to one vote per share. The holders of the Comcast Class A Special common stock do not have any voting rights. Abstentions will have no effect on the outcome of either of the Comcast proposals. Shares held by Comcast in its treasury are not voted. - ----</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jc w:val="center"/>
        <w:ind w:right="8799" w:firstLine="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Quorum Requirements: A quorum of shareholders is necessary to hold a valid meeting. With respect to each of the Comcast proposals, the presence in person or by proxy at the Comcast special meeting of holders of shares representing a majority of the voting power of the</w:t>
      </w:r>
    </w:p>
    <w:p>
      <w:pPr>
        <w:sectPr>
          <w:pgSz w:w="11900" w:h="16858" w:orient="portrait"/>
          <w:cols w:equalWidth="0" w:num="1">
            <w:col w:w="10159"/>
          </w:cols>
          <w:pgMar w:left="300" w:top="142" w:right="1440" w:bottom="0" w:gutter="0" w:footer="0" w:header="0"/>
        </w:sectPr>
      </w:pPr>
    </w:p>
    <w:bookmarkStart w:id="316" w:name="page317"/>
    <w:bookmarkEnd w:id="316"/>
    <w:p>
      <w:pPr>
        <w:jc w:val="center"/>
        <w:ind w:right="8799"/>
        <w:spacing w:after="0"/>
        <w:rPr>
          <w:sz w:val="20"/>
          <w:szCs w:val="20"/>
          <w:color w:val="auto"/>
        </w:rPr>
      </w:pPr>
      <w:r>
        <w:rPr>
          <w:rFonts w:ascii="Courier New" w:cs="Courier New" w:eastAsia="Courier New" w:hAnsi="Courier New"/>
          <w:sz w:val="17"/>
          <w:szCs w:val="17"/>
          <w:color w:val="auto"/>
        </w:rPr>
        <w:t>outstanding</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entitled to</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vote on such</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proposal is a</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quorum.</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Abstentions</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and broker</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"non-votes"</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count as</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present for</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establishing</w:t>
      </w:r>
    </w:p>
    <w:p>
      <w:pPr>
        <w:spacing w:after="0" w:line="9" w:lineRule="exact"/>
        <w:rPr>
          <w:sz w:val="20"/>
          <w:szCs w:val="20"/>
          <w:color w:val="auto"/>
        </w:rPr>
      </w:pPr>
    </w:p>
    <w:p>
      <w:pPr>
        <w:ind w:left="100" w:right="8899" w:firstLine="108"/>
        <w:spacing w:after="0" w:line="251" w:lineRule="auto"/>
        <w:tabs>
          <w:tab w:leader="none" w:pos="414" w:val="left"/>
        </w:tabs>
        <w:numPr>
          <w:ilvl w:val="0"/>
          <w:numId w:val="3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quorum. Shares held</w:t>
      </w:r>
    </w:p>
    <w:p>
      <w:pPr>
        <w:jc w:val="center"/>
        <w:ind w:right="8799"/>
        <w:spacing w:after="0"/>
        <w:rPr>
          <w:sz w:val="20"/>
          <w:szCs w:val="20"/>
          <w:color w:val="auto"/>
        </w:rPr>
      </w:pPr>
      <w:r>
        <w:rPr>
          <w:rFonts w:ascii="Courier New" w:cs="Courier New" w:eastAsia="Courier New" w:hAnsi="Courier New"/>
          <w:sz w:val="17"/>
          <w:szCs w:val="17"/>
          <w:color w:val="auto"/>
        </w:rPr>
        <w:t>by Comcast in</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its treasury</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do not count</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toward a</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quorum. A</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broker non-</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vote occurs</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on an item</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when a broker</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is not</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permitted to</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vote on that</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item without</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instruction</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from the</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beneficial</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owner of the</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shares and no</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instruction</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is given. -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XII-2</w:t>
      </w:r>
    </w:p>
    <w:p>
      <w:pPr>
        <w:sectPr>
          <w:pgSz w:w="11900" w:h="16838" w:orient="portrait"/>
          <w:cols w:equalWidth="0" w:num="1">
            <w:col w:w="10159"/>
          </w:cols>
          <w:pgMar w:left="300" w:top="142" w:right="1440" w:bottom="1440" w:gutter="0" w:footer="0" w:header="0"/>
        </w:sectPr>
      </w:pPr>
    </w:p>
    <w:bookmarkStart w:id="317" w:name="page318"/>
    <w:bookmarkEnd w:id="317"/>
    <w:p>
      <w:pPr>
        <w:ind w:left="260" w:hanging="203"/>
        <w:spacing w:after="0"/>
        <w:tabs>
          <w:tab w:leader="none" w:pos="260" w:val="left"/>
        </w:tabs>
        <w:numPr>
          <w:ilvl w:val="0"/>
          <w:numId w:val="3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Shares</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Beneficially</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Owned by</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Comcast As</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the</w:t>
      </w:r>
    </w:p>
    <w:p>
      <w:pPr>
        <w:spacing w:after="0" w:line="8" w:lineRule="exact"/>
        <w:rPr>
          <w:rFonts w:ascii="Courier New" w:cs="Courier New" w:eastAsia="Courier New" w:hAnsi="Courier New"/>
          <w:sz w:val="17"/>
          <w:szCs w:val="17"/>
          <w:color w:val="auto"/>
        </w:rPr>
      </w:pPr>
    </w:p>
    <w:p>
      <w:pPr>
        <w:jc w:val="center"/>
        <w:ind w:right="8859" w:firstLine="50"/>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record date, approximately [ ] Directors and Executive Officers as of shares of Comcast Class A common stock and the record date: [ ] shares of Comcast Class B common stock, including exercisable options and including shares beneficially owned by Sural LLC, holder of all of the outstanding Comcast Class B common stock were beneficially owned by Comcast directors and executive officers. These shares represent in total approximately [ ]% of the outstanding shares of Comcast Class A common stock and [ ]% of the aggregate voting power represented by the outstanding shares of Comcast Class A common stock and Comcast Class B common stock, in</w:t>
      </w:r>
    </w:p>
    <w:p>
      <w:pPr>
        <w:sectPr>
          <w:pgSz w:w="11900" w:h="16838" w:orient="portrait"/>
          <w:cols w:equalWidth="0" w:num="1">
            <w:col w:w="10219"/>
          </w:cols>
          <w:pgMar w:left="240" w:top="719" w:right="1440" w:bottom="1440" w:gutter="0" w:footer="0" w:header="0"/>
        </w:sectPr>
      </w:pPr>
    </w:p>
    <w:bookmarkStart w:id="318" w:name="page319"/>
    <w:bookmarkEnd w:id="318"/>
    <w:p>
      <w:pPr>
        <w:spacing w:after="0" w:line="11"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each case as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record date.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These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individuals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have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indicated 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agreed that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they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vote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approve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preferred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structure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80" w:hanging="523"/>
        <w:spacing w:after="0"/>
        <w:tabs>
          <w:tab w:leader="none" w:pos="580" w:val="left"/>
        </w:tabs>
        <w:numPr>
          <w:ilvl w:val="0"/>
          <w:numId w:val="3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Under</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Nasdaq</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 Market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rules, if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your broker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holds your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shares in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its name,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your broker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may not vote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your shares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absent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instructions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from you.</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Without your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voting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instructions,</w:t>
      </w:r>
    </w:p>
    <w:p>
      <w:pPr>
        <w:spacing w:after="0" w:line="9" w:lineRule="exact"/>
        <w:rPr>
          <w:sz w:val="20"/>
          <w:szCs w:val="20"/>
          <w:color w:val="auto"/>
        </w:rPr>
      </w:pPr>
    </w:p>
    <w:p>
      <w:pPr>
        <w:jc w:val="both"/>
        <w:ind w:left="260" w:right="9119" w:firstLine="7"/>
        <w:spacing w:after="0" w:line="251" w:lineRule="auto"/>
        <w:tabs>
          <w:tab w:leader="none" w:pos="469" w:val="left"/>
        </w:tabs>
        <w:numPr>
          <w:ilvl w:val="0"/>
          <w:numId w:val="3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broker non-vote</w:t>
      </w:r>
    </w:p>
    <w:p>
      <w:pPr>
        <w:jc w:val="center"/>
        <w:ind w:right="8859"/>
        <w:spacing w:after="0"/>
        <w:rPr>
          <w:sz w:val="20"/>
          <w:szCs w:val="20"/>
          <w:color w:val="auto"/>
        </w:rPr>
      </w:pPr>
      <w:r>
        <w:rPr>
          <w:rFonts w:ascii="Courier New" w:cs="Courier New" w:eastAsia="Courier New" w:hAnsi="Courier New"/>
          <w:sz w:val="17"/>
          <w:szCs w:val="17"/>
          <w:color w:val="auto"/>
        </w:rPr>
        <w:t>will occur.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However,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broker non-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vote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have no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effect 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outcome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proposals.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PROXIES</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Voting the Comcast Proxy. You may vote in person at the Comcast special meeting or by proxy. Comcast recommends that you vote by proxy even if you plan to attend the Comcast special meeting. You can always change your vote at the Comcast special meeting.</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Voting instructions are included on your proxy card. If you properly give your proxy and submit it to Comcast in time to vote, one of the individuals named as your proxy will vote your shares as you have directed. You may vote for or against any or all of the proposals submitted at the Comcast special meeting or abstain from voting.</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HOW TO VOTE BY PROXY</w:t>
      </w:r>
    </w:p>
    <w:p>
      <w:pPr>
        <w:spacing w:after="0" w:line="210" w:lineRule="exact"/>
        <w:rPr>
          <w:sz w:val="20"/>
          <w:szCs w:val="20"/>
          <w:color w:val="auto"/>
        </w:rPr>
      </w:pPr>
    </w:p>
    <w:p>
      <w:pPr>
        <w:ind w:left="260" w:hanging="202"/>
        <w:spacing w:after="0"/>
        <w:tabs>
          <w:tab w:leader="none" w:pos="260" w:val="left"/>
        </w:tabs>
        <w:numPr>
          <w:ilvl w:val="0"/>
          <w:numId w:val="3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49" w:orient="portrait"/>
          <w:cols w:equalWidth="0" w:num="1">
            <w:col w:w="10219"/>
          </w:cols>
          <w:pgMar w:left="240" w:top="142" w:right="1440" w:bottom="0" w:gutter="0" w:footer="0" w:header="0"/>
        </w:sectPr>
      </w:pPr>
    </w:p>
    <w:bookmarkStart w:id="319" w:name="page320"/>
    <w:bookmarkEnd w:id="319"/>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ind w:left="260" w:hanging="202"/>
        <w:spacing w:after="0"/>
        <w:tabs>
          <w:tab w:leader="none" w:pos="260" w:val="left"/>
        </w:tabs>
        <w:numPr>
          <w:ilvl w:val="0"/>
          <w:numId w:val="3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By</w:t>
      </w:r>
    </w:p>
    <w:p>
      <w:pPr>
        <w:spacing w:after="0" w:line="8" w:lineRule="exact"/>
        <w:rPr>
          <w:rFonts w:ascii="Courier New" w:cs="Courier New" w:eastAsia="Courier New" w:hAnsi="Courier New"/>
          <w:sz w:val="17"/>
          <w:szCs w:val="17"/>
          <w:color w:val="auto"/>
        </w:rPr>
      </w:pPr>
    </w:p>
    <w:p>
      <w:pPr>
        <w:jc w:val="center"/>
        <w:ind w:right="8739" w:firstLine="156"/>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Telephone:* Call toll-free [ ] and follow the instructions. You will need to give the personal identification number contained on your proxy card. - -----</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900" w:hanging="527"/>
        <w:spacing w:after="0"/>
        <w:tabs>
          <w:tab w:leader="none" w:pos="900" w:val="left"/>
        </w:tabs>
        <w:numPr>
          <w:ilvl w:val="1"/>
          <w:numId w:val="3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Internet:* Go</w:t>
      </w:r>
    </w:p>
    <w:p>
      <w:pPr>
        <w:spacing w:after="0" w:line="8" w:lineRule="exact"/>
        <w:rPr>
          <w:rFonts w:ascii="Courier New" w:cs="Courier New" w:eastAsia="Courier New" w:hAnsi="Courier New"/>
          <w:sz w:val="17"/>
          <w:szCs w:val="17"/>
          <w:color w:val="auto"/>
        </w:rPr>
      </w:pP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w:t>
      </w:r>
    </w:p>
    <w:p>
      <w:pPr>
        <w:spacing w:after="0" w:line="8" w:lineRule="exact"/>
        <w:rPr>
          <w:rFonts w:ascii="Courier New" w:cs="Courier New" w:eastAsia="Courier New" w:hAnsi="Courier New"/>
          <w:sz w:val="17"/>
          <w:szCs w:val="17"/>
          <w:color w:val="auto"/>
        </w:rPr>
      </w:pPr>
    </w:p>
    <w:p>
      <w:pPr>
        <w:jc w:val="center"/>
        <w:ind w:right="8739" w:firstLine="103"/>
        <w:spacing w:after="0" w:line="290"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http://www.[ ] and follow the instructions. You will need to give the personal identification number contained on your proxy card. - -----</w:t>
      </w:r>
    </w:p>
    <w:p>
      <w:pPr>
        <w:spacing w:after="0" w:line="7"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20" w:right="8959" w:firstLine="153"/>
        <w:spacing w:after="0" w:line="251" w:lineRule="auto"/>
        <w:tabs>
          <w:tab w:leader="none" w:pos="901" w:val="left"/>
        </w:tabs>
        <w:numPr>
          <w:ilvl w:val="1"/>
          <w:numId w:val="3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Writing:* Complete, sign, date and return</w:t>
      </w:r>
    </w:p>
    <w:p>
      <w:pPr>
        <w:jc w:val="center"/>
        <w:ind w:right="8739"/>
        <w:spacing w:after="0"/>
        <w:rPr>
          <w:sz w:val="20"/>
          <w:szCs w:val="20"/>
          <w:color w:val="auto"/>
        </w:rPr>
      </w:pPr>
      <w:r>
        <w:rPr>
          <w:rFonts w:ascii="Courier New" w:cs="Courier New" w:eastAsia="Courier New" w:hAnsi="Courier New"/>
          <w:sz w:val="17"/>
          <w:szCs w:val="17"/>
          <w:color w:val="auto"/>
        </w:rPr>
        <w:t>your proxy</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card in the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enclosed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envelope.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If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you hold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through a</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broker or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custodian,</w:t>
      </w:r>
    </w:p>
    <w:p>
      <w:pPr>
        <w:sectPr>
          <w:pgSz w:w="11900" w:h="16849" w:orient="portrait"/>
          <w:cols w:equalWidth="0" w:num="1">
            <w:col w:w="10219"/>
          </w:cols>
          <w:pgMar w:left="240" w:top="142" w:right="1440" w:bottom="0" w:gutter="0" w:footer="0" w:header="0"/>
        </w:sectPr>
      </w:pPr>
    </w:p>
    <w:bookmarkStart w:id="320" w:name="page321"/>
    <w:bookmarkEnd w:id="320"/>
    <w:p>
      <w:pPr>
        <w:jc w:val="center"/>
        <w:ind w:right="8739"/>
        <w:spacing w:after="0"/>
        <w:rPr>
          <w:sz w:val="20"/>
          <w:szCs w:val="20"/>
          <w:color w:val="auto"/>
        </w:rPr>
      </w:pPr>
      <w:r>
        <w:rPr>
          <w:rFonts w:ascii="Courier New" w:cs="Courier New" w:eastAsia="Courier New" w:hAnsi="Courier New"/>
          <w:sz w:val="17"/>
          <w:szCs w:val="17"/>
          <w:color w:val="auto"/>
        </w:rPr>
        <w:t>please check</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the voting</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form used by</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that firm to</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see if it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offers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telephone or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Internet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voting.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If you submit a proxy but do not make specific choices, your proxies will follow the Comcast Board's recommendations and vote these shares:</w:t>
      </w:r>
    </w:p>
    <w:p>
      <w:pPr>
        <w:spacing w:after="0" w:line="192" w:lineRule="exact"/>
        <w:rPr>
          <w:sz w:val="20"/>
          <w:szCs w:val="20"/>
          <w:color w:val="auto"/>
        </w:rPr>
      </w:pPr>
    </w:p>
    <w:p>
      <w:pPr>
        <w:ind w:left="740" w:right="2879" w:hanging="209"/>
        <w:spacing w:after="0" w:line="257" w:lineRule="auto"/>
        <w:tabs>
          <w:tab w:leader="none" w:pos="740" w:val="left"/>
        </w:tabs>
        <w:numPr>
          <w:ilvl w:val="0"/>
          <w:numId w:val="3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approval and adoption of the merger agreement and the transactions contemplated by the merger agreement</w:t>
      </w:r>
    </w:p>
    <w:p>
      <w:pPr>
        <w:spacing w:after="0" w:line="191" w:lineRule="exact"/>
        <w:rPr>
          <w:rFonts w:ascii="Courier New" w:cs="Courier New" w:eastAsia="Courier New" w:hAnsi="Courier New"/>
          <w:sz w:val="17"/>
          <w:szCs w:val="17"/>
          <w:color w:val="auto"/>
        </w:rPr>
      </w:pPr>
    </w:p>
    <w:p>
      <w:pPr>
        <w:ind w:left="740" w:right="1839" w:hanging="209"/>
        <w:spacing w:after="0" w:line="257" w:lineRule="auto"/>
        <w:tabs>
          <w:tab w:leader="none" w:pos="740" w:val="left"/>
        </w:tabs>
        <w:numPr>
          <w:ilvl w:val="0"/>
          <w:numId w:val="3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approval and adoption of an amendment to the Comcast charter to allow the implementation of the Preferred Structure</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XII-3</w:t>
      </w:r>
    </w:p>
    <w:p>
      <w:pPr>
        <w:sectPr>
          <w:pgSz w:w="11900" w:h="16838" w:orient="portrait"/>
          <w:cols w:equalWidth="0" w:num="1">
            <w:col w:w="10219"/>
          </w:cols>
          <w:pgMar w:left="240" w:top="142" w:right="1440" w:bottom="1440" w:gutter="0" w:footer="0" w:header="0"/>
        </w:sectPr>
      </w:pPr>
    </w:p>
    <w:bookmarkStart w:id="321" w:name="page322"/>
    <w:bookmarkEnd w:id="321"/>
    <w:p>
      <w:pPr>
        <w:ind w:left="740" w:right="2139" w:hanging="209"/>
        <w:spacing w:after="0" w:line="257" w:lineRule="auto"/>
        <w:tabs>
          <w:tab w:leader="none" w:pos="740" w:val="left"/>
        </w:tabs>
        <w:numPr>
          <w:ilvl w:val="0"/>
          <w:numId w:val="3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its discretion as to any other business as may properly come before the Comcast special meeting</w:t>
      </w:r>
    </w:p>
    <w:p>
      <w:pPr>
        <w:spacing w:after="0" w:line="192" w:lineRule="exact"/>
        <w:rPr>
          <w:sz w:val="20"/>
          <w:szCs w:val="20"/>
          <w:color w:val="auto"/>
        </w:rPr>
      </w:pPr>
    </w:p>
    <w:p>
      <w:pPr>
        <w:ind w:left="540"/>
        <w:spacing w:after="0"/>
        <w:tabs>
          <w:tab w:leader="none" w:pos="2820" w:val="left"/>
        </w:tabs>
        <w:rPr>
          <w:sz w:val="20"/>
          <w:szCs w:val="20"/>
          <w:color w:val="auto"/>
        </w:rPr>
      </w:pPr>
      <w:r>
        <w:rPr>
          <w:rFonts w:ascii="Courier New" w:cs="Courier New" w:eastAsia="Courier New" w:hAnsi="Courier New"/>
          <w:sz w:val="17"/>
          <w:szCs w:val="17"/>
          <w:color w:val="auto"/>
        </w:rPr>
        <w:t>Revoking your proxy.</w:t>
        <w:tab/>
        <w:t>You may revoke your proxy before it is voted by:</w:t>
      </w:r>
    </w:p>
    <w:p>
      <w:pPr>
        <w:spacing w:after="0" w:line="210" w:lineRule="exact"/>
        <w:rPr>
          <w:sz w:val="20"/>
          <w:szCs w:val="20"/>
          <w:color w:val="auto"/>
        </w:rPr>
      </w:pPr>
    </w:p>
    <w:p>
      <w:pPr>
        <w:ind w:left="740" w:right="2359" w:hanging="209"/>
        <w:spacing w:after="0" w:line="257" w:lineRule="auto"/>
        <w:tabs>
          <w:tab w:leader="none" w:pos="740"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submitting a new proxy with a later date, including a proxy given by telephone or Internet,</w:t>
      </w:r>
    </w:p>
    <w:p>
      <w:pPr>
        <w:spacing w:after="0" w:line="191" w:lineRule="exact"/>
        <w:rPr>
          <w:rFonts w:ascii="Courier New" w:cs="Courier New" w:eastAsia="Courier New" w:hAnsi="Courier New"/>
          <w:sz w:val="17"/>
          <w:szCs w:val="17"/>
          <w:color w:val="auto"/>
        </w:rPr>
      </w:pPr>
    </w:p>
    <w:p>
      <w:pPr>
        <w:ind w:left="740" w:right="2459" w:hanging="209"/>
        <w:spacing w:after="0" w:line="257" w:lineRule="auto"/>
        <w:tabs>
          <w:tab w:leader="none" w:pos="740"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notifying Comcast's Secretary in writing before the Comcast special meeting that you have revoked your proxy, or</w:t>
      </w:r>
    </w:p>
    <w:p>
      <w:pPr>
        <w:spacing w:after="0" w:line="191"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in person at the Comcast special meeting.</w:t>
      </w:r>
    </w:p>
    <w:p>
      <w:pPr>
        <w:spacing w:after="0" w:line="210" w:lineRule="exact"/>
        <w:rPr>
          <w:sz w:val="20"/>
          <w:szCs w:val="20"/>
          <w:color w:val="auto"/>
        </w:rPr>
      </w:pPr>
    </w:p>
    <w:p>
      <w:pPr>
        <w:jc w:val="both"/>
        <w:ind w:right="2139" w:firstLine="524"/>
        <w:spacing w:after="0" w:line="251" w:lineRule="auto"/>
        <w:rPr>
          <w:sz w:val="20"/>
          <w:szCs w:val="20"/>
          <w:color w:val="auto"/>
        </w:rPr>
      </w:pPr>
      <w:r>
        <w:rPr>
          <w:rFonts w:ascii="Courier New" w:cs="Courier New" w:eastAsia="Courier New" w:hAnsi="Courier New"/>
          <w:sz w:val="17"/>
          <w:szCs w:val="17"/>
          <w:color w:val="auto"/>
        </w:rPr>
        <w:t>Voting In Person. If you plan to attend the Comcast special meeting and wish to vote in person, Comcast will give you a ballot at the Comcast special meeting. However, if your shares are held in the name of your broker, bank or other nominee, you must bring an account statement or letter from the nominee</w:t>
      </w:r>
    </w:p>
    <w:p>
      <w:pPr>
        <w:jc w:val="both"/>
        <w:ind w:right="2139"/>
        <w:spacing w:after="0" w:line="257" w:lineRule="auto"/>
        <w:rPr>
          <w:sz w:val="20"/>
          <w:szCs w:val="20"/>
          <w:color w:val="auto"/>
        </w:rPr>
      </w:pPr>
      <w:r>
        <w:rPr>
          <w:rFonts w:ascii="Courier New" w:cs="Courier New" w:eastAsia="Courier New" w:hAnsi="Courier New"/>
          <w:sz w:val="17"/>
          <w:szCs w:val="17"/>
          <w:color w:val="auto"/>
        </w:rPr>
        <w:t>indicating that you are the beneficial owner of the shares on [ ], 2002, the record date for voting.</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People With Disabilities. Comcast can provide reasonable assistance to help you participate in the Comcast special meeting if you tell Comcast about your disability and your plan to attend. Please call or write the Comcast Secretary at least two weeks before the Comcast special meeting at the number or address under "Summary and Overview of the Transactions -- Summary -- The Companies."</w:t>
      </w:r>
    </w:p>
    <w:p>
      <w:pPr>
        <w:spacing w:after="0" w:line="399"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Confidential Voting. Independent inspectors count the votes. Each Comcast shareholder's individual vote is kept confidential from Comcast unless special circumstances exist. For example, a copy of your proxy card will be sent to Comcast, as applicable, if you write comments on the card.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Proxy Solicitation.  Comcast</w:t>
            </w:r>
          </w:p>
        </w:tc>
        <w:tc>
          <w:tcPr>
            <w:tcW w:w="940" w:type="dxa"/>
            <w:vAlign w:val="bottom"/>
          </w:tcPr>
          <w:p>
            <w:pPr>
              <w:ind w:left="40"/>
              <w:spacing w:after="0"/>
              <w:rPr>
                <w:sz w:val="20"/>
                <w:szCs w:val="20"/>
                <w:color w:val="auto"/>
              </w:rPr>
            </w:pPr>
            <w:r>
              <w:rPr>
                <w:rFonts w:ascii="Courier New" w:cs="Courier New" w:eastAsia="Courier New" w:hAnsi="Courier New"/>
                <w:sz w:val="17"/>
                <w:szCs w:val="17"/>
                <w:color w:val="auto"/>
              </w:rPr>
              <w:t>and AT&amp;T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will equally</w:t>
            </w:r>
          </w:p>
        </w:tc>
        <w:tc>
          <w:tcPr>
            <w:tcW w:w="620" w:type="dxa"/>
            <w:vAlign w:val="bottom"/>
          </w:tcPr>
          <w:p>
            <w:pPr>
              <w:ind w:left="60"/>
              <w:spacing w:after="0"/>
              <w:rPr>
                <w:sz w:val="20"/>
                <w:szCs w:val="20"/>
                <w:color w:val="auto"/>
              </w:rPr>
            </w:pPr>
            <w:r>
              <w:rPr>
                <w:rFonts w:ascii="Courier New" w:cs="Courier New" w:eastAsia="Courier New" w:hAnsi="Courier New"/>
                <w:sz w:val="17"/>
                <w:szCs w:val="17"/>
                <w:color w:val="auto"/>
              </w:rPr>
              <w:t>share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the</w:t>
            </w:r>
          </w:p>
        </w:tc>
        <w:tc>
          <w:tcPr>
            <w:tcW w:w="142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expenses</w:t>
            </w:r>
          </w:p>
        </w:tc>
      </w:tr>
      <w:tr>
        <w:trPr>
          <w:trHeight w:val="201"/>
        </w:trPr>
        <w:tc>
          <w:tcPr>
            <w:tcW w:w="4660" w:type="dxa"/>
            <w:vAlign w:val="bottom"/>
            <w:gridSpan w:val="5"/>
          </w:tcPr>
          <w:p>
            <w:pPr>
              <w:spacing w:after="0"/>
              <w:rPr>
                <w:sz w:val="20"/>
                <w:szCs w:val="20"/>
                <w:color w:val="auto"/>
              </w:rPr>
            </w:pPr>
            <w:r>
              <w:rPr>
                <w:rFonts w:ascii="Courier New" w:cs="Courier New" w:eastAsia="Courier New" w:hAnsi="Courier New"/>
                <w:sz w:val="17"/>
                <w:szCs w:val="17"/>
                <w:color w:val="auto"/>
              </w:rPr>
              <w:t>incurred in connection with the printing and</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mailing of</w:t>
            </w:r>
          </w:p>
        </w:tc>
        <w:tc>
          <w:tcPr>
            <w:tcW w:w="246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this document. Comcast</w:t>
            </w:r>
          </w:p>
        </w:tc>
      </w:tr>
      <w:tr>
        <w:trPr>
          <w:trHeight w:val="201"/>
        </w:trPr>
        <w:tc>
          <w:tcPr>
            <w:tcW w:w="1320" w:type="dxa"/>
            <w:vAlign w:val="bottom"/>
          </w:tcPr>
          <w:p>
            <w:pPr>
              <w:spacing w:after="0"/>
              <w:rPr>
                <w:sz w:val="20"/>
                <w:szCs w:val="20"/>
                <w:color w:val="auto"/>
              </w:rPr>
            </w:pPr>
            <w:r>
              <w:rPr>
                <w:rFonts w:ascii="Courier New" w:cs="Courier New" w:eastAsia="Courier New" w:hAnsi="Courier New"/>
                <w:sz w:val="17"/>
                <w:szCs w:val="17"/>
                <w:color w:val="auto"/>
              </w:rPr>
              <w:t>has retained</w:t>
            </w:r>
          </w:p>
        </w:tc>
        <w:tc>
          <w:tcPr>
            <w:tcW w:w="33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Innisfree M&amp;A Incorporated, for</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a fee of [</w:t>
            </w:r>
          </w:p>
        </w:tc>
        <w:tc>
          <w:tcPr>
            <w:tcW w:w="6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plus additional</w:t>
            </w:r>
          </w:p>
        </w:tc>
      </w:tr>
      <w:tr>
        <w:trPr>
          <w:trHeight w:val="201"/>
        </w:trPr>
        <w:tc>
          <w:tcPr>
            <w:tcW w:w="1640" w:type="dxa"/>
            <w:vAlign w:val="bottom"/>
            <w:gridSpan w:val="2"/>
          </w:tcPr>
          <w:p>
            <w:pPr>
              <w:spacing w:after="0"/>
              <w:rPr>
                <w:sz w:val="20"/>
                <w:szCs w:val="20"/>
                <w:color w:val="auto"/>
              </w:rPr>
            </w:pPr>
            <w:r>
              <w:rPr>
                <w:rFonts w:ascii="Courier New" w:cs="Courier New" w:eastAsia="Courier New" w:hAnsi="Courier New"/>
                <w:sz w:val="17"/>
                <w:szCs w:val="17"/>
                <w:color w:val="auto"/>
              </w:rPr>
              <w:t>charges related</w:t>
            </w: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to telephone calls and other</w:t>
            </w:r>
          </w:p>
        </w:tc>
        <w:tc>
          <w:tcPr>
            <w:tcW w:w="24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services, to assist in</w:t>
            </w:r>
          </w:p>
        </w:tc>
        <w:tc>
          <w:tcPr>
            <w:tcW w:w="12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the</w:t>
            </w:r>
          </w:p>
        </w:tc>
      </w:tr>
      <w:tr>
        <w:trPr>
          <w:trHeight w:val="201"/>
        </w:trPr>
        <w:tc>
          <w:tcPr>
            <w:tcW w:w="1320" w:type="dxa"/>
            <w:vAlign w:val="bottom"/>
          </w:tcPr>
          <w:p>
            <w:pPr>
              <w:spacing w:after="0"/>
              <w:rPr>
                <w:sz w:val="20"/>
                <w:szCs w:val="20"/>
                <w:color w:val="auto"/>
              </w:rPr>
            </w:pPr>
            <w:r>
              <w:rPr>
                <w:rFonts w:ascii="Courier New" w:cs="Courier New" w:eastAsia="Courier New" w:hAnsi="Courier New"/>
                <w:sz w:val="17"/>
                <w:szCs w:val="17"/>
                <w:color w:val="auto"/>
              </w:rPr>
              <w:t>solicitation</w:t>
            </w:r>
          </w:p>
        </w:tc>
        <w:tc>
          <w:tcPr>
            <w:tcW w:w="32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proxies. AT&amp;T has</w:t>
            </w:r>
          </w:p>
        </w:tc>
        <w:tc>
          <w:tcPr>
            <w:tcW w:w="940" w:type="dxa"/>
            <w:vAlign w:val="bottom"/>
          </w:tcPr>
          <w:p>
            <w:pPr>
              <w:ind w:left="40"/>
              <w:spacing w:after="0"/>
              <w:rPr>
                <w:sz w:val="20"/>
                <w:szCs w:val="20"/>
                <w:color w:val="auto"/>
              </w:rPr>
            </w:pPr>
            <w:r>
              <w:rPr>
                <w:rFonts w:ascii="Courier New" w:cs="Courier New" w:eastAsia="Courier New" w:hAnsi="Courier New"/>
                <w:sz w:val="17"/>
                <w:szCs w:val="17"/>
                <w:color w:val="auto"/>
              </w:rPr>
              <w:t>retained</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for</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a</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fee of</w:t>
            </w:r>
          </w:p>
        </w:tc>
      </w:tr>
    </w:tbl>
    <w:p>
      <w:pPr>
        <w:spacing w:after="0" w:line="4" w:lineRule="exact"/>
        <w:rPr>
          <w:sz w:val="20"/>
          <w:szCs w:val="20"/>
          <w:color w:val="auto"/>
        </w:rPr>
      </w:pPr>
    </w:p>
    <w:p>
      <w:pPr>
        <w:ind w:right="1839" w:firstLine="7"/>
        <w:spacing w:after="0" w:line="251" w:lineRule="auto"/>
        <w:tabs>
          <w:tab w:leader="none" w:pos="838" w:val="left"/>
        </w:tabs>
        <w:numPr>
          <w:ilvl w:val="0"/>
          <w:numId w:val="3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plus additional charges related to telephone calls and other services, to assist in the solicitation of proxies. Comcast, AT&amp;T and their respective proxy solicitors will also request banks, brokers and other intermediaries holding shares of Comcast or AT&amp;T common stock beneficially owned by others to send this document to, and obtain proxies from, the beneficial owners and will reimburse the holders for their reasonable expenses in so doing. Solicitation of proxies by mail may be supplemented by telephone, telegram and other electronic means, advertisements and personal solicitation by the directors, officers and employees of Comcast and AT&amp;T. No additional compensation will be paid to directors, officers or employees for such solicitation.</w:t>
      </w:r>
    </w:p>
    <w:p>
      <w:pPr>
        <w:spacing w:after="0" w:line="201" w:lineRule="exact"/>
        <w:rPr>
          <w:sz w:val="20"/>
          <w:szCs w:val="20"/>
          <w:color w:val="auto"/>
        </w:rPr>
      </w:pPr>
    </w:p>
    <w:p>
      <w:pPr>
        <w:ind w:right="2259" w:firstLine="524"/>
        <w:spacing w:after="0" w:line="254" w:lineRule="auto"/>
        <w:rPr>
          <w:sz w:val="20"/>
          <w:szCs w:val="20"/>
          <w:color w:val="auto"/>
        </w:rPr>
      </w:pPr>
      <w:r>
        <w:rPr>
          <w:rFonts w:ascii="Courier New" w:cs="Courier New" w:eastAsia="Courier New" w:hAnsi="Courier New"/>
          <w:sz w:val="17"/>
          <w:szCs w:val="17"/>
          <w:color w:val="auto"/>
        </w:rPr>
        <w:t>The extent to which these proxy soliciting efforts will be necessary depends entirely upon how promptly proxies are submitted. You should send in your proxy by mail, telephone or Internet without delay.</w:t>
      </w:r>
    </w:p>
    <w:p>
      <w:pPr>
        <w:spacing w:after="0" w:line="194" w:lineRule="exact"/>
        <w:rPr>
          <w:sz w:val="20"/>
          <w:szCs w:val="20"/>
          <w:color w:val="auto"/>
        </w:rPr>
      </w:pPr>
    </w:p>
    <w:p>
      <w:pPr>
        <w:jc w:val="both"/>
        <w:ind w:right="2259" w:firstLine="524"/>
        <w:spacing w:after="0" w:line="253" w:lineRule="auto"/>
        <w:rPr>
          <w:sz w:val="20"/>
          <w:szCs w:val="20"/>
          <w:color w:val="auto"/>
        </w:rPr>
      </w:pPr>
      <w:r>
        <w:rPr>
          <w:rFonts w:ascii="Courier New" w:cs="Courier New" w:eastAsia="Courier New" w:hAnsi="Courier New"/>
          <w:sz w:val="17"/>
          <w:szCs w:val="17"/>
          <w:color w:val="auto"/>
        </w:rPr>
        <w:t>Stock Certificates. You should not send in any stock certificates with your proxy card. A transmittal letter with instructions for the surrender of your Comcast stock certificates will be mailed to you as soon as practicable after completion of the AT&amp;T Comcast transaction.</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Other Business; Adjournments. Comcast is not currently aware of any other business to be acted upon at the Comcast special meeting. If, however, other matters are properly brought before the meeting, or any adjourned meeting, your proxies will have discretion to vote or act on those matters according to their best judgment, including to adjourn the meeting.</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Adjournments may be made for the purpose of, among other things, soliciting additional proxies. Any adjournment may be made from time to time by approval of the holders of shares representing a majority of the votes present in person or by proxy at the Comcast special meeting, whether or not a quorum exists, without further notice other than by an announcement made at the meeting. Comcast does not currently intend to seek an adjournment of its meeting.</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XII-4</w:t>
      </w:r>
    </w:p>
    <w:p>
      <w:pPr>
        <w:sectPr>
          <w:pgSz w:w="11900" w:h="16838" w:orient="portrait"/>
          <w:cols w:equalWidth="0" w:num="1">
            <w:col w:w="10219"/>
          </w:cols>
          <w:pgMar w:left="240" w:top="719" w:right="1440" w:bottom="1440" w:gutter="0" w:footer="0" w:header="0"/>
        </w:sectPr>
      </w:pPr>
    </w:p>
    <w:bookmarkStart w:id="322" w:name="page323"/>
    <w:bookmarkEnd w:id="322"/>
    <w:p>
      <w:pPr>
        <w:jc w:val="center"/>
        <w:ind w:right="1839"/>
        <w:spacing w:after="0"/>
        <w:rPr>
          <w:sz w:val="20"/>
          <w:szCs w:val="20"/>
          <w:color w:val="auto"/>
        </w:rPr>
      </w:pPr>
      <w:r>
        <w:rPr>
          <w:rFonts w:ascii="Courier New" w:cs="Courier New" w:eastAsia="Courier New" w:hAnsi="Courier New"/>
          <w:sz w:val="17"/>
          <w:szCs w:val="17"/>
          <w:color w:val="auto"/>
        </w:rPr>
        <w:t>CHAPTER THIRTEEN</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INFORMATION ABOUT THE AT&amp;T ANNUAL MEETING AND VOTING</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This document and the accompanying AT&amp;T proxy card were mailed to holders of voting shares of AT&amp;T in connection with the solicitation of proxies by the AT&amp;T Board for the 2002 Annual Meeting of Shareholders in [ ],</w:t>
      </w:r>
    </w:p>
    <w:p>
      <w:pPr>
        <w:ind w:left="1160" w:hanging="1153"/>
        <w:spacing w:after="0"/>
        <w:tabs>
          <w:tab w:leader="none" w:pos="1160" w:val="left"/>
        </w:tabs>
        <w:numPr>
          <w:ilvl w:val="0"/>
          <w:numId w:val="3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Proxies are solicited to give all AT&amp;T shareholders of record at</w:t>
      </w:r>
    </w:p>
    <w:p>
      <w:pPr>
        <w:spacing w:after="0" w:line="8" w:lineRule="exact"/>
        <w:rPr>
          <w:rFonts w:ascii="Courier New" w:cs="Courier New" w:eastAsia="Courier New" w:hAnsi="Courier New"/>
          <w:sz w:val="17"/>
          <w:szCs w:val="17"/>
          <w:color w:val="auto"/>
        </w:rPr>
      </w:pPr>
    </w:p>
    <w:p>
      <w:pPr>
        <w:ind w:right="21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close of business on [ ], 2002 an opportunity to vote on matters that come before the AT&amp;T annual meeting. This procedure is necessary because AT&amp;T shareholders live in all states and abroad and most will not be able to attend. Shares of AT&amp;T common stock can be voted only if the shareholder is present in person or is represented by proxy.</w:t>
      </w:r>
    </w:p>
    <w:p>
      <w:pPr>
        <w:spacing w:after="0" w:line="19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INFORMATION AND INSTRUCTIONS CONTAINED IN THIS CHAPTER ARE ADDRESSED TO AT&amp;T SHAREHOLDERS, AND ALL REFERENCES TO "YOU" IN THIS CHAPTER SHOULD BE UNDERSTOOD TO BE ADDRESSED TO AT&amp;T SHAREHOLDERS.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Registered AT&amp;T shareholders (those who hold AT&amp;T shares directly or through AT&amp;T plans rather than a bank or broker) can simplify their voting and save AT&amp;T expense by calling 1-800-273-1174 or voting via the Internet at http://att.proxyvoting.com/. Telephone and Internet voting information is provided on the AT&amp;T proxy card. A Control Number is designed to verify AT&amp;T shareholders' identities and allow them to vote their shares and confirm that their voting instructions have been properly recorded. It is located above the shareholder's name and address in the lower left section of the AT&amp;T proxy card. If an AT&amp;T shareholder holds shares through a bank or broker, the shareholder will receive separate instructions on the form he or she receives. Although most banks and brokers now offer telephone and Internet voting, availability and specific processes will depend on their voting arrangements.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MATTERS RELATING TO THE AT&amp;T ANNUAL MEETING</w:t>
      </w:r>
    </w:p>
    <w:p>
      <w:pPr>
        <w:spacing w:after="0" w:line="210" w:lineRule="exact"/>
        <w:rPr>
          <w:sz w:val="20"/>
          <w:szCs w:val="20"/>
          <w:color w:val="auto"/>
        </w:rPr>
      </w:pPr>
    </w:p>
    <w:p>
      <w:pPr>
        <w:ind w:left="260" w:hanging="203"/>
        <w:spacing w:after="0"/>
        <w:tabs>
          <w:tab w:leader="none" w:pos="260" w:val="left"/>
        </w:tabs>
        <w:numPr>
          <w:ilvl w:val="0"/>
          <w:numId w:val="3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Date,</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Time and</w:t>
      </w:r>
    </w:p>
    <w:p>
      <w:pPr>
        <w:spacing w:after="0" w:line="8" w:lineRule="exact"/>
        <w:rPr>
          <w:rFonts w:ascii="Courier New" w:cs="Courier New" w:eastAsia="Courier New" w:hAnsi="Courier New"/>
          <w:sz w:val="17"/>
          <w:szCs w:val="17"/>
          <w:color w:val="auto"/>
        </w:rPr>
      </w:pPr>
    </w:p>
    <w:p>
      <w:pPr>
        <w:jc w:val="both"/>
        <w:ind w:left="100" w:right="89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Place: [ ], 2002 [Time] [Address] -</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580" w:hanging="523"/>
        <w:spacing w:after="0"/>
        <w:tabs>
          <w:tab w:leader="none" w:pos="580" w:val="left"/>
        </w:tabs>
        <w:numPr>
          <w:ilvl w:val="1"/>
          <w:numId w:val="3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AT&amp;T</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is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Vote -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elect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for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ensuing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year; on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Following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Items: -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ratify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appointment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auditors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examine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accounts for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year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2002; -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approve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adopt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merger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agreement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between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Corp., AT&amp;T</w:t>
      </w:r>
    </w:p>
    <w:p>
      <w:pPr>
        <w:sectPr>
          <w:pgSz w:w="11900" w:h="16838" w:orient="portrait"/>
          <w:cols w:equalWidth="0" w:num="1">
            <w:col w:w="10219"/>
          </w:cols>
          <w:pgMar w:left="240" w:top="719" w:right="1440" w:bottom="0" w:gutter="0" w:footer="0" w:header="0"/>
        </w:sectPr>
      </w:pPr>
    </w:p>
    <w:bookmarkStart w:id="323" w:name="page324"/>
    <w:bookmarkEnd w:id="323"/>
    <w:p>
      <w:pPr>
        <w:spacing w:after="0" w:line="1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Corp.,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Corporation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and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parties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thereto,</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whereby AT&amp;T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Broadband, a</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new holding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company that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consists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businesses,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will be spun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off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combined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with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 a new</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Pennsylvania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corporation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called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Corporation,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and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contemplated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by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merger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agreement,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including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spin-off; -</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approve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and adopt an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amendment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charter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authorize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creation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Consumer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Services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tracking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 -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approve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new</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incentive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plan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enable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grant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incentive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awards based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on shares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Consumer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Services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tracking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officers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employees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and its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subsidiaries;</w:t>
      </w:r>
    </w:p>
    <w:p>
      <w:pPr>
        <w:spacing w:after="0" w:line="9" w:lineRule="exact"/>
        <w:rPr>
          <w:sz w:val="20"/>
          <w:szCs w:val="20"/>
          <w:color w:val="auto"/>
        </w:rPr>
      </w:pPr>
    </w:p>
    <w:p>
      <w:pPr>
        <w:ind w:left="60" w:right="8899" w:hanging="3"/>
        <w:spacing w:after="0" w:line="251" w:lineRule="auto"/>
        <w:tabs>
          <w:tab w:leader="none" w:pos="269" w:val="left"/>
        </w:tabs>
        <w:numPr>
          <w:ilvl w:val="0"/>
          <w:numId w:val="3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AT&amp;T's employee stock purchase plan to permit the issuance of AT&amp;T Consumer Services Group tracking</w:t>
      </w:r>
    </w:p>
    <w:p>
      <w:pPr>
        <w:sectPr>
          <w:pgSz w:w="11900" w:h="16857" w:orient="portrait"/>
          <w:cols w:equalWidth="0" w:num="1">
            <w:col w:w="10219"/>
          </w:cols>
          <w:pgMar w:left="240" w:top="141" w:right="1440" w:bottom="0" w:gutter="0" w:footer="0" w:header="0"/>
        </w:sectPr>
      </w:pPr>
    </w:p>
    <w:bookmarkStart w:id="324" w:name="page325"/>
    <w:bookmarkEnd w:id="324"/>
    <w:p>
      <w:pPr>
        <w:jc w:val="center"/>
        <w:ind w:right="8899"/>
        <w:spacing w:after="0"/>
        <w:rPr>
          <w:sz w:val="20"/>
          <w:szCs w:val="20"/>
          <w:color w:val="auto"/>
        </w:rPr>
      </w:pPr>
      <w:r>
        <w:rPr>
          <w:rFonts w:ascii="Courier New" w:cs="Courier New" w:eastAsia="Courier New" w:hAnsi="Courier New"/>
          <w:sz w:val="17"/>
          <w:szCs w:val="17"/>
          <w:color w:val="auto"/>
        </w:rPr>
        <w:t>stock under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 plan;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and - to act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upon such</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matters as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may properly</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come before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annual</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meeting or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any</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adjournment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or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postponement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thereof. -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jc w:val="right"/>
        <w:ind w:right="5599"/>
        <w:spacing w:after="0"/>
        <w:rPr>
          <w:sz w:val="20"/>
          <w:szCs w:val="20"/>
          <w:color w:val="auto"/>
        </w:rPr>
      </w:pPr>
      <w:r>
        <w:rPr>
          <w:rFonts w:ascii="Courier New" w:cs="Courier New" w:eastAsia="Courier New" w:hAnsi="Courier New"/>
          <w:sz w:val="17"/>
          <w:szCs w:val="17"/>
          <w:color w:val="auto"/>
        </w:rPr>
        <w:t>XIII-1</w:t>
      </w:r>
    </w:p>
    <w:p>
      <w:pPr>
        <w:sectPr>
          <w:pgSz w:w="11900" w:h="16838" w:orient="portrait"/>
          <w:cols w:equalWidth="0" w:num="1">
            <w:col w:w="10159"/>
          </w:cols>
          <w:pgMar w:left="300" w:top="142" w:right="1440" w:bottom="1440" w:gutter="0" w:footer="0" w:header="0"/>
        </w:sectPr>
      </w:pPr>
    </w:p>
    <w:bookmarkStart w:id="325" w:name="page326"/>
    <w:bookmarkEnd w:id="325"/>
    <w:p>
      <w:pPr>
        <w:ind w:left="260" w:hanging="203"/>
        <w:spacing w:after="0"/>
        <w:tabs>
          <w:tab w:leader="none" w:pos="260" w:val="left"/>
        </w:tabs>
        <w:numPr>
          <w:ilvl w:val="0"/>
          <w:numId w:val="3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Record Date:</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record</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date for</w:t>
      </w:r>
    </w:p>
    <w:p>
      <w:pPr>
        <w:spacing w:after="0" w:line="8" w:lineRule="exact"/>
        <w:rPr>
          <w:rFonts w:ascii="Courier New" w:cs="Courier New" w:eastAsia="Courier New" w:hAnsi="Courier New"/>
          <w:sz w:val="17"/>
          <w:szCs w:val="17"/>
          <w:color w:val="auto"/>
        </w:rPr>
      </w:pPr>
    </w:p>
    <w:p>
      <w:pPr>
        <w:jc w:val="both"/>
        <w:ind w:left="60" w:right="8899" w:firstLine="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shares entitled to vote is [ ], 2002. - ----</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jc w:val="center"/>
        <w:ind w:right="8859" w:firstLine="10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Outstanding Shares Held on Record Date As of the record date there were outstanding approximately [ ] shares of AT&amp;T common stock. - ---</w:t>
      </w:r>
    </w:p>
    <w:p>
      <w:pPr>
        <w:spacing w:after="0" w:line="201"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520" w:hanging="201"/>
        <w:spacing w:after="0"/>
        <w:tabs>
          <w:tab w:leader="none" w:pos="520" w:val="left"/>
        </w:tabs>
        <w:numPr>
          <w:ilvl w:val="1"/>
          <w:numId w:val="3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Votes</w:t>
      </w:r>
    </w:p>
    <w:p>
      <w:pPr>
        <w:spacing w:after="0" w:line="8" w:lineRule="exact"/>
        <w:rPr>
          <w:rFonts w:ascii="Courier New" w:cs="Courier New" w:eastAsia="Courier New" w:hAnsi="Courier New"/>
          <w:sz w:val="17"/>
          <w:szCs w:val="17"/>
          <w:color w:val="auto"/>
        </w:rPr>
      </w:pPr>
    </w:p>
    <w:p>
      <w:pPr>
        <w:jc w:val="center"/>
        <w:ind w:left="60" w:right="88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Necessary to Approve the With respect to the election of directors, the nominees Proposals:* who receive the most votes of holders of AT&amp;T common stock will be elected. The affirmative vote of a majority of the outstanding shares of AT&amp;T common stock entitled to vote at the AT&amp;T annual meeting is required to approve the AT&amp;T transaction proposal and</w:t>
      </w:r>
    </w:p>
    <w:p>
      <w:pPr>
        <w:sectPr>
          <w:pgSz w:w="11900" w:h="16838" w:orient="portrait"/>
          <w:cols w:equalWidth="0" w:num="1">
            <w:col w:w="10219"/>
          </w:cols>
          <w:pgMar w:left="240" w:top="719" w:right="1440" w:bottom="0" w:gutter="0" w:footer="0" w:header="0"/>
        </w:sectPr>
      </w:pPr>
    </w:p>
    <w:bookmarkStart w:id="326" w:name="page327"/>
    <w:bookmarkEnd w:id="326"/>
    <w:p>
      <w:pPr>
        <w:spacing w:after="0" w:line="2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Consumer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Services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charter</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amendment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proposal.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affirmative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vote of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majority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votes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cast by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holders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outstanding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common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 is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required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approve any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proposals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 voted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upon at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other than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election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Consumer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Services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charter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amendment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Each 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is entitled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one vote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per share 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each 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abstention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with respect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 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Consumer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Services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charter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amendment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will have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effect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a vote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against such</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Shares held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by AT&amp;T in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its treasury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are not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voted.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right="8859" w:firstLine="267"/>
        <w:spacing w:after="0" w:line="252" w:lineRule="auto"/>
        <w:tabs>
          <w:tab w:leader="none" w:pos="469" w:val="left"/>
        </w:tabs>
        <w:numPr>
          <w:ilvl w:val="0"/>
          <w:numId w:val="3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Quorum Requirements: A quorum of shareholders is necessary to hold a valid</w:t>
      </w:r>
    </w:p>
    <w:p>
      <w:pPr>
        <w:sectPr>
          <w:pgSz w:w="11900" w:h="16863" w:orient="portrait"/>
          <w:cols w:equalWidth="0" w:num="1">
            <w:col w:w="10219"/>
          </w:cols>
          <w:pgMar w:left="240" w:top="141" w:right="1440" w:bottom="0" w:gutter="0" w:footer="0" w:header="0"/>
        </w:sectPr>
      </w:pPr>
    </w:p>
    <w:bookmarkStart w:id="327" w:name="page328"/>
    <w:bookmarkEnd w:id="327"/>
    <w:p>
      <w:pPr>
        <w:jc w:val="center"/>
        <w:ind w:right="8859"/>
        <w:spacing w:after="0"/>
        <w:rPr>
          <w:sz w:val="20"/>
          <w:szCs w:val="20"/>
          <w:color w:val="auto"/>
        </w:rPr>
      </w:pPr>
      <w:r>
        <w:rPr>
          <w:rFonts w:ascii="Courier New" w:cs="Courier New" w:eastAsia="Courier New" w:hAnsi="Courier New"/>
          <w:sz w:val="17"/>
          <w:szCs w:val="17"/>
          <w:color w:val="auto"/>
        </w:rPr>
        <w:t>meeting.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presence in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person or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proxy at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holders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40% 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outstanding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common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entitled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vote at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is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quorum.</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Abstentions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and broker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"non-votes"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count as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present for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establishing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 quorum.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broker non-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vote occurs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on an item</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when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broker is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permitted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vote on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item without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instruction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from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beneficial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owner 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shares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instruction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is given.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right"/>
        <w:ind w:left="60" w:right="8899" w:firstLine="49"/>
        <w:spacing w:after="0" w:line="251" w:lineRule="auto"/>
        <w:tabs>
          <w:tab w:leader="none" w:pos="636" w:val="left"/>
        </w:tabs>
        <w:numPr>
          <w:ilvl w:val="0"/>
          <w:numId w:val="3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Beneficially</w:t>
      </w: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Owned by</w:t>
      </w:r>
    </w:p>
    <w:p>
      <w:pPr>
        <w:spacing w:after="0" w:line="8" w:lineRule="exact"/>
        <w:rPr>
          <w:rFonts w:ascii="Courier New" w:cs="Courier New" w:eastAsia="Courier New" w:hAnsi="Courier New"/>
          <w:sz w:val="17"/>
          <w:szCs w:val="17"/>
          <w:color w:val="auto"/>
        </w:rPr>
      </w:pPr>
    </w:p>
    <w:p>
      <w:pPr>
        <w:jc w:val="center"/>
        <w:ind w:right="8859" w:firstLine="154"/>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AT&amp;T As of the record date, approximately [ ] of Directors and Executive Officers as of the outstanding shares of AT&amp;T common stock, including the record date: exercisable options, were beneficially owned by AT&amp;T directors and executive officers. These shares represent in total approximately [ ]% of the</w:t>
      </w:r>
    </w:p>
    <w:p>
      <w:pPr>
        <w:sectPr>
          <w:pgSz w:w="11900" w:h="16838" w:orient="portrait"/>
          <w:cols w:equalWidth="0" w:num="1">
            <w:col w:w="10219"/>
          </w:cols>
          <w:pgMar w:left="240" w:top="142" w:right="1440" w:bottom="623" w:gutter="0" w:footer="0" w:header="0"/>
        </w:sectPr>
      </w:pPr>
    </w:p>
    <w:bookmarkStart w:id="328" w:name="page329"/>
    <w:bookmarkEnd w:id="328"/>
    <w:p>
      <w:pPr>
        <w:spacing w:after="0" w:line="10"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outstanding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AT&amp;T common</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stock as of</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the record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date. These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individuals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have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indicated 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agreed that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they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vote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approve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both"/>
        <w:ind w:left="100" w:right="8899" w:hanging="43"/>
        <w:spacing w:after="0" w:line="251" w:lineRule="auto"/>
        <w:tabs>
          <w:tab w:leader="none" w:pos="571" w:val="left"/>
        </w:tabs>
        <w:numPr>
          <w:ilvl w:val="0"/>
          <w:numId w:val="3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Under NYSE Rules,</w:t>
      </w: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if your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broker holds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your shares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 its name,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your broker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may not vote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your shares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with respect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certain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types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absent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instructions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from you.</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Specifically,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absent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instructions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from you,</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your broker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may not vote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your shares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on the AT&amp;T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Consumer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Services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charter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amendment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incentive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plan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 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employee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purchase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plan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Broker non-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votes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have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effect of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vote against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Consumer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Services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charter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amendment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proposal. If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you do not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provide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instructions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your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broker, the</w:t>
      </w:r>
    </w:p>
    <w:p>
      <w:pPr>
        <w:sectPr>
          <w:pgSz w:w="11900" w:h="16849" w:orient="portrait"/>
          <w:cols w:equalWidth="0" w:num="1">
            <w:col w:w="10219"/>
          </w:cols>
          <w:pgMar w:left="240" w:top="141" w:right="1440" w:bottom="0" w:gutter="0" w:footer="0" w:header="0"/>
        </w:sectPr>
      </w:pPr>
    </w:p>
    <w:bookmarkStart w:id="329" w:name="page330"/>
    <w:bookmarkEnd w:id="329"/>
    <w:p>
      <w:pPr>
        <w:jc w:val="center"/>
        <w:ind w:right="8899"/>
        <w:spacing w:after="0"/>
        <w:rPr>
          <w:sz w:val="20"/>
          <w:szCs w:val="20"/>
          <w:color w:val="auto"/>
        </w:rPr>
      </w:pPr>
      <w:r>
        <w:rPr>
          <w:rFonts w:ascii="Courier New" w:cs="Courier New" w:eastAsia="Courier New" w:hAnsi="Courier New"/>
          <w:sz w:val="17"/>
          <w:szCs w:val="17"/>
          <w:color w:val="auto"/>
        </w:rPr>
        <w:t>broker may</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still vote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your shares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with respect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to the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election of</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ratification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of auditors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and other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matters that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may come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before the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AT&amp;T annual</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meeting,</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including</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proposals.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jc w:val="right"/>
        <w:ind w:right="5599"/>
        <w:spacing w:after="0"/>
        <w:rPr>
          <w:sz w:val="20"/>
          <w:szCs w:val="20"/>
          <w:color w:val="auto"/>
        </w:rPr>
      </w:pPr>
      <w:r>
        <w:rPr>
          <w:rFonts w:ascii="Courier New" w:cs="Courier New" w:eastAsia="Courier New" w:hAnsi="Courier New"/>
          <w:sz w:val="17"/>
          <w:szCs w:val="17"/>
          <w:color w:val="auto"/>
        </w:rPr>
        <w:t>XIII-2</w:t>
      </w:r>
    </w:p>
    <w:p>
      <w:pPr>
        <w:sectPr>
          <w:pgSz w:w="11900" w:h="16838" w:orient="portrait"/>
          <w:cols w:equalWidth="0" w:num="1">
            <w:col w:w="10159"/>
          </w:cols>
          <w:pgMar w:left="300" w:top="142" w:right="1440" w:bottom="1440" w:gutter="0" w:footer="0" w:header="0"/>
        </w:sectPr>
      </w:pPr>
    </w:p>
    <w:bookmarkStart w:id="330" w:name="page331"/>
    <w:bookmarkEnd w:id="330"/>
    <w:p>
      <w:pPr>
        <w:spacing w:after="0"/>
        <w:rPr>
          <w:sz w:val="20"/>
          <w:szCs w:val="20"/>
          <w:color w:val="auto"/>
        </w:rPr>
      </w:pPr>
      <w:r>
        <w:rPr>
          <w:rFonts w:ascii="Courier New" w:cs="Courier New" w:eastAsia="Courier New" w:hAnsi="Courier New"/>
          <w:sz w:val="17"/>
          <w:szCs w:val="17"/>
          <w:color w:val="auto"/>
        </w:rPr>
        <w:t>ELECTRONIC ACCESS TO AT&amp;T PROXY MATERIALS AND ANNUAL REPORT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shareholders can access AT&amp;T's Notice of Meeting and Proxy Statement and annual report via the Internet on the AT&amp;T Investor Relations website at http://www.att.com/ir/. For future shareholder meetings, AT&amp;T's registered shareholders can further save AT&amp;T expense by consenting to access their proxy statement and annual report electronically. AT&amp;T shareholders can choose this option by marking the "Electronic Access" box on the proxy card or by following the instructions provided when voting by telephone or via the Internet. If you choose this option, prior to each shareholder meeting you will receive in the mail your proxy card that provides a notice of meeting with a business reply envelope. You do not need to select this option each year; however, you may want to choose this option for more than one account held in your name. Your choice will remain in effect unless you revoke it by contacting AT&amp;T's transfer agent, EquiServe, at 1-800-348-8288 or visiting the AT&amp;T Investor Relations website at http://www.att.com/ir/.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DELIVERY OF PROXY MATERIALS TO HOUSEHOLDS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SEC recently implemented a new rule regarding the delivery of proxy materials to households (annual reports, proxy statements, proxy statements combined with a prospectus, or any information statement to shareholders). This new method of delivery, often referred to as "householding," permits AT&amp;T and other companies to mail a single set of proxy materials to any household in which two or more different shareholders reside and are members of the same household or in which one shareholder has multiple accounts. For voting purposes, a separate proxy card will be included for each account at the shared address.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January 2002, AT&amp;T mailed each registered shareholder (those who hold shares directly or through AT&amp;T plans) at the shared address a separate notice of its intention to household proxy materials. Beneficial shareholders (those who hold shares through a bank, broker or other record holder) were notified in 2001 of the householding process. Those beneficial shareholders who are eligible and have not opted-out of the householding process will receive one set of proxy materials this year.</w:t>
      </w:r>
    </w:p>
    <w:p>
      <w:pPr>
        <w:spacing w:after="0" w:line="196"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Registered shareholders who reside at such a household and would like to receive a separate annual report and proxy statement, or have questions regarding the householding process, may contact AT&amp;T's transfer agent, EquiServe, by calling 1-800-348-8288, forwarding a written request addressed to EquiServe, Post Office Box 43007, Providence, RI 02940-3007, or via e-mail to att@equiserve.com. Beneficial shareholders should contact their broker or financial institution for specific information on this matter.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PROXY VOTING</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shareholders who do not vote by telephone or the Internet may still return their proxy cards, properly signed, and the shares represented will be voted in accordance with their directions. AT&amp;T shareholders can specify their choices by marking the appropriate boxes on the proxy card. IF AN AT&amp;T PROXY CARD IS SIGNED AND RETURNED WITHOUT SPECIFYING ANY CHOICES, THE SHARES WILL BE VOTED AS RECOMMENDED BY THE AT&amp;T BOARD. Abstentions marked on the proxy card are voted neither "for" nor "against," but are counted in the determination of a quorum for each of the proposals. IF YOU VOTE BY TELEPHONE OR THE INTERNET, IT IS NOT NECESSARY TO RETURN YOUR PROXY CARD.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If you wish to give your proxy to someone other than the AT&amp;T Proxy Committee, all names that appear on the proxy card must be crossed out and the name of another person or persons (not more than ) inserted. The signed card must be presented at the meeting by the person or persons representing you. You may revoke your proxy at any time before it is voted at the meeting by executing a later-voted proxy by telephone, the Internet, or mail, by voting by ballot at the meeting, or by filing an instrument of revocation with the inspector of election in care of the Vice President -- Law and Secretary of AT&amp;T.</w:t>
      </w:r>
    </w:p>
    <w:p>
      <w:pPr>
        <w:spacing w:after="0" w:line="201" w:lineRule="exact"/>
        <w:rPr>
          <w:sz w:val="20"/>
          <w:szCs w:val="20"/>
          <w:color w:val="auto"/>
        </w:rPr>
      </w:pPr>
    </w:p>
    <w:p>
      <w:pPr>
        <w:jc w:val="both"/>
        <w:ind w:right="2139" w:firstLine="524"/>
        <w:spacing w:after="0" w:line="254" w:lineRule="auto"/>
        <w:rPr>
          <w:sz w:val="20"/>
          <w:szCs w:val="20"/>
          <w:color w:val="auto"/>
        </w:rPr>
      </w:pPr>
      <w:r>
        <w:rPr>
          <w:rFonts w:ascii="Courier New" w:cs="Courier New" w:eastAsia="Courier New" w:hAnsi="Courier New"/>
          <w:sz w:val="17"/>
          <w:szCs w:val="17"/>
          <w:color w:val="auto"/>
        </w:rPr>
        <w:t>YOUR VOTE IS IMPORTANT. ACCORDINGLY, AT&amp;T SHAREHOLDERS ARE ENCOURAGED TO VOTE BY TELEPHONE, THE INTERNET, OR BY SIGNING AND RETURNING THE ACCOMPANYING PROXY CARD WHETHER OR NOT THEY PLAN TO ATTEND THE</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XIII-3</w:t>
      </w:r>
    </w:p>
    <w:p>
      <w:pPr>
        <w:sectPr>
          <w:pgSz w:w="11900" w:h="16838" w:orient="portrait"/>
          <w:cols w:equalWidth="0" w:num="1">
            <w:col w:w="10219"/>
          </w:cols>
          <w:pgMar w:left="240" w:top="719" w:right="1440" w:bottom="1440" w:gutter="0" w:footer="0" w:header="0"/>
        </w:sectPr>
      </w:pPr>
    </w:p>
    <w:bookmarkStart w:id="331" w:name="page332"/>
    <w:bookmarkEnd w:id="331"/>
    <w:p>
      <w:pPr>
        <w:ind w:right="2139"/>
        <w:spacing w:after="0" w:line="257" w:lineRule="auto"/>
        <w:rPr>
          <w:sz w:val="20"/>
          <w:szCs w:val="20"/>
          <w:color w:val="auto"/>
        </w:rPr>
      </w:pPr>
      <w:r>
        <w:rPr>
          <w:rFonts w:ascii="Courier New" w:cs="Courier New" w:eastAsia="Courier New" w:hAnsi="Courier New"/>
          <w:sz w:val="17"/>
          <w:szCs w:val="17"/>
          <w:color w:val="auto"/>
        </w:rPr>
        <w:t>MEETING. If you do attend, you may vote by ballot at the AT&amp;T annual meeting, thereby canceling any proxy previously voted.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CONFIDENTIAL VOTING</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For many years, AT&amp;T has had a confidential voting policy. AT&amp;T has formalized its policy by amending its bylaws so that all proxies and other voting materials, including telephone and Internet voting, are kept confidential</w:t>
      </w:r>
    </w:p>
    <w:tbl>
      <w:tblPr>
        <w:tblLayout w:type="fixed"/>
        <w:tblInd w:w="0" w:type="dxa"/>
        <w:tblCellMar>
          <w:top w:w="0" w:type="dxa"/>
          <w:left w:w="0" w:type="dxa"/>
          <w:bottom w:w="0" w:type="dxa"/>
          <w:right w:w="0" w:type="dxa"/>
        </w:tblCellMar>
      </w:tblPr>
      <w:tr>
        <w:trPr>
          <w:trHeight w:val="197"/>
        </w:trPr>
        <w:tc>
          <w:tcPr>
            <w:tcW w:w="1220" w:type="dxa"/>
            <w:vAlign w:val="bottom"/>
          </w:tcPr>
          <w:p>
            <w:pPr>
              <w:spacing w:after="0"/>
              <w:rPr>
                <w:sz w:val="20"/>
                <w:szCs w:val="20"/>
                <w:color w:val="auto"/>
              </w:rPr>
            </w:pPr>
            <w:r>
              <w:rPr>
                <w:rFonts w:ascii="Courier New" w:cs="Courier New" w:eastAsia="Courier New" w:hAnsi="Courier New"/>
                <w:sz w:val="17"/>
                <w:szCs w:val="17"/>
                <w:color w:val="auto"/>
              </w:rPr>
              <w:t>and are not</w:t>
            </w:r>
          </w:p>
        </w:tc>
        <w:tc>
          <w:tcPr>
            <w:tcW w:w="51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disclosed to AT&amp;T or its officers and directors,</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subject</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w w:val="99"/>
              </w:rPr>
              <w:t>to standard</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exceptions.</w:t>
            </w:r>
          </w:p>
        </w:tc>
        <w:tc>
          <w:tcPr>
            <w:tcW w:w="59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Such documents are available for examination only by the</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rPr>
              <w:t>inspector</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of election</w:t>
            </w:r>
          </w:p>
        </w:tc>
        <w:tc>
          <w:tcPr>
            <w:tcW w:w="51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and certain personnel associated with processing</w:t>
            </w:r>
          </w:p>
        </w:tc>
        <w:tc>
          <w:tcPr>
            <w:tcW w:w="20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proxy cards and</w:t>
            </w:r>
          </w:p>
        </w:tc>
      </w:tr>
      <w:tr>
        <w:trPr>
          <w:trHeight w:val="201"/>
        </w:trPr>
        <w:tc>
          <w:tcPr>
            <w:tcW w:w="6340" w:type="dxa"/>
            <w:vAlign w:val="bottom"/>
            <w:gridSpan w:val="3"/>
          </w:tcPr>
          <w:p>
            <w:pPr>
              <w:spacing w:after="0"/>
              <w:rPr>
                <w:sz w:val="20"/>
                <w:szCs w:val="20"/>
                <w:color w:val="auto"/>
              </w:rPr>
            </w:pPr>
            <w:r>
              <w:rPr>
                <w:rFonts w:ascii="Courier New" w:cs="Courier New" w:eastAsia="Courier New" w:hAnsi="Courier New"/>
                <w:sz w:val="17"/>
                <w:szCs w:val="17"/>
                <w:color w:val="auto"/>
              </w:rPr>
              <w:t>tabulating the vote. This bylaw provision cannot be amended,</w:t>
            </w:r>
          </w:p>
        </w:tc>
        <w:tc>
          <w:tcPr>
            <w:tcW w:w="20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rescinded, or</w:t>
            </w:r>
          </w:p>
        </w:tc>
      </w:tr>
      <w:tr>
        <w:trPr>
          <w:trHeight w:val="201"/>
        </w:trPr>
        <w:tc>
          <w:tcPr>
            <w:tcW w:w="7180" w:type="dxa"/>
            <w:vAlign w:val="bottom"/>
            <w:gridSpan w:val="4"/>
          </w:tcPr>
          <w:p>
            <w:pPr>
              <w:spacing w:after="0"/>
              <w:rPr>
                <w:sz w:val="20"/>
                <w:szCs w:val="20"/>
                <w:color w:val="auto"/>
              </w:rPr>
            </w:pPr>
            <w:r>
              <w:rPr>
                <w:rFonts w:ascii="Courier New" w:cs="Courier New" w:eastAsia="Courier New" w:hAnsi="Courier New"/>
                <w:sz w:val="17"/>
                <w:szCs w:val="17"/>
                <w:color w:val="auto"/>
              </w:rPr>
              <w:t>waived except by a shareholder vote. AT&amp;T's independent inspector of</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rPr>
              <w:t>election,</w:t>
            </w:r>
          </w:p>
        </w:tc>
      </w:tr>
      <w:tr>
        <w:trPr>
          <w:trHeight w:val="201"/>
        </w:trPr>
        <w:tc>
          <w:tcPr>
            <w:tcW w:w="2100" w:type="dxa"/>
            <w:vAlign w:val="bottom"/>
            <w:gridSpan w:val="2"/>
          </w:tcPr>
          <w:p>
            <w:pPr>
              <w:spacing w:after="0"/>
              <w:rPr>
                <w:sz w:val="20"/>
                <w:szCs w:val="20"/>
                <w:color w:val="auto"/>
              </w:rPr>
            </w:pPr>
            <w:r>
              <w:rPr>
                <w:rFonts w:ascii="Courier New" w:cs="Courier New" w:eastAsia="Courier New" w:hAnsi="Courier New"/>
                <w:sz w:val="17"/>
                <w:szCs w:val="17"/>
                <w:color w:val="auto"/>
              </w:rPr>
              <w:t>an officer of [</w:t>
            </w:r>
          </w:p>
        </w:tc>
        <w:tc>
          <w:tcPr>
            <w:tcW w:w="4240" w:type="dxa"/>
            <w:vAlign w:val="bottom"/>
          </w:tcPr>
          <w:p>
            <w:pPr>
              <w:ind w:left="520"/>
              <w:spacing w:after="0"/>
              <w:rPr>
                <w:sz w:val="20"/>
                <w:szCs w:val="20"/>
                <w:color w:val="auto"/>
              </w:rPr>
            </w:pPr>
            <w:r>
              <w:rPr>
                <w:rFonts w:ascii="Courier New" w:cs="Courier New" w:eastAsia="Courier New" w:hAnsi="Courier New"/>
                <w:sz w:val="17"/>
                <w:szCs w:val="17"/>
                <w:color w:val="auto"/>
              </w:rPr>
              <w:t>], has been appointed.</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SHARES HELD IN DIVIDEND REINVESTMENT AND SAVINGS PLANS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For participants in the AT&amp;T Shareowner Dividend Reinvestment and Stock Purchase Plan or the AT&amp;T 1996 Employee Stock Purchase Plan, your shares will be voted as specified on your proxy card and will not be voted if the proxy card is not returned. For employee shareholders participating in the AT&amp;T Long Term Savings Plan for Management Employees, the AT&amp;T Long Term Savings and Security Plan, the AT&amp;T Retirement Savings and Profit Sharing Plan, the AT&amp;T of Puerto Rico, Inc. Long Term Savings Plan for Management Employees, the AT&amp;T of Puerto Rico, Inc. Long Term Savings and Security Plan, the Liberty Media 401(k) Savings Plan, the Liberty Media 401(k) Savings Plan of Puerto Rico, the AT&amp;T Broadband Long Term Savings Plan, or the AT&amp;T Wireless Services 401(k) Retirement Plan, your shares will be voted as specified on your proxy card. If the proxy cards are not returned, the Trustee of the plan will vote those shares in the same proportion as the shares for which instructions were received from all other participants in that plan. If you wish to abstain from voting on a shareholder matter, you must indicate this when you vote by telephone, the Internet or by mail.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MEETING ADMISSION</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IF YOU ARE A REGISTERED AT&amp;T SHAREHOLDER AND PLAN TO ATTEND THE AT&amp;T MEETING IN PERSON, PLEASE DETACH AND RETAIN THE ADMISSION TICKET THAT IS ATTACHED TO YOUR PROXY CARD. IF YOU WILL ATTEND THE MEETING, PLEASE BE SURE TO RESPOND TO THE "I/WE PLAN TO ATTEND THE ANNUAL MEETING" QUESTION WHEN YOU VOTE. A BENEFICIAL OWNER OF AT&amp;T SHARES WHO PLANS TO ATTEND THE MEETING MAY OBTAIN AN ADMISSION TICKET IN ADVANCE BY SENDING A WRITTEN REQUEST, WITH PROOF OF OWNERSHIP, SUCH AS A BANK OR BROKERAGE FIRM ACCOUNT STATEMENT, TO:</w:t>
      </w:r>
    </w:p>
    <w:p>
      <w:pPr>
        <w:ind w:right="2259"/>
        <w:spacing w:after="0" w:line="254" w:lineRule="auto"/>
        <w:rPr>
          <w:sz w:val="20"/>
          <w:szCs w:val="20"/>
          <w:color w:val="auto"/>
        </w:rPr>
      </w:pPr>
      <w:r>
        <w:rPr>
          <w:rFonts w:ascii="Courier New" w:cs="Courier New" w:eastAsia="Courier New" w:hAnsi="Courier New"/>
          <w:sz w:val="17"/>
          <w:szCs w:val="17"/>
          <w:color w:val="auto"/>
        </w:rPr>
        <w:t>MANAGER -- PROXY, AT&amp;T CORP., 295 NORTH MAPLE AVENUE, ROOM 1216L2, BASKING RIDGE, NEW JERSEY 07920-1002. ADMITTANCE TO THE ANNUAL MEETING WILL BE BASED UPON AVAILABILITY OF SEATING.</w:t>
      </w:r>
    </w:p>
    <w:p>
      <w:pPr>
        <w:spacing w:after="0" w:line="194"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AT&amp;T shareholders who do not present admission tickets at the meeting will be admitted upon verification of ownership at the admissions counter.</w:t>
      </w:r>
    </w:p>
    <w:p>
      <w:pPr>
        <w:spacing w:after="0" w:line="192" w:lineRule="exact"/>
        <w:rPr>
          <w:sz w:val="20"/>
          <w:szCs w:val="20"/>
          <w:color w:val="auto"/>
        </w:rPr>
      </w:pPr>
    </w:p>
    <w:p>
      <w:pPr>
        <w:ind w:right="1839" w:firstLine="524"/>
        <w:spacing w:after="0" w:line="258" w:lineRule="auto"/>
        <w:rPr>
          <w:sz w:val="20"/>
          <w:szCs w:val="20"/>
          <w:color w:val="auto"/>
        </w:rPr>
      </w:pPr>
      <w:r>
        <w:rPr>
          <w:rFonts w:ascii="Courier New" w:cs="Courier New" w:eastAsia="Courier New" w:hAnsi="Courier New"/>
          <w:sz w:val="17"/>
          <w:szCs w:val="17"/>
          <w:color w:val="auto"/>
        </w:rPr>
        <w:t>The is fully accessible to disabled persons, and sign interpretation and wireless headsets will be available for hearing-impaired AT&amp;T shareholders.</w:t>
      </w:r>
    </w:p>
    <w:p>
      <w:pPr>
        <w:spacing w:after="0" w:line="392"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Highlights of the meeting will be available on the AT&amp;T Investor Relations website at http://www.att.com/ir/ and will also be included in a midyear report to AT&amp;T shareholders.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AT&amp;T BOARD</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AT&amp;T Board is responsible for establishing broad corporate policies and monitoring the overall performance of AT&amp;T. However, in accordance with corporate legal principles, the AT&amp;T Board is not involved in day-to-day operating matters. Members of the AT&amp;T Board are kept informed of AT&amp;T's business by participating in AT&amp;T Board and committee meetings, by reviewing analyses and reports sent to them each month, and through discussions with the Chairman and other officers.</w:t>
      </w:r>
    </w:p>
    <w:p>
      <w:pPr>
        <w:spacing w:after="0" w:line="3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XIII-4</w:t>
      </w:r>
    </w:p>
    <w:p>
      <w:pPr>
        <w:sectPr>
          <w:pgSz w:w="11900" w:h="16838" w:orient="portrait"/>
          <w:cols w:equalWidth="0" w:num="1">
            <w:col w:w="10219"/>
          </w:cols>
          <w:pgMar w:left="240" w:top="719" w:right="1440" w:bottom="1440" w:gutter="0" w:footer="0" w:header="0"/>
        </w:sectPr>
      </w:pPr>
    </w:p>
    <w:bookmarkStart w:id="332" w:name="page333"/>
    <w:bookmarkEnd w:id="332"/>
    <w:p>
      <w:pPr>
        <w:ind w:left="540"/>
        <w:spacing w:after="0"/>
        <w:tabs>
          <w:tab w:leader="none" w:pos="3760" w:val="left"/>
        </w:tabs>
        <w:rPr>
          <w:sz w:val="20"/>
          <w:szCs w:val="20"/>
          <w:color w:val="auto"/>
        </w:rPr>
      </w:pPr>
      <w:r>
        <w:rPr>
          <w:rFonts w:ascii="Courier New" w:cs="Courier New" w:eastAsia="Courier New" w:hAnsi="Courier New"/>
          <w:sz w:val="17"/>
          <w:szCs w:val="17"/>
          <w:color w:val="auto"/>
        </w:rPr>
        <w:t>The AT&amp;T Board held [</w:t>
      </w:r>
      <w:r>
        <w:rPr>
          <w:sz w:val="20"/>
          <w:szCs w:val="20"/>
          <w:color w:val="auto"/>
        </w:rPr>
        <w:tab/>
      </w:r>
      <w:r>
        <w:rPr>
          <w:rFonts w:ascii="Courier New" w:cs="Courier New" w:eastAsia="Courier New" w:hAnsi="Courier New"/>
          <w:sz w:val="17"/>
          <w:szCs w:val="17"/>
          <w:color w:val="auto"/>
        </w:rPr>
        <w:t>] meetings and the committees held</w:t>
      </w:r>
    </w:p>
    <w:p>
      <w:pPr>
        <w:spacing w:after="0" w:line="9" w:lineRule="exact"/>
        <w:rPr>
          <w:sz w:val="20"/>
          <w:szCs w:val="20"/>
          <w:color w:val="auto"/>
        </w:rPr>
      </w:pPr>
    </w:p>
    <w:p>
      <w:pPr>
        <w:ind w:right="2139" w:firstLine="7"/>
        <w:spacing w:after="0" w:line="251" w:lineRule="auto"/>
        <w:tabs>
          <w:tab w:leader="none" w:pos="1152" w:val="left"/>
        </w:tabs>
        <w:numPr>
          <w:ilvl w:val="0"/>
          <w:numId w:val="3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meetings in 2001. The average attendance in the aggregate of the total number of meetings of the AT&amp;T Board and the total number of committee</w:t>
      </w:r>
    </w:p>
    <w:p>
      <w:pPr>
        <w:spacing w:after="0"/>
        <w:tabs>
          <w:tab w:leader="none" w:pos="2500" w:val="left"/>
        </w:tabs>
        <w:rPr>
          <w:sz w:val="20"/>
          <w:szCs w:val="20"/>
          <w:color w:val="auto"/>
        </w:rPr>
      </w:pPr>
      <w:r>
        <w:rPr>
          <w:rFonts w:ascii="Courier New" w:cs="Courier New" w:eastAsia="Courier New" w:hAnsi="Courier New"/>
          <w:sz w:val="17"/>
          <w:szCs w:val="17"/>
          <w:color w:val="auto"/>
        </w:rPr>
        <w:t>meetings was [</w:t>
      </w:r>
      <w:r>
        <w:rPr>
          <w:sz w:val="20"/>
          <w:szCs w:val="20"/>
          <w:color w:val="auto"/>
        </w:rPr>
        <w:tab/>
      </w:r>
      <w:r>
        <w:rPr>
          <w:rFonts w:ascii="Courier New" w:cs="Courier New" w:eastAsia="Courier New" w:hAnsi="Courier New"/>
          <w:sz w:val="17"/>
          <w:szCs w:val="17"/>
          <w:color w:val="auto"/>
        </w:rPr>
        <w: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COMMITTEES OF THE AT&amp;T BOARD</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AT&amp;T Board has established a number of committees, including the Audit Committee, the Compensation and Employee Benefits Committee, the Finance Committee, and the Governance and Nominating Committee, each of which is briefly described below. Another committee of the AT&amp;T Board is the Proxy Committee (that votes the shares represented by proxies at the annual meeting of shareholders).</w:t>
      </w:r>
    </w:p>
    <w:p>
      <w:pPr>
        <w:spacing w:after="0" w:line="399"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Audit Committee meets with AT&amp;T management to consider the adequacy of the internal controls and the objectivity of financial reporting. The committee also meets with the independent auditors and with appropriate AT&amp;T financial personnel and internal auditors concerning these matters. The committee recommends to the AT&amp;T Board the appointment of the independent auditors, subject to ratification by the shareholders at the annual meeting. Both the internal auditors and the independent auditors periodically meet alone with the committee and always have unrestricted access to the committee. The committee,</w:t>
      </w:r>
    </w:p>
    <w:p>
      <w:pPr>
        <w:spacing w:after="0"/>
        <w:tabs>
          <w:tab w:leader="none" w:pos="2400" w:val="left"/>
          <w:tab w:leader="none" w:pos="6380" w:val="left"/>
        </w:tabs>
        <w:rPr>
          <w:sz w:val="20"/>
          <w:szCs w:val="20"/>
          <w:color w:val="auto"/>
        </w:rPr>
      </w:pPr>
      <w:r>
        <w:rPr>
          <w:rFonts w:ascii="Courier New" w:cs="Courier New" w:eastAsia="Courier New" w:hAnsi="Courier New"/>
          <w:sz w:val="17"/>
          <w:szCs w:val="17"/>
          <w:color w:val="auto"/>
        </w:rPr>
        <w:t>which consists of</w:t>
      </w:r>
      <w:r>
        <w:rPr>
          <w:sz w:val="20"/>
          <w:szCs w:val="20"/>
          <w:color w:val="auto"/>
        </w:rPr>
        <w:tab/>
      </w:r>
      <w:r>
        <w:rPr>
          <w:rFonts w:ascii="Courier New" w:cs="Courier New" w:eastAsia="Courier New" w:hAnsi="Courier New"/>
          <w:sz w:val="17"/>
          <w:szCs w:val="17"/>
          <w:color w:val="auto"/>
        </w:rPr>
        <w:t>non-employee directors, met</w:t>
      </w:r>
      <w:r>
        <w:rPr>
          <w:sz w:val="20"/>
          <w:szCs w:val="20"/>
          <w:color w:val="auto"/>
        </w:rPr>
        <w:tab/>
      </w:r>
      <w:r>
        <w:rPr>
          <w:rFonts w:ascii="Courier New" w:cs="Courier New" w:eastAsia="Courier New" w:hAnsi="Courier New"/>
          <w:sz w:val="17"/>
          <w:szCs w:val="17"/>
          <w:color w:val="auto"/>
        </w:rPr>
        <w:t>times in 2001.</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Compensation and Employee Benefits Committee administers incentive compensation plans, including stock option plans, and keeps informed and advises the AT&amp;T Board regarding employee benefit plans. The committee establishes the compensation structure for senior managers of AT&amp;T and makes recommendations to the AT&amp;T Board with respect to compensation of the officers as listed on page</w:t>
      </w:r>
    </w:p>
    <w:p>
      <w:pPr>
        <w:ind w:right="2979" w:firstLine="209"/>
        <w:spacing w:after="0" w:line="257" w:lineRule="auto"/>
        <w:rPr>
          <w:sz w:val="20"/>
          <w:szCs w:val="20"/>
          <w:color w:val="auto"/>
        </w:rPr>
      </w:pPr>
      <w:r>
        <w:rPr>
          <w:rFonts w:ascii="Courier New" w:cs="Courier New" w:eastAsia="Courier New" w:hAnsi="Courier New"/>
          <w:sz w:val="17"/>
          <w:szCs w:val="17"/>
          <w:color w:val="auto"/>
        </w:rPr>
        <w:t>. The committee, which consists of non-employee directors, met times in 2001.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20" w:type="dxa"/>
            <w:vAlign w:val="bottom"/>
            <w:gridSpan w:val="4"/>
          </w:tcPr>
          <w:p>
            <w:pPr>
              <w:ind w:left="540"/>
              <w:spacing w:after="0"/>
              <w:rPr>
                <w:sz w:val="20"/>
                <w:szCs w:val="20"/>
                <w:color w:val="auto"/>
              </w:rPr>
            </w:pPr>
            <w:r>
              <w:rPr>
                <w:rFonts w:ascii="Courier New" w:cs="Courier New" w:eastAsia="Courier New" w:hAnsi="Courier New"/>
                <w:sz w:val="17"/>
                <w:szCs w:val="17"/>
                <w:color w:val="auto"/>
              </w:rPr>
              <w:t>The Finance Committee meets</w:t>
            </w:r>
          </w:p>
        </w:tc>
        <w:tc>
          <w:tcPr>
            <w:tcW w:w="2500" w:type="dxa"/>
            <w:vAlign w:val="bottom"/>
          </w:tcPr>
          <w:p>
            <w:pPr>
              <w:ind w:left="40"/>
              <w:spacing w:after="0"/>
              <w:rPr>
                <w:sz w:val="20"/>
                <w:szCs w:val="20"/>
                <w:color w:val="auto"/>
              </w:rPr>
            </w:pPr>
            <w:r>
              <w:rPr>
                <w:rFonts w:ascii="Courier New" w:cs="Courier New" w:eastAsia="Courier New" w:hAnsi="Courier New"/>
                <w:sz w:val="17"/>
                <w:szCs w:val="17"/>
                <w:color w:val="auto"/>
              </w:rPr>
              <w:t>with AT&amp;T management to</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review</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the financial</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policy</w:t>
            </w:r>
          </w:p>
        </w:tc>
        <w:tc>
          <w:tcPr>
            <w:tcW w:w="1900" w:type="dxa"/>
            <w:vAlign w:val="bottom"/>
          </w:tcPr>
          <w:p>
            <w:pPr>
              <w:ind w:left="60"/>
              <w:spacing w:after="0"/>
              <w:rPr>
                <w:sz w:val="20"/>
                <w:szCs w:val="20"/>
                <w:color w:val="auto"/>
              </w:rPr>
            </w:pPr>
            <w:r>
              <w:rPr>
                <w:rFonts w:ascii="Courier New" w:cs="Courier New" w:eastAsia="Courier New" w:hAnsi="Courier New"/>
                <w:sz w:val="17"/>
                <w:szCs w:val="17"/>
                <w:color w:val="auto"/>
              </w:rPr>
              <w:t>and procedures of</w:t>
            </w:r>
          </w:p>
        </w:tc>
        <w:tc>
          <w:tcPr>
            <w:tcW w:w="620" w:type="dxa"/>
            <w:vAlign w:val="bottom"/>
          </w:tcPr>
          <w:p>
            <w:pPr>
              <w:ind w:left="40"/>
              <w:spacing w:after="0"/>
              <w:rPr>
                <w:sz w:val="20"/>
                <w:szCs w:val="20"/>
                <w:color w:val="auto"/>
              </w:rPr>
            </w:pPr>
            <w:r>
              <w:rPr>
                <w:rFonts w:ascii="Courier New" w:cs="Courier New" w:eastAsia="Courier New" w:hAnsi="Courier New"/>
                <w:sz w:val="17"/>
                <w:szCs w:val="17"/>
                <w:color w:val="auto"/>
              </w:rPr>
              <w:t>AT&amp;T,</w:t>
            </w:r>
          </w:p>
        </w:tc>
        <w:tc>
          <w:tcPr>
            <w:tcW w:w="34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including AT&amp;T's Financing Plan,</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Capital and</w:t>
            </w:r>
          </w:p>
        </w:tc>
      </w:tr>
      <w:tr>
        <w:trPr>
          <w:trHeight w:val="201"/>
        </w:trPr>
        <w:tc>
          <w:tcPr>
            <w:tcW w:w="3420" w:type="dxa"/>
            <w:vAlign w:val="bottom"/>
            <w:gridSpan w:val="4"/>
          </w:tcPr>
          <w:p>
            <w:pPr>
              <w:spacing w:after="0"/>
              <w:rPr>
                <w:sz w:val="20"/>
                <w:szCs w:val="20"/>
                <w:color w:val="auto"/>
              </w:rPr>
            </w:pPr>
            <w:r>
              <w:rPr>
                <w:rFonts w:ascii="Courier New" w:cs="Courier New" w:eastAsia="Courier New" w:hAnsi="Courier New"/>
                <w:sz w:val="17"/>
                <w:szCs w:val="17"/>
                <w:color w:val="auto"/>
              </w:rPr>
              <w:t>Investment Program, and Dividend</w:t>
            </w:r>
          </w:p>
        </w:tc>
        <w:tc>
          <w:tcPr>
            <w:tcW w:w="49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Policy. The committee advises the AT&amp;T Board on</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AT&amp;T's</w:t>
            </w:r>
          </w:p>
        </w:tc>
        <w:tc>
          <w:tcPr>
            <w:tcW w:w="25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financial condition and</w:t>
            </w:r>
          </w:p>
        </w:tc>
        <w:tc>
          <w:tcPr>
            <w:tcW w:w="34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makes recommendations concerning</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the dividend</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policy</w:t>
            </w:r>
          </w:p>
        </w:tc>
        <w:tc>
          <w:tcPr>
            <w:tcW w:w="27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and payments of AT&amp;T. The</w:t>
            </w:r>
          </w:p>
        </w:tc>
        <w:tc>
          <w:tcPr>
            <w:tcW w:w="32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committee, which consists of</w:t>
            </w:r>
          </w:p>
        </w:tc>
        <w:tc>
          <w:tcPr>
            <w:tcW w:w="1720" w:type="dxa"/>
            <w:vAlign w:val="bottom"/>
          </w:tcPr>
          <w:p>
            <w:pPr>
              <w:ind w:left="360"/>
              <w:spacing w:after="0"/>
              <w:rPr>
                <w:sz w:val="20"/>
                <w:szCs w:val="20"/>
                <w:color w:val="auto"/>
              </w:rPr>
            </w:pPr>
            <w:r>
              <w:rPr>
                <w:rFonts w:ascii="Courier New" w:cs="Courier New" w:eastAsia="Courier New" w:hAnsi="Courier New"/>
                <w:sz w:val="17"/>
                <w:szCs w:val="17"/>
                <w:color w:val="auto"/>
              </w:rPr>
              <w:t>non-employee</w:t>
            </w:r>
          </w:p>
        </w:tc>
      </w:tr>
      <w:tr>
        <w:trPr>
          <w:trHeight w:val="201"/>
        </w:trPr>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rPr>
              <w:t>directors, met</w:t>
            </w:r>
          </w:p>
        </w:tc>
        <w:tc>
          <w:tcPr>
            <w:tcW w:w="620" w:type="dxa"/>
            <w:vAlign w:val="bottom"/>
          </w:tcPr>
          <w:p>
            <w:pPr>
              <w:ind w:left="40"/>
              <w:spacing w:after="0"/>
              <w:rPr>
                <w:sz w:val="20"/>
                <w:szCs w:val="20"/>
                <w:color w:val="auto"/>
              </w:rPr>
            </w:pPr>
            <w:r>
              <w:rPr>
                <w:rFonts w:ascii="Courier New" w:cs="Courier New" w:eastAsia="Courier New" w:hAnsi="Courier New"/>
                <w:sz w:val="17"/>
                <w:szCs w:val="17"/>
                <w:color w:val="auto"/>
              </w:rPr>
              <w:t>times</w:t>
            </w:r>
          </w:p>
        </w:tc>
        <w:tc>
          <w:tcPr>
            <w:tcW w:w="27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2001.</w:t>
            </w: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03"/>
        </w:trPr>
        <w:tc>
          <w:tcPr>
            <w:tcW w:w="5920" w:type="dxa"/>
            <w:vAlign w:val="bottom"/>
            <w:gridSpan w:val="5"/>
          </w:tcPr>
          <w:p>
            <w:pPr>
              <w:ind w:left="540"/>
              <w:spacing w:after="0"/>
              <w:rPr>
                <w:sz w:val="20"/>
                <w:szCs w:val="20"/>
                <w:color w:val="auto"/>
              </w:rPr>
            </w:pPr>
            <w:r>
              <w:rPr>
                <w:rFonts w:ascii="Courier New" w:cs="Courier New" w:eastAsia="Courier New" w:hAnsi="Courier New"/>
                <w:sz w:val="17"/>
                <w:szCs w:val="17"/>
                <w:color w:val="auto"/>
              </w:rPr>
              <w:t>The Governance and Nominating Committee advises and</w:t>
            </w:r>
          </w:p>
        </w:tc>
        <w:tc>
          <w:tcPr>
            <w:tcW w:w="2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makes recommendations</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to the</w:t>
            </w:r>
          </w:p>
        </w:tc>
        <w:tc>
          <w:tcPr>
            <w:tcW w:w="1900" w:type="dxa"/>
            <w:vAlign w:val="bottom"/>
          </w:tcPr>
          <w:p>
            <w:pPr>
              <w:ind w:left="60"/>
              <w:spacing w:after="0"/>
              <w:rPr>
                <w:sz w:val="20"/>
                <w:szCs w:val="20"/>
                <w:color w:val="auto"/>
              </w:rPr>
            </w:pPr>
            <w:r>
              <w:rPr>
                <w:rFonts w:ascii="Courier New" w:cs="Courier New" w:eastAsia="Courier New" w:hAnsi="Courier New"/>
                <w:sz w:val="17"/>
                <w:szCs w:val="17"/>
                <w:color w:val="auto"/>
              </w:rPr>
              <w:t>AT&amp;T Board on all</w:t>
            </w:r>
          </w:p>
        </w:tc>
        <w:tc>
          <w:tcPr>
            <w:tcW w:w="8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matters</w:t>
            </w:r>
          </w:p>
        </w:tc>
        <w:tc>
          <w:tcPr>
            <w:tcW w:w="2500" w:type="dxa"/>
            <w:vAlign w:val="bottom"/>
          </w:tcPr>
          <w:p>
            <w:pPr>
              <w:ind w:left="40"/>
              <w:spacing w:after="0"/>
              <w:rPr>
                <w:sz w:val="20"/>
                <w:szCs w:val="20"/>
                <w:color w:val="auto"/>
              </w:rPr>
            </w:pPr>
            <w:r>
              <w:rPr>
                <w:rFonts w:ascii="Courier New" w:cs="Courier New" w:eastAsia="Courier New" w:hAnsi="Courier New"/>
                <w:sz w:val="17"/>
                <w:szCs w:val="17"/>
                <w:color w:val="auto"/>
              </w:rPr>
              <w:t>concerning directorship</w:t>
            </w:r>
          </w:p>
        </w:tc>
        <w:tc>
          <w:tcPr>
            <w:tcW w:w="2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and corporate</w:t>
            </w:r>
          </w:p>
        </w:tc>
      </w:tr>
    </w:tbl>
    <w:p>
      <w:pPr>
        <w:spacing w:after="0" w:line="4" w:lineRule="exact"/>
        <w:rPr>
          <w:sz w:val="20"/>
          <w:szCs w:val="20"/>
          <w:color w:val="auto"/>
        </w:rPr>
      </w:pPr>
    </w:p>
    <w:p>
      <w:pPr>
        <w:jc w:val="both"/>
        <w:ind w:right="1939"/>
        <w:spacing w:after="0" w:line="189" w:lineRule="auto"/>
        <w:rPr>
          <w:sz w:val="20"/>
          <w:szCs w:val="20"/>
          <w:color w:val="auto"/>
        </w:rPr>
      </w:pPr>
      <w:r>
        <w:rPr>
          <w:rFonts w:ascii="Courier New" w:cs="Courier New" w:eastAsia="Courier New" w:hAnsi="Courier New"/>
          <w:sz w:val="15"/>
          <w:szCs w:val="15"/>
          <w:color w:val="auto"/>
        </w:rPr>
        <w:t>governance practices, including compensation of directors and the selection of candidates as nominees for election as directors, and it provides guidance with respect to matters of public policy. The committee, which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939" w:firstLine="524"/>
        <w:spacing w:after="0" w:line="258" w:lineRule="auto"/>
        <w:rPr>
          <w:sz w:val="20"/>
          <w:szCs w:val="20"/>
          <w:color w:val="auto"/>
        </w:rPr>
      </w:pPr>
      <w:r>
        <w:rPr>
          <w:rFonts w:ascii="Courier New" w:cs="Courier New" w:eastAsia="Courier New" w:hAnsi="Courier New"/>
          <w:sz w:val="17"/>
          <w:szCs w:val="17"/>
          <w:color w:val="auto"/>
        </w:rPr>
        <w:t>non-employee directors, met times in 2001. The committee recommended this year's director candidates at the [ ], 2002 AT&amp;T Board Meeting.</w:t>
      </w:r>
    </w:p>
    <w:p>
      <w:pPr>
        <w:spacing w:after="0" w:line="39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recommending AT&amp;T Board candidates, the Governance and Nominating Committee seeks individuals of proven judgment and competence who are outstanding in their respective fields. The committee considers such factors as experience, education, employment history, special talents or personal attributes, anticipated participation in AT&amp;T Board activities, and geographic and other diversity factors. Shareholders who wish to recommend qualified candidates should write to: Vice President -- Law and Secretary, AT&amp;T Corp., 32 Avenue of the Americas, New York, New York 10013-2412, stating in detail the qualifications of such persons for consideration by the committee.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 2001, directors who were not AT&amp;T employees received an annual cash</w:t>
      </w:r>
    </w:p>
    <w:p>
      <w:pPr>
        <w:spacing w:after="0" w:line="9"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7"/>
          <w:szCs w:val="17"/>
          <w:color w:val="auto"/>
        </w:rPr>
        <w:t>retainer of $</w:t>
      </w:r>
      <w:r>
        <w:rPr>
          <w:sz w:val="20"/>
          <w:szCs w:val="20"/>
          <w:color w:val="auto"/>
        </w:rPr>
        <w:tab/>
      </w:r>
      <w:r>
        <w:rPr>
          <w:rFonts w:ascii="Courier New" w:cs="Courier New" w:eastAsia="Courier New" w:hAnsi="Courier New"/>
          <w:sz w:val="17"/>
          <w:szCs w:val="17"/>
          <w:color w:val="auto"/>
        </w:rPr>
        <w:t>and AT&amp;T common stock units with a then-current market</w:t>
      </w:r>
    </w:p>
    <w:p>
      <w:pPr>
        <w:spacing w:after="0" w:line="9"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value of $ , which were deferred automatically and credited to a portion of a deferred compensation account, pursuant to AT&amp;T's Deferred Compensation Plan for Non-Employee directors. The chairpersons of the Audit Committee, Compensation and Employee Benefits Committee, and Finance Committee</w:t>
      </w:r>
    </w:p>
    <w:p>
      <w:pPr>
        <w:ind w:right="2039"/>
        <w:spacing w:after="0" w:line="251" w:lineRule="auto"/>
        <w:rPr>
          <w:sz w:val="20"/>
          <w:szCs w:val="20"/>
          <w:color w:val="auto"/>
        </w:rPr>
      </w:pPr>
      <w:r>
        <w:rPr>
          <w:rFonts w:ascii="Courier New" w:cs="Courier New" w:eastAsia="Courier New" w:hAnsi="Courier New"/>
          <w:sz w:val="17"/>
          <w:szCs w:val="17"/>
          <w:color w:val="auto"/>
        </w:rPr>
        <w:t>each received an additional annual retainer of $ . The chairperson of the Governance and Nominating Committee received an additional annual retainer</w:t>
      </w:r>
    </w:p>
    <w:p>
      <w:pPr>
        <w:ind w:right="2359"/>
        <w:spacing w:after="0" w:line="257" w:lineRule="auto"/>
        <w:rPr>
          <w:sz w:val="20"/>
          <w:szCs w:val="20"/>
          <w:color w:val="auto"/>
        </w:rPr>
      </w:pPr>
      <w:r>
        <w:rPr>
          <w:rFonts w:ascii="Courier New" w:cs="Courier New" w:eastAsia="Courier New" w:hAnsi="Courier New"/>
          <w:sz w:val="17"/>
          <w:szCs w:val="17"/>
          <w:color w:val="auto"/>
        </w:rPr>
        <w:t>of $ . No fees are paid for attendance at regularly scheduled AT&amp;T Board and committee</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XIII-5</w:t>
      </w:r>
    </w:p>
    <w:p>
      <w:pPr>
        <w:sectPr>
          <w:pgSz w:w="11900" w:h="16838" w:orient="portrait"/>
          <w:cols w:equalWidth="0" w:num="1">
            <w:col w:w="10219"/>
          </w:cols>
          <w:pgMar w:left="240" w:top="719" w:right="1440" w:bottom="1062" w:gutter="0" w:footer="0" w:header="0"/>
        </w:sectPr>
      </w:pPr>
    </w:p>
    <w:bookmarkStart w:id="333" w:name="page334"/>
    <w:bookmarkEnd w:id="333"/>
    <w:p>
      <w:pPr>
        <w:ind w:right="1839"/>
        <w:spacing w:after="0" w:line="251" w:lineRule="auto"/>
        <w:rPr>
          <w:sz w:val="20"/>
          <w:szCs w:val="20"/>
          <w:color w:val="auto"/>
        </w:rPr>
      </w:pPr>
      <w:r>
        <w:rPr>
          <w:rFonts w:ascii="Courier New" w:cs="Courier New" w:eastAsia="Courier New" w:hAnsi="Courier New"/>
          <w:sz w:val="17"/>
          <w:szCs w:val="17"/>
          <w:color w:val="auto"/>
        </w:rPr>
        <w:t>meetings. Directors received a fee of $ for each special AT&amp;T Board or committee meeting attended. In addition, non-employee directors received a stock</w:t>
      </w:r>
    </w:p>
    <w:p>
      <w:pPr>
        <w:spacing w:after="0"/>
        <w:tabs>
          <w:tab w:leader="none" w:pos="4180" w:val="left"/>
        </w:tabs>
        <w:rPr>
          <w:sz w:val="20"/>
          <w:szCs w:val="20"/>
          <w:color w:val="auto"/>
        </w:rPr>
      </w:pPr>
      <w:r>
        <w:rPr>
          <w:rFonts w:ascii="Courier New" w:cs="Courier New" w:eastAsia="Courier New" w:hAnsi="Courier New"/>
          <w:sz w:val="17"/>
          <w:szCs w:val="17"/>
          <w:color w:val="auto"/>
        </w:rPr>
        <w:t>option grant to purchase</w:t>
      </w:r>
      <w:r>
        <w:rPr>
          <w:sz w:val="20"/>
          <w:szCs w:val="20"/>
          <w:color w:val="auto"/>
        </w:rPr>
        <w:tab/>
      </w:r>
      <w:r>
        <w:rPr>
          <w:rFonts w:ascii="Courier New" w:cs="Courier New" w:eastAsia="Courier New" w:hAnsi="Courier New"/>
          <w:sz w:val="17"/>
          <w:szCs w:val="17"/>
          <w:color w:val="auto"/>
        </w:rPr>
        <w:t>shares of AT&amp;T common stock.</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Directors may elect to defer the receipt of all or part of their cash retainer and other compensation into the AT&amp;T common stock portion or the cash</w:t>
      </w:r>
    </w:p>
    <w:p>
      <w:pPr>
        <w:ind w:right="1839"/>
        <w:spacing w:after="0" w:line="251" w:lineRule="auto"/>
        <w:rPr>
          <w:sz w:val="20"/>
          <w:szCs w:val="20"/>
          <w:color w:val="auto"/>
        </w:rPr>
      </w:pPr>
      <w:r>
        <w:rPr>
          <w:rFonts w:ascii="Courier New" w:cs="Courier New" w:eastAsia="Courier New" w:hAnsi="Courier New"/>
          <w:sz w:val="17"/>
          <w:szCs w:val="17"/>
          <w:color w:val="auto"/>
        </w:rPr>
        <w:t>portion of the deferred compensation account. The AT&amp;T common stock portion (the value of which is measured from time to time by the market value of AT&amp;T common stock) is credited on each dividend payment date for AT&amp;T common stock with a number of deferred shares of AT&amp;T common stock equivalent in market value to the amount of the quarterly dividend on the shares then credited in the accounts.</w:t>
      </w:r>
    </w:p>
    <w:tbl>
      <w:tblPr>
        <w:tblLayout w:type="fixed"/>
        <w:tblInd w:w="0" w:type="dxa"/>
        <w:tblCellMar>
          <w:top w:w="0" w:type="dxa"/>
          <w:left w:w="0" w:type="dxa"/>
          <w:bottom w:w="0" w:type="dxa"/>
          <w:right w:w="0" w:type="dxa"/>
        </w:tblCellMar>
      </w:tblPr>
      <w:tr>
        <w:trPr>
          <w:trHeight w:val="197"/>
        </w:trPr>
        <w:tc>
          <w:tcPr>
            <w:tcW w:w="900" w:type="dxa"/>
            <w:vAlign w:val="bottom"/>
          </w:tcPr>
          <w:p>
            <w:pPr>
              <w:spacing w:after="0"/>
              <w:rPr>
                <w:sz w:val="20"/>
                <w:szCs w:val="20"/>
                <w:color w:val="auto"/>
              </w:rPr>
            </w:pPr>
            <w:r>
              <w:rPr>
                <w:rFonts w:ascii="Courier New" w:cs="Courier New" w:eastAsia="Courier New" w:hAnsi="Courier New"/>
                <w:sz w:val="17"/>
                <w:szCs w:val="17"/>
                <w:color w:val="auto"/>
              </w:rPr>
              <w:t>The cash</w:t>
            </w:r>
          </w:p>
        </w:tc>
        <w:tc>
          <w:tcPr>
            <w:tcW w:w="25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portion of the deferred</w:t>
            </w:r>
          </w:p>
        </w:tc>
        <w:tc>
          <w:tcPr>
            <w:tcW w:w="47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compensation account, representing amounts</w:t>
            </w:r>
          </w:p>
        </w:tc>
      </w:tr>
      <w:tr>
        <w:trPr>
          <w:trHeight w:val="201"/>
        </w:trPr>
        <w:tc>
          <w:tcPr>
            <w:tcW w:w="900" w:type="dxa"/>
            <w:vAlign w:val="bottom"/>
          </w:tcPr>
          <w:p>
            <w:pPr>
              <w:spacing w:after="0"/>
              <w:rPr>
                <w:sz w:val="20"/>
                <w:szCs w:val="20"/>
                <w:color w:val="auto"/>
              </w:rPr>
            </w:pPr>
            <w:r>
              <w:rPr>
                <w:rFonts w:ascii="Courier New" w:cs="Courier New" w:eastAsia="Courier New" w:hAnsi="Courier New"/>
                <w:sz w:val="17"/>
                <w:szCs w:val="17"/>
                <w:color w:val="auto"/>
              </w:rPr>
              <w:t>deferred</w:t>
            </w:r>
          </w:p>
        </w:tc>
        <w:tc>
          <w:tcPr>
            <w:tcW w:w="620" w:type="dxa"/>
            <w:vAlign w:val="bottom"/>
          </w:tcPr>
          <w:p>
            <w:pPr>
              <w:ind w:left="60"/>
              <w:spacing w:after="0"/>
              <w:rPr>
                <w:sz w:val="20"/>
                <w:szCs w:val="20"/>
                <w:color w:val="auto"/>
              </w:rPr>
            </w:pPr>
            <w:r>
              <w:rPr>
                <w:rFonts w:ascii="Courier New" w:cs="Courier New" w:eastAsia="Courier New" w:hAnsi="Courier New"/>
                <w:sz w:val="17"/>
                <w:szCs w:val="17"/>
                <w:color w:val="auto"/>
              </w:rPr>
              <w:t>prior</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to</w:t>
            </w:r>
          </w:p>
        </w:tc>
        <w:tc>
          <w:tcPr>
            <w:tcW w:w="34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January 1, 2002, earns interest,</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compounded quarterly, at an</w:t>
            </w:r>
          </w:p>
        </w:tc>
      </w:tr>
      <w:tr>
        <w:trPr>
          <w:trHeight w:val="201"/>
        </w:trPr>
        <w:tc>
          <w:tcPr>
            <w:tcW w:w="1840" w:type="dxa"/>
            <w:vAlign w:val="bottom"/>
            <w:gridSpan w:val="3"/>
          </w:tcPr>
          <w:p>
            <w:pPr>
              <w:spacing w:after="0"/>
              <w:rPr>
                <w:sz w:val="20"/>
                <w:szCs w:val="20"/>
                <w:color w:val="auto"/>
              </w:rPr>
            </w:pPr>
            <w:r>
              <w:rPr>
                <w:rFonts w:ascii="Courier New" w:cs="Courier New" w:eastAsia="Courier New" w:hAnsi="Courier New"/>
                <w:sz w:val="17"/>
                <w:szCs w:val="17"/>
                <w:color w:val="auto"/>
              </w:rPr>
              <w:t>annual rate equal</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rPr>
              <w:t>to the average</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interest rate for</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ten-year United States</w:t>
            </w:r>
          </w:p>
        </w:tc>
      </w:tr>
      <w:tr>
        <w:trPr>
          <w:trHeight w:val="0"/>
        </w:trPr>
        <w:tc>
          <w:tcPr>
            <w:tcW w:w="900" w:type="dxa"/>
            <w:vAlign w:val="bottom"/>
          </w:tcPr>
          <w:p>
            <w:pPr>
              <w:spacing w:after="0"/>
              <w:rPr>
                <w:sz w:val="20"/>
                <w:szCs w:val="20"/>
                <w:color w:val="auto"/>
              </w:rPr>
            </w:pPr>
            <w:r>
              <w:rPr>
                <w:rFonts w:ascii="Courier New" w:cs="Courier New" w:eastAsia="Courier New" w:hAnsi="Courier New"/>
                <w:sz w:val="17"/>
                <w:szCs w:val="17"/>
                <w:color w:val="auto"/>
              </w:rPr>
              <w:t>Treasury</w:t>
            </w:r>
          </w:p>
        </w:tc>
        <w:tc>
          <w:tcPr>
            <w:tcW w:w="620" w:type="dxa"/>
            <w:vAlign w:val="bottom"/>
          </w:tcPr>
          <w:p>
            <w:pPr>
              <w:ind w:left="60"/>
              <w:spacing w:after="0"/>
              <w:rPr>
                <w:sz w:val="20"/>
                <w:szCs w:val="20"/>
                <w:color w:val="auto"/>
              </w:rPr>
            </w:pPr>
            <w:r>
              <w:rPr>
                <w:rFonts w:ascii="Courier New" w:cs="Courier New" w:eastAsia="Courier New" w:hAnsi="Courier New"/>
                <w:sz w:val="17"/>
                <w:szCs w:val="17"/>
                <w:color w:val="auto"/>
              </w:rPr>
              <w:t>Notes</w:t>
            </w:r>
          </w:p>
        </w:tc>
        <w:tc>
          <w:tcPr>
            <w:tcW w:w="378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for the previous quarter, plus</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 Thereafter, amounts</w:t>
            </w:r>
          </w:p>
        </w:tc>
      </w:tr>
    </w:tbl>
    <w:p>
      <w:pPr>
        <w:spacing w:after="0" w:line="205"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deferred to the cash portion of the deferred compensation account earn interest, compounded quarterly, at an annual rate equal to the average interest rate for ten-year United States Treasury Notes for the previous quarter, plus %.</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Effective December 31, 1996, AT&amp;T terminated its Pension Plan for Non-Employee Directors. The Pension Plan now covers only those non-employee directors who retired prior to December 31, 1996. Benefits accrued for then-active directors were valued and converted into a deferred annuity. AT&amp;T also provides non-employee directors with travel accident insurance when on AT&amp;T business. A non-employee director may purchase life insurance sponsored by AT&amp;T. AT&amp;T will share the premium expense with the director; however, all AT&amp;T contributions will be returned to AT&amp;T at the earlier of (a) the director's death or (b) the later of age 70 or 15 years from the policy's inception. This benefit will continue after the non-employee director's retirement from the AT&amp;T Board.</w:t>
      </w:r>
    </w:p>
    <w:p>
      <w:pPr>
        <w:spacing w:after="0" w:line="200" w:lineRule="exact"/>
        <w:rPr>
          <w:sz w:val="20"/>
          <w:szCs w:val="20"/>
          <w:color w:val="auto"/>
        </w:rPr>
      </w:pPr>
    </w:p>
    <w:p>
      <w:pPr>
        <w:spacing w:after="0" w:line="203" w:lineRule="exact"/>
        <w:rPr>
          <w:sz w:val="20"/>
          <w:szCs w:val="20"/>
          <w:color w:val="auto"/>
        </w:rPr>
      </w:pPr>
    </w:p>
    <w:p>
      <w:pPr>
        <w:ind w:right="2259" w:firstLine="524"/>
        <w:spacing w:after="0" w:line="251" w:lineRule="auto"/>
        <w:rPr>
          <w:sz w:val="20"/>
          <w:szCs w:val="20"/>
          <w:color w:val="auto"/>
        </w:rPr>
      </w:pPr>
      <w:r>
        <w:rPr>
          <w:rFonts w:ascii="Courier New" w:cs="Courier New" w:eastAsia="Courier New" w:hAnsi="Courier New"/>
          <w:sz w:val="17"/>
          <w:szCs w:val="17"/>
          <w:color w:val="auto"/>
        </w:rPr>
        <w:t>Effective December 1997, the AT&amp;T Board adopted AT&amp;T stock ownership targets equal to five times the total value of the annual cash retainer and annual stock unit amounts. Directors generally have five years to attain the</w:t>
      </w:r>
    </w:p>
    <w:p>
      <w:pPr>
        <w:ind w:right="1839"/>
        <w:spacing w:after="0" w:line="254" w:lineRule="auto"/>
        <w:rPr>
          <w:sz w:val="20"/>
          <w:szCs w:val="20"/>
          <w:color w:val="auto"/>
        </w:rPr>
      </w:pPr>
      <w:r>
        <w:rPr>
          <w:rFonts w:ascii="Courier New" w:cs="Courier New" w:eastAsia="Courier New" w:hAnsi="Courier New"/>
          <w:sz w:val="17"/>
          <w:szCs w:val="17"/>
          <w:color w:val="auto"/>
        </w:rPr>
        <w:t>ownership goal. of the non-employee directors have met their targets. Directors who are employees of AT&amp;T receive no compensation for serving as directors, but also have ownership targets.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ELECTION OF DIRECTORS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ON PROXY CARD)</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AT&amp;T Proxy Committee intends to vote for the election of the</w:t>
      </w:r>
    </w:p>
    <w:p>
      <w:pPr>
        <w:spacing w:after="0" w:line="9" w:lineRule="exact"/>
        <w:rPr>
          <w:sz w:val="20"/>
          <w:szCs w:val="20"/>
          <w:color w:val="auto"/>
        </w:rPr>
      </w:pPr>
    </w:p>
    <w:p>
      <w:pPr>
        <w:ind w:right="1939" w:firstLine="628"/>
        <w:spacing w:after="0" w:line="251" w:lineRule="auto"/>
        <w:rPr>
          <w:sz w:val="20"/>
          <w:szCs w:val="20"/>
          <w:color w:val="auto"/>
        </w:rPr>
      </w:pPr>
      <w:r>
        <w:rPr>
          <w:rFonts w:ascii="Courier New" w:cs="Courier New" w:eastAsia="Courier New" w:hAnsi="Courier New"/>
          <w:sz w:val="17"/>
          <w:szCs w:val="17"/>
          <w:color w:val="auto"/>
        </w:rPr>
        <w:t>nominees listed on the following pages. These nominees have been selected by the AT&amp;T Board on the recommendation of the Governance and Nominating Committee. If you do not wish your shares to be voted for particular nominees, please identify the exceptions in the designated space provided on the proxy card or, if you are voting by telephone or the Internet, follow the system instructions. Directors will be elected by a plurality of the votes cast. Any shares not voted (whether by abstention, broker non-vote, or otherwise) have no impact on the vote.</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If at the time of the meeting one or more of the nominees have become unavailable to serve, shares represented by proxies will be voted for the remaining nominees and for any substitute nominee or nominees designated by the Governance and Nominating Committee or, if none, the size of the AT&amp;T Board will be reduced. Except as noted below in cases of directors moving to new boards in conjunction with restructuring activities, the Governance and Nominating Committee knows of no reason why any of the nominees will be unavailable or unable to serve.</w:t>
      </w:r>
    </w:p>
    <w:p>
      <w:pPr>
        <w:spacing w:after="0" w:line="3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Directors elected at the AT&amp;T annual meeting will hold office until the next annual meeting or until their successors have been elected and qualified, except as noted below for those directors moving to new boards in conjunction with restructuring activities. For each nominee there follows a brief listing of</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XIII-6</w:t>
      </w:r>
    </w:p>
    <w:p>
      <w:pPr>
        <w:sectPr>
          <w:pgSz w:w="11900" w:h="16838" w:orient="portrait"/>
          <w:cols w:equalWidth="0" w:num="1">
            <w:col w:w="10219"/>
          </w:cols>
          <w:pgMar w:left="240" w:top="719" w:right="1440" w:bottom="1440" w:gutter="0" w:footer="0" w:header="0"/>
        </w:sectPr>
      </w:pPr>
    </w:p>
    <w:bookmarkStart w:id="334" w:name="page335"/>
    <w:bookmarkEnd w:id="334"/>
    <w:p>
      <w:pPr>
        <w:spacing w:after="0"/>
        <w:rPr>
          <w:sz w:val="20"/>
          <w:szCs w:val="20"/>
          <w:color w:val="auto"/>
        </w:rPr>
      </w:pPr>
      <w:r>
        <w:rPr>
          <w:rFonts w:ascii="Courier New" w:cs="Courier New" w:eastAsia="Courier New" w:hAnsi="Courier New"/>
          <w:sz w:val="17"/>
          <w:szCs w:val="17"/>
          <w:color w:val="auto"/>
        </w:rPr>
        <w:t>principal occupation for at least the past five years, other major affiliations,</w:t>
      </w:r>
    </w:p>
    <w:p>
      <w:pPr>
        <w:spacing w:after="0" w:line="9"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7"/>
          <w:szCs w:val="17"/>
          <w:color w:val="auto"/>
        </w:rPr>
        <w:t>and age as of [</w:t>
      </w:r>
      <w:r>
        <w:rPr>
          <w:sz w:val="20"/>
          <w:szCs w:val="20"/>
          <w:color w:val="auto"/>
        </w:rPr>
        <w:tab/>
      </w:r>
      <w:r>
        <w:rPr>
          <w:rFonts w:ascii="Courier New" w:cs="Courier New" w:eastAsia="Courier New" w:hAnsi="Courier New"/>
          <w:sz w:val="17"/>
          <w:szCs w:val="17"/>
          <w:color w:val="auto"/>
        </w:rPr>
        <w:t>(Record Date)].</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NOMINEES FOR ELECTION AS DIRECTORS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STOCK OWNERSHIP OF MANAGEMENT AND DIRECTORS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following table sets forth information concerning the beneficial ownership of AT&amp;T common stock as of January 1, 2002 for (a) each current director elected to the AT&amp;T Board in 2001 and each nominee for election as a director in 2002; (b) each of the officers named in the Summary Compensation Table herein ("Named Officers") not listed as a director; and (c) directors and executive officers as a group. No director or executive officer owns any AT&amp;T preferred shares. Except as otherwise noted, the nominee or family members had sole voting and investment power with respect to such securities.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NUMBER OF SHARES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BENEFICIALLY DEFERRAL PERCENT NAME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OWNED PLANS(1) TOTAL OF CLASS ---- ------------</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 -------- (A) C. Michael</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Armstrong......................................</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 -- * J. Michael</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Cook...........................................</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 -- * Kenneth T.</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Derr...........................................</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 -- * M. Kathryn</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Eickhoff.......................................</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 -- * George M. C.</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Fisher....................................... --</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 * Amos B. Hostetter, Jr.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 -- *</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Shirley A.</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Jackson........................................</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 -- * Donald F.</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McHenry.........................................</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 -- * Louis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Simpson..........................................</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 -- * Michael I.</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Sovern.........................................</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 -- * Sanford I.</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Weill..........................................</w:t>
      </w:r>
    </w:p>
    <w:p>
      <w:pPr>
        <w:spacing w:after="0" w:line="9"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 -- -- *</w:t>
      </w:r>
    </w:p>
    <w:p>
      <w:pPr>
        <w:spacing w:after="0" w:line="200" w:lineRule="exact"/>
        <w:rPr>
          <w:sz w:val="20"/>
          <w:szCs w:val="20"/>
          <w:color w:val="auto"/>
        </w:rPr>
      </w:pPr>
    </w:p>
    <w:p>
      <w:pPr>
        <w:spacing w:after="0" w:line="21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BENEFICIALLY</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DEFERRAL</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PERCENT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NAME OWNED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PLANS(1)</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TOTAL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CLASS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 (B)</w:t>
      </w:r>
    </w:p>
    <w:p>
      <w:pPr>
        <w:spacing w:after="0" w:line="200" w:lineRule="exact"/>
        <w:rPr>
          <w:sz w:val="20"/>
          <w:szCs w:val="20"/>
          <w:color w:val="auto"/>
        </w:rPr>
      </w:pPr>
    </w:p>
    <w:p>
      <w:pPr>
        <w:spacing w:after="0" w:line="212" w:lineRule="exact"/>
        <w:rPr>
          <w:sz w:val="20"/>
          <w:szCs w:val="20"/>
          <w:color w:val="auto"/>
        </w:rPr>
      </w:pPr>
    </w:p>
    <w:p>
      <w:pPr>
        <w:jc w:val="center"/>
        <w:ind w:right="8119"/>
        <w:spacing w:after="0"/>
        <w:rPr>
          <w:sz w:val="20"/>
          <w:szCs w:val="20"/>
          <w:color w:val="auto"/>
        </w:rPr>
      </w:pPr>
      <w:r>
        <w:rPr>
          <w:rFonts w:ascii="Courier New" w:cs="Courier New" w:eastAsia="Courier New" w:hAnsi="Courier New"/>
          <w:sz w:val="17"/>
          <w:szCs w:val="17"/>
          <w:color w:val="auto"/>
        </w:rPr>
        <w:t>BENEFICIALLY</w:t>
      </w:r>
    </w:p>
    <w:p>
      <w:pPr>
        <w:spacing w:after="0" w:line="9" w:lineRule="exact"/>
        <w:rPr>
          <w:sz w:val="20"/>
          <w:szCs w:val="20"/>
          <w:color w:val="auto"/>
        </w:rPr>
      </w:pPr>
    </w:p>
    <w:p>
      <w:pPr>
        <w:jc w:val="center"/>
        <w:ind w:right="8119"/>
        <w:spacing w:after="0"/>
        <w:rPr>
          <w:sz w:val="20"/>
          <w:szCs w:val="20"/>
          <w:color w:val="auto"/>
        </w:rPr>
      </w:pPr>
      <w:r>
        <w:rPr>
          <w:rFonts w:ascii="Courier New" w:cs="Courier New" w:eastAsia="Courier New" w:hAnsi="Courier New"/>
          <w:sz w:val="17"/>
          <w:szCs w:val="17"/>
          <w:color w:val="auto"/>
        </w:rPr>
        <w:t>DEFERRAL PERCENT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NAME OWNED PLANS(1)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TOTAL OF CLASS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380" w:right="8119" w:hanging="373"/>
        <w:spacing w:after="0" w:line="251" w:lineRule="auto"/>
        <w:tabs>
          <w:tab w:leader="none" w:pos="223" w:val="left"/>
        </w:tabs>
        <w:numPr>
          <w:ilvl w:val="0"/>
          <w:numId w:val="3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(C) Directors and</w:t>
      </w:r>
    </w:p>
    <w:p>
      <w:pPr>
        <w:jc w:val="center"/>
        <w:ind w:right="8119"/>
        <w:spacing w:after="0"/>
        <w:rPr>
          <w:sz w:val="20"/>
          <w:szCs w:val="20"/>
          <w:color w:val="auto"/>
        </w:rPr>
      </w:pPr>
      <w:r>
        <w:rPr>
          <w:rFonts w:ascii="Courier New" w:cs="Courier New" w:eastAsia="Courier New" w:hAnsi="Courier New"/>
          <w:sz w:val="17"/>
          <w:szCs w:val="17"/>
          <w:color w:val="auto"/>
        </w:rPr>
        <w:t>Executive Officers</w:t>
      </w:r>
    </w:p>
    <w:p>
      <w:pPr>
        <w:spacing w:after="0" w:line="9" w:lineRule="exact"/>
        <w:rPr>
          <w:sz w:val="20"/>
          <w:szCs w:val="20"/>
          <w:color w:val="auto"/>
        </w:rPr>
      </w:pPr>
    </w:p>
    <w:p>
      <w:pPr>
        <w:jc w:val="center"/>
        <w:ind w:right="8119"/>
        <w:spacing w:after="0"/>
        <w:rPr>
          <w:sz w:val="20"/>
          <w:szCs w:val="20"/>
          <w:color w:val="auto"/>
        </w:rPr>
      </w:pPr>
      <w:r>
        <w:rPr>
          <w:rFonts w:ascii="Courier New" w:cs="Courier New" w:eastAsia="Courier New" w:hAnsi="Courier New"/>
          <w:sz w:val="17"/>
          <w:szCs w:val="17"/>
          <w:color w:val="auto"/>
        </w:rPr>
        <w:t>as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ind w:left="840" w:hanging="309"/>
        <w:spacing w:after="0"/>
        <w:tabs>
          <w:tab w:leader="none" w:pos="840" w:val="left"/>
        </w:tabs>
        <w:numPr>
          <w:ilvl w:val="1"/>
          <w:numId w:val="3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3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220" w:hanging="213"/>
        <w:spacing w:after="0"/>
        <w:tabs>
          <w:tab w:leader="none" w:pos="220" w:val="left"/>
        </w:tabs>
        <w:numPr>
          <w:ilvl w:val="0"/>
          <w:numId w:val="3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one percent</w:t>
      </w:r>
    </w:p>
    <w:p>
      <w:pPr>
        <w:spacing w:after="0" w:line="210"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FOOTNOTES</w:t>
      </w:r>
    </w:p>
    <w:p>
      <w:pPr>
        <w:spacing w:after="0" w:line="210" w:lineRule="exact"/>
        <w:rPr>
          <w:sz w:val="20"/>
          <w:szCs w:val="20"/>
          <w:color w:val="auto"/>
        </w:rPr>
      </w:pPr>
    </w:p>
    <w:p>
      <w:pPr>
        <w:ind w:left="320" w:right="2259" w:hanging="313"/>
        <w:spacing w:after="0" w:line="257" w:lineRule="auto"/>
        <w:tabs>
          <w:tab w:leader="none" w:pos="320" w:val="left"/>
        </w:tabs>
        <w:numPr>
          <w:ilvl w:val="0"/>
          <w:numId w:val="3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units held in deferred compensation accounts that do not constitute beneficially owned securities.</w:t>
      </w:r>
    </w:p>
    <w:p>
      <w:pPr>
        <w:sectPr>
          <w:pgSz w:w="11900" w:h="16838" w:orient="portrait"/>
          <w:cols w:equalWidth="0" w:num="1">
            <w:col w:w="10219"/>
          </w:cols>
          <w:pgMar w:left="240" w:top="719" w:right="1440" w:bottom="0" w:gutter="0" w:footer="0" w:header="0"/>
        </w:sectPr>
      </w:pPr>
    </w:p>
    <w:bookmarkStart w:id="335" w:name="page336"/>
    <w:bookmarkEnd w:id="335"/>
    <w:p>
      <w:pPr>
        <w:ind w:left="220"/>
        <w:spacing w:after="0"/>
        <w:rPr>
          <w:sz w:val="20"/>
          <w:szCs w:val="20"/>
          <w:color w:val="auto"/>
        </w:rPr>
      </w:pPr>
      <w:r>
        <w:rPr>
          <w:rFonts w:ascii="Courier New" w:cs="Courier New" w:eastAsia="Courier New" w:hAnsi="Courier New"/>
          <w:sz w:val="17"/>
          <w:szCs w:val="17"/>
          <w:color w:val="auto"/>
        </w:rPr>
        <w:t>OWNERSHIP OF VOTING SECURITIES IN EXCESS OF FIVE PERCENT BY BENEFICIAL OWNERS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210"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Section 16(a) of the Securities Exchange Act of 1934 requires AT&amp;T's directors and executive officers, and persons who own more than 10% of a registered class of the Company's equity securities, to file with the SEC and the NYSE, initial reports of ownership and reports of changes in beneficial ownership of such equity securities of AT&amp;T.</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XIII-7</w:t>
      </w:r>
    </w:p>
    <w:p>
      <w:pPr>
        <w:sectPr>
          <w:pgSz w:w="11900" w:h="16838" w:orient="portrait"/>
          <w:cols w:equalWidth="0" w:num="1">
            <w:col w:w="10219"/>
          </w:cols>
          <w:pgMar w:left="240" w:top="142" w:right="1440" w:bottom="1440" w:gutter="0" w:footer="0" w:header="0"/>
        </w:sectPr>
      </w:pPr>
    </w:p>
    <w:bookmarkStart w:id="336" w:name="page337"/>
    <w:bookmarkEnd w:id="336"/>
    <w:p>
      <w:pPr>
        <w:ind w:right="1939" w:firstLine="524"/>
        <w:spacing w:after="0" w:line="253" w:lineRule="auto"/>
        <w:rPr>
          <w:sz w:val="20"/>
          <w:szCs w:val="20"/>
          <w:color w:val="auto"/>
        </w:rPr>
      </w:pPr>
      <w:r>
        <w:rPr>
          <w:rFonts w:ascii="Courier New" w:cs="Courier New" w:eastAsia="Courier New" w:hAnsi="Courier New"/>
          <w:sz w:val="17"/>
          <w:szCs w:val="17"/>
          <w:color w:val="auto"/>
        </w:rPr>
        <w:t>To AT&amp;T's knowledge, based upon the reports filed and written representations that no other reports were required, during the fiscal year ended December 31, 2001, none of its directors and executive officers failed to file on a timely basis reports required by Section 16(a) with the following exceptions: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RATIFICATION OF APPOINTMENT OF AUDITORS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ON PROXY CARD)</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Subject to shareholder ratification, the AT&amp;T Board, upon recommendation of the Audit Committee, has reappointed the firm of PricewaterhouseCoopers LLP as the independent auditors to examine AT&amp;T's financial statements for the year 2002. PricewaterhouseCoopers has audited AT&amp;T's books for many years. THE AT&amp;T BOARD RECOMMENDS THAT AT&amp;T SHAREHOLDERS VOTE FOR SUCH RATIFICATION. Ratification of the appointment of auditors requires a majority of the votes cast. Any shares not voted (whether by abstention, broker non-vote, or otherwise) have no impact on the vote. If the shareholders do not ratify this appointment, other independent auditors will be considered by the AT&amp;T Board upon recommendation of the Audit Committee.</w:t>
      </w:r>
    </w:p>
    <w:p>
      <w:pPr>
        <w:spacing w:after="0" w:line="201"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Representatives of PricewaterhouseCoopers are expected to attend the AT&amp;T meeting and will have the opportunity to make a statement if they desire and to respond to appropriate questions.</w:t>
      </w:r>
    </w:p>
    <w:p>
      <w:pPr>
        <w:spacing w:after="0" w:line="194"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For the year 2001, PricewaterhouseCoopers also examined the financial statements of AT&amp;T's subsidiaries and provided other audit services to AT&amp;T and its subsidiaries in connection with SEC filings, review of financial statements, and audits of pension plans.</w:t>
      </w:r>
    </w:p>
    <w:p>
      <w:pPr>
        <w:spacing w:after="0" w:line="195"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DIRECTORS' PROPOSAL TO APPROVE AND ADOPT THE MERGER AGREEMENT AMONG AT&amp;T CORP., AT&amp;T BROADBAND CORP., COMCAST CORPORATION AND THE OTHER PARTIES THERETO, WHEREBY AT&amp;T BROADBAND, A NEW HOLDING COMPANY THAT CONSISTS OF AT&amp;T'S BROADBAND BUSINESSES, WILL BE SPUN OFF AND COMBINED WITH COMCAST IN A NEW PENNSYLVANIA CORPORATION CALLED "AT&amp;T COMCAST CORPORATION" AND THE TRANSACTIONS CONTEMPLATED BY THE MERGER AGREEMENT, INCLUDING THE AT&amp;T BROADBAND SPIN-OFF</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ON PROXY CARD)</w:t>
      </w:r>
    </w:p>
    <w:p>
      <w:pPr>
        <w:spacing w:after="0" w:line="210" w:lineRule="exact"/>
        <w:rPr>
          <w:sz w:val="20"/>
          <w:szCs w:val="20"/>
          <w:color w:val="auto"/>
        </w:rPr>
      </w:pPr>
    </w:p>
    <w:p>
      <w:pPr>
        <w:ind w:right="2679" w:firstLine="524"/>
        <w:spacing w:after="0" w:line="257" w:lineRule="auto"/>
        <w:rPr>
          <w:sz w:val="20"/>
          <w:szCs w:val="20"/>
          <w:color w:val="auto"/>
        </w:rPr>
      </w:pPr>
      <w:r>
        <w:rPr>
          <w:rFonts w:ascii="Courier New" w:cs="Courier New" w:eastAsia="Courier New" w:hAnsi="Courier New"/>
          <w:sz w:val="17"/>
          <w:szCs w:val="17"/>
          <w:color w:val="auto"/>
        </w:rPr>
        <w:t>For information regarding the AT&amp;T transaction proposal, please see Chapters I-IX and Chapter XIV of this document.</w:t>
      </w:r>
    </w:p>
    <w:p>
      <w:pPr>
        <w:spacing w:after="0" w:line="192" w:lineRule="exact"/>
        <w:rPr>
          <w:sz w:val="20"/>
          <w:szCs w:val="20"/>
          <w:color w:val="auto"/>
        </w:rPr>
      </w:pPr>
    </w:p>
    <w:p>
      <w:pPr>
        <w:ind w:right="2459"/>
        <w:spacing w:after="0" w:line="257" w:lineRule="auto"/>
        <w:rPr>
          <w:sz w:val="20"/>
          <w:szCs w:val="20"/>
          <w:color w:val="auto"/>
        </w:rPr>
      </w:pPr>
      <w:r>
        <w:rPr>
          <w:rFonts w:ascii="Courier New" w:cs="Courier New" w:eastAsia="Courier New" w:hAnsi="Courier New"/>
          <w:sz w:val="17"/>
          <w:szCs w:val="17"/>
          <w:color w:val="auto"/>
        </w:rPr>
        <w:t>DIRECTORS' PROPOSAL TO APPROVE AND ADOPT AN AMENDMENT TO AT&amp;T'S CHARTER TO AUTHORIZE THE CREATION OF AT&amp;T CONSUMER SERVICES GROUP TRACKING STOCK</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ON PROXY CARD)</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For information regarding the Consumer Services charter amendment proposal, please see Chapter I and Chapter X of this document.</w:t>
      </w:r>
    </w:p>
    <w:p>
      <w:pPr>
        <w:spacing w:after="0" w:line="192"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DIRECTORS' PROPOSAL TO APPROVE A NEW INCENTIVE PLAN TO ENABLE AT&amp;T TO GRANT INCENTIVE AWARDS BASED ON SHARES OF AT&amp;T CONSUMER SERVICES GROUP TRACKING STOCK</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ON PROXY CARD)</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For information regarding the incentive plan proposal, please see Chapter X of this document.</w:t>
      </w:r>
    </w:p>
    <w:p>
      <w:pPr>
        <w:spacing w:after="0" w:line="192"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DIRECTORS' PROPOSAL TO APPROVE AN AMENDMENT TO AT&amp;T'S EMPLOYEE STOCK PURCHASE PLAN TO PERMIT THE ISSUANCE OF AT&amp;T CONSUMER SERVICES GROUP TRACKING STOCK UNDER THE PLAN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ON PROXY CARD)</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For information regarding the employee stock purchase plan proposal, please see Chapter X of this document.</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XIII-8</w:t>
      </w:r>
    </w:p>
    <w:p>
      <w:pPr>
        <w:sectPr>
          <w:pgSz w:w="11900" w:h="16838" w:orient="portrait"/>
          <w:cols w:equalWidth="0" w:num="1">
            <w:col w:w="10219"/>
          </w:cols>
          <w:pgMar w:left="240" w:top="719" w:right="1440" w:bottom="1440" w:gutter="0" w:footer="0" w:header="0"/>
        </w:sectPr>
      </w:pPr>
    </w:p>
    <w:bookmarkStart w:id="337" w:name="page338"/>
    <w:bookmarkEnd w:id="337"/>
    <w:p>
      <w:pPr>
        <w:spacing w:after="0"/>
        <w:rPr>
          <w:sz w:val="20"/>
          <w:szCs w:val="20"/>
          <w:color w:val="auto"/>
        </w:rPr>
      </w:pPr>
      <w:r>
        <w:rPr>
          <w:rFonts w:ascii="Courier New" w:cs="Courier New" w:eastAsia="Courier New" w:hAnsi="Courier New"/>
          <w:sz w:val="17"/>
          <w:szCs w:val="17"/>
          <w:color w:val="auto"/>
        </w:rPr>
        <w:t>SHAREHOLDER PROPOSALS</w:t>
      </w:r>
    </w:p>
    <w:p>
      <w:pPr>
        <w:spacing w:after="0" w:line="210" w:lineRule="exact"/>
        <w:rPr>
          <w:sz w:val="20"/>
          <w:szCs w:val="20"/>
          <w:color w:val="auto"/>
        </w:rPr>
      </w:pPr>
    </w:p>
    <w:p>
      <w:pPr>
        <w:ind w:right="2259" w:firstLine="524"/>
        <w:spacing w:after="0" w:line="253" w:lineRule="auto"/>
        <w:rPr>
          <w:sz w:val="20"/>
          <w:szCs w:val="20"/>
          <w:color w:val="auto"/>
        </w:rPr>
      </w:pPr>
      <w:r>
        <w:rPr>
          <w:rFonts w:ascii="Courier New" w:cs="Courier New" w:eastAsia="Courier New" w:hAnsi="Courier New"/>
          <w:sz w:val="17"/>
          <w:szCs w:val="17"/>
          <w:color w:val="auto"/>
        </w:rPr>
        <w:t>AT&amp;T receives many suggestions from shareholders, some as formal shareholder proposals. All are given careful consideration and adopted, if appropriate. After discussion with AT&amp;T representatives and clarification of AT&amp;T's position, many proposals are withdrawn.</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Proponents of shareholder proposals have stated that they intend to present the following proposals at the annual meeting. Information on the shareholdings of the proponents is available by writing to:</w:t>
      </w:r>
    </w:p>
    <w:p>
      <w:pPr>
        <w:ind w:right="1839"/>
        <w:spacing w:after="0" w:line="253" w:lineRule="auto"/>
        <w:rPr>
          <w:sz w:val="20"/>
          <w:szCs w:val="20"/>
          <w:color w:val="auto"/>
        </w:rPr>
      </w:pPr>
      <w:r>
        <w:rPr>
          <w:rFonts w:ascii="Courier New" w:cs="Courier New" w:eastAsia="Courier New" w:hAnsi="Courier New"/>
          <w:sz w:val="17"/>
          <w:szCs w:val="17"/>
          <w:color w:val="auto"/>
        </w:rPr>
        <w:t>MANAGER -- PROXY, AT&amp;T CORP., 295 NORTH MAPLE AVENUE, ROOM 1216L2, BASKING RIDGE, NEW JERSEY 07920-1002. The proposals and supporting statements are quoted below. The AT&amp;T Board has concluded it cannot support these proposals for the reasons given.</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SHAREHOLDER PROPOSAL #1</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(ITEM 7 ON PROXY CARD)</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SHAREHOLDER PROPOSAL #2</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(ITEM 8 ON PROXY CARD)</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SHAREHOLDER PROPOSAL #3</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(ITEM 9 ON PROXY CARD)</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SHAREHOLDER PROPOSAL #4</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(ITEM 10 ON PROXY CARD)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SUBMISSION OF SHAREHOLDER PROPOSALS</w:t>
      </w:r>
    </w:p>
    <w:p>
      <w:pPr>
        <w:spacing w:after="0" w:line="210" w:lineRule="exact"/>
        <w:rPr>
          <w:sz w:val="20"/>
          <w:szCs w:val="20"/>
          <w:color w:val="auto"/>
        </w:rPr>
      </w:pPr>
    </w:p>
    <w:p>
      <w:pPr>
        <w:ind w:right="2359" w:firstLine="524"/>
        <w:spacing w:after="0" w:line="254" w:lineRule="auto"/>
        <w:rPr>
          <w:sz w:val="20"/>
          <w:szCs w:val="20"/>
          <w:color w:val="auto"/>
        </w:rPr>
      </w:pPr>
      <w:r>
        <w:rPr>
          <w:rFonts w:ascii="Courier New" w:cs="Courier New" w:eastAsia="Courier New" w:hAnsi="Courier New"/>
          <w:sz w:val="17"/>
          <w:szCs w:val="17"/>
          <w:color w:val="auto"/>
        </w:rPr>
        <w:t>For information regarding the submission of shareholder proposals, see "Additional Information for Shareholders -- Future Shareholder Proposals -- AT&amp;T."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ADVANCE NOTICE PROCEDURES; NOMINATION OF DIRECTORS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Under AT&amp;T's bylaws, no nominations of individuals for election as directors or other business may be brought before an AT&amp;T annual meeting except as specified in the notice of the meeting (which notice includes shareholder proposals that AT&amp;T is required to set forth in its proxy statement under SEC Rule 14a-8) or as otherwise brought before the meeting by or at the direction of the AT&amp;T Board or by a shareholder entitled to vote who has delivered written notice to AT&amp;T (containing certain information specified in the bylaws) not less than 90 or more than 120 days prior to the first anniversary of the preceding year's annual meeting. These requirements are separate and apart from and in addition to the SEC's requirements that a shareholder must meet to have a shareholder proposal included in AT&amp;T's proxy statement under SEC Rule 14a-8.</w:t>
      </w:r>
    </w:p>
    <w:p>
      <w:pPr>
        <w:spacing w:after="0" w:line="201"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A copy of the full text of the bylaw provisions discussed above may be obtained by writing to AT&amp;T's Office of the Corporate Secretary.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MATTERS TO COME BEFORE THE AT&amp;T ANNUAL MEETING</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to the matters described above, there will be an address by the Chairman of the Board of AT&amp;T and a general discussion period during which shareholders will have an opportunity to ask questions about the business. In the event that any matter not described herein may properly come before the meeting, or any adjournment thereof, the Proxy Committee will vote the shares represented by it in accordance with its best judgment. At the time this document went to press, AT&amp;T knew of no other matters that might be presented for shareholder action at the AT&amp;T annual meeting.</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XIII-9</w:t>
      </w:r>
    </w:p>
    <w:p>
      <w:pPr>
        <w:sectPr>
          <w:pgSz w:w="11900" w:h="16838" w:orient="portrait"/>
          <w:cols w:equalWidth="0" w:num="1">
            <w:col w:w="10219"/>
          </w:cols>
          <w:pgMar w:left="240" w:top="719" w:right="1440" w:bottom="1440" w:gutter="0" w:footer="0" w:header="0"/>
        </w:sectPr>
      </w:pPr>
    </w:p>
    <w:bookmarkStart w:id="338" w:name="page339"/>
    <w:bookmarkEnd w:id="338"/>
    <w:p>
      <w:pPr>
        <w:spacing w:after="0"/>
        <w:rPr>
          <w:sz w:val="20"/>
          <w:szCs w:val="20"/>
          <w:color w:val="auto"/>
        </w:rPr>
      </w:pPr>
      <w:r>
        <w:rPr>
          <w:rFonts w:ascii="Courier New" w:cs="Courier New" w:eastAsia="Courier New" w:hAnsi="Courier New"/>
          <w:sz w:val="17"/>
          <w:szCs w:val="17"/>
          <w:color w:val="auto"/>
        </w:rPr>
        <w:t>BOARD COMPENSATION COMMITTEE REPORT ON EXECUTIVE COMPENSATION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THE AUDIT COMMITTEE OF THE AT&amp;T BOARD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FIVE-YEAR PERFORMANCE COMPARISON ON AT&amp;T COMMON STOCK</w:t>
      </w:r>
    </w:p>
    <w:p>
      <w:pPr>
        <w:spacing w:after="0" w:line="21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SUMMARY COMPENSATION TABLE</w:t>
      </w:r>
    </w:p>
    <w:p>
      <w:pPr>
        <w:spacing w:after="0" w:line="21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ANNUAL</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COMPENSATION LONG-</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TERM COMPENSATION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right="8279" w:firstLine="103"/>
        <w:spacing w:after="0" w:line="251" w:lineRule="auto"/>
        <w:tabs>
          <w:tab w:leader="none" w:pos="374" w:val="left"/>
        </w:tabs>
        <w:numPr>
          <w:ilvl w:val="0"/>
          <w:numId w:val="3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AWARDS PAYOUTS OTHER ------------</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1000" w:hanging="627"/>
        <w:spacing w:after="0"/>
        <w:tabs>
          <w:tab w:leader="none" w:pos="1000" w:val="left"/>
        </w:tabs>
        <w:numPr>
          <w:ilvl w:val="1"/>
          <w:numId w:val="3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ALL</w:t>
      </w:r>
    </w:p>
    <w:p>
      <w:pPr>
        <w:spacing w:after="0" w:line="8" w:lineRule="exact"/>
        <w:rPr>
          <w:rFonts w:ascii="Courier New" w:cs="Courier New" w:eastAsia="Courier New" w:hAnsi="Courier New"/>
          <w:sz w:val="17"/>
          <w:szCs w:val="17"/>
          <w:color w:val="auto"/>
        </w:rPr>
      </w:pPr>
    </w:p>
    <w:p>
      <w:pPr>
        <w:jc w:val="both"/>
        <w:ind w:left="320" w:right="8539" w:firstLine="105"/>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OTHER NAMED OFFICERS AND COMPEN- STOCK</w:t>
      </w:r>
    </w:p>
    <w:p>
      <w:pPr>
        <w:jc w:val="center"/>
        <w:ind w:right="8219"/>
        <w:spacing w:after="0"/>
        <w:rPr>
          <w:sz w:val="20"/>
          <w:szCs w:val="20"/>
          <w:color w:val="auto"/>
        </w:rPr>
      </w:pPr>
      <w:r>
        <w:rPr>
          <w:rFonts w:ascii="Courier New" w:cs="Courier New" w:eastAsia="Courier New" w:hAnsi="Courier New"/>
          <w:sz w:val="17"/>
          <w:szCs w:val="17"/>
          <w:color w:val="auto"/>
        </w:rPr>
        <w:t>OPTIONS/ LTIP</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COMPEN- PRINCIPAL</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POSITION(1) YEAR</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SALARY ($) BONUS</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 SATION ($)</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AWARD(S) ($)</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SARS(#) PAYOUTS</w:t>
      </w:r>
    </w:p>
    <w:p>
      <w:pPr>
        <w:spacing w:after="0" w:line="9"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 SATION ($)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80" w:hanging="322"/>
        <w:spacing w:after="0"/>
        <w:tabs>
          <w:tab w:leader="none" w:pos="380" w:val="left"/>
        </w:tabs>
        <w:numPr>
          <w:ilvl w:val="0"/>
          <w:numId w:val="3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380" w:hanging="322"/>
        <w:spacing w:after="0"/>
        <w:tabs>
          <w:tab w:leader="none" w:pos="380" w:val="left"/>
        </w:tabs>
        <w:numPr>
          <w:ilvl w:val="0"/>
          <w:numId w:val="3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800" w:hanging="637"/>
        <w:spacing w:after="0"/>
        <w:tabs>
          <w:tab w:leader="none" w:pos="800" w:val="left"/>
        </w:tabs>
        <w:numPr>
          <w:ilvl w:val="1"/>
          <w:numId w:val="3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800" w:hanging="323"/>
        <w:spacing w:after="0"/>
        <w:tabs>
          <w:tab w:leader="none" w:pos="800" w:val="left"/>
        </w:tabs>
        <w:numPr>
          <w:ilvl w:val="0"/>
          <w:numId w:val="3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Michael</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Armstrong..........</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Chairman of the</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Board and CEO</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FOOTNOTES</w:t>
      </w:r>
    </w:p>
    <w:p>
      <w:pPr>
        <w:spacing w:after="0" w:line="210" w:lineRule="exact"/>
        <w:rPr>
          <w:sz w:val="20"/>
          <w:szCs w:val="20"/>
          <w:color w:val="auto"/>
        </w:rPr>
      </w:pPr>
    </w:p>
    <w:p>
      <w:pPr>
        <w:ind w:left="320" w:right="1839" w:hanging="313"/>
        <w:spacing w:after="0" w:line="254" w:lineRule="auto"/>
        <w:tabs>
          <w:tab w:leader="none" w:pos="320" w:val="left"/>
        </w:tabs>
        <w:numPr>
          <w:ilvl w:val="0"/>
          <w:numId w:val="3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Chairman of the Board and Chief Executive Officer and the four other most highly compensated individuals who were executive officers of AT&amp;T at the end of 2001, as measured by salary and bonus.</w:t>
      </w:r>
    </w:p>
    <w:p>
      <w:pPr>
        <w:spacing w:after="0" w:line="19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AGGREGATED OPTION/STOCK APPRECIATION RIGHTS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("SAR") EXERCISES IN 2001 AND YEAR-END VALUES</w:t>
      </w: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AT&amp;T COMMON STOCK</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EXERCISABLE/UNEXERCISABLE -------</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 NUMBER OF $</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VALUE SHARES UNEXERCISED IN-THE-</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MONEY ACQUIRED $ VALUE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OPTIONS/SARS OPTIONS/SARS NAME(1)</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ON EXERCISE REALIZED AT YEAR END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YEAR END -------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C. Michael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Armstrong.........................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FOOTNOTES</w:t>
      </w:r>
    </w:p>
    <w:p>
      <w:pPr>
        <w:spacing w:after="0" w:line="210" w:lineRule="exact"/>
        <w:rPr>
          <w:sz w:val="20"/>
          <w:szCs w:val="20"/>
          <w:color w:val="auto"/>
        </w:rPr>
      </w:pPr>
    </w:p>
    <w:p>
      <w:pPr>
        <w:ind w:left="320" w:right="1839" w:hanging="313"/>
        <w:spacing w:after="0" w:line="254" w:lineRule="auto"/>
        <w:tabs>
          <w:tab w:leader="none" w:pos="320" w:val="left"/>
        </w:tabs>
        <w:numPr>
          <w:ilvl w:val="0"/>
          <w:numId w:val="3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Chairman of the Board and Chief Executive Officer and the four other most highly compensated individuals who were executive officers of AT&amp;T at the end of 2001, as measured by salary and bonus.</w:t>
      </w:r>
    </w:p>
    <w:p>
      <w:pPr>
        <w:spacing w:after="0" w:line="194"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LONG-TERM INCENTIVE PLANS -- AWARDS IN 2001</w:t>
      </w:r>
    </w:p>
    <w:p>
      <w:pPr>
        <w:spacing w:after="0" w:line="210"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ESTIMATED FUTURE PAYOUTS</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UNDER PERFORMANCE NON-</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STOCK PRICE BASED PLANS</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NUMBER OF PERIOD UNTIL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19" w:right="1440" w:bottom="0" w:gutter="0" w:footer="0" w:header="0"/>
        </w:sectPr>
      </w:pPr>
    </w:p>
    <w:bookmarkStart w:id="339" w:name="page340"/>
    <w:bookmarkEnd w:id="339"/>
    <w:p>
      <w:pPr>
        <w:jc w:val="both"/>
        <w:ind w:left="160" w:right="7499" w:hanging="52"/>
        <w:spacing w:after="0" w:line="251" w:lineRule="auto"/>
        <w:tabs>
          <w:tab w:leader="none" w:pos="422" w:val="left"/>
        </w:tabs>
        <w:numPr>
          <w:ilvl w:val="0"/>
          <w:numId w:val="3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MATURATION THRESHOLD TARGET MAXIMUM NAME(1) SHARES OR PAYOUT</w:t>
      </w:r>
    </w:p>
    <w:p>
      <w:pPr>
        <w:ind w:left="480" w:hanging="424"/>
        <w:spacing w:after="0"/>
        <w:tabs>
          <w:tab w:leader="none" w:pos="480" w:val="left"/>
        </w:tabs>
        <w:numPr>
          <w:ilvl w:val="0"/>
          <w:numId w:val="3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1060" w:right="7599" w:hanging="847"/>
        <w:spacing w:after="0" w:line="251" w:lineRule="auto"/>
        <w:tabs>
          <w:tab w:leader="none" w:pos="536" w:val="left"/>
        </w:tabs>
        <w:numPr>
          <w:ilvl w:val="1"/>
          <w:numId w:val="3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C. Michael</w:t>
      </w:r>
    </w:p>
    <w:p>
      <w:pPr>
        <w:spacing w:after="0"/>
        <w:rPr>
          <w:sz w:val="20"/>
          <w:szCs w:val="20"/>
          <w:color w:val="auto"/>
        </w:rPr>
      </w:pPr>
      <w:r>
        <w:rPr>
          <w:rFonts w:ascii="Courier New" w:cs="Courier New" w:eastAsia="Courier New" w:hAnsi="Courier New"/>
          <w:sz w:val="17"/>
          <w:szCs w:val="17"/>
          <w:color w:val="auto"/>
        </w:rPr>
        <w:t>Armstrong..................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FOOTNOTES</w:t>
      </w:r>
    </w:p>
    <w:p>
      <w:pPr>
        <w:spacing w:after="0" w:line="210" w:lineRule="exact"/>
        <w:rPr>
          <w:sz w:val="20"/>
          <w:szCs w:val="20"/>
          <w:color w:val="auto"/>
        </w:rPr>
      </w:pPr>
    </w:p>
    <w:p>
      <w:pPr>
        <w:ind w:left="320" w:right="1839" w:hanging="313"/>
        <w:spacing w:after="0" w:line="254" w:lineRule="auto"/>
        <w:tabs>
          <w:tab w:leader="none" w:pos="320" w:val="left"/>
        </w:tabs>
        <w:numPr>
          <w:ilvl w:val="0"/>
          <w:numId w:val="3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Chairman of the Board and Chief Executive Officer and the four other most highly compensated individuals who were executive officers of AT&amp;T at the end of 2001, as measured by salary and bonus.</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XIII-10</w:t>
      </w:r>
    </w:p>
    <w:p>
      <w:pPr>
        <w:sectPr>
          <w:pgSz w:w="11900" w:h="16838" w:orient="portrait"/>
          <w:cols w:equalWidth="0" w:num="1">
            <w:col w:w="10219"/>
          </w:cols>
          <w:pgMar w:left="240" w:top="141" w:right="1440" w:bottom="1440" w:gutter="0" w:footer="0" w:header="0"/>
        </w:sectPr>
      </w:pPr>
    </w:p>
    <w:bookmarkStart w:id="340" w:name="page341"/>
    <w:bookmarkEnd w:id="340"/>
    <w:p>
      <w:pPr>
        <w:ind w:left="2840"/>
        <w:spacing w:after="0"/>
        <w:rPr>
          <w:sz w:val="20"/>
          <w:szCs w:val="20"/>
          <w:color w:val="auto"/>
        </w:rPr>
      </w:pPr>
      <w:r>
        <w:rPr>
          <w:rFonts w:ascii="Courier New" w:cs="Courier New" w:eastAsia="Courier New" w:hAnsi="Courier New"/>
          <w:sz w:val="17"/>
          <w:szCs w:val="17"/>
          <w:color w:val="auto"/>
        </w:rPr>
        <w:t>OPTION/SAR GRANTS IN 2001</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INDIVIDUAL GRANTS ------</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NUMBER OF % OF TOTAL</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SECURITIES OPTIONS/SARS</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UNDERLYING GRANTED TO</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EXERCISE OR GRANT DATE</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OPTIONS/SARS EMPLOYEES</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IN BASE PRICE EXPIRATION</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PRESENT NAME(1) GRANTED</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FISCAL YEAR ($/SH) DATE</w:t>
      </w:r>
    </w:p>
    <w:p>
      <w:pPr>
        <w:spacing w:after="0" w:line="9"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7"/>
          <w:szCs w:val="17"/>
          <w:color w:val="auto"/>
        </w:rPr>
        <w:t>VALUE ($)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ind w:left="1100" w:hanging="621"/>
        <w:spacing w:after="0"/>
        <w:tabs>
          <w:tab w:leader="none" w:pos="1100" w:val="left"/>
        </w:tabs>
        <w:numPr>
          <w:ilvl w:val="0"/>
          <w:numId w:val="3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 Michael</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Armstrong................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FOOTNOTES</w:t>
      </w:r>
    </w:p>
    <w:p>
      <w:pPr>
        <w:spacing w:after="0" w:line="210" w:lineRule="exact"/>
        <w:rPr>
          <w:sz w:val="20"/>
          <w:szCs w:val="20"/>
          <w:color w:val="auto"/>
        </w:rPr>
      </w:pPr>
    </w:p>
    <w:p>
      <w:pPr>
        <w:ind w:left="320" w:right="1839" w:hanging="313"/>
        <w:spacing w:after="0" w:line="254" w:lineRule="auto"/>
        <w:tabs>
          <w:tab w:leader="none" w:pos="320" w:val="left"/>
        </w:tabs>
        <w:numPr>
          <w:ilvl w:val="0"/>
          <w:numId w:val="3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Chairman of the Board and Chief Executive Officer and the four other most highly compensated individuals who were executive officers of AT&amp;T at the end of 2001, as measured by salary and bonus.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CONTRACTS AND TERMINATION OF EMPLOYMENT ARRANGEMENTS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entered into an employment agreement with Mr. Armstrong dated October 17, 1997. The agreement provided for an initial base salary of $1,400,000 per year. It also provided for a guaranteed annual incentive award for the 1998 performance year of no less than 100% of his then base salary, and for 1998 and 1999 performance shares/stock units granted under the 1997 LTIP, a guaranteed grant value equivalent to no less than 100% of his base salary at the time of grant. Mr. Armstrong was eligible for annual stock option awards commencing in 1998 in accordance with the Committee-approved compensation structure for such years.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To address certain forfeitures experienced when Mr. Armstrong left his previous employer, the Company paid a premium of $2,050,000 to purchase a split-dollar survivorship insurance policy insuring Mr. Armstrong and his spouse. Such policy will, upon the death of the last surviving insured, provide insurance proceeds equal to the sum of the face amount of the policy and the policy's cash value. An amount equal to the policy face amount shall be payable to Mr. Armstrong's beneficiaries or to a trust which may be established to own Mr. Armstrong's interest in such policy. The balance of the proceeds will be paid to the Company, and, from its share of the death benefit, the Company will pay a Company-paid death benefit to Mr. Armstrong's beneficiaries equal to the death benefit received by the Company, minus the Company-paid premium. The face amount of such split-dollar survivorship insurance policy will be determined in accordance with the underwriting requirements of the insurance company providing such coverage based on the Company's premium payment of $2,050,000 and additional premium payments, if any, that Mr. Armstrong may become eligible for under any similar program adopted by the Company for its senior executives and in which Mr. Armstrong elects to participate.</w:t>
      </w:r>
    </w:p>
    <w:p>
      <w:pPr>
        <w:spacing w:after="0" w:line="202" w:lineRule="exact"/>
        <w:rPr>
          <w:sz w:val="20"/>
          <w:szCs w:val="20"/>
          <w:color w:val="auto"/>
        </w:rPr>
      </w:pPr>
    </w:p>
    <w:p>
      <w:pPr>
        <w:jc w:val="both"/>
        <w:ind w:right="1839" w:firstLine="524"/>
        <w:spacing w:after="0" w:line="253" w:lineRule="auto"/>
        <w:rPr>
          <w:sz w:val="20"/>
          <w:szCs w:val="20"/>
          <w:color w:val="auto"/>
        </w:rPr>
      </w:pPr>
      <w:r>
        <w:rPr>
          <w:rFonts w:ascii="Courier New" w:cs="Courier New" w:eastAsia="Courier New" w:hAnsi="Courier New"/>
          <w:sz w:val="17"/>
          <w:szCs w:val="17"/>
          <w:color w:val="auto"/>
        </w:rPr>
        <w:t>In accordance with his employment agreement, Mr. Armstrong was also granted AT&amp;T restricted stock, AT&amp;T restricted stock units, and AT&amp;T stock options under the 1997 LTIP to replace similar grants forfeited from his prior employer and to provide strong incentives to create shareholder value for AT&amp;T shareowners.</w:t>
      </w:r>
    </w:p>
    <w:p>
      <w:pPr>
        <w:spacing w:after="0" w:line="195"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Details of these grants follow:</w:t>
      </w:r>
    </w:p>
    <w:p>
      <w:pPr>
        <w:spacing w:after="0" w:line="210" w:lineRule="exact"/>
        <w:rPr>
          <w:sz w:val="20"/>
          <w:szCs w:val="20"/>
          <w:color w:val="auto"/>
        </w:rPr>
      </w:pPr>
    </w:p>
    <w:p>
      <w:pPr>
        <w:jc w:val="both"/>
        <w:ind w:left="540" w:right="2459" w:firstLine="515"/>
        <w:spacing w:after="0" w:line="254" w:lineRule="auto"/>
        <w:tabs>
          <w:tab w:leader="none" w:pos="1483" w:val="left"/>
        </w:tabs>
        <w:numPr>
          <w:ilvl w:val="2"/>
          <w:numId w:val="3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Armstrong was granted 142,877* shares of AT&amp;T restricted stock. These shares vested in years 1998, 1999, 2000 and became fully vested on October 26, 2001.</w:t>
      </w:r>
    </w:p>
    <w:p>
      <w:pPr>
        <w:spacing w:after="0" w:line="194"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2"/>
          <w:numId w:val="3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Armstrong was also granted 446,179* AT&amp;T restricted stock units, which vest on October 1, 2003, assuming continued employment, with a guarantee that, in the event the fair market value of the AT&amp;T shares furnished to Mr. Armstrong on October 1, 2003 is less than $10,000,000, such shortfall will be made up in cash by the Company. In the event of (a) a Change in Control (as defined) on or before April 1, 2002 and a subsequent (within 3 years) Company-initiated termination</w:t>
      </w:r>
    </w:p>
    <w:p>
      <w:pPr>
        <w:spacing w:after="0" w:line="195"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3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740" w:right="2039" w:hanging="210"/>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Adjusted for April 1999 3:2 stock split and July 2001 split-off of AT&amp;T wireless.</w:t>
      </w:r>
    </w:p>
    <w:p>
      <w:pPr>
        <w:sectPr>
          <w:pgSz w:w="11900" w:h="16838" w:orient="portrait"/>
          <w:cols w:equalWidth="0" w:num="1">
            <w:col w:w="10219"/>
          </w:cols>
          <w:pgMar w:left="240" w:top="719" w:right="1440" w:bottom="0" w:gutter="0" w:footer="0" w:header="0"/>
        </w:sectPr>
      </w:pPr>
    </w:p>
    <w:bookmarkStart w:id="341" w:name="page342"/>
    <w:bookmarkEnd w:id="341"/>
    <w:p>
      <w:pPr>
        <w:ind w:left="2580"/>
        <w:spacing w:after="0"/>
        <w:rPr>
          <w:sz w:val="20"/>
          <w:szCs w:val="20"/>
          <w:color w:val="auto"/>
        </w:rPr>
      </w:pPr>
      <w:r>
        <w:rPr>
          <w:rFonts w:ascii="Courier New" w:cs="Courier New" w:eastAsia="Courier New" w:hAnsi="Courier New"/>
          <w:sz w:val="17"/>
          <w:szCs w:val="17"/>
          <w:color w:val="auto"/>
        </w:rPr>
        <w:t>XIII-11</w:t>
      </w:r>
    </w:p>
    <w:p>
      <w:pPr>
        <w:sectPr>
          <w:pgSz w:w="11900" w:h="16838" w:orient="portrait"/>
          <w:cols w:equalWidth="0" w:num="1">
            <w:col w:w="9019"/>
          </w:cols>
          <w:pgMar w:left="1440" w:top="343" w:right="1440" w:bottom="1440" w:gutter="0" w:footer="0" w:header="0"/>
        </w:sectPr>
      </w:pPr>
    </w:p>
    <w:bookmarkStart w:id="342" w:name="page343"/>
    <w:bookmarkEnd w:id="342"/>
    <w:p>
      <w:pPr>
        <w:jc w:val="both"/>
        <w:ind w:left="540" w:right="2259"/>
        <w:spacing w:after="0" w:line="254" w:lineRule="auto"/>
        <w:rPr>
          <w:sz w:val="20"/>
          <w:szCs w:val="20"/>
          <w:color w:val="auto"/>
        </w:rPr>
      </w:pPr>
      <w:r>
        <w:rPr>
          <w:rFonts w:ascii="Courier New" w:cs="Courier New" w:eastAsia="Courier New" w:hAnsi="Courier New"/>
          <w:sz w:val="17"/>
          <w:szCs w:val="17"/>
          <w:color w:val="auto"/>
        </w:rPr>
        <w:t>for other than "cause" (as defined) or Constructive Termination Without Cause (as defined) or (b) Mr. Armstrong's death, special vesting rules apply.</w:t>
      </w:r>
    </w:p>
    <w:p>
      <w:pPr>
        <w:spacing w:after="0" w:line="194" w:lineRule="exact"/>
        <w:rPr>
          <w:sz w:val="20"/>
          <w:szCs w:val="20"/>
          <w:color w:val="auto"/>
        </w:rPr>
      </w:pPr>
    </w:p>
    <w:p>
      <w:pPr>
        <w:ind w:left="540" w:right="1839" w:firstLine="515"/>
        <w:spacing w:after="0" w:line="253" w:lineRule="auto"/>
        <w:tabs>
          <w:tab w:leader="none" w:pos="1483" w:val="left"/>
        </w:tabs>
        <w:numPr>
          <w:ilvl w:val="0"/>
          <w:numId w:val="3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Armstrong was granted an option to purchase, within ten years, 1,124,699* shares of AT&amp;T common stock, with a purchase price of $22.4125* per share. These options vest one-third each on October 17, 2000, 2001, and 2002, based on continued employment.</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As part of his employment agreement, the Company entered into a supplemental pension arrangement with Mr. Armstrong. Pursuant to such arrangement, Mr. Armstrong will receive an annual benefit (as defined in the employment agreement) commencing at his retirement at or after age 65. Such benefit will vest 20% per year on each of the first five anniversaries of his hire, and will be payable in actuarially-reduced amounts for retirement and commencement prior to age 65. Pension benefits payable under this arrangement will be paid out of the Company's operating income, and will be offset by (1) all amounts actually received by Mr. Armstrong under any other Company qualified or non-qualified retirement plan or arrangement, and (2) the greater of (a) $655,642 or (b) the actual pension benefits to be paid to Mr. Armstrong with respect to that year by his prior employers under their qualified and non-qualified defined benefit plans. In addition, Mr. Armstrong will be entitled to certain other post-retirement benefits that are generally made available from time to time to retired executive officers and service-pension-eligible senior managers.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Mr. Armstrong's agreement provides for certain entitlements in the event of his termination from AT&amp;T under specified circumstances. Pursuant to his agreement, in the event of Mr. Armstrong's death, his beneficiaries or estate will be entitled to his base salary through the end of his month of death, his target annual incentive award for the year of death, a lump sum payout at target for each open long-term incentive program performance cycle, and payment of survivor benefits under his supplemental pension arrangement which vests 100% at his death. All outstanding unvested stock options will vest and together with already vested options will be exercisable for the remainder of the original term of each grant; restrictions on the restricted stock granted as part of his agreement will lapse; restricted stock units granted in his agreement will be payable in accordance with the schedule established in his Restricted Stock Unit Award Agreement (20% to 100% of units granted will be payable, depending on the date of death) in the event of his death prior to the vesting of such restricted stock units on October 1, 2003.</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Mr. Armstrong's agreement also provides that in the event his employment is terminated as a result of disability (as defined), he shall be entitled to receive disability benefits in accordance with the long-term disability program then in effect for senior managers. In addition, base salary, annual incentive, stock options, restricted stock, and restricted stock units shall be treated in the same manner as described above in the case of death. Treatment of long-term incentives will be as described above in the case of death, provided, however, payment will be in accordance with the terms of the plan instead of a lump sum. Pension benefits under his supplemental pension arrangement will vest and will be offset by any Company-provided disability benefits.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event of a termination for "cause" (as defined) or in the event of a voluntary resignation, other than a termination due to death or disability or a Constructive Termination (as defined) without "cause" or retirement on October 31, 2003, Mr. Armstrong will forfeit all restricted stock and restricted stock units as to which restrictions have not lapsed, long-term incentives with respect to uncompleted performance cycles, outstanding stock options which are not exercisable, and any pension benefit not yet vested under his supplemental pension arrangement. He will receive base salary through his date of termination, and vested stock options shall remain exercisable for 90 days after termination or until the originally scheduled expiration date, if earlier.</w:t>
      </w:r>
    </w:p>
    <w:p>
      <w:pPr>
        <w:spacing w:after="0" w:line="201"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In the event of a Company-initiated termination for other than "cause" or in the event of a Constructive Termination without "cause," neither of which follow within three years of a Change in Control (as defined), Mr. Armstrong will be provided the following: base salary through the date of termination, a prorated annual incentive award at target for the year of termination, a</w:t>
      </w:r>
    </w:p>
    <w:p>
      <w:pPr>
        <w:ind w:right="1939"/>
        <w:spacing w:after="0" w:line="254" w:lineRule="auto"/>
        <w:rPr>
          <w:sz w:val="20"/>
          <w:szCs w:val="20"/>
          <w:color w:val="auto"/>
        </w:rPr>
      </w:pPr>
      <w:r>
        <w:rPr>
          <w:rFonts w:ascii="Courier New" w:cs="Courier New" w:eastAsia="Courier New" w:hAnsi="Courier New"/>
          <w:sz w:val="17"/>
          <w:szCs w:val="17"/>
          <w:color w:val="auto"/>
        </w:rPr>
        <w:t>24-month continuation of monthly base salary, or at his option, the lump-sum present value of such payments (using the short-term Treasury bill rate for the month of termination); two times the target annual incentive</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XIII-12</w:t>
      </w:r>
    </w:p>
    <w:p>
      <w:pPr>
        <w:sectPr>
          <w:pgSz w:w="11900" w:h="16838" w:orient="portrait"/>
          <w:cols w:equalWidth="0" w:num="1">
            <w:col w:w="10219"/>
          </w:cols>
          <w:pgMar w:left="240" w:top="719" w:right="1440" w:bottom="659" w:gutter="0" w:footer="0" w:header="0"/>
        </w:sectPr>
      </w:pPr>
    </w:p>
    <w:bookmarkStart w:id="343" w:name="page344"/>
    <w:bookmarkEnd w:id="343"/>
    <w:p>
      <w:pPr>
        <w:ind w:right="1839"/>
        <w:spacing w:after="0" w:line="251" w:lineRule="auto"/>
        <w:rPr>
          <w:sz w:val="20"/>
          <w:szCs w:val="20"/>
          <w:color w:val="auto"/>
        </w:rPr>
      </w:pPr>
      <w:r>
        <w:rPr>
          <w:rFonts w:ascii="Courier New" w:cs="Courier New" w:eastAsia="Courier New" w:hAnsi="Courier New"/>
          <w:sz w:val="17"/>
          <w:szCs w:val="17"/>
          <w:color w:val="auto"/>
        </w:rPr>
        <w:t>award for the year of termination payable over 24 months, or at his option, the lump-sum present value of such payments (using the short-term Treasury bill rate for the month of termination); and payout at target for each open long-term incentive program performance cycle in accordance with the plan or in a lump sum as described above. In addition, all outstanding unvested stock options will vest and together with already vested options will be exercisable for the remainder of the original term of each grant; restrictions on the restricted stock granted as part of his agreement will lapse; and his supplemental pension benefit shall fully vest. For a period of 24 months following his termination, or, if earlier, until he receives equivalent coverage and benefits from another employer, Mr. Armstrong will be entitled to continued participation in AT&amp;T's benefit plans and programs.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 the event of Mr. Armstrong's retirement as of October 31, 2003, he will be entitled to payment of his supplemental pension and will be treated in accordance with the plans, programs, and practices applicable to retired senior managers.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Mr. Armstrong's agreement provides that in the event of a Change in Control, all amounts and benefits to which he is entitled but are not yet vested (except with respect to his restricted stock unit grant which is governed by the terms of the grant agreement) shall become fully vested. In addition, in the event of a Company-initiated termination or a Constructive Termination without "cause" following a Change in Control, he shall be entitled to the benefits described above in connection with a Company-initiated termination without "cause" or a Constructive Termination without "cause" not associated with a Change in Control provided, however: (1) the number of months associated with salary, annual incentive, and benefits continuation shall be 48 months, and such amounts will be payable as a lump sum as soon as practicable after his termination; and (2) restricted stock units granted in his agreement will be payable in accordance with the schedule established in his Restricted Stock Unit Award Agreement (25% to 100% of units granted will be payable, depending on date of termination). In the event the payments in this paragraph are determined to constitute a payment under Section 280G(b)(2) of the Internal Revenue Code and such payment is subject to an excise tax under Section 4999 of the Code, the Company will provide Mr. Armstrong with a tax gross-up payment to negate the excise tax. It is not anticipated that the AT&amp;T Comcast transaction will constitute a change in control under his agreement.</w:t>
      </w:r>
    </w:p>
    <w:p>
      <w:pPr>
        <w:spacing w:after="0" w:line="202"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 the event of any termination described above, Mr. Armstrong or his estate shall also be entitled to the unpaid balance of any incentive awards for completed performance periods, any expense reimbursements due him, and other benefits in accordance with applicable plans and programs.</w:t>
      </w:r>
    </w:p>
    <w:p>
      <w:pPr>
        <w:spacing w:after="0" w:line="195"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entered into an employment agreement with Mr. Schleyer dated October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25, 2001. The employment agreement provided for an initial base salary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$925,000 per year. It also provided for a guaranteed annual incentive award 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2002 performance year of no less than 100% of his then base salary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$154,000 with respect to the 2001 calendar year. Mr. Schleyer was also provided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 the AT&amp;T 1997 Long Term Incentive Plan an option to purchase, within 10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years, 430,800 shares of AT&amp;T common stock with a purchase price of $16.0150 per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 and 114,450 AT&amp;T restricted shares in accordance with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Committee-approved compensation structure for 2001. The stock options vest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four equal annual installments, beginning on October 25, 2001 and the AT&amp;T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restricted shares vest in three equal annual installments, beginning on October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25, 2001, in each case, based on continued employment.</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To address certain forfeitures experienced when Mr. Schleyer left his previous employer and to incent him to join the Company, the employment agreement provided for (i) a special one time grant of an option to purchase, within 10 years, 277,000 shares of AT&amp;T common stock with a purchase price of $16.0150 per share and 56,200 AT&amp;T restricted shares. The stock options vest in three equal annual installments, beginning on October 25, 2001 and the AT&amp;T restricted shares vest in two equal annual installments, beginning on October 25, 2001, in each case, based on continued employment.</w:t>
      </w:r>
    </w:p>
    <w:p>
      <w:pPr>
        <w:spacing w:after="0" w:line="201"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Mr. Schleyer is entitled to participate in the benefit programs that are generally made available to other AT&amp;T executives. Mr. Schleyer's employment agreement also provides that if AT&amp;T separated itself from AT&amp;T Broadband, Mr. Schleyer will cease participating in AT&amp;T's benefit plans and will become a participant in the applicable benefit plans of AT&amp;T Broadband.</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XIII-13</w:t>
      </w:r>
    </w:p>
    <w:p>
      <w:pPr>
        <w:sectPr>
          <w:pgSz w:w="11900" w:h="16838" w:orient="portrait"/>
          <w:cols w:equalWidth="0" w:num="1">
            <w:col w:w="10219"/>
          </w:cols>
          <w:pgMar w:left="240" w:top="719" w:right="1440" w:bottom="861" w:gutter="0" w:footer="0" w:header="0"/>
        </w:sectPr>
      </w:pPr>
    </w:p>
    <w:bookmarkStart w:id="344" w:name="page345"/>
    <w:bookmarkEnd w:id="344"/>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Mr. Schleyer's employment agreement provides that if AT&amp;T separates itself from AT&amp;T Broadband, his AT&amp;T equity awards will be treated in accordance with the plan developed and approved by AT&amp;T's Board.</w:t>
      </w:r>
    </w:p>
    <w:p>
      <w:pPr>
        <w:spacing w:after="0" w:line="194"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 the event of a termination of Mr. Schleyer's employment initiated by AT&amp;T for "cause" or by Mr. Schleyer without "good reason" (as defined), he will forfeit all unvested AT&amp;T stock options and all AT&amp;T restricted shares as to which restrictions have not lapsed.</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the event of an AT&amp;T-initiated termination without cause or a good reason termination, Mr. Schleyer will be provided severance benefits under the applicable AT&amp;T Broadband severance plan. In addition, unvested AT&amp;T contributions to its savings and pension plans on Mr. Schleyer's behalf will be paid to him after termination. In the event of an AT&amp;T initiated termination without cause or a good reason termination within two years after a change in control of AT&amp;T, Mr. Schleyer will be entitled to receive severance benefits under the applicable AT&amp;T severance arrangements.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 PLANS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INFORMATION</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XIII-14</w:t>
      </w:r>
    </w:p>
    <w:p>
      <w:pPr>
        <w:sectPr>
          <w:pgSz w:w="11900" w:h="16838" w:orient="portrait"/>
          <w:cols w:equalWidth="0" w:num="1">
            <w:col w:w="10219"/>
          </w:cols>
          <w:pgMar w:left="240" w:top="719" w:right="1440" w:bottom="1440" w:gutter="0" w:footer="0" w:header="0"/>
        </w:sectPr>
      </w:pPr>
    </w:p>
    <w:bookmarkStart w:id="345" w:name="page346"/>
    <w:bookmarkEnd w:id="345"/>
    <w:p>
      <w:pPr>
        <w:ind w:left="3360"/>
        <w:spacing w:after="0"/>
        <w:rPr>
          <w:sz w:val="20"/>
          <w:szCs w:val="20"/>
          <w:color w:val="auto"/>
        </w:rPr>
      </w:pPr>
      <w:r>
        <w:rPr>
          <w:rFonts w:ascii="Courier New" w:cs="Courier New" w:eastAsia="Courier New" w:hAnsi="Courier New"/>
          <w:sz w:val="17"/>
          <w:szCs w:val="17"/>
          <w:color w:val="auto"/>
        </w:rPr>
        <w:t>CHAPTER FOURTEEN</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CERTAIN LEGAL INFORMATION</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COMPARISON OF AT&amp;T, COMCAST AND AT&amp;T COMCAST</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SHAREHOLDER RIGHTS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This section of this document describes the material differences between the current rights of AT&amp;T shareholders and Comcast shareholders, on the one hand, and the rights those shareholders are expected to have as AT&amp;T Comcast shareholders after completion of the transaction, on the other hand. This section is limited to the changes arising in connection with the AT&amp;T Comcast transaction and does not address AT&amp;T Consumer Services Group tracking stock. See "AT&amp;T Consumer Services Group Tracking Stock." As of the date of this document, the rights of Comcast shareholders are governed by Pennsylvania law, the Comcast charter and the Comcast bylaws and the rights of AT&amp;T shareholders are governed by New York law, the AT&amp;T charter and the AT&amp;T bylaws. Upon completion of the transaction, Comcast shareholders will become AT&amp;T Comcast shareholders, AT&amp;T shareholders will become AT&amp;T Comcast shareholders (and will also remain AT&amp;T shareholders) and the rights of Comcast and AT&amp;T shareholders who become AT&amp;T Comcast shareholders will be governed by Pennsylvania law, the AT&amp;T Comcast charter and AT&amp;T Comcast bylaws. This section is not meant to be complete and is qualified in its entirety by reference to the relevant provisions of Pennsylvania and New York corporate law, the Comcast charter and bylaws and the AT&amp;T charter and bylaws, in each case as currently in effect, and the AT&amp;T Comcast charter and bylaws that will be in effect upon completion of the transaction, which are more detailed than the information provided below.</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 copy of the AT&amp;T Comcast charter that will be in effect upon completion of the transaction if the Preferred Structure is implemented is attached to this document as Annex C. A copy of the term sheet describing the differences between the AT&amp;T Comcast charter that will be in effect upon completion of the transaction if the Preferred Structure is implemented and the AT&amp;T Comcast charter that will be in effect upon completion of the transaction if the Alternative Structure is implemented is attached to this document as Annex D. A copy of the AT&amp;T Comcast bylaws that will be in effect upon completion of the transaction is attached to this document as Annex F. Copies of the charter and bylaws of AT&amp;T and the charter and bylaws of Comcast, in each case as currently in effect, will be sent to AT&amp;T shareholders and Comcast shareholders, as applicable, upon request. See "Additional Information for Shareholders -- Where You Can Find More Information."</w:t>
      </w:r>
    </w:p>
    <w:p>
      <w:pPr>
        <w:spacing w:after="0" w:line="200" w:lineRule="exact"/>
        <w:rPr>
          <w:sz w:val="20"/>
          <w:szCs w:val="20"/>
          <w:color w:val="auto"/>
        </w:rPr>
      </w:pPr>
    </w:p>
    <w:p>
      <w:pPr>
        <w:spacing w:after="0" w:line="203"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SUMMARY OF MATERIAL DIFFERENCES BETWEEN THE CURRENT RIGHTS OF AT&amp;T SHAREHOLDERS AND THE RIGHTS THOSE SHAREHOLDERS WILL HAVE AS AT&amp;T COMCAST SHAREHOLDERS FOLLOWING THE COMPLETION OF THE TRANSACTION</w:t>
      </w:r>
    </w:p>
    <w:p>
      <w:pPr>
        <w:spacing w:after="0" w:line="194"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Authorized</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authorized</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stock of</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AT&amp;T Under</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Preferred</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Structure,</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consists</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of 16.4</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billion</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authorized</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stock of</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stock and</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100</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million</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would</w:t>
      </w:r>
    </w:p>
    <w:p>
      <w:pPr>
        <w:sectPr>
          <w:pgSz w:w="11900" w:h="16838" w:orient="portrait"/>
          <w:cols w:equalWidth="0" w:num="1">
            <w:col w:w="10219"/>
          </w:cols>
          <w:pgMar w:left="240" w:top="719" w:right="1440" w:bottom="0" w:gutter="0" w:footer="0" w:header="0"/>
        </w:sectPr>
      </w:pPr>
    </w:p>
    <w:bookmarkStart w:id="346" w:name="page347"/>
    <w:bookmarkEnd w:id="346"/>
    <w:p>
      <w:pPr>
        <w:jc w:val="center"/>
        <w:ind w:right="9079"/>
        <w:spacing w:after="0"/>
        <w:rPr>
          <w:sz w:val="20"/>
          <w:szCs w:val="20"/>
          <w:color w:val="auto"/>
        </w:rPr>
      </w:pPr>
      <w:r>
        <w:rPr>
          <w:rFonts w:ascii="Courier New" w:cs="Courier New" w:eastAsia="Courier New" w:hAnsi="Courier New"/>
          <w:sz w:val="17"/>
          <w:szCs w:val="17"/>
          <w:color w:val="auto"/>
        </w:rPr>
        <w:t>consist of</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7.5</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billion</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preferred</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stock, 7.5</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billion</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Special If</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Consumer</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Services</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stock, 75</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million</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tracking</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stock is</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approved</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and</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issued,</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stock and</w:t>
      </w:r>
    </w:p>
    <w:p>
      <w:pPr>
        <w:spacing w:after="0" w:line="9" w:lineRule="exact"/>
        <w:rPr>
          <w:sz w:val="20"/>
          <w:szCs w:val="20"/>
          <w:color w:val="auto"/>
        </w:rPr>
      </w:pPr>
    </w:p>
    <w:p>
      <w:pPr>
        <w:jc w:val="both"/>
        <w:ind w:left="60" w:right="9119" w:hanging="6"/>
        <w:spacing w:after="0" w:line="251" w:lineRule="auto"/>
        <w:tabs>
          <w:tab w:leader="none" w:pos="374" w:val="left"/>
        </w:tabs>
        <w:numPr>
          <w:ilvl w:val="0"/>
          <w:numId w:val="3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million AT&amp;T will have a new</w:t>
      </w: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class of</w:t>
      </w:r>
    </w:p>
    <w:p>
      <w:pPr>
        <w:spacing w:after="0" w:line="8"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spacing w:after="0" w:line="8" w:lineRule="exact"/>
        <w:rPr>
          <w:rFonts w:ascii="Courier New" w:cs="Courier New" w:eastAsia="Courier New" w:hAnsi="Courier New"/>
          <w:sz w:val="17"/>
          <w:szCs w:val="17"/>
          <w:color w:val="auto"/>
        </w:rPr>
      </w:pPr>
    </w:p>
    <w:p>
      <w:pPr>
        <w:jc w:val="center"/>
        <w:ind w:right="9059" w:firstLine="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shares of preferred stock. common stock. For information on this new class, see "AT&amp;T Consumer Services Under the Alternative Structure, the Group Tracking Stock." authorized capital stock of AT&amp;T Comcast would consist of 200 million shares of Class A common stock, 7.5 billion shares of Class A Special common stock, 75 million shares of Class B common stock, 7.5 billion shares of Class 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XIV-1</w:t>
      </w:r>
    </w:p>
    <w:p>
      <w:pPr>
        <w:sectPr>
          <w:pgSz w:w="11900" w:h="16838" w:orient="portrait"/>
          <w:cols w:equalWidth="0" w:num="1">
            <w:col w:w="10219"/>
          </w:cols>
          <w:pgMar w:left="240" w:top="141" w:right="1440" w:bottom="0" w:gutter="0" w:footer="0" w:header="0"/>
        </w:sectPr>
      </w:pPr>
    </w:p>
    <w:bookmarkStart w:id="347" w:name="page348"/>
    <w:bookmarkEnd w:id="347"/>
    <w:p>
      <w:pPr>
        <w:spacing w:after="0" w:line="1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RIGHTS AT&amp;T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stock and</w:t>
      </w:r>
    </w:p>
    <w:p>
      <w:pPr>
        <w:spacing w:after="0" w:line="9" w:lineRule="exact"/>
        <w:rPr>
          <w:sz w:val="20"/>
          <w:szCs w:val="20"/>
          <w:color w:val="auto"/>
        </w:rPr>
      </w:pPr>
    </w:p>
    <w:p>
      <w:pPr>
        <w:jc w:val="both"/>
        <w:ind w:left="160" w:right="9059" w:hanging="52"/>
        <w:spacing w:after="0" w:line="251" w:lineRule="auto"/>
        <w:tabs>
          <w:tab w:leader="none" w:pos="422" w:val="left"/>
        </w:tabs>
        <w:numPr>
          <w:ilvl w:val="0"/>
          <w:numId w:val="3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million shares of preferred</w:t>
      </w:r>
    </w:p>
    <w:p>
      <w:pPr>
        <w:jc w:val="both"/>
        <w:ind w:left="260" w:right="9219" w:firstLine="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stock. Voting Rights:</w:t>
      </w:r>
    </w:p>
    <w:p>
      <w:pPr>
        <w:jc w:val="center"/>
        <w:ind w:right="8959"/>
        <w:spacing w:after="0"/>
        <w:rPr>
          <w:sz w:val="20"/>
          <w:szCs w:val="20"/>
          <w:color w:val="auto"/>
        </w:rPr>
      </w:pPr>
      <w:r>
        <w:rPr>
          <w:rFonts w:ascii="Courier New" w:cs="Courier New" w:eastAsia="Courier New" w:hAnsi="Courier New"/>
          <w:sz w:val="17"/>
          <w:szCs w:val="17"/>
          <w:color w:val="auto"/>
        </w:rPr>
        <w:t>AT&amp;T common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stock is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the only</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class of</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stock with</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voting</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(other than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shares of a</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series of</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preferred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stock held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subsidiaries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of AT&amp;T).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If the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Consumer</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Services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charter</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amendment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proposal is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approved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and shares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of AT&amp;T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Consumer</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Services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tracking</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stock are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issued,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that class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would have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votes per</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share. AT&amp;T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stock, AT&amp;T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stock and,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under The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voting</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interest of</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Alternative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Structure,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Comcast the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AT&amp;T common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stock Class</w:t>
      </w:r>
    </w:p>
    <w:p>
      <w:pPr>
        <w:spacing w:after="0" w:line="9" w:lineRule="exact"/>
        <w:rPr>
          <w:sz w:val="20"/>
          <w:szCs w:val="20"/>
          <w:color w:val="auto"/>
        </w:rPr>
      </w:pPr>
    </w:p>
    <w:p>
      <w:pPr>
        <w:ind w:left="100" w:right="9059" w:firstLine="113"/>
        <w:spacing w:after="0" w:line="251" w:lineRule="auto"/>
        <w:tabs>
          <w:tab w:leader="none" w:pos="414" w:val="left"/>
        </w:tabs>
        <w:numPr>
          <w:ilvl w:val="0"/>
          <w:numId w:val="3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will initially be may be diluted by the only classes of AT&amp;T Comcast issuances of other capital stock with voting</w:t>
      </w:r>
    </w:p>
    <w:p>
      <w:pPr>
        <w:sectPr>
          <w:pgSz w:w="11900" w:h="16857" w:orient="portrait"/>
          <w:cols w:equalWidth="0" w:num="1">
            <w:col w:w="10219"/>
          </w:cols>
          <w:pgMar w:left="240" w:top="142" w:right="1440" w:bottom="0" w:gutter="0" w:footer="0" w:header="0"/>
        </w:sectPr>
      </w:pPr>
    </w:p>
    <w:bookmarkStart w:id="348" w:name="page349"/>
    <w:bookmarkEnd w:id="348"/>
    <w:p>
      <w:pPr>
        <w:jc w:val="center"/>
        <w:ind w:right="901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classes of</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stock with</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voting</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Unlike the</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classes of</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voting</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subject to</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specified</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exceptions,</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the voting</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interests</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of the AT&amp;T</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stock (33</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1/3%) and,</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under the</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Alternative</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Structure,</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(5.14%)</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will not be</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diluted by</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issuances</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of other</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classes of</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stock with</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voting</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rights. See</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of AT&amp;T</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Stock."</w:t>
      </w:r>
    </w:p>
    <w:p>
      <w:pPr>
        <w:spacing w:after="0" w:line="200" w:lineRule="exact"/>
        <w:rPr>
          <w:sz w:val="20"/>
          <w:szCs w:val="20"/>
          <w:color w:val="auto"/>
        </w:rPr>
      </w:pPr>
    </w:p>
    <w:p>
      <w:pPr>
        <w:spacing w:after="0" w:line="212"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XIV-2</w:t>
      </w:r>
    </w:p>
    <w:p>
      <w:pPr>
        <w:sectPr>
          <w:pgSz w:w="11900" w:h="16838" w:orient="portrait"/>
          <w:cols w:equalWidth="0" w:num="1">
            <w:col w:w="10159"/>
          </w:cols>
          <w:pgMar w:left="300" w:top="141" w:right="1440" w:bottom="1440" w:gutter="0" w:footer="0" w:header="0"/>
        </w:sectPr>
      </w:pPr>
    </w:p>
    <w:bookmarkStart w:id="349" w:name="page350"/>
    <w:bookmarkEnd w:id="349"/>
    <w:p>
      <w:pPr>
        <w:jc w:val="center"/>
        <w:ind w:right="889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RIGHTS AT&amp;T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Approval</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Rights: No</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class of</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AT&amp;T capital</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stock has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Under the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Preferred</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Structure,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 approval</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rights over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any</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corporate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holders of</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actions,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other than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charter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amendments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voting as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single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class, would</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and other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fundamental</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changes, as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have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approval</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rights over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numerous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required by</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law.</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specified</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corporate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actions.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Under the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Alternative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Structure,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 holders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of AT&amp;T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and AT&amp;T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voting</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together as</w:t>
      </w:r>
    </w:p>
    <w:p>
      <w:pPr>
        <w:spacing w:after="0" w:line="9" w:lineRule="exact"/>
        <w:rPr>
          <w:sz w:val="20"/>
          <w:szCs w:val="20"/>
          <w:color w:val="auto"/>
        </w:rPr>
      </w:pPr>
    </w:p>
    <w:p>
      <w:pPr>
        <w:ind w:right="8899" w:firstLine="207"/>
        <w:spacing w:after="0" w:line="251" w:lineRule="auto"/>
        <w:tabs>
          <w:tab w:leader="none" w:pos="419" w:val="left"/>
        </w:tabs>
        <w:numPr>
          <w:ilvl w:val="1"/>
          <w:numId w:val="3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single class, would</w:t>
      </w: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have</w:t>
      </w:r>
    </w:p>
    <w:p>
      <w:pPr>
        <w:spacing w:after="0" w:line="8"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approval</w:t>
      </w:r>
    </w:p>
    <w:p>
      <w:pPr>
        <w:spacing w:after="0" w:line="8" w:lineRule="exact"/>
        <w:rPr>
          <w:rFonts w:ascii="Courier New" w:cs="Courier New" w:eastAsia="Courier New" w:hAnsi="Courier New"/>
          <w:sz w:val="17"/>
          <w:szCs w:val="17"/>
          <w:color w:val="auto"/>
        </w:rPr>
      </w:pPr>
    </w:p>
    <w:p>
      <w:pPr>
        <w:ind w:left="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rights over</w:t>
      </w:r>
    </w:p>
    <w:p>
      <w:pPr>
        <w:spacing w:after="0" w:line="8"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numerous</w:t>
      </w:r>
    </w:p>
    <w:p>
      <w:pPr>
        <w:spacing w:after="0" w:line="8" w:lineRule="exact"/>
        <w:rPr>
          <w:rFonts w:ascii="Courier New" w:cs="Courier New" w:eastAsia="Courier New" w:hAnsi="Courier New"/>
          <w:sz w:val="17"/>
          <w:szCs w:val="17"/>
          <w:color w:val="auto"/>
        </w:rPr>
      </w:pPr>
    </w:p>
    <w:p>
      <w:pPr>
        <w:jc w:val="center"/>
        <w:ind w:right="8899" w:firstLine="157"/>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specified corporate actions. See "-- Description of AT&amp;T Comcast Capital Stock -- AT&amp;T Comcast Class B Common Stock</w:t>
      </w:r>
    </w:p>
    <w:p>
      <w:pPr>
        <w:ind w:left="200" w:right="8959" w:hanging="151"/>
        <w:spacing w:after="0" w:line="251" w:lineRule="auto"/>
        <w:tabs>
          <w:tab w:leader="none" w:pos="357" w:val="left"/>
        </w:tabs>
        <w:numPr>
          <w:ilvl w:val="0"/>
          <w:numId w:val="3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Rights."</w:t>
      </w:r>
    </w:p>
    <w:p>
      <w:pPr>
        <w:jc w:val="center"/>
        <w:ind w:right="8899"/>
        <w:spacing w:after="0"/>
        <w:rPr>
          <w:sz w:val="20"/>
          <w:szCs w:val="20"/>
          <w:color w:val="auto"/>
        </w:rPr>
      </w:pPr>
      <w:r>
        <w:rPr>
          <w:rFonts w:ascii="Courier New" w:cs="Courier New" w:eastAsia="Courier New" w:hAnsi="Courier New"/>
          <w:sz w:val="17"/>
          <w:szCs w:val="17"/>
          <w:color w:val="auto"/>
        </w:rPr>
        <w:t>Conversions: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shares</w:t>
      </w:r>
    </w:p>
    <w:p>
      <w:pPr>
        <w:sectPr>
          <w:pgSz w:w="11900" w:h="16838" w:orient="portrait"/>
          <w:cols w:equalWidth="0" w:num="1">
            <w:col w:w="10159"/>
          </w:cols>
          <w:pgMar w:left="300" w:top="719" w:right="1440" w:bottom="0" w:gutter="0" w:footer="0" w:header="0"/>
        </w:sectPr>
      </w:pPr>
    </w:p>
    <w:bookmarkStart w:id="350" w:name="page351"/>
    <w:bookmarkEnd w:id="350"/>
    <w:p>
      <w:pPr>
        <w:spacing w:after="0" w:line="10"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are not Each</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convertible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into any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other class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common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convertible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into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 one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Special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or, under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Alternative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Structure,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C</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Election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entire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Board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is elected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term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initial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annually.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expire 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date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2005</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which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 the first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held after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completion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Thereafter,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entire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 elected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annually.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Governance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Arrangements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Following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right"/>
        <w:ind w:left="320" w:right="9159" w:hanging="1"/>
        <w:spacing w:after="0" w:line="251" w:lineRule="auto"/>
        <w:tabs>
          <w:tab w:leader="none" w:pos="634" w:val="left"/>
        </w:tabs>
        <w:numPr>
          <w:ilvl w:val="0"/>
          <w:numId w:val="3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Comcast</w:t>
      </w:r>
    </w:p>
    <w:p>
      <w:pPr>
        <w:jc w:val="center"/>
        <w:ind w:right="8859"/>
        <w:spacing w:after="0"/>
        <w:rPr>
          <w:sz w:val="20"/>
          <w:szCs w:val="20"/>
          <w:color w:val="auto"/>
        </w:rPr>
      </w:pPr>
      <w:r>
        <w:rPr>
          <w:rFonts w:ascii="Courier New" w:cs="Courier New" w:eastAsia="Courier New" w:hAnsi="Courier New"/>
          <w:sz w:val="17"/>
          <w:szCs w:val="17"/>
          <w:color w:val="auto"/>
        </w:rPr>
        <w:t>Board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Number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Board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currently</w:t>
      </w:r>
    </w:p>
    <w:p>
      <w:pPr>
        <w:sectPr>
          <w:pgSz w:w="11900" w:h="16849" w:orient="portrait"/>
          <w:cols w:equalWidth="0" w:num="1">
            <w:col w:w="10219"/>
          </w:cols>
          <w:pgMar w:left="240" w:top="142" w:right="1440" w:bottom="0" w:gutter="0" w:footer="0" w:header="0"/>
        </w:sectPr>
      </w:pPr>
    </w:p>
    <w:bookmarkStart w:id="351" w:name="page352"/>
    <w:bookmarkEnd w:id="351"/>
    <w:p>
      <w:pPr>
        <w:jc w:val="center"/>
        <w:ind w:right="8859"/>
        <w:spacing w:after="0"/>
        <w:rPr>
          <w:sz w:val="20"/>
          <w:szCs w:val="20"/>
          <w:color w:val="auto"/>
        </w:rPr>
      </w:pPr>
      <w:r>
        <w:rPr>
          <w:rFonts w:ascii="Courier New" w:cs="Courier New" w:eastAsia="Courier New" w:hAnsi="Courier New"/>
          <w:sz w:val="17"/>
          <w:szCs w:val="17"/>
          <w:color w:val="auto"/>
        </w:rPr>
        <w:t>consists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11 From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completion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may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fix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until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2005 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number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 at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any number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between 10</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and 25.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consist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12</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Governance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Arrangements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Following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200" w:lineRule="exact"/>
        <w:rPr>
          <w:sz w:val="20"/>
          <w:szCs w:val="20"/>
          <w:color w:val="auto"/>
        </w:rPr>
      </w:pPr>
    </w:p>
    <w:p>
      <w:pPr>
        <w:spacing w:after="0" w:line="212"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XIV-3</w:t>
      </w:r>
    </w:p>
    <w:p>
      <w:pPr>
        <w:sectPr>
          <w:pgSz w:w="11900" w:h="16838" w:orient="portrait"/>
          <w:cols w:equalWidth="0" w:num="1">
            <w:col w:w="10219"/>
          </w:cols>
          <w:pgMar w:left="240" w:top="142" w:right="1440" w:bottom="1440" w:gutter="0" w:footer="0" w:header="0"/>
        </w:sectPr>
      </w:pPr>
    </w:p>
    <w:bookmarkStart w:id="352" w:name="page353"/>
    <w:bookmarkEnd w:id="352"/>
    <w:p>
      <w:pPr>
        <w:jc w:val="center"/>
        <w:ind w:right="88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RIGHTS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right"/>
        <w:ind w:left="320" w:right="9159" w:hanging="1"/>
        <w:spacing w:after="0" w:line="251" w:lineRule="auto"/>
        <w:tabs>
          <w:tab w:leader="none" w:pos="634" w:val="left"/>
        </w:tabs>
        <w:numPr>
          <w:ilvl w:val="0"/>
          <w:numId w:val="3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Comcast</w:t>
      </w:r>
    </w:p>
    <w:p>
      <w:pPr>
        <w:jc w:val="center"/>
        <w:ind w:right="8859"/>
        <w:spacing w:after="0"/>
        <w:rPr>
          <w:sz w:val="20"/>
          <w:szCs w:val="20"/>
          <w:color w:val="auto"/>
        </w:rPr>
      </w:pPr>
      <w:r>
        <w:rPr>
          <w:rFonts w:ascii="Courier New" w:cs="Courier New" w:eastAsia="Courier New" w:hAnsi="Courier New"/>
          <w:sz w:val="17"/>
          <w:szCs w:val="17"/>
          <w:color w:val="auto"/>
        </w:rPr>
        <w:t>Board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Thereafter,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determine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number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on 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Vacancies: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Vacancies 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may be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From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completion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filled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remaining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until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2005 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or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vacancies 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 filled as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described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above in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Governance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Arrangements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Following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right"/>
        <w:ind w:left="320" w:right="9159" w:hanging="1"/>
        <w:spacing w:after="0" w:line="251" w:lineRule="auto"/>
        <w:tabs>
          <w:tab w:leader="none" w:pos="634" w:val="left"/>
        </w:tabs>
        <w:numPr>
          <w:ilvl w:val="0"/>
          <w:numId w:val="3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Comcast</w:t>
      </w:r>
    </w:p>
    <w:p>
      <w:pPr>
        <w:jc w:val="center"/>
        <w:ind w:right="8859"/>
        <w:spacing w:after="0"/>
        <w:rPr>
          <w:sz w:val="20"/>
          <w:szCs w:val="20"/>
          <w:color w:val="auto"/>
        </w:rPr>
      </w:pPr>
      <w:r>
        <w:rPr>
          <w:rFonts w:ascii="Courier New" w:cs="Courier New" w:eastAsia="Courier New" w:hAnsi="Courier New"/>
          <w:sz w:val="17"/>
          <w:szCs w:val="17"/>
          <w:color w:val="auto"/>
        </w:rPr>
        <w:t>Board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After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2005 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vacancies 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may be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filled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remaining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 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by 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Nominations</w:t>
      </w:r>
    </w:p>
    <w:p>
      <w:pPr>
        <w:sectPr>
          <w:pgSz w:w="11900" w:h="16838" w:orient="portrait"/>
          <w:cols w:equalWidth="0" w:num="1">
            <w:col w:w="10219"/>
          </w:cols>
          <w:pgMar w:left="240" w:top="719" w:right="1440" w:bottom="0" w:gutter="0" w:footer="0" w:header="0"/>
        </w:sectPr>
      </w:pPr>
    </w:p>
    <w:bookmarkStart w:id="353" w:name="page354"/>
    <w:bookmarkEnd w:id="353"/>
    <w:p>
      <w:pPr>
        <w:spacing w:after="0" w:line="10"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Nominations</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individuals</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for election</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Nominations</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individuals</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for</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to the AT&amp;T</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Board may be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made by the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election to</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Board AT&amp;T</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Board (or a</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committee of</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will be made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by the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Board) or by</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any AT&amp;T</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who</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Nominating</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Committee.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See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is entitled</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to vote and</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follows the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Governance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Arrangements</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Following</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proper</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notice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procedures.</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ind w:left="103" w:right="8899" w:hanging="103"/>
        <w:spacing w:after="0" w:line="251" w:lineRule="auto"/>
        <w:tabs>
          <w:tab w:leader="none" w:pos="312" w:val="left"/>
        </w:tabs>
        <w:numPr>
          <w:ilvl w:val="0"/>
          <w:numId w:val="3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Nominating</w:t>
      </w:r>
    </w:p>
    <w:p>
      <w:pPr>
        <w:jc w:val="center"/>
        <w:ind w:right="8896"/>
        <w:spacing w:after="0"/>
        <w:rPr>
          <w:sz w:val="20"/>
          <w:szCs w:val="20"/>
          <w:color w:val="auto"/>
        </w:rPr>
      </w:pPr>
      <w:r>
        <w:rPr>
          <w:rFonts w:ascii="Courier New" w:cs="Courier New" w:eastAsia="Courier New" w:hAnsi="Courier New"/>
          <w:sz w:val="17"/>
          <w:szCs w:val="17"/>
          <w:color w:val="auto"/>
        </w:rPr>
        <w:t>Committee."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In addition,</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any AT&amp;T</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who follows</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the proper</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notice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procedures</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will be able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to nominate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individuals</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for election</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to the AT&amp;T</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Board.</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Quorum: The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holders of</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40% of the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outstanding</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The holders</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of shares of</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AT&amp;T common</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constitute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entitled to</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cast a a</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quorum for</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of majority</w:t>
      </w:r>
    </w:p>
    <w:p>
      <w:pPr>
        <w:spacing w:after="0" w:line="9" w:lineRule="exact"/>
        <w:rPr>
          <w:sz w:val="20"/>
          <w:szCs w:val="20"/>
          <w:color w:val="auto"/>
        </w:rPr>
      </w:pPr>
    </w:p>
    <w:p>
      <w:pPr>
        <w:jc w:val="center"/>
        <w:ind w:right="8896"/>
        <w:spacing w:after="0"/>
        <w:rPr>
          <w:sz w:val="20"/>
          <w:szCs w:val="20"/>
          <w:color w:val="auto"/>
        </w:rPr>
      </w:pPr>
      <w:r>
        <w:rPr>
          <w:rFonts w:ascii="Courier New" w:cs="Courier New" w:eastAsia="Courier New" w:hAnsi="Courier New"/>
          <w:sz w:val="17"/>
          <w:szCs w:val="17"/>
          <w:color w:val="auto"/>
        </w:rPr>
        <w:t>of the votes</w:t>
      </w:r>
    </w:p>
    <w:p>
      <w:pPr>
        <w:sectPr>
          <w:pgSz w:w="11900" w:h="16849" w:orient="portrait"/>
          <w:cols w:equalWidth="0" w:num="1">
            <w:col w:w="10162"/>
          </w:cols>
          <w:pgMar w:left="297" w:top="142" w:right="1440" w:bottom="0" w:gutter="0" w:footer="0" w:header="0"/>
        </w:sectPr>
      </w:pPr>
    </w:p>
    <w:bookmarkStart w:id="354" w:name="page355"/>
    <w:bookmarkEnd w:id="354"/>
    <w:p>
      <w:pPr>
        <w:spacing w:after="0" w:line="11"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that all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business at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 meeting of</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are entitled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cast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constitute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quorum for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business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 a meeting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Subject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certain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exceptions,</w:t>
      </w:r>
    </w:p>
    <w:p>
      <w:pPr>
        <w:spacing w:after="0" w:line="9" w:lineRule="exact"/>
        <w:rPr>
          <w:sz w:val="20"/>
          <w:szCs w:val="20"/>
          <w:color w:val="auto"/>
        </w:rPr>
      </w:pPr>
    </w:p>
    <w:p>
      <w:pPr>
        <w:ind w:left="160" w:right="9019" w:firstLine="107"/>
        <w:spacing w:after="0" w:line="251" w:lineRule="auto"/>
        <w:tabs>
          <w:tab w:leader="none" w:pos="474" w:val="left"/>
        </w:tabs>
        <w:numPr>
          <w:ilvl w:val="0"/>
          <w:numId w:val="3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 Subject to certain</w:t>
      </w:r>
    </w:p>
    <w:p>
      <w:pPr>
        <w:ind w:left="100"/>
        <w:spacing w:after="0"/>
        <w:rPr>
          <w:sz w:val="20"/>
          <w:szCs w:val="20"/>
          <w:color w:val="auto"/>
        </w:rPr>
      </w:pPr>
      <w:r>
        <w:rPr>
          <w:rFonts w:ascii="Courier New" w:cs="Courier New" w:eastAsia="Courier New" w:hAnsi="Courier New"/>
          <w:sz w:val="17"/>
          <w:szCs w:val="17"/>
          <w:color w:val="auto"/>
        </w:rPr>
        <w:t>exceptions,</w:t>
      </w:r>
    </w:p>
    <w:p>
      <w:pPr>
        <w:spacing w:after="0" w:line="9" w:lineRule="exact"/>
        <w:rPr>
          <w:sz w:val="20"/>
          <w:szCs w:val="20"/>
          <w:color w:val="auto"/>
        </w:rPr>
      </w:pPr>
    </w:p>
    <w:p>
      <w:pPr>
        <w:ind w:left="480" w:right="9019" w:hanging="318"/>
        <w:spacing w:after="0" w:line="251" w:lineRule="auto"/>
        <w:tabs>
          <w:tab w:leader="none" w:pos="375" w:val="left"/>
        </w:tabs>
        <w:numPr>
          <w:ilvl w:val="0"/>
          <w:numId w:val="3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of a</w:t>
      </w:r>
    </w:p>
    <w:p>
      <w:pPr>
        <w:jc w:val="center"/>
        <w:ind w:right="8859"/>
        <w:spacing w:after="0"/>
        <w:rPr>
          <w:sz w:val="20"/>
          <w:szCs w:val="20"/>
          <w:color w:val="auto"/>
        </w:rPr>
      </w:pPr>
      <w:r>
        <w:rPr>
          <w:rFonts w:ascii="Courier New" w:cs="Courier New" w:eastAsia="Courier New" w:hAnsi="Courier New"/>
          <w:sz w:val="17"/>
          <w:szCs w:val="17"/>
          <w:color w:val="auto"/>
        </w:rPr>
        <w:t>involving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or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sale of all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or merger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involving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or a Merger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or Sale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substantially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all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assets sale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all 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substantially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all of All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Substantially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generally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requires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approval of</w:t>
      </w:r>
    </w:p>
    <w:p>
      <w:pPr>
        <w:spacing w:after="0" w:line="9" w:lineRule="exact"/>
        <w:rPr>
          <w:sz w:val="20"/>
          <w:szCs w:val="20"/>
          <w:color w:val="auto"/>
        </w:rPr>
      </w:pPr>
    </w:p>
    <w:p>
      <w:pPr>
        <w:ind w:left="580" w:hanging="209"/>
        <w:spacing w:after="0"/>
        <w:tabs>
          <w:tab w:leader="none" w:pos="580" w:val="left"/>
        </w:tabs>
        <w:numPr>
          <w:ilvl w:val="0"/>
          <w:numId w:val="3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Comcast's</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generally</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will All</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majority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present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require the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approval of</w:t>
      </w:r>
    </w:p>
    <w:p>
      <w:pPr>
        <w:spacing w:after="0" w:line="9" w:lineRule="exact"/>
        <w:rPr>
          <w:sz w:val="20"/>
          <w:szCs w:val="20"/>
          <w:color w:val="auto"/>
        </w:rPr>
      </w:pPr>
    </w:p>
    <w:p>
      <w:pPr>
        <w:jc w:val="both"/>
        <w:ind w:left="220" w:right="9019" w:hanging="58"/>
        <w:spacing w:after="0" w:line="251" w:lineRule="auto"/>
        <w:tabs>
          <w:tab w:leader="none" w:pos="377" w:val="left"/>
        </w:tabs>
        <w:numPr>
          <w:ilvl w:val="0"/>
          <w:numId w:val="3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majority of voting</w:t>
      </w:r>
    </w:p>
    <w:p>
      <w:pPr>
        <w:jc w:val="center"/>
        <w:ind w:right="8859"/>
        <w:spacing w:after="0"/>
        <w:rPr>
          <w:sz w:val="20"/>
          <w:szCs w:val="20"/>
          <w:color w:val="auto"/>
        </w:rPr>
      </w:pPr>
      <w:r>
        <w:rPr>
          <w:rFonts w:ascii="Courier New" w:cs="Courier New" w:eastAsia="Courier New" w:hAnsi="Courier New"/>
          <w:sz w:val="17"/>
          <w:szCs w:val="17"/>
          <w:color w:val="auto"/>
        </w:rPr>
        <w:t>(assuming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quorum)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present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holders of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majority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voting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(assuming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quorum)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outstanding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common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holders of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majority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votes</w:t>
      </w:r>
    </w:p>
    <w:p>
      <w:pPr>
        <w:sectPr>
          <w:pgSz w:w="11900" w:h="16849" w:orient="portrait"/>
          <w:cols w:equalWidth="0" w:num="1">
            <w:col w:w="10219"/>
          </w:cols>
          <w:pgMar w:left="240" w:top="142" w:right="1440" w:bottom="0" w:gutter="0" w:footer="0" w:header="0"/>
        </w:sectPr>
      </w:pPr>
    </w:p>
    <w:bookmarkStart w:id="355" w:name="page356"/>
    <w:bookmarkEnd w:id="355"/>
    <w:p>
      <w:pPr>
        <w:jc w:val="center"/>
        <w:ind w:right="8899"/>
        <w:spacing w:after="0"/>
        <w:rPr>
          <w:sz w:val="20"/>
          <w:szCs w:val="20"/>
          <w:color w:val="auto"/>
        </w:rPr>
      </w:pPr>
      <w:r>
        <w:rPr>
          <w:rFonts w:ascii="Courier New" w:cs="Courier New" w:eastAsia="Courier New" w:hAnsi="Courier New"/>
          <w:sz w:val="17"/>
          <w:szCs w:val="17"/>
          <w:color w:val="auto"/>
        </w:rPr>
        <w:t>(assuming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quorum).</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cast by the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holders of</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entitled to</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vote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(assuming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quorum). In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addition,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subject to</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certain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exceptions,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 merger or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involving</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Comcast, in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each case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that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requires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approval,</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will also</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require the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approval of</w:t>
      </w:r>
    </w:p>
    <w:p>
      <w:pPr>
        <w:spacing w:after="0" w:line="9" w:lineRule="exact"/>
        <w:rPr>
          <w:sz w:val="20"/>
          <w:szCs w:val="20"/>
          <w:color w:val="auto"/>
        </w:rPr>
      </w:pPr>
    </w:p>
    <w:p>
      <w:pPr>
        <w:ind w:left="260" w:right="8959" w:hanging="211"/>
        <w:spacing w:after="0" w:line="251" w:lineRule="auto"/>
        <w:tabs>
          <w:tab w:leader="none" w:pos="469" w:val="left"/>
        </w:tabs>
        <w:numPr>
          <w:ilvl w:val="0"/>
          <w:numId w:val="3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AT&amp;T Comcast Class B common stock,</w:t>
      </w:r>
    </w:p>
    <w:p>
      <w:pPr>
        <w:jc w:val="center"/>
        <w:ind w:right="8899"/>
        <w:spacing w:after="0"/>
        <w:rPr>
          <w:sz w:val="20"/>
          <w:szCs w:val="20"/>
          <w:color w:val="auto"/>
        </w:rPr>
      </w:pPr>
      <w:r>
        <w:rPr>
          <w:rFonts w:ascii="Courier New" w:cs="Courier New" w:eastAsia="Courier New" w:hAnsi="Courier New"/>
          <w:sz w:val="17"/>
          <w:szCs w:val="17"/>
          <w:color w:val="auto"/>
        </w:rPr>
        <w:t>voting as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single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class, under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Preferred</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Structure,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and (2)</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holders of</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AT&amp;T</w:t>
      </w:r>
    </w:p>
    <w:p>
      <w:pPr>
        <w:spacing w:after="0" w:line="200" w:lineRule="exact"/>
        <w:rPr>
          <w:sz w:val="20"/>
          <w:szCs w:val="20"/>
          <w:color w:val="auto"/>
        </w:rPr>
      </w:pPr>
    </w:p>
    <w:p>
      <w:pPr>
        <w:spacing w:after="0" w:line="212"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XIV-4</w:t>
      </w:r>
    </w:p>
    <w:p>
      <w:pPr>
        <w:sectPr>
          <w:pgSz w:w="11900" w:h="16838" w:orient="portrait"/>
          <w:cols w:equalWidth="0" w:num="1">
            <w:col w:w="10159"/>
          </w:cols>
          <w:pgMar w:left="300" w:top="142" w:right="1440" w:bottom="1440" w:gutter="0" w:footer="0" w:header="0"/>
        </w:sectPr>
      </w:pPr>
    </w:p>
    <w:bookmarkStart w:id="356" w:name="page357"/>
    <w:bookmarkEnd w:id="356"/>
    <w:p>
      <w:pPr>
        <w:jc w:val="center"/>
        <w:ind w:right="88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RIGHTS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and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voting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together as</w:t>
      </w:r>
    </w:p>
    <w:p>
      <w:pPr>
        <w:spacing w:after="0" w:line="9" w:lineRule="exact"/>
        <w:rPr>
          <w:sz w:val="20"/>
          <w:szCs w:val="20"/>
          <w:color w:val="auto"/>
        </w:rPr>
      </w:pPr>
    </w:p>
    <w:p>
      <w:pPr>
        <w:ind w:left="60" w:right="8899" w:firstLine="207"/>
        <w:spacing w:after="0" w:line="251" w:lineRule="auto"/>
        <w:tabs>
          <w:tab w:leader="none" w:pos="479" w:val="left"/>
        </w:tabs>
        <w:numPr>
          <w:ilvl w:val="1"/>
          <w:numId w:val="3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single class, under</w:t>
      </w: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w:t>
      </w:r>
    </w:p>
    <w:p>
      <w:pPr>
        <w:spacing w:after="0" w:line="8" w:lineRule="exact"/>
        <w:rPr>
          <w:rFonts w:ascii="Courier New" w:cs="Courier New" w:eastAsia="Courier New" w:hAnsi="Courier New"/>
          <w:sz w:val="17"/>
          <w:szCs w:val="17"/>
          <w:color w:val="auto"/>
        </w:rPr>
      </w:pPr>
    </w:p>
    <w:p>
      <w:pPr>
        <w:jc w:val="both"/>
        <w:ind w:left="160" w:right="8959" w:hanging="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Alternative Structure.</w:t>
      </w: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See "--</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Description</w:t>
      </w:r>
    </w:p>
    <w:p>
      <w:pPr>
        <w:spacing w:after="0" w:line="8" w:lineRule="exact"/>
        <w:rPr>
          <w:rFonts w:ascii="Courier New" w:cs="Courier New" w:eastAsia="Courier New" w:hAnsi="Courier New"/>
          <w:sz w:val="17"/>
          <w:szCs w:val="17"/>
          <w:color w:val="auto"/>
        </w:rPr>
      </w:pPr>
    </w:p>
    <w:p>
      <w:pPr>
        <w:jc w:val="center"/>
        <w:ind w:left="60" w:right="8899" w:firstLine="26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AT&amp;T Comcast Capital Stock -- AT&amp;T Comcast Class B Common Stock</w:t>
      </w:r>
    </w:p>
    <w:p>
      <w:pPr>
        <w:ind w:left="260" w:right="8959" w:hanging="151"/>
        <w:spacing w:after="0" w:line="251" w:lineRule="auto"/>
        <w:tabs>
          <w:tab w:leader="none" w:pos="417" w:val="left"/>
        </w:tabs>
        <w:numPr>
          <w:ilvl w:val="0"/>
          <w:numId w:val="3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Rights."</w:t>
      </w:r>
    </w:p>
    <w:p>
      <w:pPr>
        <w:jc w:val="center"/>
        <w:ind w:right="8859"/>
        <w:spacing w:after="0"/>
        <w:rPr>
          <w:sz w:val="20"/>
          <w:szCs w:val="20"/>
          <w:color w:val="auto"/>
        </w:rPr>
      </w:pPr>
      <w:r>
        <w:rPr>
          <w:rFonts w:ascii="Courier New" w:cs="Courier New" w:eastAsia="Courier New" w:hAnsi="Courier New"/>
          <w:sz w:val="17"/>
          <w:szCs w:val="17"/>
          <w:color w:val="auto"/>
        </w:rPr>
        <w:t>Furthermore,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Sural LLC is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permitted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support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merger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involving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until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tenth</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anniversary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completion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unless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merger is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approved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disinterested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Agreements -</w:t>
      </w:r>
    </w:p>
    <w:p>
      <w:pPr>
        <w:spacing w:after="0" w:line="9" w:lineRule="exact"/>
        <w:rPr>
          <w:sz w:val="20"/>
          <w:szCs w:val="20"/>
          <w:color w:val="auto"/>
        </w:rPr>
      </w:pPr>
    </w:p>
    <w:p>
      <w:pPr>
        <w:ind w:left="640" w:hanging="216"/>
        <w:spacing w:after="0"/>
        <w:tabs>
          <w:tab w:leader="none" w:pos="640" w:val="left"/>
        </w:tabs>
        <w:numPr>
          <w:ilvl w:val="0"/>
          <w:numId w:val="3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Support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Agreement --</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Covenants."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who wants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bring An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who wants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Notice: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business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before, 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nominate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bring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business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before, or</w:t>
      </w:r>
    </w:p>
    <w:p>
      <w:pPr>
        <w:sectPr>
          <w:pgSz w:w="11900" w:h="16838" w:orient="portrait"/>
          <w:cols w:equalWidth="0" w:num="1">
            <w:col w:w="10219"/>
          </w:cols>
          <w:pgMar w:left="240" w:top="719" w:right="1440" w:bottom="0" w:gutter="0" w:footer="0" w:header="0"/>
        </w:sectPr>
      </w:pPr>
    </w:p>
    <w:bookmarkStart w:id="357" w:name="page358"/>
    <w:bookmarkEnd w:id="357"/>
    <w:p>
      <w:pPr>
        <w:spacing w:after="0" w:line="11"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nominate for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election at,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 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for election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 an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generally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must deliver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generally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will written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notice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not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less than 90</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 required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deliver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written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notice days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but not more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than 120</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days prior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 not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less than 60</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days to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first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anniversary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 but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not more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than 90 days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prior to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preceding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year's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first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anniversary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preceding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year's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Action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may not act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by Except as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described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below,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Written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Consent: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written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consent in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lieu of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will not be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able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(unless such</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act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written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consent in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lieu of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consent is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unanimous).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Holders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and, under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Alternative</w:t>
      </w:r>
    </w:p>
    <w:p>
      <w:pPr>
        <w:sectPr>
          <w:pgSz w:w="11900" w:h="16849" w:orient="portrait"/>
          <w:cols w:equalWidth="0" w:num="1">
            <w:col w:w="10219"/>
          </w:cols>
          <w:pgMar w:left="240" w:top="142" w:right="1440" w:bottom="0" w:gutter="0" w:footer="0" w:header="0"/>
        </w:sectPr>
      </w:pPr>
    </w:p>
    <w:bookmarkStart w:id="358" w:name="page359"/>
    <w:bookmarkEnd w:id="358"/>
    <w:p>
      <w:pPr>
        <w:spacing w:after="0" w:line="10"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Structure,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will be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permitted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act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written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consent in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lieu of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exercise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their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specific</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approval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rights over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certain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matters. See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Calling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Special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Chairman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Board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and 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have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have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right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call special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right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call special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Amendment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charter may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 amended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with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charter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 able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Charter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approval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majority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 amended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with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approval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 Bylaws: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present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voting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(assuming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majority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quorum)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holders of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majority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present and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voting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(assuming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quorum)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outstanding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common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and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holders of a</w:t>
      </w:r>
    </w:p>
    <w:p>
      <w:pPr>
        <w:sectPr>
          <w:pgSz w:w="11900" w:h="16849" w:orient="portrait"/>
          <w:cols w:equalWidth="0" w:num="1">
            <w:col w:w="10219"/>
          </w:cols>
          <w:pgMar w:left="240" w:top="142" w:right="1440" w:bottom="0" w:gutter="0" w:footer="0" w:header="0"/>
        </w:sectPr>
      </w:pPr>
    </w:p>
    <w:bookmarkStart w:id="359" w:name="page360"/>
    <w:bookmarkEnd w:id="359"/>
    <w:p>
      <w:pPr>
        <w:jc w:val="center"/>
        <w:ind w:right="8899"/>
        <w:spacing w:after="0"/>
        <w:rPr>
          <w:sz w:val="20"/>
          <w:szCs w:val="20"/>
          <w:color w:val="auto"/>
        </w:rPr>
      </w:pPr>
      <w:r>
        <w:rPr>
          <w:rFonts w:ascii="Courier New" w:cs="Courier New" w:eastAsia="Courier New" w:hAnsi="Courier New"/>
          <w:sz w:val="17"/>
          <w:szCs w:val="17"/>
          <w:color w:val="auto"/>
        </w:rPr>
        <w:t>majority of</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 stock</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(assuming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quorum).</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votes 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by AT&amp;T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entitled to</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vote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(assuming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quorum).</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However,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charter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amendments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that affect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director,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officer</w:t>
      </w:r>
    </w:p>
    <w:p>
      <w:pPr>
        <w:spacing w:after="0" w:line="200" w:lineRule="exact"/>
        <w:rPr>
          <w:sz w:val="20"/>
          <w:szCs w:val="20"/>
          <w:color w:val="auto"/>
        </w:rPr>
      </w:pPr>
    </w:p>
    <w:p>
      <w:pPr>
        <w:spacing w:after="0" w:line="212"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XIV-5</w:t>
      </w:r>
    </w:p>
    <w:p>
      <w:pPr>
        <w:sectPr>
          <w:pgSz w:w="11900" w:h="16838" w:orient="portrait"/>
          <w:cols w:equalWidth="0" w:num="1">
            <w:col w:w="10159"/>
          </w:cols>
          <w:pgMar w:left="300" w:top="142" w:right="1440" w:bottom="1440" w:gutter="0" w:footer="0" w:header="0"/>
        </w:sectPr>
      </w:pPr>
    </w:p>
    <w:bookmarkStart w:id="360" w:name="page361"/>
    <w:bookmarkEnd w:id="360"/>
    <w:p>
      <w:pPr>
        <w:jc w:val="center"/>
        <w:ind w:right="863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RIGHTS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RIGHTS The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bylaws may be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amended by the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and committee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arrangements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implemented</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AT&amp;T Board or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in connection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with the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will require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the approval of</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75% of the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entire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 Board</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until the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earlier to</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occur of (1)</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the date on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which Brian L.</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Roberts is no</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longer Chairman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of the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 Board</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or CEO of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 and</w:t>
      </w:r>
    </w:p>
    <w:p>
      <w:pPr>
        <w:spacing w:after="0" w:line="9" w:lineRule="exact"/>
        <w:rPr>
          <w:sz w:val="20"/>
          <w:szCs w:val="20"/>
          <w:color w:val="auto"/>
        </w:rPr>
      </w:pPr>
    </w:p>
    <w:p>
      <w:pPr>
        <w:jc w:val="both"/>
        <w:ind w:left="60" w:right="8639" w:hanging="53"/>
        <w:spacing w:after="0" w:line="251" w:lineRule="auto"/>
        <w:tabs>
          <w:tab w:leader="none" w:pos="427" w:val="left"/>
        </w:tabs>
        <w:numPr>
          <w:ilvl w:val="0"/>
          <w:numId w:val="3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April 2010, as well as the</w:t>
      </w: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approval</w:t>
      </w:r>
    </w:p>
    <w:p>
      <w:pPr>
        <w:spacing w:after="0" w:line="8" w:lineRule="exact"/>
        <w:rPr>
          <w:rFonts w:ascii="Courier New" w:cs="Courier New" w:eastAsia="Courier New" w:hAnsi="Courier New"/>
          <w:sz w:val="17"/>
          <w:szCs w:val="17"/>
          <w:color w:val="auto"/>
        </w:rPr>
      </w:pPr>
    </w:p>
    <w:p>
      <w:pPr>
        <w:jc w:val="center"/>
        <w:ind w:right="8639" w:firstLine="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referred to in the preceding sentence. The AT&amp;T Comcast bylaws will be able to be amended only by the AT&amp;T Comcast Board or by AT&amp;T Comcast shareholders with the approval of the AT&amp;T Comcast Board. Notwithstanding the foregoing, AT&amp;T Comcast charter and bylaw amendments that adversely affect the rights of the holders of the AT&amp;T Comcast Class B common stock will require the approval of the holders of the AT&amp;T Comcast Class B common stock, voting as a single class, under the Preferred Structure and the holders of the AT&amp;T</w:t>
      </w:r>
    </w:p>
    <w:p>
      <w:pPr>
        <w:sectPr>
          <w:pgSz w:w="11900" w:h="16838" w:orient="portrait"/>
          <w:cols w:equalWidth="0" w:num="1">
            <w:col w:w="10219"/>
          </w:cols>
          <w:pgMar w:left="240" w:top="719" w:right="1440" w:bottom="0" w:gutter="0" w:footer="0" w:header="0"/>
        </w:sectPr>
      </w:pPr>
    </w:p>
    <w:bookmarkStart w:id="361" w:name="page362"/>
    <w:bookmarkEnd w:id="361"/>
    <w:p>
      <w:pPr>
        <w:spacing w:after="0" w:line="1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 Class A</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and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 Class B</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voting together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as a single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class, under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the Alternative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Structure. See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 Description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of AT&amp;T Comcast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Capital Stock -</w:t>
      </w:r>
    </w:p>
    <w:p>
      <w:pPr>
        <w:spacing w:after="0" w:line="9" w:lineRule="exact"/>
        <w:rPr>
          <w:sz w:val="20"/>
          <w:szCs w:val="20"/>
          <w:color w:val="auto"/>
        </w:rPr>
      </w:pPr>
    </w:p>
    <w:p>
      <w:pPr>
        <w:jc w:val="both"/>
        <w:ind w:left="60" w:right="8699"/>
        <w:spacing w:after="0" w:line="251" w:lineRule="auto"/>
        <w:tabs>
          <w:tab w:leader="none" w:pos="270" w:val="left"/>
        </w:tabs>
        <w:numPr>
          <w:ilvl w:val="0"/>
          <w:numId w:val="3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Comcast Class B Common</w:t>
      </w:r>
    </w:p>
    <w:p>
      <w:pPr>
        <w:jc w:val="both"/>
        <w:ind w:left="380" w:right="89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Stock -- Approval Rights."</w:t>
      </w: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w:t>
      </w:r>
    </w:p>
    <w:p>
      <w:pPr>
        <w:spacing w:after="0" w:line="8" w:lineRule="exact"/>
        <w:rPr>
          <w:rFonts w:ascii="Courier New" w:cs="Courier New" w:eastAsia="Courier New" w:hAnsi="Courier New"/>
          <w:sz w:val="17"/>
          <w:szCs w:val="17"/>
          <w:color w:val="auto"/>
        </w:rPr>
      </w:pPr>
    </w:p>
    <w:p>
      <w:pPr>
        <w:ind w:left="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AT&amp;T does not</w:t>
      </w:r>
    </w:p>
    <w:p>
      <w:pPr>
        <w:spacing w:after="0" w:line="8" w:lineRule="exact"/>
        <w:rPr>
          <w:rFonts w:ascii="Courier New" w:cs="Courier New" w:eastAsia="Courier New" w:hAnsi="Courier New"/>
          <w:sz w:val="17"/>
          <w:szCs w:val="17"/>
          <w:color w:val="auto"/>
        </w:rPr>
      </w:pPr>
    </w:p>
    <w:p>
      <w:pPr>
        <w:ind w:left="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have a</w:t>
      </w:r>
    </w:p>
    <w:p>
      <w:pPr>
        <w:spacing w:after="0" w:line="8" w:lineRule="exact"/>
        <w:rPr>
          <w:rFonts w:ascii="Courier New" w:cs="Courier New" w:eastAsia="Courier New" w:hAnsi="Courier New"/>
          <w:sz w:val="17"/>
          <w:szCs w:val="17"/>
          <w:color w:val="auto"/>
        </w:rPr>
      </w:pPr>
    </w:p>
    <w:p>
      <w:pPr>
        <w:jc w:val="center"/>
        <w:ind w:left="60" w:right="8699" w:firstLine="157"/>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rights AT&amp;T Comcast will have a shareholder Rights Plan: plan. rights plan. See "-- Description of AT&amp;T Comcast Shareholder Rights Plan." The existence of this plan may deter potential acquirors from making an unsolicited takeover proposal or tender offer. See "-- Description of AT&amp;T Comcast Shareholder Rights Plan -- Anti-Takeover Effects." Business AT&amp;T has not opted out of New York's AT&amp;T Comcast has opted out of Combinations business combinations statute, which Pennsylvania's business combinations Statute: restricts a corporation's ability to statute, which restricts a engage in certain business combinations corporation's ability to engage in with holders of shares of capital stock certain business combinations</w:t>
      </w:r>
    </w:p>
    <w:p>
      <w:pPr>
        <w:sectPr>
          <w:pgSz w:w="11900" w:h="16857" w:orient="portrait"/>
          <w:cols w:equalWidth="0" w:num="1">
            <w:col w:w="10219"/>
          </w:cols>
          <w:pgMar w:left="240" w:top="142" w:right="1440" w:bottom="0" w:gutter="0" w:footer="0" w:header="0"/>
        </w:sectPr>
      </w:pPr>
    </w:p>
    <w:bookmarkStart w:id="362" w:name="page363"/>
    <w:bookmarkEnd w:id="362"/>
    <w:p>
      <w:pPr>
        <w:jc w:val="center"/>
        <w:ind w:right="8639"/>
        <w:spacing w:after="0"/>
        <w:rPr>
          <w:sz w:val="20"/>
          <w:szCs w:val="20"/>
          <w:color w:val="auto"/>
        </w:rPr>
      </w:pPr>
      <w:r>
        <w:rPr>
          <w:rFonts w:ascii="Courier New" w:cs="Courier New" w:eastAsia="Courier New" w:hAnsi="Courier New"/>
          <w:sz w:val="17"/>
          <w:szCs w:val="17"/>
          <w:color w:val="auto"/>
        </w:rPr>
        <w:t>with</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representing</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more than 20%</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of the holders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of shares of</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capital stock</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combined voting</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power, in an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election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representing</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more than 20%</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of the of</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directors, of a</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corporation's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combined voting</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power, in an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election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capital stock.</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of directors,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of a</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corporation's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capital stock.</w:t>
      </w:r>
    </w:p>
    <w:p>
      <w:pPr>
        <w:spacing w:after="0" w:line="200" w:lineRule="exact"/>
        <w:rPr>
          <w:sz w:val="20"/>
          <w:szCs w:val="20"/>
          <w:color w:val="auto"/>
        </w:rPr>
      </w:pPr>
    </w:p>
    <w:p>
      <w:pPr>
        <w:spacing w:after="0" w:line="212"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XIV-6</w:t>
      </w:r>
    </w:p>
    <w:p>
      <w:pPr>
        <w:sectPr>
          <w:pgSz w:w="11900" w:h="16838" w:orient="portrait"/>
          <w:cols w:equalWidth="0" w:num="1">
            <w:col w:w="10219"/>
          </w:cols>
          <w:pgMar w:left="240" w:top="142" w:right="1440" w:bottom="1440" w:gutter="0" w:footer="0" w:header="0"/>
        </w:sectPr>
      </w:pPr>
    </w:p>
    <w:bookmarkStart w:id="363" w:name="page364"/>
    <w:bookmarkEnd w:id="363"/>
    <w:p>
      <w:pPr>
        <w:ind w:right="2679"/>
        <w:spacing w:after="0" w:line="254" w:lineRule="auto"/>
        <w:rPr>
          <w:sz w:val="20"/>
          <w:szCs w:val="20"/>
          <w:color w:val="auto"/>
        </w:rPr>
      </w:pPr>
      <w:r>
        <w:rPr>
          <w:rFonts w:ascii="Courier New" w:cs="Courier New" w:eastAsia="Courier New" w:hAnsi="Courier New"/>
          <w:sz w:val="17"/>
          <w:szCs w:val="17"/>
          <w:color w:val="auto"/>
        </w:rPr>
        <w:t>SUMMARY OF MATERIAL DIFFERENCES BETWEEN THE CURRENT RIGHTS OF COMCAST SHAREHOLDERS AND THE RIGHTS THOSE SHAREHOLDERS WILL HAVE AS AT&amp;T COMCAST SHAREHOLDERS FOLLOWING THE COMPLETION OF THE TRANSACTION</w:t>
      </w:r>
    </w:p>
    <w:p>
      <w:pPr>
        <w:spacing w:after="0" w:line="19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RIGHTS AT&amp;T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Authorized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Capital The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authorized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capital stock</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of Comcast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Under the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Preferred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Structure,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the Stock:</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consists of</w:t>
      </w:r>
    </w:p>
    <w:p>
      <w:pPr>
        <w:spacing w:after="0" w:line="9" w:lineRule="exact"/>
        <w:rPr>
          <w:sz w:val="20"/>
          <w:szCs w:val="20"/>
          <w:color w:val="auto"/>
        </w:rPr>
      </w:pPr>
    </w:p>
    <w:p>
      <w:pPr>
        <w:ind w:left="260" w:right="8899" w:hanging="97"/>
        <w:spacing w:after="0" w:line="251" w:lineRule="auto"/>
        <w:tabs>
          <w:tab w:leader="none" w:pos="574" w:val="left"/>
        </w:tabs>
        <w:numPr>
          <w:ilvl w:val="0"/>
          <w:numId w:val="3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million shares of</w:t>
      </w:r>
    </w:p>
    <w:p>
      <w:pPr>
        <w:ind w:left="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Class</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authorized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capital stock</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of AT&amp;T A</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2.5 billion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Comcast would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consist of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7.5 billion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Special</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50 shares of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7.5 million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billion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Special and</w:t>
      </w:r>
    </w:p>
    <w:p>
      <w:pPr>
        <w:spacing w:after="0" w:line="9" w:lineRule="exact"/>
        <w:rPr>
          <w:sz w:val="20"/>
          <w:szCs w:val="20"/>
          <w:color w:val="auto"/>
        </w:rPr>
      </w:pPr>
    </w:p>
    <w:p>
      <w:pPr>
        <w:jc w:val="both"/>
        <w:ind w:left="260" w:right="8959" w:hanging="44"/>
        <w:spacing w:after="0" w:line="251" w:lineRule="auto"/>
        <w:tabs>
          <w:tab w:leader="none" w:pos="522" w:val="left"/>
        </w:tabs>
        <w:numPr>
          <w:ilvl w:val="0"/>
          <w:numId w:val="3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million shares of preferred</w:t>
      </w:r>
    </w:p>
    <w:p>
      <w:pPr>
        <w:ind w:left="60"/>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both"/>
        <w:ind w:left="260" w:right="8959" w:hanging="44"/>
        <w:spacing w:after="0" w:line="251" w:lineRule="auto"/>
        <w:tabs>
          <w:tab w:leader="none" w:pos="522" w:val="left"/>
        </w:tabs>
        <w:numPr>
          <w:ilvl w:val="0"/>
          <w:numId w:val="3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million shares of</w:t>
      </w:r>
    </w:p>
    <w:p>
      <w:pPr>
        <w:ind w:left="120"/>
        <w:spacing w:after="0"/>
        <w:rPr>
          <w:sz w:val="20"/>
          <w:szCs w:val="20"/>
          <w:color w:val="auto"/>
        </w:rPr>
      </w:pPr>
      <w:r>
        <w:rPr>
          <w:rFonts w:ascii="Courier New" w:cs="Courier New" w:eastAsia="Courier New" w:hAnsi="Courier New"/>
          <w:sz w:val="17"/>
          <w:szCs w:val="17"/>
          <w:color w:val="auto"/>
        </w:rPr>
        <w:t>stock. Class</w:t>
      </w:r>
    </w:p>
    <w:p>
      <w:pPr>
        <w:spacing w:after="0" w:line="9" w:lineRule="exact"/>
        <w:rPr>
          <w:sz w:val="20"/>
          <w:szCs w:val="20"/>
          <w:color w:val="auto"/>
        </w:rPr>
      </w:pPr>
    </w:p>
    <w:p>
      <w:pPr>
        <w:ind w:left="120" w:right="8859" w:firstLine="200"/>
        <w:spacing w:after="0" w:line="251" w:lineRule="auto"/>
        <w:tabs>
          <w:tab w:leader="none" w:pos="539" w:val="left"/>
        </w:tabs>
        <w:numPr>
          <w:ilvl w:val="0"/>
          <w:numId w:val="3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and 20</w:t>
      </w: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w:t>
      </w:r>
    </w:p>
    <w:p>
      <w:pPr>
        <w:spacing w:after="0" w:line="8" w:lineRule="exact"/>
        <w:rPr>
          <w:rFonts w:ascii="Courier New" w:cs="Courier New" w:eastAsia="Courier New" w:hAnsi="Courier New"/>
          <w:sz w:val="17"/>
          <w:szCs w:val="17"/>
          <w:color w:val="auto"/>
        </w:rPr>
      </w:pPr>
    </w:p>
    <w:p>
      <w:pPr>
        <w:jc w:val="center"/>
        <w:ind w:left="60" w:right="8799" w:firstLine="20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shares of preferred stock. Under the Alternative Structure, the authorized capital stock of AT&amp;T Comcast would consist of 200 million shares of Class A common stock, 7.5 billion shares of Class A Special common stock, 75 million shares of</w:t>
      </w:r>
    </w:p>
    <w:p>
      <w:pPr>
        <w:sectPr>
          <w:pgSz w:w="11900" w:h="16838" w:orient="portrait"/>
          <w:cols w:equalWidth="0" w:num="1">
            <w:col w:w="10219"/>
          </w:cols>
          <w:pgMar w:left="240" w:top="719" w:right="1440" w:bottom="0" w:gutter="0" w:footer="0" w:header="0"/>
        </w:sectPr>
      </w:pPr>
    </w:p>
    <w:bookmarkStart w:id="364" w:name="page365"/>
    <w:bookmarkEnd w:id="364"/>
    <w:p>
      <w:pPr>
        <w:jc w:val="center"/>
        <w:ind w:right="873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7.5 billion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Class C</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and 20</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million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shares of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preferred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stock. Voting</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Comcast Class</w:t>
      </w:r>
    </w:p>
    <w:p>
      <w:pPr>
        <w:spacing w:after="0" w:line="9" w:lineRule="exact"/>
        <w:rPr>
          <w:sz w:val="20"/>
          <w:szCs w:val="20"/>
          <w:color w:val="auto"/>
        </w:rPr>
      </w:pPr>
    </w:p>
    <w:p>
      <w:pPr>
        <w:jc w:val="both"/>
        <w:ind w:left="260" w:right="8999" w:firstLine="60"/>
        <w:spacing w:after="0" w:line="251" w:lineRule="auto"/>
        <w:tabs>
          <w:tab w:leader="none" w:pos="522" w:val="left"/>
        </w:tabs>
        <w:numPr>
          <w:ilvl w:val="0"/>
          <w:numId w:val="3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and</w:t>
      </w:r>
    </w:p>
    <w:p>
      <w:pPr>
        <w:jc w:val="center"/>
        <w:ind w:right="873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Comcast Class</w:t>
      </w:r>
    </w:p>
    <w:p>
      <w:pPr>
        <w:spacing w:after="0" w:line="9" w:lineRule="exact"/>
        <w:rPr>
          <w:sz w:val="20"/>
          <w:szCs w:val="20"/>
          <w:color w:val="auto"/>
        </w:rPr>
      </w:pPr>
    </w:p>
    <w:p>
      <w:pPr>
        <w:ind w:right="8739" w:firstLine="320"/>
        <w:spacing w:after="0" w:line="251" w:lineRule="auto"/>
        <w:tabs>
          <w:tab w:leader="none" w:pos="522" w:val="left"/>
        </w:tabs>
        <w:numPr>
          <w:ilvl w:val="0"/>
          <w:numId w:val="3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are the AT&amp;T Comcast Class B common stock and, only classes of Comcast capital stock under the Alternative Structure, AT&amp;T with voting rights (1 vote per share Comcast Class C common stock will and 15 votes per share, respectively). initially be the only classes of AT&amp;T Comcast capital stock with voting The voting interests of the holders of rights. the Comcast Class A common stock and Comcast Class B common stock (currently Unlike the other classes of AT&amp;T approximately 13.4% and 86.6%, Comcast voting stock, subject to respectively) may be diluted by specified exceptions, the voting issuances of other classes of Comcast interests of the AT&amp;T Comcast Class B capital stock with voting</w:t>
      </w:r>
    </w:p>
    <w:p>
      <w:pPr>
        <w:sectPr>
          <w:pgSz w:w="11900" w:h="16838" w:orient="portrait"/>
          <w:cols w:equalWidth="0" w:num="1">
            <w:col w:w="10219"/>
          </w:cols>
          <w:pgMar w:left="240" w:top="142" w:right="1440" w:bottom="624" w:gutter="0" w:footer="0" w:header="0"/>
        </w:sectPr>
      </w:pPr>
    </w:p>
    <w:bookmarkStart w:id="365" w:name="page366"/>
    <w:bookmarkEnd w:id="365"/>
    <w:p>
      <w:pPr>
        <w:spacing w:after="0" w:line="10"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(33 1/3%)</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and, under</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Alternative</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Structure,</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Comcast Class</w:t>
      </w:r>
    </w:p>
    <w:p>
      <w:pPr>
        <w:spacing w:after="0" w:line="9" w:lineRule="exact"/>
        <w:rPr>
          <w:sz w:val="20"/>
          <w:szCs w:val="20"/>
          <w:color w:val="auto"/>
        </w:rPr>
      </w:pPr>
    </w:p>
    <w:p>
      <w:pPr>
        <w:ind w:right="8799" w:firstLine="260"/>
        <w:spacing w:after="0" w:line="251" w:lineRule="auto"/>
        <w:tabs>
          <w:tab w:leader="none" w:pos="471" w:val="left"/>
        </w:tabs>
        <w:numPr>
          <w:ilvl w:val="0"/>
          <w:numId w:val="3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(5.14%) will not be diluted by issuances of other classes of AT&amp;T Comcast capital stock with voting rights. See "-- Description of AT&amp;T Comcast Capital Stock." Approval Rights: No class of Comcast capital stock has Under the Preferred Structure, the approval rights over any corporate holders of AT&amp;T Comcast Class B common actions, except as required by law. stock, voting as a single class, would have approval rights over numerous specified corporate actions. Under the Alternative Structure, the holders of AT&amp;T Comcast Class</w:t>
      </w:r>
    </w:p>
    <w:p>
      <w:pPr>
        <w:jc w:val="both"/>
        <w:ind w:left="200" w:right="8999" w:firstLine="60"/>
        <w:spacing w:after="0" w:line="251" w:lineRule="auto"/>
        <w:tabs>
          <w:tab w:leader="none" w:pos="462" w:val="left"/>
        </w:tabs>
        <w:numPr>
          <w:ilvl w:val="0"/>
          <w:numId w:val="3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and</w:t>
      </w:r>
    </w:p>
    <w:p>
      <w:pPr>
        <w:jc w:val="center"/>
        <w:ind w:right="879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voting</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together as a</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single class,</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would have</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approval</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rights over</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numerous</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specified</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corporate</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actions. See</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of AT&amp;T</w:t>
      </w:r>
    </w:p>
    <w:p>
      <w:pPr>
        <w:spacing w:after="0" w:line="9"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7"/>
          <w:szCs w:val="17"/>
          <w:color w:val="auto"/>
        </w:rPr>
        <w:t>Comcast</w:t>
      </w:r>
    </w:p>
    <w:p>
      <w:pPr>
        <w:sectPr>
          <w:pgSz w:w="11900" w:h="16849" w:orient="portrait"/>
          <w:cols w:equalWidth="0" w:num="1">
            <w:col w:w="10159"/>
          </w:cols>
          <w:pgMar w:left="300" w:top="141" w:right="1440" w:bottom="0" w:gutter="0" w:footer="0" w:header="0"/>
        </w:sectPr>
      </w:pPr>
    </w:p>
    <w:p>
      <w:pPr>
        <w:spacing w:after="0" w:line="200" w:lineRule="exact"/>
        <w:rPr>
          <w:sz w:val="20"/>
          <w:szCs w:val="20"/>
          <w:color w:val="auto"/>
        </w:rPr>
      </w:pPr>
    </w:p>
    <w:p>
      <w:pPr>
        <w:spacing w:after="0" w:line="21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XIV-7</w:t>
      </w:r>
    </w:p>
    <w:p>
      <w:pPr>
        <w:sectPr>
          <w:pgSz w:w="11900" w:h="16849" w:orient="portrait"/>
          <w:cols w:equalWidth="0" w:num="1">
            <w:col w:w="10159"/>
          </w:cols>
          <w:pgMar w:left="300" w:top="141" w:right="1440" w:bottom="0" w:gutter="0" w:footer="0" w:header="0"/>
          <w:type w:val="continuous"/>
        </w:sectPr>
      </w:pPr>
    </w:p>
    <w:bookmarkStart w:id="366" w:name="page367"/>
    <w:bookmarkEnd w:id="366"/>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RIGHTS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 --</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ind w:left="260" w:right="8959" w:hanging="151"/>
        <w:spacing w:after="0" w:line="251" w:lineRule="auto"/>
        <w:tabs>
          <w:tab w:leader="none" w:pos="417" w:val="left"/>
        </w:tabs>
        <w:numPr>
          <w:ilvl w:val="0"/>
          <w:numId w:val="3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Rights."</w:t>
      </w:r>
    </w:p>
    <w:p>
      <w:pPr>
        <w:jc w:val="center"/>
        <w:ind w:right="8859"/>
        <w:spacing w:after="0"/>
        <w:rPr>
          <w:sz w:val="20"/>
          <w:szCs w:val="20"/>
          <w:color w:val="auto"/>
        </w:rPr>
      </w:pPr>
      <w:r>
        <w:rPr>
          <w:rFonts w:ascii="Courier New" w:cs="Courier New" w:eastAsia="Courier New" w:hAnsi="Courier New"/>
          <w:sz w:val="17"/>
          <w:szCs w:val="17"/>
          <w:color w:val="auto"/>
        </w:rPr>
        <w:t>Conversions: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Each share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 Each</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 is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convertible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into one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will be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convertible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into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or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one share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Special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Special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or, under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Alternative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Structure,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Class C</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Election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entire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is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elected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term 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initial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annually.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expire 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date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2005</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which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 the first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held after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completion</w:t>
      </w:r>
    </w:p>
    <w:p>
      <w:pPr>
        <w:sectPr>
          <w:pgSz w:w="11900" w:h="16838" w:orient="portrait"/>
          <w:cols w:equalWidth="0" w:num="1">
            <w:col w:w="10219"/>
          </w:cols>
          <w:pgMar w:left="240" w:top="719" w:right="1440" w:bottom="0" w:gutter="0" w:footer="0" w:header="0"/>
        </w:sectPr>
      </w:pPr>
    </w:p>
    <w:bookmarkStart w:id="367" w:name="page368"/>
    <w:bookmarkEnd w:id="367"/>
    <w:p>
      <w:pPr>
        <w:spacing w:after="0" w:line="11"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Thereafter,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entire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 elected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annually.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Governance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Arrangements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Following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right"/>
        <w:ind w:left="320" w:right="9159" w:hanging="1"/>
        <w:spacing w:after="0" w:line="251" w:lineRule="auto"/>
        <w:tabs>
          <w:tab w:leader="none" w:pos="634" w:val="left"/>
        </w:tabs>
        <w:numPr>
          <w:ilvl w:val="0"/>
          <w:numId w:val="3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Comcast</w:t>
      </w:r>
    </w:p>
    <w:p>
      <w:pPr>
        <w:jc w:val="center"/>
        <w:ind w:right="8859"/>
        <w:spacing w:after="0"/>
        <w:rPr>
          <w:sz w:val="20"/>
          <w:szCs w:val="20"/>
          <w:color w:val="auto"/>
        </w:rPr>
      </w:pPr>
      <w:r>
        <w:rPr>
          <w:rFonts w:ascii="Courier New" w:cs="Courier New" w:eastAsia="Courier New" w:hAnsi="Courier New"/>
          <w:sz w:val="17"/>
          <w:szCs w:val="17"/>
          <w:color w:val="auto"/>
        </w:rPr>
        <w:t>Board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Removal of</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may be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removed,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with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will be able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without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cause,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 removed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only for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cause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Number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currently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consists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From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completion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ten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may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until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2005 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change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number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 at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time.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will consist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12</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Governance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Arrangements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Following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right"/>
        <w:ind w:left="320" w:right="9159" w:hanging="1"/>
        <w:spacing w:after="0" w:line="251" w:lineRule="auto"/>
        <w:tabs>
          <w:tab w:leader="none" w:pos="634" w:val="left"/>
        </w:tabs>
        <w:numPr>
          <w:ilvl w:val="0"/>
          <w:numId w:val="3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Comcast</w:t>
      </w:r>
    </w:p>
    <w:p>
      <w:pPr>
        <w:ind w:left="260"/>
        <w:spacing w:after="0"/>
        <w:rPr>
          <w:sz w:val="20"/>
          <w:szCs w:val="20"/>
          <w:color w:val="auto"/>
        </w:rPr>
      </w:pPr>
      <w:r>
        <w:rPr>
          <w:rFonts w:ascii="Courier New" w:cs="Courier New" w:eastAsia="Courier New" w:hAnsi="Courier New"/>
          <w:sz w:val="17"/>
          <w:szCs w:val="17"/>
          <w:color w:val="auto"/>
        </w:rPr>
        <w:t>Board of</w:t>
      </w:r>
    </w:p>
    <w:p>
      <w:pPr>
        <w:sectPr>
          <w:pgSz w:w="11900" w:h="16849" w:orient="portrait"/>
          <w:cols w:equalWidth="0" w:num="1">
            <w:col w:w="10219"/>
          </w:cols>
          <w:pgMar w:left="240" w:top="142" w:right="1440" w:bottom="0" w:gutter="0" w:footer="0" w:header="0"/>
        </w:sectPr>
      </w:pPr>
    </w:p>
    <w:bookmarkStart w:id="368" w:name="page369"/>
    <w:bookmarkEnd w:id="368"/>
    <w:p>
      <w:pPr>
        <w:spacing w:after="0" w:line="10"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Thereafter,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determine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number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on 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Vacancies: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Vacancies 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may be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From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completion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filled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remaining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until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2005 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 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by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vacancies 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 filled as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described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above in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Governance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Arrangements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Following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right"/>
        <w:ind w:left="320" w:right="9159" w:hanging="1"/>
        <w:spacing w:after="0" w:line="251" w:lineRule="auto"/>
        <w:tabs>
          <w:tab w:leader="none" w:pos="634" w:val="left"/>
        </w:tabs>
        <w:numPr>
          <w:ilvl w:val="0"/>
          <w:numId w:val="3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Comcast</w:t>
      </w:r>
    </w:p>
    <w:p>
      <w:pPr>
        <w:jc w:val="center"/>
        <w:ind w:right="8859"/>
        <w:spacing w:after="0"/>
        <w:rPr>
          <w:sz w:val="20"/>
          <w:szCs w:val="20"/>
          <w:color w:val="auto"/>
        </w:rPr>
      </w:pPr>
      <w:r>
        <w:rPr>
          <w:rFonts w:ascii="Courier New" w:cs="Courier New" w:eastAsia="Courier New" w:hAnsi="Courier New"/>
          <w:sz w:val="17"/>
          <w:szCs w:val="17"/>
          <w:color w:val="auto"/>
        </w:rPr>
        <w:t>Board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After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2005 annual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vacancies 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may be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filled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remaining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 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by 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Nominations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Nominations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individuals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for election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Nominations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individuals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ectPr>
          <w:pgSz w:w="11900" w:h="16849" w:orient="portrait"/>
          <w:cols w:equalWidth="0" w:num="1">
            <w:col w:w="10219"/>
          </w:cols>
          <w:pgMar w:left="240" w:top="141" w:right="1440" w:bottom="0" w:gutter="0" w:footer="0" w:header="0"/>
        </w:sectPr>
      </w:pPr>
    </w:p>
    <w:bookmarkStart w:id="369" w:name="page370"/>
    <w:bookmarkEnd w:id="369"/>
    <w:p>
      <w:pPr>
        <w:jc w:val="center"/>
        <w:ind w:right="8899"/>
        <w:spacing w:after="0"/>
        <w:rPr>
          <w:sz w:val="20"/>
          <w:szCs w:val="20"/>
          <w:color w:val="auto"/>
        </w:rPr>
      </w:pPr>
      <w:r>
        <w:rPr>
          <w:rFonts w:ascii="Courier New" w:cs="Courier New" w:eastAsia="Courier New" w:hAnsi="Courier New"/>
          <w:sz w:val="17"/>
          <w:szCs w:val="17"/>
          <w:color w:val="auto"/>
        </w:rPr>
        <w:t>Board may be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made by the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election to</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Board</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Board (or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will be made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by the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Directors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Nominating</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Committee.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See</w:t>
      </w:r>
    </w:p>
    <w:p>
      <w:pPr>
        <w:spacing w:after="0" w:line="200" w:lineRule="exact"/>
        <w:rPr>
          <w:sz w:val="20"/>
          <w:szCs w:val="20"/>
          <w:color w:val="auto"/>
        </w:rPr>
      </w:pPr>
    </w:p>
    <w:p>
      <w:pPr>
        <w:spacing w:after="0" w:line="212"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XIV-8</w:t>
      </w:r>
    </w:p>
    <w:p>
      <w:pPr>
        <w:sectPr>
          <w:pgSz w:w="11900" w:h="16838" w:orient="portrait"/>
          <w:cols w:equalWidth="0" w:num="1">
            <w:col w:w="10159"/>
          </w:cols>
          <w:pgMar w:left="300" w:top="142" w:right="1440" w:bottom="1440" w:gutter="0" w:footer="0" w:header="0"/>
        </w:sectPr>
      </w:pPr>
    </w:p>
    <w:bookmarkStart w:id="370" w:name="page371"/>
    <w:bookmarkEnd w:id="370"/>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RIGHTS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RIGHTS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committee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 or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Governance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any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who follows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Arrangements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Following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proper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notice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procedures.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ind w:left="160" w:right="8899" w:hanging="103"/>
        <w:spacing w:after="0" w:line="251" w:lineRule="auto"/>
        <w:tabs>
          <w:tab w:leader="none" w:pos="369" w:val="left"/>
        </w:tabs>
        <w:numPr>
          <w:ilvl w:val="0"/>
          <w:numId w:val="3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Nominating</w:t>
      </w:r>
    </w:p>
    <w:p>
      <w:pPr>
        <w:jc w:val="center"/>
        <w:ind w:right="8859"/>
        <w:spacing w:after="0"/>
        <w:rPr>
          <w:sz w:val="20"/>
          <w:szCs w:val="20"/>
          <w:color w:val="auto"/>
        </w:rPr>
      </w:pPr>
      <w:r>
        <w:rPr>
          <w:rFonts w:ascii="Courier New" w:cs="Courier New" w:eastAsia="Courier New" w:hAnsi="Courier New"/>
          <w:sz w:val="17"/>
          <w:szCs w:val="17"/>
          <w:color w:val="auto"/>
        </w:rPr>
        <w:t>Committee."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 addition,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any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who follows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proper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notice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procedures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will be able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nominate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individuals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for election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Board.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Approval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Subject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certain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exceptions,</w:t>
      </w:r>
    </w:p>
    <w:p>
      <w:pPr>
        <w:spacing w:after="0" w:line="9" w:lineRule="exact"/>
        <w:rPr>
          <w:sz w:val="20"/>
          <w:szCs w:val="20"/>
          <w:color w:val="auto"/>
        </w:rPr>
      </w:pPr>
    </w:p>
    <w:p>
      <w:pPr>
        <w:ind w:left="160" w:right="9019" w:firstLine="107"/>
        <w:spacing w:after="0" w:line="251" w:lineRule="auto"/>
        <w:tabs>
          <w:tab w:leader="none" w:pos="474" w:val="left"/>
        </w:tabs>
        <w:numPr>
          <w:ilvl w:val="0"/>
          <w:numId w:val="3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 Subject to certain</w:t>
      </w:r>
    </w:p>
    <w:p>
      <w:pPr>
        <w:jc w:val="center"/>
        <w:ind w:right="8859"/>
        <w:spacing w:after="0"/>
        <w:rPr>
          <w:sz w:val="20"/>
          <w:szCs w:val="20"/>
          <w:color w:val="auto"/>
        </w:rPr>
      </w:pPr>
      <w:r>
        <w:rPr>
          <w:rFonts w:ascii="Courier New" w:cs="Courier New" w:eastAsia="Courier New" w:hAnsi="Courier New"/>
          <w:sz w:val="17"/>
          <w:szCs w:val="17"/>
          <w:color w:val="auto"/>
        </w:rPr>
        <w:t>exceptions,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 of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Merger 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Sale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involving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 or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sale of all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or merger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involving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or a All 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Substantially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substantially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all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assets sale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all or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substantially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all of All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generally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requires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approval of</w:t>
      </w:r>
    </w:p>
    <w:p>
      <w:pPr>
        <w:spacing w:after="0" w:line="9" w:lineRule="exact"/>
        <w:rPr>
          <w:sz w:val="20"/>
          <w:szCs w:val="20"/>
          <w:color w:val="auto"/>
        </w:rPr>
      </w:pPr>
    </w:p>
    <w:p>
      <w:pPr>
        <w:ind w:left="580" w:hanging="209"/>
        <w:spacing w:after="0"/>
        <w:tabs>
          <w:tab w:leader="none" w:pos="580" w:val="left"/>
        </w:tabs>
        <w:numPr>
          <w:ilvl w:val="0"/>
          <w:numId w:val="3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Comcast's</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generally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will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majority of</w:t>
      </w:r>
    </w:p>
    <w:p>
      <w:pPr>
        <w:sectPr>
          <w:pgSz w:w="11900" w:h="16838" w:orient="portrait"/>
          <w:cols w:equalWidth="0" w:num="1">
            <w:col w:w="10219"/>
          </w:cols>
          <w:pgMar w:left="240" w:top="719" w:right="1440" w:bottom="0" w:gutter="0" w:footer="0" w:header="0"/>
        </w:sectPr>
      </w:pPr>
    </w:p>
    <w:bookmarkStart w:id="371" w:name="page372"/>
    <w:bookmarkEnd w:id="371"/>
    <w:p>
      <w:pPr>
        <w:spacing w:after="0" w:line="1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 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Board</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present</w:t>
      </w:r>
    </w:p>
    <w:p>
      <w:pPr>
        <w:spacing w:after="0" w:line="9"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require the</w:t>
      </w:r>
    </w:p>
    <w:p>
      <w:pPr>
        <w:spacing w:after="0" w:line="9"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approval of</w:t>
      </w:r>
    </w:p>
    <w:p>
      <w:pPr>
        <w:spacing w:after="0" w:line="9" w:lineRule="exact"/>
        <w:rPr>
          <w:sz w:val="20"/>
          <w:szCs w:val="20"/>
          <w:color w:val="auto"/>
        </w:rPr>
      </w:pPr>
    </w:p>
    <w:p>
      <w:pPr>
        <w:ind w:left="320" w:right="9019" w:hanging="218"/>
        <w:spacing w:after="0" w:line="251" w:lineRule="auto"/>
        <w:tabs>
          <w:tab w:leader="none" w:pos="320" w:val="left"/>
        </w:tabs>
        <w:numPr>
          <w:ilvl w:val="0"/>
          <w:numId w:val="3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majority of and voting</w:t>
      </w:r>
    </w:p>
    <w:p>
      <w:pPr>
        <w:jc w:val="center"/>
        <w:ind w:right="8899"/>
        <w:spacing w:after="0"/>
        <w:rPr>
          <w:sz w:val="20"/>
          <w:szCs w:val="20"/>
          <w:color w:val="auto"/>
        </w:rPr>
      </w:pPr>
      <w:r>
        <w:rPr>
          <w:rFonts w:ascii="Courier New" w:cs="Courier New" w:eastAsia="Courier New" w:hAnsi="Courier New"/>
          <w:sz w:val="17"/>
          <w:szCs w:val="17"/>
          <w:color w:val="auto"/>
        </w:rPr>
        <w:t>(assuming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quorum) and</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 the AT&amp;T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Board</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present and</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holders of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majority of</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 votes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cast voting</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(assuming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quorum) and</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holders by</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 holders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of 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stock of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majority of</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 votes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cast by</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entitled to</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vote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(assuming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quorum).</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holders of</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entitled to</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vote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(assuming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quorum). In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addition,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subject to</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certain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exceptions,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 merger or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involving</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Comcast, in</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each case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that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requires</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approval,</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will also</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require the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approval of</w:t>
      </w:r>
    </w:p>
    <w:p>
      <w:pPr>
        <w:spacing w:after="0" w:line="9" w:lineRule="exact"/>
        <w:rPr>
          <w:sz w:val="20"/>
          <w:szCs w:val="20"/>
          <w:color w:val="auto"/>
        </w:rPr>
      </w:pPr>
    </w:p>
    <w:p>
      <w:pPr>
        <w:ind w:left="260" w:right="8959" w:hanging="211"/>
        <w:spacing w:after="0" w:line="251" w:lineRule="auto"/>
        <w:tabs>
          <w:tab w:leader="none" w:pos="469" w:val="left"/>
        </w:tabs>
        <w:numPr>
          <w:ilvl w:val="0"/>
          <w:numId w:val="3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AT&amp;T Comcast Class B common stock,</w:t>
      </w:r>
    </w:p>
    <w:p>
      <w:pPr>
        <w:jc w:val="center"/>
        <w:ind w:right="8899"/>
        <w:spacing w:after="0"/>
        <w:rPr>
          <w:sz w:val="20"/>
          <w:szCs w:val="20"/>
          <w:color w:val="auto"/>
        </w:rPr>
      </w:pPr>
      <w:r>
        <w:rPr>
          <w:rFonts w:ascii="Courier New" w:cs="Courier New" w:eastAsia="Courier New" w:hAnsi="Courier New"/>
          <w:sz w:val="17"/>
          <w:szCs w:val="17"/>
          <w:color w:val="auto"/>
        </w:rPr>
        <w:t>voting as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single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class, under</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the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Preferred</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Structure,</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and (2)</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holders of</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Class A</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and AT&amp;T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7"/>
          <w:szCs w:val="17"/>
          <w:color w:val="auto"/>
        </w:rPr>
        <w:t>Class B</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voting</w:t>
      </w:r>
    </w:p>
    <w:p>
      <w:pPr>
        <w:sectPr>
          <w:pgSz w:w="11900" w:h="16849" w:orient="portrait"/>
          <w:cols w:equalWidth="0" w:num="1">
            <w:col w:w="10159"/>
          </w:cols>
          <w:pgMar w:left="300" w:top="142" w:right="1440" w:bottom="0" w:gutter="0" w:footer="0" w:header="0"/>
        </w:sectPr>
      </w:pPr>
    </w:p>
    <w:bookmarkStart w:id="372" w:name="page373"/>
    <w:bookmarkEnd w:id="372"/>
    <w:p>
      <w:pPr>
        <w:ind w:left="100"/>
        <w:spacing w:after="0"/>
        <w:rPr>
          <w:sz w:val="20"/>
          <w:szCs w:val="20"/>
          <w:color w:val="auto"/>
        </w:rPr>
      </w:pPr>
      <w:r>
        <w:rPr>
          <w:rFonts w:ascii="Courier New" w:cs="Courier New" w:eastAsia="Courier New" w:hAnsi="Courier New"/>
          <w:sz w:val="17"/>
          <w:szCs w:val="17"/>
          <w:color w:val="auto"/>
        </w:rPr>
        <w:t>together as</w:t>
      </w:r>
    </w:p>
    <w:p>
      <w:pPr>
        <w:spacing w:after="0" w:line="9" w:lineRule="exact"/>
        <w:rPr>
          <w:sz w:val="20"/>
          <w:szCs w:val="20"/>
          <w:color w:val="auto"/>
        </w:rPr>
      </w:pPr>
    </w:p>
    <w:p>
      <w:pPr>
        <w:ind w:left="60" w:right="8899" w:firstLine="207"/>
        <w:spacing w:after="0" w:line="251" w:lineRule="auto"/>
        <w:tabs>
          <w:tab w:leader="none" w:pos="479" w:val="left"/>
        </w:tabs>
        <w:numPr>
          <w:ilvl w:val="1"/>
          <w:numId w:val="3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single class, under the Alternative Structure. See "-- Description of AT&amp;T Comcast Capital Stock -- AT&amp;T Comcast Class B Common Stock</w:t>
      </w:r>
    </w:p>
    <w:p>
      <w:pPr>
        <w:ind w:left="260" w:right="8959" w:hanging="151"/>
        <w:spacing w:after="0" w:line="251" w:lineRule="auto"/>
        <w:tabs>
          <w:tab w:leader="none" w:pos="417" w:val="left"/>
        </w:tabs>
        <w:numPr>
          <w:ilvl w:val="0"/>
          <w:numId w:val="3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Rights."</w:t>
      </w:r>
    </w:p>
    <w:p>
      <w:pPr>
        <w:jc w:val="center"/>
        <w:ind w:right="8859"/>
        <w:spacing w:after="0"/>
        <w:rPr>
          <w:sz w:val="20"/>
          <w:szCs w:val="20"/>
          <w:color w:val="auto"/>
        </w:rPr>
      </w:pPr>
      <w:r>
        <w:rPr>
          <w:rFonts w:ascii="Courier New" w:cs="Courier New" w:eastAsia="Courier New" w:hAnsi="Courier New"/>
          <w:sz w:val="17"/>
          <w:szCs w:val="17"/>
          <w:color w:val="auto"/>
        </w:rPr>
        <w:t>Furthermore,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Sural LLC is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not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permitted to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support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merger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involving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until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tenth</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anniversary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completion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unless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merger is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approved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disinterested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See "--</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Agreements -</w:t>
      </w:r>
    </w:p>
    <w:p>
      <w:pPr>
        <w:spacing w:after="0" w:line="9" w:lineRule="exact"/>
        <w:rPr>
          <w:sz w:val="20"/>
          <w:szCs w:val="20"/>
          <w:color w:val="auto"/>
        </w:rPr>
      </w:pPr>
    </w:p>
    <w:p>
      <w:pPr>
        <w:ind w:left="640" w:hanging="216"/>
        <w:spacing w:after="0"/>
        <w:tabs>
          <w:tab w:leader="none" w:pos="640" w:val="left"/>
        </w:tabs>
        <w:numPr>
          <w:ilvl w:val="0"/>
          <w:numId w:val="3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Support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Agreement --</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Covenants."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Action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Written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may not act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by Except as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described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below, AT&amp;T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Consent: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written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consent in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lieu of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will not be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able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(unless such</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to act by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written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consent in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lieu of 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consent is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unanimous).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meeting.</w:t>
      </w:r>
    </w:p>
    <w:p>
      <w:pPr>
        <w:sectPr>
          <w:pgSz w:w="11900" w:h="16838" w:orient="portrait"/>
          <w:cols w:equalWidth="0" w:num="1">
            <w:col w:w="10219"/>
          </w:cols>
          <w:pgMar w:left="240" w:top="142" w:right="1440" w:bottom="431" w:gutter="0" w:footer="0" w:header="0"/>
        </w:sectPr>
      </w:pP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XIV-9</w:t>
      </w:r>
    </w:p>
    <w:p>
      <w:pPr>
        <w:sectPr>
          <w:pgSz w:w="11900" w:h="16838" w:orient="portrait"/>
          <w:cols w:equalWidth="0" w:num="1">
            <w:col w:w="10219"/>
          </w:cols>
          <w:pgMar w:left="240" w:top="142" w:right="1440" w:bottom="431" w:gutter="0" w:footer="0" w:header="0"/>
          <w:type w:val="continuous"/>
        </w:sectPr>
      </w:pPr>
    </w:p>
    <w:bookmarkStart w:id="373" w:name="page374"/>
    <w:bookmarkEnd w:id="373"/>
    <w:p>
      <w:pPr>
        <w:jc w:val="center"/>
        <w:ind w:right="863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RIGHTS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RIGHTS Holders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of AT&amp;T Comcast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Class B common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stock and,</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under the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Alternative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Structure,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 Class A</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will be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permitted to</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act by written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consent in lieu</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of a</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meeting to</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exercise their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specific</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approval rights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over certain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matters. See "-</w:t>
      </w:r>
    </w:p>
    <w:p>
      <w:pPr>
        <w:spacing w:after="0" w:line="9" w:lineRule="exact"/>
        <w:rPr>
          <w:sz w:val="20"/>
          <w:szCs w:val="20"/>
          <w:color w:val="auto"/>
        </w:rPr>
      </w:pPr>
    </w:p>
    <w:p>
      <w:pPr>
        <w:ind w:right="8639" w:firstLine="112"/>
        <w:spacing w:after="0" w:line="251" w:lineRule="auto"/>
        <w:tabs>
          <w:tab w:leader="none" w:pos="314" w:val="left"/>
        </w:tabs>
        <w:numPr>
          <w:ilvl w:val="0"/>
          <w:numId w:val="3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Description of AT&amp;T Comcast Capital Stock." Calling of Special The Chairman of the Board, the The AT&amp;T Comcast Board will have the Meetings of President and the Comcast Board have right to call special meetings of Shareholders: the right to call special meetings of shareholders. shareholders. Amendment of Charter The Comcast charter may be amended with The AT&amp;T Comcast charter will be able and Bylaws: the approval of a majority of the to be amended with the approval of a Comcast Board present and voting majority of the AT&amp;T Comcast Board (assuming a quorum) and the holders of present and voting (assuming a quorum) a majority of the votes cast by the and the holders of a majority of the shareholders</w:t>
      </w:r>
    </w:p>
    <w:p>
      <w:pPr>
        <w:sectPr>
          <w:pgSz w:w="11900" w:h="16838" w:orient="portrait"/>
          <w:cols w:equalWidth="0" w:num="1">
            <w:col w:w="10219"/>
          </w:cols>
          <w:pgMar w:left="240" w:top="719" w:right="1440" w:bottom="0" w:gutter="0" w:footer="0" w:header="0"/>
        </w:sectPr>
      </w:pPr>
    </w:p>
    <w:bookmarkStart w:id="374" w:name="page375"/>
    <w:bookmarkEnd w:id="374"/>
    <w:p>
      <w:pPr>
        <w:spacing w:after="0" w:line="1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entitled to</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vote (assuming</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votes cast by</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AT&amp;T Comcast a</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quorum).</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entitled to</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vote (assuming</w:t>
      </w:r>
    </w:p>
    <w:p>
      <w:pPr>
        <w:spacing w:after="0" w:line="9" w:lineRule="exact"/>
        <w:rPr>
          <w:sz w:val="20"/>
          <w:szCs w:val="20"/>
          <w:color w:val="auto"/>
        </w:rPr>
      </w:pPr>
    </w:p>
    <w:p>
      <w:pPr>
        <w:ind w:left="120" w:right="8739" w:firstLine="149"/>
        <w:spacing w:after="0" w:line="251" w:lineRule="auto"/>
        <w:tabs>
          <w:tab w:leader="none" w:pos="487" w:val="left"/>
        </w:tabs>
        <w:numPr>
          <w:ilvl w:val="0"/>
          <w:numId w:val="3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quorum). However, AT&amp;T The Comcast bylaws may be</w:t>
      </w: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amended by</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 charter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amendments that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affect the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 Board</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or the Comcast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the director,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officer and</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committee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shareholders.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arrangements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implemented in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connection with</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transaction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will require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the approval of</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75% of the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entire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 Board</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until the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earlier to</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occur of (1)</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the date on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which Brian L.</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Roberts is no</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longer Chairman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of the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 Board</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or CEO of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 and</w:t>
      </w:r>
    </w:p>
    <w:p>
      <w:pPr>
        <w:spacing w:after="0" w:line="9" w:lineRule="exact"/>
        <w:rPr>
          <w:sz w:val="20"/>
          <w:szCs w:val="20"/>
          <w:color w:val="auto"/>
        </w:rPr>
      </w:pPr>
    </w:p>
    <w:p>
      <w:pPr>
        <w:jc w:val="both"/>
        <w:ind w:left="60" w:right="8639" w:hanging="53"/>
        <w:spacing w:after="0" w:line="251" w:lineRule="auto"/>
        <w:tabs>
          <w:tab w:leader="none" w:pos="427" w:val="left"/>
        </w:tabs>
        <w:numPr>
          <w:ilvl w:val="0"/>
          <w:numId w:val="3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April 2010, as well as the</w:t>
      </w: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approval</w:t>
      </w:r>
    </w:p>
    <w:p>
      <w:pPr>
        <w:spacing w:after="0" w:line="8" w:lineRule="exact"/>
        <w:rPr>
          <w:rFonts w:ascii="Courier New" w:cs="Courier New" w:eastAsia="Courier New" w:hAnsi="Courier New"/>
          <w:sz w:val="17"/>
          <w:szCs w:val="17"/>
          <w:color w:val="auto"/>
        </w:rPr>
      </w:pPr>
    </w:p>
    <w:p>
      <w:pPr>
        <w:jc w:val="center"/>
        <w:ind w:right="8639" w:firstLine="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referred to in the preceding sentence. The AT&amp;T Comcast bylaws will be able to be amended only by the AT&amp;T Comcast Board or by the AT&amp;T Comcast shareholders with the approval of the AT&amp;T Comcast Board. Notwithstanding the foregoing, AT&amp;T Comcast charter and bylaw amendments that adversely affect the rights of the holders of the AT&amp;T Comcast Class B common stock will require the approval of the holders of the AT&amp;T Comcast Class B common</w:t>
      </w:r>
    </w:p>
    <w:p>
      <w:pPr>
        <w:sectPr>
          <w:pgSz w:w="11900" w:h="16857" w:orient="portrait"/>
          <w:cols w:equalWidth="0" w:num="1">
            <w:col w:w="10219"/>
          </w:cols>
          <w:pgMar w:left="240" w:top="142" w:right="1440" w:bottom="0" w:gutter="0" w:footer="0" w:header="0"/>
        </w:sectPr>
      </w:pPr>
    </w:p>
    <w:bookmarkStart w:id="375" w:name="page376"/>
    <w:bookmarkEnd w:id="375"/>
    <w:p>
      <w:pPr>
        <w:jc w:val="center"/>
        <w:ind w:right="8639"/>
        <w:spacing w:after="0"/>
        <w:rPr>
          <w:sz w:val="20"/>
          <w:szCs w:val="20"/>
          <w:color w:val="auto"/>
        </w:rPr>
      </w:pPr>
      <w:r>
        <w:rPr>
          <w:rFonts w:ascii="Courier New" w:cs="Courier New" w:eastAsia="Courier New" w:hAnsi="Courier New"/>
          <w:sz w:val="17"/>
          <w:szCs w:val="17"/>
          <w:color w:val="auto"/>
        </w:rPr>
        <w:t>stock, voting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as a single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class, under</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the Preferred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Structure and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the holders of</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the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 Class A</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and AT&amp;T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Comcast Class B</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voting together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as a single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class, under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the Alternative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Structure. See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 Description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of AT&amp;T Comcast</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Capital Stock -</w:t>
      </w:r>
    </w:p>
    <w:p>
      <w:pPr>
        <w:spacing w:after="0" w:line="9" w:lineRule="exact"/>
        <w:rPr>
          <w:sz w:val="20"/>
          <w:szCs w:val="20"/>
          <w:color w:val="auto"/>
        </w:rPr>
      </w:pPr>
    </w:p>
    <w:p>
      <w:pPr>
        <w:jc w:val="both"/>
        <w:ind w:left="60" w:right="8699"/>
        <w:spacing w:after="0" w:line="251" w:lineRule="auto"/>
        <w:tabs>
          <w:tab w:leader="none" w:pos="270" w:val="left"/>
        </w:tabs>
        <w:numPr>
          <w:ilvl w:val="0"/>
          <w:numId w:val="3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Comcast Class B Common</w:t>
      </w:r>
    </w:p>
    <w:p>
      <w:pPr>
        <w:jc w:val="both"/>
        <w:ind w:left="380" w:right="899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Stock -- Approval Rights."</w:t>
      </w:r>
    </w:p>
    <w:p>
      <w:pPr>
        <w:spacing w:after="0" w:line="396" w:lineRule="exact"/>
        <w:rPr>
          <w:sz w:val="20"/>
          <w:szCs w:val="20"/>
          <w:color w:val="auto"/>
        </w:rPr>
      </w:pPr>
    </w:p>
    <w:p>
      <w:pPr>
        <w:jc w:val="right"/>
        <w:ind w:right="5599"/>
        <w:spacing w:after="0"/>
        <w:rPr>
          <w:sz w:val="20"/>
          <w:szCs w:val="20"/>
          <w:color w:val="auto"/>
        </w:rPr>
      </w:pPr>
      <w:r>
        <w:rPr>
          <w:rFonts w:ascii="Courier New" w:cs="Courier New" w:eastAsia="Courier New" w:hAnsi="Courier New"/>
          <w:sz w:val="17"/>
          <w:szCs w:val="17"/>
          <w:color w:val="auto"/>
        </w:rPr>
        <w:t>XIV-10</w:t>
      </w:r>
    </w:p>
    <w:p>
      <w:pPr>
        <w:sectPr>
          <w:pgSz w:w="11900" w:h="16838" w:orient="portrait"/>
          <w:cols w:equalWidth="0" w:num="1">
            <w:col w:w="10219"/>
          </w:cols>
          <w:pgMar w:left="240" w:top="141" w:right="1440" w:bottom="1440" w:gutter="0" w:footer="0" w:header="0"/>
        </w:sectPr>
      </w:pPr>
    </w:p>
    <w:bookmarkStart w:id="376" w:name="page377"/>
    <w:bookmarkEnd w:id="376"/>
    <w:p>
      <w:pPr>
        <w:jc w:val="center"/>
        <w:ind w:right="873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RIGHTS AT&amp;T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Comcast does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not have a</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AT&amp;T Comcast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will have a</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Plan: rights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plan. rights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plan. See "--</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of AT&amp;T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Rights Plan."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The existence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of this plan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may deter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potential</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acquirors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from making</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an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unsolicited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takeover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proposal or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tender offer.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See "--</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of AT&amp;T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Rights Plan -</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 Anti-</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Takeover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Effects."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Business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Combinations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Comcast has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not opted out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of AT&amp;T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Comcast has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opted out of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Statute: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Pennsylvania's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business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combinations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Pennsylvania's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business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combinations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statute,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which</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restricts a</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statute,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which</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restricts a</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corporation's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ability to</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engage in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corporation's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ability to</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engage in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certain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business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combinations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with certain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business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combinations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with holders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of shares of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capital stock</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holders of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shares of</w:t>
      </w:r>
    </w:p>
    <w:p>
      <w:pPr>
        <w:sectPr>
          <w:pgSz w:w="11900" w:h="16838" w:orient="portrait"/>
          <w:cols w:equalWidth="0" w:num="1">
            <w:col w:w="10219"/>
          </w:cols>
          <w:pgMar w:left="240" w:top="719" w:right="1440" w:bottom="0" w:gutter="0" w:footer="0" w:header="0"/>
        </w:sectPr>
      </w:pPr>
    </w:p>
    <w:bookmarkStart w:id="377" w:name="page378"/>
    <w:bookmarkEnd w:id="377"/>
    <w:p>
      <w:pPr>
        <w:jc w:val="center"/>
        <w:ind w:right="8739"/>
        <w:spacing w:after="0"/>
        <w:rPr>
          <w:sz w:val="20"/>
          <w:szCs w:val="20"/>
          <w:color w:val="auto"/>
        </w:rPr>
      </w:pPr>
      <w:r>
        <w:rPr>
          <w:rFonts w:ascii="Courier New" w:cs="Courier New" w:eastAsia="Courier New" w:hAnsi="Courier New"/>
          <w:sz w:val="17"/>
          <w:szCs w:val="17"/>
          <w:color w:val="auto"/>
        </w:rPr>
        <w:t>capital stock</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representing</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more than 20%</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representing</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more than 20%</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combined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voting power,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in an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election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combined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voting power,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in an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election of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directors, of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a</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corporation's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of directors,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of a</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corporation's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capital</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rPr>
        <w:t>stock.</w:t>
      </w:r>
    </w:p>
    <w:p>
      <w:pPr>
        <w:spacing w:after="0" w:line="200" w:lineRule="exact"/>
        <w:rPr>
          <w:sz w:val="20"/>
          <w:szCs w:val="20"/>
          <w:color w:val="auto"/>
        </w:rPr>
      </w:pPr>
    </w:p>
    <w:p>
      <w:pPr>
        <w:spacing w:after="0" w:line="212"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DESCRIPTION OF AT&amp;T COMCAST CAPITAL STOCK</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This section of this document describes the material terms of the capital stock of AT&amp;T Comcast that will be issued in the transaction under the charter and bylaws that will be in effect after the completion of the transaction. This section is not meant to be complete and is qualified in its entirety by reference to the AT&amp;T Comcast charter and AT&amp;T Comcast bylaws that will be in effect upon the completion of the transaction, which are more detailed than the information provided below. A copy of the AT&amp;T Comcast charter that will be in effect upon completion of the transaction if the Preferred Structure is implemented is attached to this document as Annex C. A copy of the term sheet describing the differences between the AT&amp;T Comcast charter that will be in effect upon completion of the transaction if the Preferred Structure is implemented and the AT&amp;T Comcast charter that will be in effect upon completion of the transaction if the Alternative Structure is implemented is attached to this document as Annex D. A copy of the AT&amp;T Comcast bylaws that will be in effect upon completion of the transaction is attached to this document as Annex 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AUTHORIZED CAPITAL STOCK</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Under the Preferred Structure, the authorized capital stock of AT&amp;T Comcast will consist of 7.5 billion shares of Class A common stock, 7.5 billion shares of Class A Special common stock, 75 million shares of Class B common stock and 20 million shares of preferred stock.</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Under the Alternative Structure, the authorized capital stock of AT&amp;T Comcast will consist of 200 million shares of Class A common stock, 7.5 billion shares of Class A Special common stock, 75 million shares of Class B common stock, 7.5 billion shares of Class C common stock and 20 million shares of preferred stock.</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 CLASS A COMMON STOCK</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AT&amp;T Comcast Class A Common Stock Outstanding. The outstanding shares of AT&amp;T Comcast Class A common stock will be duly authorized, validly issued, fully paid and nonassessable.</w:t>
      </w:r>
    </w:p>
    <w:p>
      <w:pPr>
        <w:spacing w:after="0" w:line="194"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Voting Rights. Under the Preferred Structure, on all matters submitted for a vote of the holders of all classes of AT&amp;T Comcast voting stock, the holders of the AT&amp;T Comcast Class A common stock in the aggregate will hold 66 2/3% of the combined voting power of the AT&amp;T Comcast capital stock upon</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XIV-11</w:t>
      </w:r>
    </w:p>
    <w:p>
      <w:pPr>
        <w:sectPr>
          <w:pgSz w:w="11900" w:h="16838" w:orient="portrait"/>
          <w:cols w:equalWidth="0" w:num="1">
            <w:col w:w="10219"/>
          </w:cols>
          <w:pgMar w:left="240" w:top="141" w:right="1440" w:bottom="1440" w:gutter="0" w:footer="0" w:header="0"/>
        </w:sectPr>
      </w:pPr>
    </w:p>
    <w:bookmarkStart w:id="378" w:name="page379"/>
    <w:bookmarkEnd w:id="378"/>
    <w:p>
      <w:pPr>
        <w:ind w:right="1839"/>
        <w:spacing w:after="0" w:line="251" w:lineRule="auto"/>
        <w:rPr>
          <w:sz w:val="20"/>
          <w:szCs w:val="20"/>
          <w:color w:val="auto"/>
        </w:rPr>
      </w:pPr>
      <w:r>
        <w:rPr>
          <w:rFonts w:ascii="Courier New" w:cs="Courier New" w:eastAsia="Courier New" w:hAnsi="Courier New"/>
          <w:sz w:val="17"/>
          <w:szCs w:val="17"/>
          <w:color w:val="auto"/>
        </w:rPr>
        <w:t>completion of the transaction. Unlike the AT&amp;T Comcast Class B common stock under the Preferred Structure, the aggregate voting interest of the AT&amp;T Comcast Class A common stock under the Preferred Structure will be dilutable and will decrease upon the issuance of shares of any other class of AT&amp;T Comcast capital stock with voting rights (other than any issuance of additional shares of AT&amp;T Comcast Class B common stock). Based on the number of shares of AT&amp;T Comcast</w:t>
      </w:r>
    </w:p>
    <w:p>
      <w:pPr>
        <w:ind w:right="1839"/>
        <w:spacing w:after="0" w:line="253" w:lineRule="auto"/>
        <w:rPr>
          <w:sz w:val="20"/>
          <w:szCs w:val="20"/>
          <w:color w:val="auto"/>
        </w:rPr>
      </w:pPr>
      <w:r>
        <w:rPr>
          <w:rFonts w:ascii="Courier New" w:cs="Courier New" w:eastAsia="Courier New" w:hAnsi="Courier New"/>
          <w:sz w:val="17"/>
          <w:szCs w:val="17"/>
          <w:color w:val="auto"/>
        </w:rPr>
        <w:t>Class A common stock anticipated to be outstanding upon completion of the AT&amp;T Comcast transaction if the Preferred Structure is implemented, each share of AT&amp;T Comcast Class A common stock will have [ ] of a vote upon completion of the AT&amp;T Comcast transaction.</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Under the Alternative Structure, subject to the following two sentences, on all matters submitted for a vote of the holders of all classes of AT&amp;T Comcast voting stock, the holders of the AT&amp;T Comcast Class A common stock and AT&amp;T Comcast Class B common stock in the aggregate will hold 5.14% and 33 1/3%, respectively, of the combined voting power of the AT&amp;T Comcast capital stock upon completion of the transaction, regardless of the number of shares of AT&amp;T Comcast Class C common stock or any other class of AT&amp;T Comcast capital stock outstanding at any time. If the number of shares of AT&amp;T Comcast Class A common stock or AT&amp;T Comcast Class B common stock outstanding upon completion of the transaction is reduced for any reason (e.g., by repurchase or, in the case of the AT&amp;T Comcast Class B common stock only, conversion) after the completion of the transaction, the aggregate voting power of the applicable class of AT&amp;T Comcast capital stock will be proportionately reduced. If additional shares of AT&amp;T Comcast Class A common stock or AT&amp;T Comcast Class B common stock are issued in disproportionate amounts after the completion of the transaction, the relative aggregate voting percentages of the two classes of AT&amp;T Comcast common stock will change (based on the principle that each share of AT&amp;T Comcast Class B common stock will be entitled to 15 times the vote of each share of AT&amp;T Comcast Class A common stock) but the combined aggregate voting percentage of the two classes of stock will remain constant at approximately 38 47/100% (except to the extent there has been a reduction in the aggregate voting power of either class of stock as described in the preceding sentence). Under the Alternative Structure, each share of AT&amp;T Comcast Class A common stock will have one vote and each share of AT&amp;T Comcast Class B common stock will have 15 votes, in each case upon completion of the AT&amp;T Comcast transaction.</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Approval Rights. Under the Preferred Structure, except as required by law, holders of AT&amp;T Comcast Class A common stock will have no specific approval rights over any AT&amp;T Comcast corporate actions. Under the Alternative Structure, holders of AT&amp;T Comcast Class A common stock and holders of AT&amp;T Comcast Class B common stock, voting together as a single class, will have the approval rights described under "-- AT&amp;T Comcast Class B Common Stock -- Approval Rights."</w:t>
      </w:r>
    </w:p>
    <w:p>
      <w:pPr>
        <w:spacing w:after="0" w:line="197"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Conversion Rights. The shares of AT&amp;T Comcast Class A common stock will not be convertible into shares of any other class of AT&amp;T Comcast capital stock.</w:t>
      </w:r>
    </w:p>
    <w:p>
      <w:pPr>
        <w:spacing w:after="0" w:line="192"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Preemptive Rights. The holders of AT&amp;T Comcast Class A common stock will have no preemptive rights to purchase, subscribe for or otherwise acquire any unissued or treasury shares or other securities.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 CLASS B COMMON STOCK</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AT&amp;T Comcast Class B Common Stock Outstanding. The outstanding shares of AT&amp;T Comcast Class B common stock will be duly authorized, validly issued, fully paid and nonassessable.</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Voting Rights. Under the Preferred Structure, subject to the next sentence, on all matters submitted for a vote of holders of all classes of AT&amp;T Comcast voting stock, holders of AT&amp;T Comcast Class B common stock in the aggregate will hold 33 1/3% of the combined voting power of AT&amp;T Comcast capital stock upon completion of the AT&amp;T Comcast transaction, regardless of the number of shares of AT&amp;T Comcast Class A common stock or any other class of AT&amp;T Comcast capital stock outstanding at any time. If the number of shares of AT&amp;T Comcast Class B common stock outstanding upon completion of the transaction is reduced for any reason (e.g., by repurchase or conversion) after the completion of the transaction, the aggregate voting power of the AT&amp;T Comcast Class B common stock will be</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XIV-11</w:t>
      </w:r>
    </w:p>
    <w:p>
      <w:pPr>
        <w:sectPr>
          <w:pgSz w:w="11900" w:h="16838" w:orient="portrait"/>
          <w:cols w:equalWidth="0" w:num="1">
            <w:col w:w="10219"/>
          </w:cols>
          <w:pgMar w:left="240" w:top="719" w:right="1440" w:bottom="1440" w:gutter="0" w:footer="0" w:header="0"/>
        </w:sectPr>
      </w:pPr>
    </w:p>
    <w:bookmarkStart w:id="379" w:name="page380"/>
    <w:bookmarkEnd w:id="379"/>
    <w:p>
      <w:pPr>
        <w:ind w:right="2359"/>
        <w:spacing w:after="0" w:line="254" w:lineRule="auto"/>
        <w:rPr>
          <w:sz w:val="20"/>
          <w:szCs w:val="20"/>
          <w:color w:val="auto"/>
        </w:rPr>
      </w:pPr>
      <w:r>
        <w:rPr>
          <w:rFonts w:ascii="Courier New" w:cs="Courier New" w:eastAsia="Courier New" w:hAnsi="Courier New"/>
          <w:sz w:val="17"/>
          <w:szCs w:val="17"/>
          <w:color w:val="auto"/>
        </w:rPr>
        <w:t>proportionately reduced. Under the Preferred Structure, each share of AT&amp;T Comcast Class B common stock will have 15 votes upon completion of the AT&amp;T Comcast transaction.</w:t>
      </w:r>
    </w:p>
    <w:p>
      <w:pPr>
        <w:spacing w:after="0" w:line="194"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Under the Alternative Structure, the voting rights of AT&amp;T Comcast Class B common stock will be as described above in the second paragraph under "-- AT&amp;T Comcast Class A Common Stock -- Voting Rights."</w:t>
      </w:r>
    </w:p>
    <w:p>
      <w:pPr>
        <w:spacing w:after="0" w:line="194"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Approval Rights. Under the Preferred Structure, the holders of AT&amp;T Comcast Class B common stock will have an approval right over (1) any merger of AT&amp;T Comcast with another company or any other transaction, in each case that requires AT&amp;T Comcast shareholder approval under applicable law, or any other transaction that would result in any person or group owning shares representing in excess of 10% of the combined voting power of the resulting or surviving corporation, or any issuance of securities (other than pursuant to director or officer stock option or purchase plans) requiring AT&amp;T Comcast shareholder approval under the rules and regulations of any stock exchange or quotation system; (2) any issuance of AT&amp;T Comcast Class B common stock or any securities exercisable or exchangeable for or convertible into AT&amp;T Comcast Class B common stock; and (3) charter amendments (such as a charter amendment to opt in to any of the Pennsylvania antitakeover statutes) and other actions (such as the adoption, amendment or redemption of a shareholder rights plan) that limit the rights of holders of AT&amp;T Comcast Class B common stock or any subsequent transferee of AT&amp;T Comcast Class B common stock to transfer, vote or otherwise exercise rights with respect to AT&amp;T Comcast capital stock.</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Under the Alternative Structure, holders of AT&amp;T Comcast Class B common stock and AT&amp;T Comcast Class A common stock, voting together as a single class, will have the same approval rights that holders of AT&amp;T Comcast Class B common stock have under the Preferred Structure. In addition, under the Alternative Structure, the approval of holders of AT&amp;T Comcast Class B common stock and AT&amp;T Comcast Class A common stock, voting together as a single class, will also be required to issue any AT&amp;T Comcast Class A common stock or any securities exercisable or exchangeable for or convertible into AT&amp;T Comcast Class A common stock.</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Conversion Rights. Each share of AT&amp;T Comcast Class B common stock will be convertible into one share of AT&amp;T Comcast Class A common stock, AT&amp;T Comcast Class A Special common stock or, under the Alternative Structure, AT&amp;T Comcast Class C common stock.</w:t>
      </w:r>
    </w:p>
    <w:p>
      <w:pPr>
        <w:spacing w:after="0" w:line="195"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Preemptive Rights. The holders of AT&amp;T Comcast Class B common stock will have no preemptive rights to purchase, subscribe for or otherwise acquire any unissued or treasury shares or other securities.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 CLASS A SPECIAL COMMON STOCK</w:t>
      </w:r>
    </w:p>
    <w:p>
      <w:pPr>
        <w:spacing w:after="0" w:line="210" w:lineRule="exact"/>
        <w:rPr>
          <w:sz w:val="20"/>
          <w:szCs w:val="20"/>
          <w:color w:val="auto"/>
        </w:rPr>
      </w:pPr>
    </w:p>
    <w:p>
      <w:pPr>
        <w:jc w:val="both"/>
        <w:ind w:right="2259" w:firstLine="524"/>
        <w:spacing w:after="0" w:line="254" w:lineRule="auto"/>
        <w:rPr>
          <w:sz w:val="20"/>
          <w:szCs w:val="20"/>
          <w:color w:val="auto"/>
        </w:rPr>
      </w:pPr>
      <w:r>
        <w:rPr>
          <w:rFonts w:ascii="Courier New" w:cs="Courier New" w:eastAsia="Courier New" w:hAnsi="Courier New"/>
          <w:sz w:val="17"/>
          <w:szCs w:val="17"/>
          <w:color w:val="auto"/>
        </w:rPr>
        <w:t>AT&amp;T Comcast Class A Special Common Stock Outstanding. The outstanding shares of AT&amp;T Comcast Class A Special common stock will be duly authorized, validly issued, fully paid and nonassessable.</w:t>
      </w:r>
    </w:p>
    <w:p>
      <w:pPr>
        <w:spacing w:after="0" w:line="194"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Voting Rights. Except as required by law, the holders of AT&amp;T Comcast Class A Special common stock will not be entitled to vote.</w:t>
      </w:r>
    </w:p>
    <w:p>
      <w:pPr>
        <w:spacing w:after="0" w:line="192"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Approval Rights. Except as required by law, holders of AT&amp;T Comcast Class A Special common stock will have no specific approval rights over any AT&amp;T Comcast corporate actions.</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Conversion Rights. The shares of AT&amp;T Comcast Class A Special common stock will not be convertible into shares of any other class of AT&amp;T Comcast capital stock.</w:t>
      </w:r>
    </w:p>
    <w:p>
      <w:pPr>
        <w:spacing w:after="0" w:line="194"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Preemptive Rights. Holders of AT&amp;T Comcast Class A Special common stock will have no preemptive rights to purchase, subscribe for or otherwise acquire any unissued or treasury shares or other securities.</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XIV-12</w:t>
      </w:r>
    </w:p>
    <w:p>
      <w:pPr>
        <w:sectPr>
          <w:pgSz w:w="11900" w:h="16838" w:orient="portrait"/>
          <w:cols w:equalWidth="0" w:num="1">
            <w:col w:w="10219"/>
          </w:cols>
          <w:pgMar w:left="240" w:top="719" w:right="1440" w:bottom="1440" w:gutter="0" w:footer="0" w:header="0"/>
        </w:sectPr>
      </w:pPr>
    </w:p>
    <w:bookmarkStart w:id="380" w:name="page381"/>
    <w:bookmarkEnd w:id="380"/>
    <w:p>
      <w:pPr>
        <w:spacing w:after="0"/>
        <w:rPr>
          <w:sz w:val="20"/>
          <w:szCs w:val="20"/>
          <w:color w:val="auto"/>
        </w:rPr>
      </w:pPr>
      <w:r>
        <w:rPr>
          <w:rFonts w:ascii="Courier New" w:cs="Courier New" w:eastAsia="Courier New" w:hAnsi="Courier New"/>
          <w:sz w:val="17"/>
          <w:szCs w:val="17"/>
          <w:color w:val="auto"/>
        </w:rPr>
        <w:t>AT&amp;T COMCAST CLASS C COMMON STOCK</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AT&amp;T Comcast Class C common stock will be authorized and issued only if the Alternative Structure is implemented.</w:t>
      </w:r>
    </w:p>
    <w:p>
      <w:pPr>
        <w:spacing w:after="0" w:line="192"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AT&amp;T Comcast Class C Common Stock Outstanding. The outstanding shares of AT&amp;T Comcast Class C common stock will be duly authorized, validly issued, fully paid and nonassessable.</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Voting Rights. On all matters submitted for a vote of the holders of all classes of AT&amp;T Comcast voting stock, holders of AT&amp;T Comcast Class C common stock in the aggregate will hold approximately 61 53/100% of the combined voting power of AT&amp;T Comcast capital stock upon completion of the transaction. Unlike AT&amp;T Comcast Class A common stock and AT&amp;T Comcast Class B common stock under the Alternative Structure, the aggregate voting interest of AT&amp;T Comcast Class C common stock will be dilutable and will decrease upon the issuance of shares of any other class of AT&amp;T Comcast capital stock with voting rights (other than any issuance of additional shares of AT&amp;T Comcast Class A common stock or AT&amp;T Comcast Class B common stock). Based on the number of shares of AT&amp;T Comcast Class C common stock anticipated to be outstanding upon completion of the AT&amp;T Comcast transaction, each share of AT&amp;T Comcast Class C common stock will have</w:t>
      </w:r>
    </w:p>
    <w:p>
      <w:pPr>
        <w:ind w:left="640" w:hanging="633"/>
        <w:spacing w:after="0"/>
        <w:tabs>
          <w:tab w:leader="none" w:pos="640" w:val="left"/>
        </w:tabs>
        <w:numPr>
          <w:ilvl w:val="0"/>
          <w:numId w:val="3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of a vote upon completion of the AT&amp;T Comcast transaction.</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Approval Rights. Except as required by law, holders of AT&amp;T Comcast Class C common stock will have no specific approval rights over any AT&amp;T Comcast corporate actions.</w:t>
      </w:r>
    </w:p>
    <w:p>
      <w:pPr>
        <w:spacing w:after="0" w:line="194"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Conversion Rights. The shares of AT&amp;T Comcast Class C common stock will not be convertible into shares of any other class of AT&amp;T Comcast capital stock.</w:t>
      </w:r>
    </w:p>
    <w:p>
      <w:pPr>
        <w:spacing w:after="0" w:line="192"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Preemptive Rights. Holders of AT&amp;T Comcast Class C common stock will have no preemptive rights to purchase, subscribe for or otherwise acquire any unissued or treasury shares or other securities.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 PREFERRED STOCK</w:t>
      </w:r>
    </w:p>
    <w:p>
      <w:pPr>
        <w:spacing w:after="0" w:line="210"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AT&amp;T Comcast Preferred Stock Outstanding. It is not anticipated that any shares of AT&amp;T Comcast preferred stock will be outstanding upon completion of the transaction.</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Blank Check Preferred Stock. Under the AT&amp;T Comcast charter, the AT&amp;T Comcast Board will have the authority, without shareholder approval, to create and issue one or more series of preferred stock, without par value, in whole or fractional shares, with full, limited, multiple, fractional, or no voting rights, and with such designations, preferences, qualifications, privileges, limitations, restrictions, options, conversion rights, and other special or relative rights as it so chooses. Acting under this authority, the AT&amp;T Comcast Board could create and issue a class or series of preferred stock with rights, privileges or restrictions, and adopt a shareholder rights plan, having the effect of discriminating against an existing or prospective holder of securities as a result of that shareholder beneficially owning or commencing a tender offer for a substantial amount of AT&amp;T Comcast voting capital stock. One of the effects of authorized but unissued and unreserved shares of capital stock may be to render more difficult or discourage an attempt by a potential acquiror to obtain control of AT&amp;T Comcast by means of a merger, tender offer, proxy contest or otherwise, and thereby protect the continuity of AT&amp;T Comcast's management. The issuance of such shares of capital stock may have the effect of delaying, deferring or preventing a change in control of AT&amp;T Comcast without any further action by the shareholders of AT&amp;T Comcast.</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Pursuant to the authority described in the preceding paragraph, prior to the completion of the transaction the AT&amp;T Comcast Board will designate a series of preferred stock in connection with the adoption of the AT&amp;T Comcast shareholder rights plan described below. See "-- Description of AT&amp;T Comcast Shareholder Rights Plan."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 RIGHTS</w:t>
      </w:r>
    </w:p>
    <w:p>
      <w:pPr>
        <w:spacing w:after="0" w:line="210" w:lineRule="exact"/>
        <w:rPr>
          <w:sz w:val="20"/>
          <w:szCs w:val="20"/>
          <w:color w:val="auto"/>
        </w:rPr>
      </w:pPr>
    </w:p>
    <w:p>
      <w:pPr>
        <w:ind w:right="2359" w:firstLine="524"/>
        <w:spacing w:after="0" w:line="251" w:lineRule="auto"/>
        <w:rPr>
          <w:sz w:val="20"/>
          <w:szCs w:val="20"/>
          <w:color w:val="auto"/>
        </w:rPr>
      </w:pPr>
      <w:r>
        <w:rPr>
          <w:rFonts w:ascii="Courier New" w:cs="Courier New" w:eastAsia="Courier New" w:hAnsi="Courier New"/>
          <w:sz w:val="17"/>
          <w:szCs w:val="17"/>
          <w:color w:val="auto"/>
        </w:rPr>
        <w:t>The holders of AT&amp;T Comcast Class A common stock, AT&amp;T Comcast Class A Special common stock, AT&amp;T Comcast Class B common stock and, under the Alternative Structure, AT&amp;T Comcast</w:t>
      </w:r>
    </w:p>
    <w:p>
      <w:pPr>
        <w:ind w:left="3980"/>
        <w:spacing w:after="0"/>
        <w:rPr>
          <w:sz w:val="20"/>
          <w:szCs w:val="20"/>
          <w:color w:val="auto"/>
        </w:rPr>
      </w:pPr>
      <w:r>
        <w:rPr>
          <w:rFonts w:ascii="Courier New" w:cs="Courier New" w:eastAsia="Courier New" w:hAnsi="Courier New"/>
          <w:sz w:val="17"/>
          <w:szCs w:val="17"/>
          <w:color w:val="auto"/>
        </w:rPr>
        <w:t>XIV-13</w:t>
      </w:r>
    </w:p>
    <w:p>
      <w:pPr>
        <w:sectPr>
          <w:pgSz w:w="11900" w:h="16838" w:orient="portrait"/>
          <w:cols w:equalWidth="0" w:num="1">
            <w:col w:w="10219"/>
          </w:cols>
          <w:pgMar w:left="240" w:top="719" w:right="1440" w:bottom="1062" w:gutter="0" w:footer="0" w:header="0"/>
        </w:sectPr>
      </w:pPr>
    </w:p>
    <w:bookmarkStart w:id="381" w:name="page382"/>
    <w:bookmarkEnd w:id="381"/>
    <w:p>
      <w:pPr>
        <w:ind w:right="1839"/>
        <w:spacing w:after="0" w:line="252" w:lineRule="auto"/>
        <w:rPr>
          <w:sz w:val="20"/>
          <w:szCs w:val="20"/>
          <w:color w:val="auto"/>
        </w:rPr>
      </w:pPr>
      <w:r>
        <w:rPr>
          <w:rFonts w:ascii="Courier New" w:cs="Courier New" w:eastAsia="Courier New" w:hAnsi="Courier New"/>
          <w:sz w:val="17"/>
          <w:szCs w:val="17"/>
          <w:color w:val="auto"/>
        </w:rPr>
        <w:t>Class C common stock will be entitled to receive, from time to time, when, as and if declared, in the discretion of the AT&amp;T Comcast Board, such cash dividends as the AT&amp;T Comcast Board may from time to time determine, out of such funds as are legally available therefor, in proportion to the number of shares held by them, respectively, without regard to class.</w:t>
      </w:r>
    </w:p>
    <w:p>
      <w:pPr>
        <w:spacing w:after="0" w:line="197"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The holders of AT&amp;T Comcast Class A common stock, AT&amp;T Comcast Class A Special common stock, AT&amp;T Comcast Class B common stock and, under the Alternative Structure, AT&amp;T Comcast Class C common stock will also be entitled to receive, from time to time, when, as and if declared by the AT&amp;T Comcast Board, such dividends of stock of AT&amp;T Comcast or other property as the AT&amp;T Comcast Board may determine, out of such funds as are legally available therefor. However, stock dividends on, or stock splits of, any class of common stock will not be paid or issued unless paid or issued on all classes of AT&amp;T Comcast common stock, in which case they will be paid or issued only in shares of that class; provided, however, that stock dividends on, or stock splits of, AT&amp;T Comcast Class B common stock may also be paid or issued in shares of AT&amp;T Comcast Class A Special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UPON LIQUIDATION</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the event of any liquidation, dissolution or winding up (either voluntary or involuntary) of AT&amp;T Comcast, holders of AT&amp;T Comcast Class A common stock, AT&amp;T Comcast Class A Special common stock, AT&amp;T Comcast Class B common stock and, under the Alternative Structure, AT&amp;T Comcast Class C common stock will be entitled to receive the assets and funds of AT&amp;T Comcast in proportion to the number of shares held by them, respectively, without regard to class.</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AGENT AND REGISTRAR</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EquiServe is the transfer agent and registrar for Comcast common stock and</w:t>
      </w:r>
    </w:p>
    <w:p>
      <w:pPr>
        <w:spacing w:after="0" w:line="9"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AT&amp;T common stock as of the date of this document. [ ] is expected to be the transfer agent and registrar for AT&amp;T Comcast common stock.</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EXCHANGE LISTINGS</w:t>
      </w:r>
    </w:p>
    <w:p>
      <w:pPr>
        <w:spacing w:after="0" w:line="210"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It is a condition to the mergers that the shares of AT&amp;T Comcast Class A common stock, AT&amp;T Comcast Class A Special common stock and, under the Alternative Structure, AT&amp;T Comcast Class C common stock to be issued in the mergers have been approved for listing on The Nasdaq Stock Market, subject to official notice of issuance.</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XIV-14</w:t>
      </w:r>
    </w:p>
    <w:p>
      <w:pPr>
        <w:sectPr>
          <w:pgSz w:w="11900" w:h="16838" w:orient="portrait"/>
          <w:cols w:equalWidth="0" w:num="1">
            <w:col w:w="10219"/>
          </w:cols>
          <w:pgMar w:left="240" w:top="719" w:right="1440" w:bottom="1440" w:gutter="0" w:footer="0" w:header="0"/>
        </w:sectPr>
      </w:pPr>
    </w:p>
    <w:bookmarkStart w:id="382" w:name="page383"/>
    <w:bookmarkEnd w:id="382"/>
    <w:p>
      <w:pPr>
        <w:ind w:left="1480"/>
        <w:spacing w:after="0"/>
        <w:rPr>
          <w:sz w:val="20"/>
          <w:szCs w:val="20"/>
          <w:color w:val="auto"/>
        </w:rPr>
      </w:pPr>
      <w:r>
        <w:rPr>
          <w:rFonts w:ascii="Courier New" w:cs="Courier New" w:eastAsia="Courier New" w:hAnsi="Courier New"/>
          <w:sz w:val="17"/>
          <w:szCs w:val="17"/>
          <w:color w:val="auto"/>
        </w:rPr>
        <w:t>DESCRIPTION OF AT&amp;T COMCAST SHAREHOLDER RIGHTS PLAN</w:t>
      </w:r>
    </w:p>
    <w:p>
      <w:pPr>
        <w:spacing w:after="0" w:line="210" w:lineRule="exact"/>
        <w:rPr>
          <w:sz w:val="20"/>
          <w:szCs w:val="20"/>
          <w:color w:val="auto"/>
        </w:rPr>
      </w:pPr>
    </w:p>
    <w:p>
      <w:pPr>
        <w:jc w:val="both"/>
        <w:ind w:right="2039" w:firstLine="524"/>
        <w:spacing w:after="0" w:line="254" w:lineRule="auto"/>
        <w:rPr>
          <w:sz w:val="20"/>
          <w:szCs w:val="20"/>
          <w:color w:val="auto"/>
        </w:rPr>
      </w:pPr>
      <w:r>
        <w:rPr>
          <w:rFonts w:ascii="Courier New" w:cs="Courier New" w:eastAsia="Courier New" w:hAnsi="Courier New"/>
          <w:sz w:val="17"/>
          <w:szCs w:val="17"/>
          <w:color w:val="auto"/>
        </w:rPr>
        <w:t>Upon completion of the transaction, AT&amp;T Comcast will adopt a shareholder rights plan pursuant to a rights agreement the material terms of which are set forth below.</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Rights. The AT&amp;T Comcast rights agreement will provide for the declaration by the AT&amp;T Comcast Board of a dividend of one preferred stock purchase right (the "Rights") for each outstanding share of AT&amp;T Comcast Class A common stock, AT&amp;T Comcast Class A Special common stock, AT&amp;T Comcast Class B common stock and, under the Alternative Structure, AT&amp;T Comcast Class C common stock. The dividend will be payable to holders of record as of the close of business on the record date selected by the AT&amp;T Comcast Board, which date will occur no later than ten days after the closing date of the transaction.</w:t>
      </w:r>
    </w:p>
    <w:p>
      <w:pPr>
        <w:spacing w:after="0" w:line="201"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The Rights will not entitle the holders to any rights of a shareholder of AT&amp;T Comcast, such as voting and dividend rights, but the rights agreement will include standard antidilution provisions to protect the effectiveness of the Rights.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transferability and exercisability of the Rights will depend on whether a "Distribution Date" has occurred. A Distribution Date generally means the earlier of (1) the tenth day after a public announcement that any person or group has become an "Acquiring Person" and (2) the tenth business day after the date of the commencement of a tender or exchange offer by any person that could result in such person becoming an Acquiring Person. An Acquiring Person generally means any person or group (other than any holder of AT&amp;T Comcast Class B common stock or any of such holder's affiliates) who becomes the beneficial owner of AT&amp;T Comcast voting capital stock that represents 10% or more of the total number of votes that the holders of AT&amp;T Comcast capital stock are entitled to cast with respect to any matter presented for a shareholder vote.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Transferability. Prior to the Distribution Date, (1) the Rights will be evidenced by the certificates of the relevant underlying 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201"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Exercisability. The Rights will not be exercisable prior to the Distribution Date. After the Distribution Date, but prior to the occurrence of an event described below under "-- 'Flip In' Feature" or "-- 'Flip Over' Feature," each Right will be exercisable to purchase for a price equal to approximately five times the market price for a share of AT&amp;T Comcast Class A common stock (under the Preferred Structure) or AT&amp;T Comcast Class C common stock (under the Alternative Structure) at the time of adoption of the shareholder rights plan one one-thousandth of a share of AT&amp;T Comcast Series A Participating Cumulative Preferred Stock.</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"Flip In" Feature. If any person becomes an Acquiring Person, each holder of a Right, except for the Acquiring Person or certain affiliated persons, will have the right to acquire, instead of one one-hundredth of a share of AT&amp;T Comcast Series A Participating Cumulative Preferred Stock, a number of shares of AT&amp;T Comcast Class A common stock (under the Preferred Structure) or AT&amp;T Comcast Class C common stock (under the Alternative Structure), in each case having a market value equal to twice the exercise price of the Right. For example, if an initial purchase price of $200 were in effect on the date that the flip in feature of the Rights were exercised, any holder of a Right, except for the person that has become an Acquiring Person or certain affiliated persons, could exercise his or her Right by paying to AT&amp;T Comcast $200 in order to receive shares of AT&amp;T Comcast Class A common stock (under the Preferred Structure) or AT&amp;T Comcast Class C common stock (under the Alternative Structure) having a value equal to $400.</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"Exchange" Feature. At any time after a person becomes an Acquiring Person (but before any person becomes the beneficial owner of AT&amp;T Comcast voting capital stock representing 50% or more of</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XIV-15</w:t>
      </w:r>
    </w:p>
    <w:p>
      <w:pPr>
        <w:sectPr>
          <w:pgSz w:w="11900" w:h="16838" w:orient="portrait"/>
          <w:cols w:equalWidth="0" w:num="1">
            <w:col w:w="10219"/>
          </w:cols>
          <w:pgMar w:left="240" w:top="718" w:right="1440" w:bottom="1062" w:gutter="0" w:footer="0" w:header="0"/>
        </w:sectPr>
      </w:pPr>
    </w:p>
    <w:bookmarkStart w:id="383" w:name="page384"/>
    <w:bookmarkEnd w:id="383"/>
    <w:p>
      <w:pPr>
        <w:ind w:right="1839"/>
        <w:spacing w:after="0" w:line="251" w:lineRule="auto"/>
        <w:rPr>
          <w:sz w:val="20"/>
          <w:szCs w:val="20"/>
          <w:color w:val="auto"/>
        </w:rPr>
      </w:pPr>
      <w:r>
        <w:rPr>
          <w:rFonts w:ascii="Courier New" w:cs="Courier New" w:eastAsia="Courier New" w:hAnsi="Courier New"/>
          <w:sz w:val="17"/>
          <w:szCs w:val="17"/>
          <w:color w:val="auto"/>
        </w:rPr>
        <w:t>the total number of votes which the holders of AT&amp;T Comcast capital stock are entitled to cast with respect to any matter presented for a shareholder vote), the AT&amp;T Comcast Board may exchange all or some of the Rights, except for those held by any Acquiring Person or certain affiliated persons, for AT&amp;T Comcast Class A common stock (under the Preferred Structure) at an exchange ratio of one share of AT&amp;T Comcast Class A common stock for each Right or for AT&amp;T Comcast Class C common stock (under the Alternative Structure) at an exchange ratio of one share of AT&amp;T Comcast Class C common stock for each Right. Use of this exchange feature means that eligible Rights holders would not have to pay cash before receiving shares of either AT&amp;T Comcast Class A common stock or AT&amp;T Comcast Class C common stock, as applicable.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"Flip Over" Feature. If, after a person becomes an Acquiring Person, (1) AT&amp;T Comcast is involved in a merger or other business combination in which it is not the surviving corporation or any of its common stock is exchanged for other securities or assets or (2) AT&amp;T Comcast and/or one or more of its subsidiaries sell or transfer assets or earning power aggregating 50% or more of the assets or earning power of AT&amp;T Comcast and/or its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Redemption of Rights. The AT&amp;T Comcast Board may redeem all of the Rights at a price of $0.001 per Right at any time prior to the time that any person becomes an Acquiring Person. The right to exercise will terminate upon redemption, and at that time, the holders of the Rights will have the right to receive only the redemption price for each Right they hold.</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Amendment of Rights. At any time before a person becomes an Acquiring Person, the terms of the rights agreement may be amended in any respect by AT&amp;T Comcast without the approval of the holders of the Rights. However, after the date any person becomes an Acquiring Person, the rights agreement may not be amended in any manner that would adversely affect the interests of the holders of the Rights (other than any person who has become an Acquiring Person and certain affiliated persons) or cause the Rights to be redeemable at that time.</w:t>
      </w:r>
    </w:p>
    <w:p>
      <w:pPr>
        <w:spacing w:after="0" w:line="196"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Expiration of Rights. If not previously exercised or redeemed, the Rights will expire on the tenth anniversary of the completion of the transaction, unless earlier exchanged or redeemed.</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Anti-Takeover Effects. The Rights have anti-takeover effects. Once the Rights have become exercisable, in most cases they will cause substantial dilution to a person who attempts to acquire or merge with AT&amp;T Comcast. Accordingly, the existence of the Rights may deter potential acquirors from making a takeover proposal or a tender offer. The Rights should not interfere with any merger or other business combination approved by the AT&amp;T Comcast Board because the Board may either redeem the Rights or amend the rights agreement so that a transaction it approves would not cause the Rights to become exercisable.</w:t>
      </w:r>
    </w:p>
    <w:p>
      <w:pPr>
        <w:spacing w:after="0" w:line="201"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Taxation. The dividend of the Rights will not be taxable to AT&amp;T Comcast shareholders, but shareholders may recognize taxable income if the Rights become exercisable as set forth above.</w:t>
      </w:r>
    </w:p>
    <w:p>
      <w:pPr>
        <w:spacing w:after="0" w:line="194"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Series A Preferred Stock. In connection with the creation of the Rights, the AT&amp;T Comcast Board will authorize the issuance of shares of AT&amp;T Comcast preferred stock designated as AT&amp;T Comcast Series A Participating Cumulative Preferred Stock. AT&amp;T Comcast will design the dividend, liquidation, voting and redemption features of the AT&amp;T Comcast Series A Participating Cumulative Preferred Stock so that the value of one-thousandth of a share of AT&amp;T Comcast Series A Participating Cumulative Preferred Stock approximates the value of one share of AT&amp;T Comcast Class A common stock (under the Preferred Structure) or one share of AT&amp;T Comcast Class C common stock (under the Alternative Structure). Shares of AT&amp;T Comcast Series A Participating Cumulative Preferred Stock will be purchasable only after the Rights have become exercisable. The rights of the AT&amp;T Comcast Series A Participating Cumulative Preferred Stock as to dividends, liquidation and voting, and in the event of mergers or consolidations, are protected by customary antidilution provisions.</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XIV-16</w:t>
      </w:r>
    </w:p>
    <w:p>
      <w:pPr>
        <w:sectPr>
          <w:pgSz w:w="11900" w:h="16838" w:orient="portrait"/>
          <w:cols w:equalWidth="0" w:num="1">
            <w:col w:w="10219"/>
          </w:cols>
          <w:pgMar w:left="240" w:top="719" w:right="1440" w:bottom="1440" w:gutter="0" w:footer="0" w:header="0"/>
        </w:sectPr>
      </w:pPr>
    </w:p>
    <w:bookmarkStart w:id="384" w:name="page385"/>
    <w:bookmarkEnd w:id="384"/>
    <w:p>
      <w:pPr>
        <w:ind w:left="1680"/>
        <w:spacing w:after="0"/>
        <w:rPr>
          <w:sz w:val="20"/>
          <w:szCs w:val="20"/>
          <w:color w:val="auto"/>
        </w:rPr>
      </w:pPr>
      <w:r>
        <w:rPr>
          <w:rFonts w:ascii="Courier New" w:cs="Courier New" w:eastAsia="Courier New" w:hAnsi="Courier New"/>
          <w:sz w:val="17"/>
          <w:szCs w:val="17"/>
          <w:color w:val="auto"/>
        </w:rPr>
        <w:t>INFORMATION REGARDING FORWARD-LOOKING STATEMENTS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This document contains "forward-looking statements" within the meaning of the Private Securities Litigation Reform Act of 1995. These statements may be made directly in this document referring to Comcast, AT&amp;T and AT&amp;T Comcast, and they may also be made a part of this document by reference to other documents filed with the SEC by Comcast and AT&amp;T, which is known as "incorporation by reference." These statements may include statements regarding the period following completion of the transaction.</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Words such as "anticipate," "estimate," "expect," "project," "intend," "plan," "believe" and words and terms of similar substance used in connection with any discussion of future operating or financial performance, or the transaction, identify forward-looking statements. All forward-looking statements are management's present expectations of future events and are subject to a number of factors and uncertainties that could cause actual results to differ materially from those described in the forward-looking statements. In addition to the risks related to the businesses of Comcast and AT&amp;T, the factors relating to the transaction discussed under "Summary and Overview of the</w:t>
      </w:r>
    </w:p>
    <w:p>
      <w:pPr>
        <w:ind w:right="1939"/>
        <w:spacing w:after="0" w:line="251" w:lineRule="auto"/>
        <w:rPr>
          <w:sz w:val="20"/>
          <w:szCs w:val="20"/>
          <w:color w:val="auto"/>
        </w:rPr>
      </w:pPr>
      <w:r>
        <w:rPr>
          <w:rFonts w:ascii="Courier New" w:cs="Courier New" w:eastAsia="Courier New" w:hAnsi="Courier New"/>
          <w:sz w:val="17"/>
          <w:szCs w:val="17"/>
          <w:color w:val="auto"/>
        </w:rPr>
        <w:t>Transactions -- Risk Factors," among others, could cause actual results to differ materially from those described in the forward-looking statements. Shareholders are cautioned not to place undue reliance on the forward-looking statements, which speak only as of the date of this document or as of the date of any document incorporated by reference in this document, as applicable. None of Comcast, AT&amp;T or AT&amp;T Comcast is under any obligation, and each expressly disclaims any obligation, to update or alter any forward-looking statements, whether as a result of new information, future events or otherwise.</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For additional information about factors that could cause actual results to differ materially from those described in the forward-looking statements, please see the annual reports on Form 10-K and the quarterly reports on Form 10-Q that Comcast and AT&amp;T have filed with the SEC.</w:t>
      </w:r>
    </w:p>
    <w:p>
      <w:pPr>
        <w:spacing w:after="0" w:line="195"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All subsequent forward-looking statements attributable to Comcast, AT&amp;T or AT&amp;T Comcast or any person acting on their behalf are expressly qualified in their entirety by the cautionary statements contained or referred to in this section.</w:t>
      </w:r>
    </w:p>
    <w:p>
      <w:pPr>
        <w:spacing w:after="0" w:line="195"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LEGAL MATTERS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validity of the shares of AT&amp;T Comcast common stock to be issued to Comcast shareholders and AT&amp;T Broadband shareholders in the mergers will be passed upon for AT&amp;T Comcast by Wolf, Block, Schorr and Solis-Cohen LLP and Drinker Biddle &amp; Reath LLP. Davis Polk &amp; Wardwell, counsel for Comcast, and Wachtell, Lipton, Rosen &amp; Katz, counsel for AT&amp;T, will pass upon certain federal income tax consequences of the transaction for Comcast and AT&amp;T, respectively.</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EXPERTS</w:t>
      </w:r>
    </w:p>
    <w:p>
      <w:pPr>
        <w:spacing w:after="0" w:line="210" w:lineRule="exact"/>
        <w:rPr>
          <w:sz w:val="20"/>
          <w:szCs w:val="20"/>
          <w:color w:val="auto"/>
        </w:rPr>
      </w:pPr>
    </w:p>
    <w:p>
      <w:pPr>
        <w:jc w:val="both"/>
        <w:ind w:right="1939" w:firstLine="524"/>
        <w:spacing w:after="0" w:line="251" w:lineRule="auto"/>
        <w:rPr>
          <w:sz w:val="20"/>
          <w:szCs w:val="20"/>
          <w:color w:val="auto"/>
        </w:rPr>
      </w:pPr>
      <w:r>
        <w:rPr>
          <w:rFonts w:ascii="Courier New" w:cs="Courier New" w:eastAsia="Courier New" w:hAnsi="Courier New"/>
          <w:sz w:val="17"/>
          <w:szCs w:val="17"/>
          <w:color w:val="auto"/>
        </w:rPr>
        <w:t>The financial statements and the related financial statement schedules of Comcast incorporated in this document by reference from Comcast's Annual Report on Form 10-K for the year ended December 31, 2000 have been audited by Deloitte</w:t>
      </w:r>
    </w:p>
    <w:p>
      <w:pPr>
        <w:ind w:right="1839" w:firstLine="7"/>
        <w:spacing w:after="0" w:line="253" w:lineRule="auto"/>
        <w:tabs>
          <w:tab w:leader="none" w:pos="209" w:val="left"/>
        </w:tabs>
        <w:numPr>
          <w:ilvl w:val="0"/>
          <w:numId w:val="3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Touche LLP, independent auditors, as stated in their reports, which are incorporated herein by reference, and have been so incorporated in reliance upon the reports of such firm given upon their authority as experts in accounting and auditing.</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consolidated financial statements of QVC, Inc. and subsidiaries for the year ended December 31, 1998 have been audited by KPMG LLP, independent auditors, as stated in their report, which is incorporated herein by reference, and has been so incorporated in reliance upon the report of such firm given upon their authority as experts in accounting and auditing.</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balance sheet of AT&amp;T Comcast as of December 7, 2001 included in this document has been audited by Deloitte &amp; Touche LLP, independent auditors, as stated in their report, appearing herein, and is so included in reliance upon the report of such firm given upon their authority as experts in accounting and auditing.</w:t>
      </w:r>
    </w:p>
    <w:p>
      <w:pPr>
        <w:ind w:left="3980"/>
        <w:spacing w:after="0"/>
        <w:rPr>
          <w:sz w:val="20"/>
          <w:szCs w:val="20"/>
          <w:color w:val="auto"/>
        </w:rPr>
      </w:pPr>
      <w:r>
        <w:rPr>
          <w:rFonts w:ascii="Courier New" w:cs="Courier New" w:eastAsia="Courier New" w:hAnsi="Courier New"/>
          <w:sz w:val="17"/>
          <w:szCs w:val="17"/>
          <w:color w:val="auto"/>
        </w:rPr>
        <w:t>XIV-17</w:t>
      </w:r>
    </w:p>
    <w:p>
      <w:pPr>
        <w:sectPr>
          <w:pgSz w:w="11900" w:h="16838" w:orient="portrait"/>
          <w:cols w:equalWidth="0" w:num="1">
            <w:col w:w="10219"/>
          </w:cols>
          <w:pgMar w:left="240" w:top="719" w:right="1440" w:bottom="1440" w:gutter="0" w:footer="0" w:header="0"/>
        </w:sectPr>
      </w:pPr>
    </w:p>
    <w:bookmarkStart w:id="385" w:name="page386"/>
    <w:bookmarkEnd w:id="385"/>
    <w:p>
      <w:pPr>
        <w:ind w:right="1839" w:firstLine="524"/>
        <w:spacing w:after="0" w:line="251" w:lineRule="auto"/>
        <w:rPr>
          <w:sz w:val="20"/>
          <w:szCs w:val="20"/>
          <w:color w:val="auto"/>
        </w:rPr>
      </w:pPr>
      <w:r>
        <w:rPr>
          <w:rFonts w:ascii="Courier New" w:cs="Courier New" w:eastAsia="Courier New" w:hAnsi="Courier New"/>
          <w:sz w:val="17"/>
          <w:szCs w:val="17"/>
          <w:color w:val="auto"/>
        </w:rPr>
        <w:t>The financial statements of AT&amp;T Corp. included in this Registration Statement, except as they relate to Liberty Media Group, have been audited by PricewaterhouseCoopers LLP, independent accountants, whose report thereon appears herein, and insofar as they relate to Liberty Media Group, by KPMG LLP, independent accountants, whose report thereon is incorporated by reference. Such financial statements have been so included in reliance on the reports of such independent accountants, given on the authority of such firms as experts in auditing and accounting.</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financial statements of AT&amp;T Broadband Group as of December 31, 2000 and 1999, and for the year ended December 31, 2000 and for the ten-month period ended December 31, 1999 included in this Registration Statement have been so included in reliance on the report of PricewaterhouseCoopers LLP, independent accountants, given on the authority of said firm as experts in auditing and accounting.</w:t>
      </w:r>
    </w:p>
    <w:p>
      <w:pPr>
        <w:spacing w:after="0" w:line="39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financial statements of AT&amp;T Consumer Services Group as of December 31,</w:t>
      </w:r>
    </w:p>
    <w:p>
      <w:pPr>
        <w:spacing w:after="0" w:line="9" w:lineRule="exact"/>
        <w:rPr>
          <w:sz w:val="20"/>
          <w:szCs w:val="20"/>
          <w:color w:val="auto"/>
        </w:rPr>
      </w:pPr>
    </w:p>
    <w:p>
      <w:pPr>
        <w:jc w:val="both"/>
        <w:ind w:right="2039"/>
        <w:spacing w:after="0" w:line="253" w:lineRule="auto"/>
        <w:rPr>
          <w:sz w:val="20"/>
          <w:szCs w:val="20"/>
          <w:color w:val="auto"/>
        </w:rPr>
      </w:pPr>
      <w:r>
        <w:rPr>
          <w:rFonts w:ascii="Courier New" w:cs="Courier New" w:eastAsia="Courier New" w:hAnsi="Courier New"/>
          <w:sz w:val="17"/>
          <w:szCs w:val="17"/>
          <w:color w:val="auto"/>
        </w:rPr>
        <w:t>2000 and 1999 and for each of the three years in the period ended December 31, 2000 included in this Registration Statement have been so included in reliance on the report of PricewaterhouseCoopers LLP, independent accountants, given on the authority of said firm as experts in auditing and accounting.</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combined balance sheets of Liberty Media Group ("New Liberty or Successor") as of December 31, 2000 and 1999, and the related combined statements of operations and comprehensive earnings, net attributed assets, and cash flows for the year ended December 31, 2000 and for the period from March 1, 1999 to December 31, 1999 (Successor periods) and from January 1, 1999 to February 28, 1999 and for the year ended December 31, 1998 (Predecessor periods) which appear as an exhibit to the Annual Report on Form 10-K/A, dated April 17, 2001, of AT&amp;T, have been incorporated by reference herein in reliance upon the report, dated February 26, 2001, of KPMG LLP, independent certified public accountants, incorporated by reference herein, and upon the authority of said firm as experts in accounting and auditing.</w:t>
      </w:r>
    </w:p>
    <w:p>
      <w:pPr>
        <w:spacing w:after="0" w:line="201" w:lineRule="exact"/>
        <w:rPr>
          <w:sz w:val="20"/>
          <w:szCs w:val="20"/>
          <w:color w:val="auto"/>
        </w:rPr>
      </w:pPr>
    </w:p>
    <w:p>
      <w:pPr>
        <w:ind w:right="2259" w:firstLine="524"/>
        <w:spacing w:after="0" w:line="254" w:lineRule="auto"/>
        <w:rPr>
          <w:sz w:val="20"/>
          <w:szCs w:val="20"/>
          <w:color w:val="auto"/>
        </w:rPr>
      </w:pPr>
      <w:r>
        <w:rPr>
          <w:rFonts w:ascii="Courier New" w:cs="Courier New" w:eastAsia="Courier New" w:hAnsi="Courier New"/>
          <w:sz w:val="17"/>
          <w:szCs w:val="17"/>
          <w:color w:val="auto"/>
        </w:rPr>
        <w:t>The KPMG LLP report dated February 26, 2001 refers to the fact that the financial statements should be read in conjunction with the consolidated financial statements of AT&amp;T.</w:t>
      </w:r>
    </w:p>
    <w:p>
      <w:pPr>
        <w:spacing w:after="0" w:line="194"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 addition, the KPMG LLP report contains an explanatory paragraph that states that, effective March 9, 1999, AT&amp;T, the owner of the assets comprising New Liberty, acquired Tele-Communications, Inc., the owner of the assets comprising Old Liberty, in a business combination accounted for as a purchase. As a result of the acquisition, the combined financial information for the periods after the acquisition is presented on a different cost basis than that for the periods before the acquisition and, therefore, is not comparable.</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consolidated balance sheets of Tele-Communications, Inc. and its subsidiaries as of December 31, 1998 and 1997, and the related consolidated statements of operations and comprehensive earnings, stockholders' equity, and cash flows for each of the years in the three-year period ended December 31, 1998, which appear in the Current Report on Form 8-K, dated March 28, 2001, of AT&amp;T have been incorporated by reference herein in reliance upon the report dated March 9, 1999, of KPMG LLP, independent certified public accountants, incorporated by reference herein, and upon the authority of said firm as experts in accounting and auditing.</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consolidated balance sheets of MediaOne Group, Inc. as of December 31, 1999 and 1998, and the related consolidated statements of operations, shareowners' equity and cash flows for each of the three years in the period ended December 31, 1999, filed in AT&amp;T's Form 8-K dated March 28, 2001, incorporated by reference in this registration statement have been audited by Arthur Andersen LLP, independent public accountants, as indicated in their report with respect thereto, and are incorporated by reference herein in reliance upon the authority of said firm as experts in accounting and auditing in giving said report.</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XIV-18</w:t>
      </w:r>
    </w:p>
    <w:p>
      <w:pPr>
        <w:sectPr>
          <w:pgSz w:w="11900" w:h="16838" w:orient="portrait"/>
          <w:cols w:equalWidth="0" w:num="1">
            <w:col w:w="10219"/>
          </w:cols>
          <w:pgMar w:left="240" w:top="719" w:right="1440" w:bottom="1440" w:gutter="0" w:footer="0" w:header="0"/>
        </w:sectPr>
      </w:pPr>
    </w:p>
    <w:bookmarkStart w:id="386" w:name="page387"/>
    <w:bookmarkEnd w:id="386"/>
    <w:p>
      <w:pPr>
        <w:jc w:val="center"/>
        <w:ind w:right="1939"/>
        <w:spacing w:after="0"/>
        <w:rPr>
          <w:sz w:val="20"/>
          <w:szCs w:val="20"/>
          <w:color w:val="auto"/>
        </w:rPr>
      </w:pPr>
      <w:r>
        <w:rPr>
          <w:rFonts w:ascii="Courier New" w:cs="Courier New" w:eastAsia="Courier New" w:hAnsi="Courier New"/>
          <w:sz w:val="17"/>
          <w:szCs w:val="17"/>
          <w:color w:val="auto"/>
        </w:rPr>
        <w:t>CHAPTER FIFTEEN</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ADDITIONAL INFORMATION FOR SHAREHOLDERS</w:t>
      </w: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FUTURE SHAREHOLDER PROPOSALS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w:t>
      </w:r>
    </w:p>
    <w:p>
      <w:pPr>
        <w:spacing w:after="0" w:line="210" w:lineRule="exact"/>
        <w:rPr>
          <w:sz w:val="20"/>
          <w:szCs w:val="20"/>
          <w:color w:val="auto"/>
        </w:rPr>
      </w:pPr>
    </w:p>
    <w:p>
      <w:pPr>
        <w:jc w:val="both"/>
        <w:ind w:right="1939" w:firstLine="524"/>
        <w:spacing w:after="0" w:line="251" w:lineRule="auto"/>
        <w:rPr>
          <w:sz w:val="20"/>
          <w:szCs w:val="20"/>
          <w:color w:val="auto"/>
        </w:rPr>
      </w:pPr>
      <w:r>
        <w:rPr>
          <w:rFonts w:ascii="Courier New" w:cs="Courier New" w:eastAsia="Courier New" w:hAnsi="Courier New"/>
          <w:sz w:val="17"/>
          <w:szCs w:val="17"/>
          <w:color w:val="auto"/>
        </w:rPr>
        <w:t>Comcast will hold an annual meeting of shareholders in the year 2003 only if the transaction has not already been completed. If such meeting is held, the deadline for receipt of a proposal to be considered for inclusion in Comcast's</w:t>
      </w:r>
    </w:p>
    <w:tbl>
      <w:tblPr>
        <w:tblLayout w:type="fixed"/>
        <w:tblInd w:w="0" w:type="dxa"/>
        <w:tblCellMar>
          <w:top w:w="0" w:type="dxa"/>
          <w:left w:w="0" w:type="dxa"/>
          <w:bottom w:w="0" w:type="dxa"/>
          <w:right w:w="0" w:type="dxa"/>
        </w:tblCellMar>
      </w:tblPr>
      <w:tr>
        <w:trPr>
          <w:trHeight w:val="197"/>
        </w:trPr>
        <w:tc>
          <w:tcPr>
            <w:tcW w:w="2940" w:type="dxa"/>
            <w:vAlign w:val="bottom"/>
            <w:gridSpan w:val="3"/>
          </w:tcPr>
          <w:p>
            <w:pPr>
              <w:spacing w:after="0"/>
              <w:rPr>
                <w:sz w:val="20"/>
                <w:szCs w:val="20"/>
                <w:color w:val="auto"/>
              </w:rPr>
            </w:pPr>
            <w:r>
              <w:rPr>
                <w:rFonts w:ascii="Courier New" w:cs="Courier New" w:eastAsia="Courier New" w:hAnsi="Courier New"/>
                <w:sz w:val="17"/>
                <w:szCs w:val="17"/>
                <w:color w:val="auto"/>
              </w:rPr>
              <w:t>proxy statement for the 2003</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annual</w:t>
            </w:r>
          </w:p>
        </w:tc>
        <w:tc>
          <w:tcPr>
            <w:tcW w:w="200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meeting is</w:t>
            </w:r>
          </w:p>
        </w:tc>
        <w:tc>
          <w:tcPr>
            <w:tcW w:w="1680" w:type="dxa"/>
            <w:vAlign w:val="bottom"/>
          </w:tcPr>
          <w:p>
            <w:pPr>
              <w:ind w:left="780"/>
              <w:spacing w:after="0"/>
              <w:rPr>
                <w:sz w:val="20"/>
                <w:szCs w:val="20"/>
                <w:color w:val="auto"/>
              </w:rPr>
            </w:pPr>
            <w:r>
              <w:rPr>
                <w:rFonts w:ascii="Courier New" w:cs="Courier New" w:eastAsia="Courier New" w:hAnsi="Courier New"/>
                <w:sz w:val="17"/>
                <w:szCs w:val="17"/>
                <w:color w:val="auto"/>
              </w:rPr>
              <w:t>. Notice</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a</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proposal to</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be</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considered by</w:t>
            </w:r>
          </w:p>
        </w:tc>
        <w:tc>
          <w:tcPr>
            <w:tcW w:w="5240" w:type="dxa"/>
            <w:vAlign w:val="bottom"/>
            <w:gridSpan w:val="5"/>
          </w:tcPr>
          <w:p>
            <w:pPr>
              <w:jc w:val="right"/>
              <w:ind w:right="133"/>
              <w:spacing w:after="0"/>
              <w:rPr>
                <w:sz w:val="20"/>
                <w:szCs w:val="20"/>
                <w:color w:val="auto"/>
              </w:rPr>
            </w:pPr>
            <w:r>
              <w:rPr>
                <w:rFonts w:ascii="Courier New" w:cs="Courier New" w:eastAsia="Courier New" w:hAnsi="Courier New"/>
                <w:sz w:val="17"/>
                <w:szCs w:val="17"/>
                <w:color w:val="auto"/>
              </w:rPr>
              <w:t>shareholders at the 2003 annual meeting but not</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included in</w:t>
            </w:r>
          </w:p>
        </w:tc>
        <w:tc>
          <w:tcPr>
            <w:tcW w:w="45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Comcast's proxy statement must be received</w:t>
            </w:r>
          </w:p>
        </w:tc>
        <w:tc>
          <w:tcPr>
            <w:tcW w:w="1680" w:type="dxa"/>
            <w:vAlign w:val="bottom"/>
          </w:tcPr>
          <w:p>
            <w:pPr>
              <w:ind w:left="40"/>
              <w:spacing w:after="0"/>
              <w:rPr>
                <w:sz w:val="20"/>
                <w:szCs w:val="20"/>
                <w:color w:val="auto"/>
              </w:rPr>
            </w:pPr>
            <w:r>
              <w:rPr>
                <w:rFonts w:ascii="Courier New" w:cs="Courier New" w:eastAsia="Courier New" w:hAnsi="Courier New"/>
                <w:sz w:val="17"/>
                <w:szCs w:val="17"/>
                <w:color w:val="auto"/>
              </w:rPr>
              <w:t>between</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and</w:t>
            </w:r>
          </w:p>
        </w:tc>
        <w:tc>
          <w:tcPr>
            <w:tcW w:w="300" w:type="dxa"/>
            <w:vAlign w:val="bottom"/>
          </w:tcPr>
          <w:p>
            <w:pPr>
              <w:spacing w:after="0"/>
              <w:rPr>
                <w:sz w:val="17"/>
                <w:szCs w:val="17"/>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(however, if the</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date of the annual</w:t>
            </w:r>
          </w:p>
        </w:tc>
        <w:tc>
          <w:tcPr>
            <w:tcW w:w="1680" w:type="dxa"/>
            <w:vAlign w:val="bottom"/>
          </w:tcPr>
          <w:p>
            <w:pPr>
              <w:ind w:left="40"/>
              <w:spacing w:after="0"/>
              <w:rPr>
                <w:sz w:val="20"/>
                <w:szCs w:val="20"/>
                <w:color w:val="auto"/>
              </w:rPr>
            </w:pPr>
            <w:r>
              <w:rPr>
                <w:rFonts w:ascii="Courier New" w:cs="Courier New" w:eastAsia="Courier New" w:hAnsi="Courier New"/>
                <w:sz w:val="17"/>
                <w:szCs w:val="17"/>
                <w:color w:val="auto"/>
              </w:rPr>
              <w:t>meeting is more</w:t>
            </w:r>
          </w:p>
        </w:tc>
        <w:tc>
          <w:tcPr>
            <w:tcW w:w="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than 30</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days before</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or</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after</w:t>
            </w:r>
          </w:p>
        </w:tc>
        <w:tc>
          <w:tcPr>
            <w:tcW w:w="2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then such notice must be</w:t>
            </w:r>
          </w:p>
        </w:tc>
        <w:tc>
          <w:tcPr>
            <w:tcW w:w="19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received not later</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than</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ten days following the day on which notice</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36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the date of the meeting was mailed</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or on which</w:t>
            </w:r>
          </w:p>
        </w:tc>
        <w:tc>
          <w:tcPr>
            <w:tcW w:w="7160" w:type="dxa"/>
            <w:vAlign w:val="bottom"/>
            <w:gridSpan w:val="5"/>
          </w:tcPr>
          <w:p>
            <w:pPr>
              <w:ind w:left="40"/>
              <w:spacing w:after="0"/>
              <w:rPr>
                <w:sz w:val="20"/>
                <w:szCs w:val="20"/>
                <w:color w:val="auto"/>
              </w:rPr>
            </w:pPr>
            <w:r>
              <w:rPr>
                <w:rFonts w:ascii="Courier New" w:cs="Courier New" w:eastAsia="Courier New" w:hAnsi="Courier New"/>
                <w:sz w:val="17"/>
                <w:szCs w:val="17"/>
                <w:color w:val="auto"/>
              </w:rPr>
              <w:t>public announcement of the date of the meeting was made, whichever</w:t>
            </w:r>
          </w:p>
        </w:tc>
      </w:tr>
      <w:tr>
        <w:trPr>
          <w:trHeight w:val="201"/>
        </w:trPr>
        <w:tc>
          <w:tcPr>
            <w:tcW w:w="7400" w:type="dxa"/>
            <w:vAlign w:val="bottom"/>
            <w:gridSpan w:val="5"/>
          </w:tcPr>
          <w:p>
            <w:pPr>
              <w:spacing w:after="0"/>
              <w:rPr>
                <w:sz w:val="20"/>
                <w:szCs w:val="20"/>
                <w:color w:val="auto"/>
              </w:rPr>
            </w:pPr>
            <w:r>
              <w:rPr>
                <w:rFonts w:ascii="Courier New" w:cs="Courier New" w:eastAsia="Courier New" w:hAnsi="Courier New"/>
                <w:sz w:val="17"/>
                <w:szCs w:val="17"/>
                <w:color w:val="auto"/>
              </w:rPr>
              <w:t>occurs first). Any such notice of a proposal should be directed to the</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attention</w:t>
            </w:r>
          </w:p>
        </w:tc>
      </w:tr>
      <w:tr>
        <w:trPr>
          <w:trHeight w:val="201"/>
        </w:trPr>
        <w:tc>
          <w:tcPr>
            <w:tcW w:w="4780" w:type="dxa"/>
            <w:vAlign w:val="bottom"/>
            <w:gridSpan w:val="3"/>
          </w:tcPr>
          <w:p>
            <w:pPr>
              <w:spacing w:after="0"/>
              <w:rPr>
                <w:sz w:val="20"/>
                <w:szCs w:val="20"/>
                <w:color w:val="auto"/>
              </w:rPr>
            </w:pPr>
            <w:r>
              <w:rPr>
                <w:rFonts w:ascii="Courier New" w:cs="Courier New" w:eastAsia="Courier New" w:hAnsi="Courier New"/>
                <w:sz w:val="17"/>
                <w:szCs w:val="17"/>
                <w:color w:val="auto"/>
              </w:rPr>
              <w:t>of Stanley Wang, Executive Vice President and</w:t>
            </w:r>
          </w:p>
        </w:tc>
        <w:tc>
          <w:tcPr>
            <w:tcW w:w="36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Secretary, Comcast Corporation,</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1500 Market</w:t>
            </w:r>
          </w:p>
        </w:tc>
        <w:tc>
          <w:tcPr>
            <w:tcW w:w="35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Street, 35th floor, Philadelphia,</w:t>
            </w:r>
          </w:p>
        </w:tc>
        <w:tc>
          <w:tcPr>
            <w:tcW w:w="26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Pennsylvania 19102-2148.</w:t>
            </w:r>
          </w:p>
        </w:tc>
        <w:tc>
          <w:tcPr>
            <w:tcW w:w="980" w:type="dxa"/>
            <w:vAlign w:val="bottom"/>
          </w:tcPr>
          <w:p>
            <w:pPr>
              <w:spacing w:after="0"/>
              <w:rPr>
                <w:sz w:val="17"/>
                <w:szCs w:val="17"/>
                <w:color w:val="auto"/>
              </w:rPr>
            </w:pPr>
          </w:p>
        </w:tc>
      </w:tr>
      <w:tr>
        <w:trPr>
          <w:trHeight w:val="403"/>
        </w:trPr>
        <w:tc>
          <w:tcPr>
            <w:tcW w:w="1220" w:type="dxa"/>
            <w:vAlign w:val="bottom"/>
          </w:tcPr>
          <w:p>
            <w:pPr>
              <w:spacing w:after="0"/>
              <w:rPr>
                <w:sz w:val="20"/>
                <w:szCs w:val="20"/>
                <w:color w:val="auto"/>
              </w:rPr>
            </w:pPr>
            <w:r>
              <w:rPr>
                <w:rFonts w:ascii="Courier New" w:cs="Courier New" w:eastAsia="Courier New" w:hAnsi="Courier New"/>
                <w:sz w:val="17"/>
                <w:szCs w:val="17"/>
                <w:color w:val="auto"/>
              </w:rPr>
              <w:t>AT&amp;T</w:t>
            </w:r>
          </w:p>
        </w:tc>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3"/>
        </w:trPr>
        <w:tc>
          <w:tcPr>
            <w:tcW w:w="8380" w:type="dxa"/>
            <w:vAlign w:val="bottom"/>
            <w:gridSpan w:val="6"/>
          </w:tcPr>
          <w:p>
            <w:pPr>
              <w:ind w:left="540"/>
              <w:spacing w:after="0"/>
              <w:rPr>
                <w:sz w:val="20"/>
                <w:szCs w:val="20"/>
                <w:color w:val="auto"/>
              </w:rPr>
            </w:pPr>
            <w:r>
              <w:rPr>
                <w:rFonts w:ascii="Courier New" w:cs="Courier New" w:eastAsia="Courier New" w:hAnsi="Courier New"/>
                <w:sz w:val="17"/>
                <w:szCs w:val="17"/>
                <w:color w:val="auto"/>
              </w:rPr>
              <w:t>The deadline for receipt of a proposal to be considered for inclusion in</w:t>
            </w:r>
          </w:p>
        </w:tc>
      </w:tr>
      <w:tr>
        <w:trPr>
          <w:trHeight w:val="201"/>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AT&amp;T's proxy statement for the 2003 annual</w:t>
            </w:r>
          </w:p>
        </w:tc>
        <w:tc>
          <w:tcPr>
            <w:tcW w:w="2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meeting is</w:t>
            </w:r>
          </w:p>
        </w:tc>
        <w:tc>
          <w:tcPr>
            <w:tcW w:w="1140" w:type="dxa"/>
            <w:vAlign w:val="bottom"/>
            <w:gridSpan w:val="2"/>
          </w:tcPr>
          <w:p>
            <w:pPr>
              <w:spacing w:after="0"/>
              <w:rPr>
                <w:sz w:val="20"/>
                <w:szCs w:val="20"/>
                <w:color w:val="auto"/>
              </w:rPr>
            </w:pPr>
            <w:r>
              <w:rPr>
                <w:rFonts w:ascii="Courier New" w:cs="Courier New" w:eastAsia="Courier New" w:hAnsi="Courier New"/>
                <w:sz w:val="17"/>
                <w:szCs w:val="17"/>
                <w:color w:val="auto"/>
                <w:w w:val="99"/>
              </w:rPr>
              <w:t>. Notice of</w:t>
            </w:r>
          </w:p>
        </w:tc>
      </w:tr>
      <w:tr>
        <w:trPr>
          <w:trHeight w:val="201"/>
        </w:trPr>
        <w:tc>
          <w:tcPr>
            <w:tcW w:w="7400" w:type="dxa"/>
            <w:vAlign w:val="bottom"/>
            <w:gridSpan w:val="5"/>
          </w:tcPr>
          <w:p>
            <w:pPr>
              <w:spacing w:after="0"/>
              <w:rPr>
                <w:sz w:val="20"/>
                <w:szCs w:val="20"/>
                <w:color w:val="auto"/>
              </w:rPr>
            </w:pPr>
            <w:r>
              <w:rPr>
                <w:rFonts w:ascii="Courier New" w:cs="Courier New" w:eastAsia="Courier New" w:hAnsi="Courier New"/>
                <w:sz w:val="17"/>
                <w:szCs w:val="17"/>
                <w:color w:val="auto"/>
              </w:rPr>
              <w:t>a proposal to be considered by shareholders at the 2003 annual meeting</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but not</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included in</w:t>
            </w:r>
          </w:p>
        </w:tc>
        <w:tc>
          <w:tcPr>
            <w:tcW w:w="3240" w:type="dxa"/>
            <w:vAlign w:val="bottom"/>
          </w:tcPr>
          <w:p>
            <w:pPr>
              <w:ind w:left="40"/>
              <w:spacing w:after="0"/>
              <w:rPr>
                <w:sz w:val="20"/>
                <w:szCs w:val="20"/>
                <w:color w:val="auto"/>
              </w:rPr>
            </w:pPr>
            <w:r>
              <w:rPr>
                <w:rFonts w:ascii="Courier New" w:cs="Courier New" w:eastAsia="Courier New" w:hAnsi="Courier New"/>
                <w:sz w:val="17"/>
                <w:szCs w:val="17"/>
                <w:color w:val="auto"/>
              </w:rPr>
              <w:t>AT&amp;T's proxy statement must be</w:t>
            </w:r>
          </w:p>
        </w:tc>
        <w:tc>
          <w:tcPr>
            <w:tcW w:w="29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received no later than 5:00</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p.m.</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E.S.T. on</w:t>
            </w:r>
          </w:p>
        </w:tc>
        <w:tc>
          <w:tcPr>
            <w:tcW w:w="3240" w:type="dxa"/>
            <w:vAlign w:val="bottom"/>
          </w:tcPr>
          <w:p>
            <w:pPr>
              <w:ind w:left="880"/>
              <w:spacing w:after="0"/>
              <w:rPr>
                <w:sz w:val="20"/>
                <w:szCs w:val="20"/>
                <w:color w:val="auto"/>
              </w:rPr>
            </w:pPr>
            <w:r>
              <w:rPr>
                <w:rFonts w:ascii="Courier New" w:cs="Courier New" w:eastAsia="Courier New" w:hAnsi="Courier New"/>
                <w:sz w:val="17"/>
                <w:szCs w:val="17"/>
                <w:color w:val="auto"/>
              </w:rPr>
              <w:t>. Any such notice of a</w:t>
            </w:r>
          </w:p>
        </w:tc>
        <w:tc>
          <w:tcPr>
            <w:tcW w:w="29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proposal should be sent via</w:t>
            </w:r>
          </w:p>
        </w:tc>
        <w:tc>
          <w:tcPr>
            <w:tcW w:w="980" w:type="dxa"/>
            <w:vAlign w:val="bottom"/>
          </w:tcPr>
          <w:p>
            <w:pPr>
              <w:spacing w:after="0"/>
              <w:rPr>
                <w:sz w:val="17"/>
                <w:szCs w:val="17"/>
                <w:color w:val="auto"/>
              </w:rPr>
            </w:pP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registered,</w:t>
            </w:r>
          </w:p>
        </w:tc>
        <w:tc>
          <w:tcPr>
            <w:tcW w:w="35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certified or express mail to Vice</w:t>
            </w:r>
          </w:p>
        </w:tc>
        <w:tc>
          <w:tcPr>
            <w:tcW w:w="36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President - Law and Secretary,</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AT&amp;T Corp.,</w:t>
            </w:r>
          </w:p>
        </w:tc>
        <w:tc>
          <w:tcPr>
            <w:tcW w:w="3240" w:type="dxa"/>
            <w:vAlign w:val="bottom"/>
          </w:tcPr>
          <w:p>
            <w:pPr>
              <w:ind w:left="40"/>
              <w:spacing w:after="0"/>
              <w:rPr>
                <w:sz w:val="20"/>
                <w:szCs w:val="20"/>
                <w:color w:val="auto"/>
              </w:rPr>
            </w:pPr>
            <w:r>
              <w:rPr>
                <w:rFonts w:ascii="Courier New" w:cs="Courier New" w:eastAsia="Courier New" w:hAnsi="Courier New"/>
                <w:sz w:val="17"/>
                <w:szCs w:val="17"/>
                <w:color w:val="auto"/>
              </w:rPr>
              <w:t>32 Avenue of the Americas, New</w:t>
            </w:r>
          </w:p>
        </w:tc>
        <w:tc>
          <w:tcPr>
            <w:tcW w:w="2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York, New York 10013-2412.</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03"/>
        </w:trPr>
        <w:tc>
          <w:tcPr>
            <w:tcW w:w="1220" w:type="dxa"/>
            <w:vAlign w:val="bottom"/>
          </w:tcPr>
          <w:p>
            <w:pPr>
              <w:spacing w:after="0"/>
              <w:rPr>
                <w:sz w:val="24"/>
                <w:szCs w:val="24"/>
                <w:color w:val="auto"/>
              </w:rPr>
            </w:pPr>
          </w:p>
        </w:tc>
        <w:tc>
          <w:tcPr>
            <w:tcW w:w="3560" w:type="dxa"/>
            <w:vAlign w:val="bottom"/>
            <w:gridSpan w:val="2"/>
          </w:tcPr>
          <w:p>
            <w:pPr>
              <w:ind w:left="1100"/>
              <w:spacing w:after="0"/>
              <w:rPr>
                <w:sz w:val="20"/>
                <w:szCs w:val="20"/>
                <w:color w:val="auto"/>
              </w:rPr>
            </w:pPr>
            <w:r>
              <w:rPr>
                <w:rFonts w:ascii="Courier New" w:cs="Courier New" w:eastAsia="Courier New" w:hAnsi="Courier New"/>
                <w:sz w:val="17"/>
                <w:szCs w:val="17"/>
                <w:color w:val="auto"/>
              </w:rPr>
              <w:t>WHERE YOU CAN FIND MORE</w:t>
            </w:r>
          </w:p>
        </w:tc>
        <w:tc>
          <w:tcPr>
            <w:tcW w:w="2460" w:type="dxa"/>
            <w:vAlign w:val="bottom"/>
          </w:tcPr>
          <w:p>
            <w:pPr>
              <w:ind w:left="40"/>
              <w:spacing w:after="0"/>
              <w:rPr>
                <w:sz w:val="20"/>
                <w:szCs w:val="20"/>
                <w:color w:val="auto"/>
              </w:rPr>
            </w:pPr>
            <w:r>
              <w:rPr>
                <w:rFonts w:ascii="Courier New" w:cs="Courier New" w:eastAsia="Courier New" w:hAnsi="Courier New"/>
                <w:sz w:val="17"/>
                <w:szCs w:val="17"/>
                <w:color w:val="auto"/>
              </w:rPr>
              <w:t>INFORMATION</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Comcast and AT&amp;T file annual, quarterly and special reports, proxy statements and other information with the SEC. You may read and copy any reports, statements or other information Comcast and AT&amp;T file at the SEC's public reference room at 450 Fifth Street, N.W., Washington, D.C. 20549. Please call the SEC at 1-800-SEC-0330 for further information on the public reference room. Comcast's and AT&amp;T's SEC filings are also available to the public from commercial document retrieval services and at the web site maintained by the SEC at http://www.sec.gov.</w:t>
      </w:r>
    </w:p>
    <w:p>
      <w:pPr>
        <w:spacing w:after="0" w:line="3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Comcast filed a registration statement on Form S-4 to register with the SEC the AT&amp;T Comcast common stock to be issued to Comcast and AT&amp;T Broadband shareholders in the mergers. This document is a part of that registration statement and constitutes a prospectus of AT&amp;T Comcast in addition to being a proxy statement of Comcast and AT&amp;T for their respective meetings. As allowed by SEC rules, this document does not contain all the information you can find in the registration statement or the exhibits to the registration statement.</w:t>
      </w:r>
    </w:p>
    <w:p>
      <w:pPr>
        <w:spacing w:after="0" w:line="196"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SEC allows Comcast and AT&amp;T to "incorporate by reference" information into this document, which means that Comcast and AT&amp;T can disclose important information to you by referring you to another document filed separately with the SEC. The information incorporated by reference is deemed to be part of this document, except for any information superseded by information in, or incorporated by reference in, this document. This document incorporates by reference the documents set forth below that Comcast and AT&amp;T have previously filed with the SEC. These documents contain important information about the companies and their finances.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XV-1</w:t>
      </w:r>
    </w:p>
    <w:p>
      <w:pPr>
        <w:sectPr>
          <w:pgSz w:w="11900" w:h="16838" w:orient="portrait"/>
          <w:cols w:equalWidth="0" w:num="1">
            <w:col w:w="10219"/>
          </w:cols>
          <w:pgMar w:left="240" w:top="719" w:right="1440" w:bottom="1440" w:gutter="0" w:footer="0" w:header="0"/>
        </w:sectPr>
      </w:pPr>
    </w:p>
    <w:bookmarkStart w:id="387" w:name="page388"/>
    <w:bookmarkEnd w:id="387"/>
    <w:p>
      <w:pPr>
        <w:jc w:val="center"/>
        <w:ind w:right="9279"/>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SEC</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FILINGS</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(FILE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NO. 1-</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15471)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PERIOD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80" w:hanging="622"/>
        <w:spacing w:after="0"/>
        <w:tabs>
          <w:tab w:leader="none" w:pos="680" w:val="left"/>
        </w:tabs>
        <w:numPr>
          <w:ilvl w:val="0"/>
          <w:numId w:val="3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jc w:val="center"/>
        <w:ind w:right="9259" w:firstLine="156"/>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on Form 10-K Year ended December 31, 2000 Quarterly Report on Form 10-Q Quarters ended March 31, 2001, June 30, 2001 and September 30, 2001 Current Reports on Form 8-K Filed on January 4, 2001, July 9, 2001 and December 20,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AT&amp;T SEC</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FILINGS</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(FILE</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NO. 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1105)</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PERIOD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80" w:hanging="622"/>
        <w:spacing w:after="0"/>
        <w:tabs>
          <w:tab w:leader="none" w:pos="680" w:val="left"/>
        </w:tabs>
        <w:numPr>
          <w:ilvl w:val="0"/>
          <w:numId w:val="3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jc w:val="center"/>
        <w:ind w:left="60" w:right="9319" w:firstLine="105"/>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on Form 10-K Year ended December 31, 2000</w:t>
      </w:r>
    </w:p>
    <w:p>
      <w:pPr>
        <w:sectPr>
          <w:pgSz w:w="11900" w:h="16838" w:orient="portrait"/>
          <w:cols w:equalWidth="0" w:num="1">
            <w:col w:w="10219"/>
          </w:cols>
          <w:pgMar w:left="240" w:top="719" w:right="1440" w:bottom="0" w:gutter="0" w:footer="0" w:header="0"/>
        </w:sectPr>
      </w:pPr>
    </w:p>
    <w:bookmarkStart w:id="388" w:name="page389"/>
    <w:bookmarkEnd w:id="388"/>
    <w:p>
      <w:pPr>
        <w:spacing w:after="0" w:line="1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7"/>
          <w:szCs w:val="17"/>
          <w:color w:val="auto"/>
        </w:rPr>
        <w:t>Quarterly</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Report</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on Form</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10-Q</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Quarters</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ended</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March</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31,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June 30,</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 and</w:t>
      </w:r>
    </w:p>
    <w:p>
      <w:pPr>
        <w:spacing w:after="0" w:line="9"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7"/>
          <w:szCs w:val="17"/>
          <w:color w:val="auto"/>
        </w:rPr>
        <w:t>September</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30, 2001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Current</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Reports</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on Form</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8-K</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Filed on</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February</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16,</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March 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March</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28,</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March</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29, 2001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(as</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amended</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on April</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11,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April</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19,</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April</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27,</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May 22,</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June 19,</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July 19,</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July 24,</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7"/>
          <w:szCs w:val="17"/>
          <w:color w:val="auto"/>
        </w:rPr>
        <w:t>September</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24,</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October</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23,</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December</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January</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4, 2002</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and</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February</w:t>
      </w:r>
    </w:p>
    <w:p>
      <w:pPr>
        <w:spacing w:after="0" w:line="9"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5, 2002</w:t>
      </w:r>
    </w:p>
    <w:p>
      <w:pPr>
        <w:spacing w:after="0" w:line="200" w:lineRule="exact"/>
        <w:rPr>
          <w:sz w:val="20"/>
          <w:szCs w:val="20"/>
          <w:color w:val="auto"/>
        </w:rPr>
      </w:pPr>
    </w:p>
    <w:p>
      <w:pPr>
        <w:spacing w:after="0" w:line="212"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Comcast and AT&amp;T are also incorporating by reference into this document additional documents that Comcast and AT&amp;T have filed with the SEC between the date of this document and the date of the meetings.</w:t>
      </w:r>
    </w:p>
    <w:p>
      <w:pPr>
        <w:spacing w:after="0" w:line="194"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Comcast has supplied all information contained or incorporated by reference in this document relating to Comcast and AT&amp;T has supplied all information contained or incorporated by reference in this document relating to AT&amp;T, AT&amp;T Broadband or AT&amp;T's broadband business.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If you are a shareholder, Comcast and AT&amp;T may have sent you some of the documents incorporated by reference, but you can obtain any of them through Comcast, AT&amp;T or the SEC. Documents incorporated by reference in this document are available from Comcast and AT&amp;T without charge, excluding all exhibits unless Comcast and AT&amp;T have specifically incorporated by reference an exhibit in this document. Shareholders may obtain documents incorporated by reference in this document by requesting them in writing or by telephone from the Secretary of the appropriate company at the following address: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Comcast</w:t>
      </w:r>
    </w:p>
    <w:p>
      <w:pPr>
        <w:sectPr>
          <w:pgSz w:w="11900" w:h="16849" w:orient="portrait"/>
          <w:cols w:equalWidth="0" w:num="1">
            <w:col w:w="10219"/>
          </w:cols>
          <w:pgMar w:left="240" w:top="142" w:right="1440" w:bottom="0" w:gutter="0" w:footer="0" w:header="0"/>
        </w:sectPr>
      </w:pPr>
    </w:p>
    <w:bookmarkStart w:id="389" w:name="page390"/>
    <w:bookmarkEnd w:id="389"/>
    <w:p>
      <w:pPr>
        <w:jc w:val="center"/>
        <w:ind w:right="8859"/>
        <w:spacing w:after="0"/>
        <w:rPr>
          <w:sz w:val="20"/>
          <w:szCs w:val="20"/>
          <w:color w:val="auto"/>
        </w:rPr>
      </w:pPr>
      <w:r>
        <w:rPr>
          <w:rFonts w:ascii="Courier New" w:cs="Courier New" w:eastAsia="Courier New" w:hAnsi="Courier New"/>
          <w:sz w:val="17"/>
          <w:szCs w:val="17"/>
          <w:color w:val="auto"/>
        </w:rPr>
        <w:t>Corporation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1500 Market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Street 32</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Avenue 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the Americas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Philadelphia,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Pennsylvania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19102-2148</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New York,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New York</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10013-2412</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Tel: (215)</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665-1700</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Tel: (212)</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387-5400</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Attn: Office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Corporate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Attn: Office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of the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Corporate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Secretary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Secretary</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IF YOU WOULD LIKE TO REQUEST DOCUMENTS FROM COMCAST OR AT&amp;T, PLEASE DO SO</w:t>
      </w:r>
    </w:p>
    <w:p>
      <w:pPr>
        <w:spacing w:after="0" w:line="9"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7"/>
          <w:szCs w:val="17"/>
          <w:color w:val="auto"/>
        </w:rPr>
        <w:t>], 2002 TO RECEIVE THEM BEFORE YOUR MEETING.</w:t>
      </w:r>
    </w:p>
    <w:p>
      <w:pPr>
        <w:spacing w:after="0" w:line="200" w:lineRule="exact"/>
        <w:rPr>
          <w:sz w:val="20"/>
          <w:szCs w:val="20"/>
          <w:color w:val="auto"/>
        </w:rPr>
      </w:pPr>
    </w:p>
    <w:p>
      <w:pPr>
        <w:sectPr>
          <w:pgSz w:w="11900" w:h="16838" w:orient="portrait"/>
          <w:cols w:equalWidth="0" w:num="2">
            <w:col w:w="420" w:space="120"/>
            <w:col w:w="9679"/>
          </w:cols>
          <w:pgMar w:left="240" w:top="142" w:right="1440" w:bottom="1440" w:gutter="0" w:footer="0" w:header="0"/>
          <w:type w:val="continuous"/>
        </w:sectPr>
      </w:pPr>
    </w:p>
    <w:p>
      <w:pPr>
        <w:spacing w:after="0" w:line="10"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You can also get more information by visiting Comcast's web site at www.comcast.com and AT&amp;T's web site at www.att.com. Web site materials are not part of this document.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ind w:left="540"/>
              <w:spacing w:after="0"/>
              <w:rPr>
                <w:sz w:val="20"/>
                <w:szCs w:val="20"/>
                <w:color w:val="auto"/>
              </w:rPr>
            </w:pPr>
            <w:r>
              <w:rPr>
                <w:rFonts w:ascii="Courier New" w:cs="Courier New" w:eastAsia="Courier New" w:hAnsi="Courier New"/>
                <w:sz w:val="17"/>
                <w:szCs w:val="17"/>
                <w:color w:val="auto"/>
              </w:rPr>
              <w:t>YOU</w:t>
            </w:r>
          </w:p>
        </w:tc>
        <w:tc>
          <w:tcPr>
            <w:tcW w:w="2040" w:type="dxa"/>
            <w:vAlign w:val="bottom"/>
          </w:tcPr>
          <w:p>
            <w:pPr>
              <w:spacing w:after="0"/>
              <w:rPr>
                <w:sz w:val="20"/>
                <w:szCs w:val="20"/>
                <w:color w:val="auto"/>
              </w:rPr>
            </w:pPr>
            <w:r>
              <w:rPr>
                <w:rFonts w:ascii="Courier New" w:cs="Courier New" w:eastAsia="Courier New" w:hAnsi="Courier New"/>
                <w:sz w:val="17"/>
                <w:szCs w:val="17"/>
                <w:color w:val="auto"/>
              </w:rPr>
              <w:t>SHOULD RELY ONLY ON</w:t>
            </w:r>
          </w:p>
        </w:tc>
        <w:tc>
          <w:tcPr>
            <w:tcW w:w="538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THE INFORMATION CONTAINED OR INCORPORATED BY</w:t>
            </w:r>
          </w:p>
        </w:tc>
      </w:tr>
      <w:tr>
        <w:trPr>
          <w:trHeight w:val="201"/>
        </w:trPr>
        <w:tc>
          <w:tcPr>
            <w:tcW w:w="8380" w:type="dxa"/>
            <w:vAlign w:val="bottom"/>
            <w:gridSpan w:val="5"/>
          </w:tcPr>
          <w:p>
            <w:pPr>
              <w:spacing w:after="0"/>
              <w:rPr>
                <w:sz w:val="20"/>
                <w:szCs w:val="20"/>
                <w:color w:val="auto"/>
              </w:rPr>
            </w:pPr>
            <w:r>
              <w:rPr>
                <w:rFonts w:ascii="Courier New" w:cs="Courier New" w:eastAsia="Courier New" w:hAnsi="Courier New"/>
                <w:sz w:val="17"/>
                <w:szCs w:val="17"/>
                <w:color w:val="auto"/>
              </w:rPr>
              <w:t>REFERENCE IN THIS DOCUMENT TO VOTE ON THE TRANSACTION AT YOUR MEETING. COMCAST</w:t>
            </w:r>
          </w:p>
        </w:tc>
      </w:tr>
      <w:tr>
        <w:trPr>
          <w:trHeight w:val="201"/>
        </w:trPr>
        <w:tc>
          <w:tcPr>
            <w:tcW w:w="960" w:type="dxa"/>
            <w:vAlign w:val="bottom"/>
          </w:tcPr>
          <w:p>
            <w:pPr>
              <w:spacing w:after="0"/>
              <w:rPr>
                <w:sz w:val="20"/>
                <w:szCs w:val="20"/>
                <w:color w:val="auto"/>
              </w:rPr>
            </w:pPr>
            <w:r>
              <w:rPr>
                <w:rFonts w:ascii="Courier New" w:cs="Courier New" w:eastAsia="Courier New" w:hAnsi="Courier New"/>
                <w:sz w:val="17"/>
                <w:szCs w:val="17"/>
                <w:color w:val="auto"/>
              </w:rPr>
              <w:t>AND AT&amp;T</w:t>
            </w:r>
          </w:p>
        </w:tc>
        <w:tc>
          <w:tcPr>
            <w:tcW w:w="2760" w:type="dxa"/>
            <w:vAlign w:val="bottom"/>
            <w:gridSpan w:val="2"/>
          </w:tcPr>
          <w:p>
            <w:pPr>
              <w:spacing w:after="0"/>
              <w:rPr>
                <w:sz w:val="20"/>
                <w:szCs w:val="20"/>
                <w:color w:val="auto"/>
              </w:rPr>
            </w:pPr>
            <w:r>
              <w:rPr>
                <w:rFonts w:ascii="Courier New" w:cs="Courier New" w:eastAsia="Courier New" w:hAnsi="Courier New"/>
                <w:sz w:val="17"/>
                <w:szCs w:val="17"/>
                <w:color w:val="auto"/>
              </w:rPr>
              <w:t>HAVE NOT AUTHORIZED ANYONE</w:t>
            </w:r>
          </w:p>
        </w:tc>
        <w:tc>
          <w:tcPr>
            <w:tcW w:w="3360" w:type="dxa"/>
            <w:vAlign w:val="bottom"/>
          </w:tcPr>
          <w:p>
            <w:pPr>
              <w:ind w:left="60"/>
              <w:spacing w:after="0"/>
              <w:rPr>
                <w:sz w:val="20"/>
                <w:szCs w:val="20"/>
                <w:color w:val="auto"/>
              </w:rPr>
            </w:pPr>
            <w:r>
              <w:rPr>
                <w:rFonts w:ascii="Courier New" w:cs="Courier New" w:eastAsia="Courier New" w:hAnsi="Courier New"/>
                <w:sz w:val="17"/>
                <w:szCs w:val="17"/>
                <w:color w:val="auto"/>
              </w:rPr>
              <w:t>TO PROVIDE YOU WITH INFORMATION</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THAT IS</w:t>
            </w:r>
          </w:p>
        </w:tc>
      </w:tr>
      <w:tr>
        <w:trPr>
          <w:trHeight w:val="201"/>
        </w:trPr>
        <w:tc>
          <w:tcPr>
            <w:tcW w:w="3720" w:type="dxa"/>
            <w:vAlign w:val="bottom"/>
            <w:gridSpan w:val="3"/>
          </w:tcPr>
          <w:p>
            <w:pPr>
              <w:spacing w:after="0"/>
              <w:rPr>
                <w:sz w:val="20"/>
                <w:szCs w:val="20"/>
                <w:color w:val="auto"/>
              </w:rPr>
            </w:pPr>
            <w:r>
              <w:rPr>
                <w:rFonts w:ascii="Courier New" w:cs="Courier New" w:eastAsia="Courier New" w:hAnsi="Courier New"/>
                <w:sz w:val="17"/>
                <w:szCs w:val="17"/>
                <w:color w:val="auto"/>
              </w:rPr>
              <w:t>DIFFERENT FROM WHAT IS CONTAINED IN</w:t>
            </w:r>
          </w:p>
        </w:tc>
        <w:tc>
          <w:tcPr>
            <w:tcW w:w="3360" w:type="dxa"/>
            <w:vAlign w:val="bottom"/>
          </w:tcPr>
          <w:p>
            <w:pPr>
              <w:ind w:left="60"/>
              <w:spacing w:after="0"/>
              <w:rPr>
                <w:sz w:val="20"/>
                <w:szCs w:val="20"/>
                <w:color w:val="auto"/>
              </w:rPr>
            </w:pPr>
            <w:r>
              <w:rPr>
                <w:rFonts w:ascii="Courier New" w:cs="Courier New" w:eastAsia="Courier New" w:hAnsi="Courier New"/>
                <w:sz w:val="17"/>
                <w:szCs w:val="17"/>
                <w:color w:val="auto"/>
              </w:rPr>
              <w:t>THIS DOCUMENT. THIS DOCUMENT IS</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DATED</w:t>
            </w:r>
          </w:p>
        </w:tc>
      </w:tr>
      <w:tr>
        <w:trPr>
          <w:trHeight w:val="201"/>
        </w:trPr>
        <w:tc>
          <w:tcPr>
            <w:tcW w:w="9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76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 2002. YOU SHOULD</w:t>
            </w:r>
          </w:p>
        </w:tc>
        <w:tc>
          <w:tcPr>
            <w:tcW w:w="3360" w:type="dxa"/>
            <w:vAlign w:val="bottom"/>
          </w:tcPr>
          <w:p>
            <w:pPr>
              <w:ind w:left="60"/>
              <w:spacing w:after="0"/>
              <w:rPr>
                <w:sz w:val="20"/>
                <w:szCs w:val="20"/>
                <w:color w:val="auto"/>
              </w:rPr>
            </w:pPr>
            <w:r>
              <w:rPr>
                <w:rFonts w:ascii="Courier New" w:cs="Courier New" w:eastAsia="Courier New" w:hAnsi="Courier New"/>
                <w:sz w:val="17"/>
                <w:szCs w:val="17"/>
                <w:color w:val="auto"/>
              </w:rPr>
              <w:t>NOT ASSUME THAT THE INFORMATION</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CONTAINED IN</w:t>
            </w:r>
          </w:p>
        </w:tc>
      </w:tr>
      <w:tr>
        <w:trPr>
          <w:trHeight w:val="201"/>
        </w:trPr>
        <w:tc>
          <w:tcPr>
            <w:tcW w:w="3720" w:type="dxa"/>
            <w:vAlign w:val="bottom"/>
            <w:gridSpan w:val="3"/>
          </w:tcPr>
          <w:p>
            <w:pPr>
              <w:spacing w:after="0"/>
              <w:rPr>
                <w:sz w:val="20"/>
                <w:szCs w:val="20"/>
                <w:color w:val="auto"/>
              </w:rPr>
            </w:pPr>
            <w:r>
              <w:rPr>
                <w:rFonts w:ascii="Courier New" w:cs="Courier New" w:eastAsia="Courier New" w:hAnsi="Courier New"/>
                <w:sz w:val="17"/>
                <w:szCs w:val="17"/>
                <w:color w:val="auto"/>
              </w:rPr>
              <w:t>THIS DOCUMENT IS ACCURATE AS OF ANY</w:t>
            </w:r>
          </w:p>
        </w:tc>
        <w:tc>
          <w:tcPr>
            <w:tcW w:w="46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DATE OTHER THAN THAT DATE, AND NEITHER THE</w:t>
            </w:r>
          </w:p>
        </w:tc>
      </w:tr>
      <w:tr>
        <w:trPr>
          <w:trHeight w:val="201"/>
        </w:trPr>
        <w:tc>
          <w:tcPr>
            <w:tcW w:w="8380" w:type="dxa"/>
            <w:vAlign w:val="bottom"/>
            <w:gridSpan w:val="5"/>
          </w:tcPr>
          <w:p>
            <w:pPr>
              <w:spacing w:after="0"/>
              <w:rPr>
                <w:sz w:val="20"/>
                <w:szCs w:val="20"/>
                <w:color w:val="auto"/>
              </w:rPr>
            </w:pPr>
            <w:r>
              <w:rPr>
                <w:rFonts w:ascii="Courier New" w:cs="Courier New" w:eastAsia="Courier New" w:hAnsi="Courier New"/>
                <w:sz w:val="17"/>
                <w:szCs w:val="17"/>
                <w:color w:val="auto"/>
              </w:rPr>
              <w:t>MAILING OF THIS DOCUMENT TO SHAREHOLDERS NOR THE ISSUANCE OF AT&amp;T COMCAST COMMON</w:t>
            </w:r>
          </w:p>
        </w:tc>
      </w:tr>
      <w:tr>
        <w:trPr>
          <w:trHeight w:val="201"/>
        </w:trPr>
        <w:tc>
          <w:tcPr>
            <w:tcW w:w="960" w:type="dxa"/>
            <w:vAlign w:val="bottom"/>
          </w:tcPr>
          <w:p>
            <w:pPr>
              <w:spacing w:after="0"/>
              <w:rPr>
                <w:sz w:val="20"/>
                <w:szCs w:val="20"/>
                <w:color w:val="auto"/>
              </w:rPr>
            </w:pPr>
            <w:r>
              <w:rPr>
                <w:rFonts w:ascii="Courier New" w:cs="Courier New" w:eastAsia="Courier New" w:hAnsi="Courier New"/>
                <w:sz w:val="17"/>
                <w:szCs w:val="17"/>
                <w:color w:val="auto"/>
              </w:rPr>
              <w:t>STOCK IN</w:t>
            </w:r>
          </w:p>
        </w:tc>
        <w:tc>
          <w:tcPr>
            <w:tcW w:w="6120" w:type="dxa"/>
            <w:vAlign w:val="bottom"/>
            <w:gridSpan w:val="3"/>
          </w:tcPr>
          <w:p>
            <w:pPr>
              <w:spacing w:after="0"/>
              <w:rPr>
                <w:sz w:val="20"/>
                <w:szCs w:val="20"/>
                <w:color w:val="auto"/>
              </w:rPr>
            </w:pPr>
            <w:r>
              <w:rPr>
                <w:rFonts w:ascii="Courier New" w:cs="Courier New" w:eastAsia="Courier New" w:hAnsi="Courier New"/>
                <w:sz w:val="17"/>
                <w:szCs w:val="17"/>
                <w:color w:val="auto"/>
              </w:rPr>
              <w:t>THE MERGERS OR AT&amp;T CONSUMER SERVICES GROUP TRACKING STOCK</w:t>
            </w:r>
          </w:p>
        </w:tc>
        <w:tc>
          <w:tcPr>
            <w:tcW w:w="1300" w:type="dxa"/>
            <w:vAlign w:val="bottom"/>
          </w:tcPr>
          <w:p>
            <w:pPr>
              <w:ind w:left="40"/>
              <w:spacing w:after="0"/>
              <w:rPr>
                <w:sz w:val="20"/>
                <w:szCs w:val="20"/>
                <w:color w:val="auto"/>
              </w:rPr>
            </w:pPr>
            <w:r>
              <w:rPr>
                <w:rFonts w:ascii="Courier New" w:cs="Courier New" w:eastAsia="Courier New" w:hAnsi="Courier New"/>
                <w:sz w:val="17"/>
                <w:szCs w:val="17"/>
                <w:color w:val="auto"/>
              </w:rPr>
              <w:t>AS A</w:t>
            </w:r>
          </w:p>
        </w:tc>
      </w:tr>
      <w:tr>
        <w:trPr>
          <w:trHeight w:val="201"/>
        </w:trPr>
        <w:tc>
          <w:tcPr>
            <w:tcW w:w="960" w:type="dxa"/>
            <w:vAlign w:val="bottom"/>
          </w:tcPr>
          <w:p>
            <w:pPr>
              <w:spacing w:after="0"/>
              <w:rPr>
                <w:sz w:val="20"/>
                <w:szCs w:val="20"/>
                <w:color w:val="auto"/>
              </w:rPr>
            </w:pPr>
            <w:r>
              <w:rPr>
                <w:rFonts w:ascii="Courier New" w:cs="Courier New" w:eastAsia="Courier New" w:hAnsi="Courier New"/>
                <w:sz w:val="17"/>
                <w:szCs w:val="17"/>
                <w:color w:val="auto"/>
              </w:rPr>
              <w:t>DIVIDEND</w:t>
            </w:r>
          </w:p>
        </w:tc>
        <w:tc>
          <w:tcPr>
            <w:tcW w:w="7420" w:type="dxa"/>
            <w:vAlign w:val="bottom"/>
            <w:gridSpan w:val="4"/>
          </w:tcPr>
          <w:p>
            <w:pPr>
              <w:spacing w:after="0"/>
              <w:rPr>
                <w:sz w:val="20"/>
                <w:szCs w:val="20"/>
                <w:color w:val="auto"/>
              </w:rPr>
            </w:pPr>
            <w:r>
              <w:rPr>
                <w:rFonts w:ascii="Courier New" w:cs="Courier New" w:eastAsia="Courier New" w:hAnsi="Courier New"/>
                <w:sz w:val="17"/>
                <w:szCs w:val="17"/>
                <w:color w:val="auto"/>
              </w:rPr>
              <w:t>TO AT&amp;T SHAREHOLDERS OR OTHERWISE SHALL CREATE ANY IMPLICATION TO THE</w:t>
            </w:r>
          </w:p>
        </w:tc>
      </w:tr>
      <w:tr>
        <w:trPr>
          <w:trHeight w:val="201"/>
        </w:trPr>
        <w:tc>
          <w:tcPr>
            <w:tcW w:w="960" w:type="dxa"/>
            <w:vAlign w:val="bottom"/>
          </w:tcPr>
          <w:p>
            <w:pPr>
              <w:spacing w:after="0"/>
              <w:rPr>
                <w:sz w:val="20"/>
                <w:szCs w:val="20"/>
                <w:color w:val="auto"/>
              </w:rPr>
            </w:pPr>
            <w:r>
              <w:rPr>
                <w:rFonts w:ascii="Courier New" w:cs="Courier New" w:eastAsia="Courier New" w:hAnsi="Courier New"/>
                <w:sz w:val="17"/>
                <w:szCs w:val="17"/>
                <w:color w:val="auto"/>
              </w:rPr>
              <w:t>CONTRARY.</w:t>
            </w:r>
          </w:p>
        </w:tc>
        <w:tc>
          <w:tcPr>
            <w:tcW w:w="2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300" w:type="dxa"/>
            <w:vAlign w:val="bottom"/>
          </w:tcPr>
          <w:p>
            <w:pPr>
              <w:spacing w:after="0"/>
              <w:rPr>
                <w:sz w:val="17"/>
                <w:szCs w:val="17"/>
                <w:color w:val="auto"/>
              </w:rPr>
            </w:pPr>
          </w:p>
        </w:tc>
      </w:tr>
    </w:tbl>
    <w:p>
      <w:pPr>
        <w:spacing w:after="0" w:line="20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XV-2</w:t>
      </w:r>
    </w:p>
    <w:p>
      <w:pPr>
        <w:sectPr>
          <w:pgSz w:w="11900" w:h="16838" w:orient="portrait"/>
          <w:cols w:equalWidth="0" w:num="1">
            <w:col w:w="10219"/>
          </w:cols>
          <w:pgMar w:left="240" w:top="142" w:right="1440" w:bottom="1440" w:gutter="0" w:footer="0" w:header="0"/>
          <w:type w:val="continuous"/>
        </w:sectPr>
      </w:pPr>
    </w:p>
    <w:bookmarkStart w:id="390" w:name="page391"/>
    <w:bookmarkEnd w:id="390"/>
    <w:p>
      <w:pPr>
        <w:ind w:left="18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7"/>
          <w:szCs w:val="17"/>
          <w:color w:val="auto"/>
        </w:rPr>
        <w:t>ANNEXES</w:t>
      </w:r>
    </w:p>
    <w:p>
      <w:pPr>
        <w:spacing w:after="0" w:line="210"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019"/>
          </w:cols>
          <w:pgMar w:left="1440" w:top="719" w:right="1440" w:bottom="1440" w:gutter="0" w:footer="0" w:header="0"/>
        </w:sectPr>
      </w:pPr>
    </w:p>
    <w:bookmarkStart w:id="391" w:name="page392"/>
    <w:bookmarkEnd w:id="391"/>
    <w:p>
      <w:pPr>
        <w:jc w:val="right"/>
        <w:ind w:right="1839"/>
        <w:spacing w:after="0"/>
        <w:rPr>
          <w:sz w:val="20"/>
          <w:szCs w:val="20"/>
          <w:color w:val="auto"/>
        </w:rPr>
      </w:pPr>
      <w:r>
        <w:rPr>
          <w:rFonts w:ascii="Courier New" w:cs="Courier New" w:eastAsia="Courier New" w:hAnsi="Courier New"/>
          <w:sz w:val="17"/>
          <w:szCs w:val="17"/>
          <w:color w:val="auto"/>
        </w:rPr>
        <w:t>ANNEX A</w:t>
      </w:r>
    </w:p>
    <w:p>
      <w:pPr>
        <w:spacing w:after="0" w:line="21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AGREEMENT AND PLAN OF MERGER</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DATED AS OF</w:t>
      </w:r>
    </w:p>
    <w:p>
      <w:pPr>
        <w:spacing w:after="0" w:line="9"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DECEMBER 19, 2001</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BY AND AMONG</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AT&amp;T BROADBAND CORP.,</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COMCAST CORPORATION,</w:t>
      </w:r>
    </w:p>
    <w:p>
      <w:pPr>
        <w:spacing w:after="0" w:line="9"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AT&amp;T BROADBAND ACQUISITION CORP.,</w:t>
      </w:r>
    </w:p>
    <w:p>
      <w:pPr>
        <w:spacing w:after="0" w:line="9"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COMCAST ACQUISITION CORP.</w:t>
      </w:r>
    </w:p>
    <w:p>
      <w:pPr>
        <w:spacing w:after="0" w:line="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AND</w:t>
      </w:r>
    </w:p>
    <w:p>
      <w:pPr>
        <w:spacing w:after="0" w:line="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AT&amp;T COMCAST CORPORATION</w:t>
      </w:r>
    </w:p>
    <w:p>
      <w:pPr>
        <w:sectPr>
          <w:pgSz w:w="11900" w:h="16838" w:orient="portrait"/>
          <w:cols w:equalWidth="0" w:num="1">
            <w:col w:w="9019"/>
          </w:cols>
          <w:pgMar w:left="1440" w:top="719" w:right="1440" w:bottom="1440" w:gutter="0" w:footer="0" w:header="0"/>
        </w:sectPr>
      </w:pPr>
    </w:p>
    <w:bookmarkStart w:id="392" w:name="page393"/>
    <w:bookmarkEnd w:id="392"/>
    <w:p>
      <w:pPr>
        <w:ind w:left="3260"/>
        <w:spacing w:after="0"/>
        <w:rPr>
          <w:sz w:val="20"/>
          <w:szCs w:val="20"/>
          <w:color w:val="auto"/>
        </w:rPr>
      </w:pPr>
      <w:r>
        <w:rPr>
          <w:rFonts w:ascii="Courier New" w:cs="Courier New" w:eastAsia="Courier New" w:hAnsi="Courier New"/>
          <w:sz w:val="17"/>
          <w:szCs w:val="17"/>
          <w:color w:val="auto"/>
        </w:rPr>
        <w:t>TABLE OF CONTENTS</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PAGE ---- ARTICLE 1 DEFINITIONS Section 1.01.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Definitions.................................................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A-1 ARTICLE 2 PARENT AND MERGER SUBS Section 2.01.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Organization of</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Parent...................................... A-15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2.02. Directors and Officers of</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Parent............................ A-15 Section 2.03.</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Organization of Merger</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Subs................................. A-15 Section 2.04.</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Actions of Comcast 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AT&amp;T................................. A-15 Section 2.05.</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Rights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Plan................................................. A-16</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ARTICLE 3 THE MERGERS Section 3.01. The AT&amp;T Broadband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Merger................................... A-16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3.02. The Comcast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Merger.......................................... A-16</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3.03. Certificate and Articles of Incorporation;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Bylaws........... A-16 Section 3.04. Directors and Officers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of the Surviving Corporations........ A-17 Section 3.05.</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Alternative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Structure....................................... A-17</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ARTICLE 4 CONVERSION OF SECURITIES Section 4.01. Conversion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of Securities.................................... A-17</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4.02. Exchange of</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Certificates.................................... A-20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4.03. Section 355(e) Top-</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up....................................... A-25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4.04. Additional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Payment.......................................... A-25</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4.05. Additional Exchange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Arrangements............................ A-26 ARTICLE 5</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REPRESENTATIONS AND WARRANTIES OF COMCAST Section 5.01.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Corporate Existence 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Power............................... A-26 Section 5.02.</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Corporate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Authorization..................................... A-26</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5.03. Governmental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Authorization.................................. A-26</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5.04. Non-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contravention........................................... A-</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27 Section 5.05.</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Capitalization..............................................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A-27 Section 5.06.</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Subsidiaries................................................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A-28 Section 5.07. SEC</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Filings................................................. A-</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28 Section 5.08. Financial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Statements........................................ A-29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5.09. Information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Supplied........................................ A-29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5.10. Absence of Certain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Changes.................................. A-29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5.11. No Undisclosed Material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Liabilities......................... A-29 Section 5.12.</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Compliance with Laws and Court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Orders....................... A-30 Section 5.13.</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Litigation..................................................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A-30 Section 5.14. Finders'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Fees............................................... A-30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5.15. Opinion of Financial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Advisor................................ A-30 Section 5.16.</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A-30 Section 5.17. Tax</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Opinions................................................ A-</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31 Section 5.18. Employee Benefit Plans and Labor</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Matters.................... A-31 Section 5.19.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Environmental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Matters....................................... A-32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5.20. Intellectual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Property....................................... A-33</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A-i</w:t>
      </w:r>
    </w:p>
    <w:p>
      <w:pPr>
        <w:sectPr>
          <w:pgSz w:w="11900" w:h="16838" w:orient="portrait"/>
          <w:cols w:equalWidth="0" w:num="1">
            <w:col w:w="10219"/>
          </w:cols>
          <w:pgMar w:left="240" w:top="719" w:right="1440" w:bottom="55" w:gutter="0" w:footer="0" w:header="0"/>
        </w:sectPr>
      </w:pPr>
    </w:p>
    <w:bookmarkStart w:id="393" w:name="page394"/>
    <w:bookmarkEnd w:id="393"/>
    <w:tbl>
      <w:tblPr>
        <w:tblLayout w:type="fixed"/>
        <w:tblInd w:w="0" w:type="dxa"/>
        <w:tblCellMar>
          <w:top w:w="0" w:type="dxa"/>
          <w:left w:w="0" w:type="dxa"/>
          <w:bottom w:w="0" w:type="dxa"/>
          <w:right w:w="0" w:type="dxa"/>
        </w:tblCellMar>
      </w:tblPr>
      <w:tr>
        <w:trPr>
          <w:trHeight w:val="197"/>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PAGE ---- Section 5.21.</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Contracts...................................................</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A-33 Section 5.22. Vote</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8"/>
                <w:szCs w:val="8"/>
                <w:color w:val="auto"/>
                <w:w w:val="76"/>
              </w:rPr>
              <w:t>Required...............................................</w:t>
            </w:r>
          </w:p>
        </w:tc>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rPr>
              <w:t>A-</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34 Section 5.23. Antitakeover Statutes; Charter and Bylaw</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Provisions.........</w:t>
            </w:r>
          </w:p>
        </w:tc>
        <w:tc>
          <w:tcPr>
            <w:tcW w:w="42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A-34 Section 5.24. AT&amp;T</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8"/>
                <w:szCs w:val="8"/>
                <w:color w:val="auto"/>
                <w:w w:val="76"/>
              </w:rPr>
              <w:t>Securities.............................................</w:t>
            </w:r>
          </w:p>
        </w:tc>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rPr>
              <w:t>A-</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34 Section 5.25. Transactions with</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1"/>
                <w:szCs w:val="11"/>
                <w:color w:val="auto"/>
                <w:w w:val="72"/>
              </w:rPr>
              <w:t>Affiliates................................</w:t>
            </w:r>
          </w:p>
        </w:tc>
        <w:tc>
          <w:tcPr>
            <w:tcW w:w="4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A-34 Section</w:t>
            </w:r>
          </w:p>
        </w:tc>
      </w:tr>
      <w:tr>
        <w:trPr>
          <w:trHeight w:val="201"/>
        </w:trPr>
        <w:tc>
          <w:tcPr>
            <w:tcW w:w="2040" w:type="dxa"/>
            <w:vAlign w:val="bottom"/>
          </w:tcPr>
          <w:p>
            <w:pPr>
              <w:spacing w:after="0"/>
              <w:rPr>
                <w:sz w:val="17"/>
                <w:szCs w:val="17"/>
                <w:color w:val="auto"/>
              </w:rPr>
            </w:pPr>
          </w:p>
        </w:tc>
        <w:tc>
          <w:tcPr>
            <w:tcW w:w="4200" w:type="dxa"/>
            <w:vAlign w:val="bottom"/>
          </w:tcPr>
          <w:p>
            <w:pPr>
              <w:jc w:val="center"/>
              <w:ind w:right="1893"/>
              <w:spacing w:after="0"/>
              <w:rPr>
                <w:sz w:val="20"/>
                <w:szCs w:val="20"/>
                <w:color w:val="auto"/>
              </w:rPr>
            </w:pPr>
            <w:r>
              <w:rPr>
                <w:rFonts w:ascii="Courier New" w:cs="Courier New" w:eastAsia="Courier New" w:hAnsi="Courier New"/>
                <w:sz w:val="17"/>
                <w:szCs w:val="17"/>
                <w:color w:val="auto"/>
              </w:rPr>
              <w:t>5.26.</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Investments.................................................</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A-34 Section 5.27. No Approval</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0"/>
                <w:szCs w:val="10"/>
                <w:color w:val="auto"/>
                <w:w w:val="70"/>
              </w:rPr>
              <w:t>Rights..........................................</w:t>
            </w:r>
          </w:p>
        </w:tc>
        <w:tc>
          <w:tcPr>
            <w:tcW w:w="4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A-34</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ARTICLE 6 REPRESENTATIONS AND WARRANTIES OF AT&amp;T Section</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6.01. Corporate Existence and</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3"/>
                <w:szCs w:val="13"/>
                <w:color w:val="auto"/>
                <w:w w:val="71"/>
              </w:rPr>
              <w:t>Power...............................</w:t>
            </w:r>
          </w:p>
        </w:tc>
        <w:tc>
          <w:tcPr>
            <w:tcW w:w="4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A-34 Section 6.02.</w:t>
            </w:r>
          </w:p>
        </w:tc>
      </w:tr>
      <w:tr>
        <w:trPr>
          <w:trHeight w:val="201"/>
        </w:trPr>
        <w:tc>
          <w:tcPr>
            <w:tcW w:w="2040" w:type="dxa"/>
            <w:vAlign w:val="bottom"/>
          </w:tcPr>
          <w:p>
            <w:pPr>
              <w:spacing w:after="0"/>
              <w:rPr>
                <w:sz w:val="17"/>
                <w:szCs w:val="17"/>
                <w:color w:val="auto"/>
              </w:rPr>
            </w:pPr>
          </w:p>
        </w:tc>
        <w:tc>
          <w:tcPr>
            <w:tcW w:w="4200" w:type="dxa"/>
            <w:vAlign w:val="bottom"/>
          </w:tcPr>
          <w:p>
            <w:pPr>
              <w:jc w:val="center"/>
              <w:ind w:right="1893"/>
              <w:spacing w:after="0"/>
              <w:rPr>
                <w:sz w:val="20"/>
                <w:szCs w:val="20"/>
                <w:color w:val="auto"/>
              </w:rPr>
            </w:pPr>
            <w:r>
              <w:rPr>
                <w:rFonts w:ascii="Courier New" w:cs="Courier New" w:eastAsia="Courier New" w:hAnsi="Courier New"/>
                <w:sz w:val="17"/>
                <w:szCs w:val="17"/>
                <w:color w:val="auto"/>
              </w:rPr>
              <w:t>Corporate</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9"/>
                <w:szCs w:val="9"/>
                <w:color w:val="auto"/>
                <w:w w:val="74"/>
              </w:rPr>
              <w:t>Authorization.....................................</w:t>
            </w:r>
          </w:p>
        </w:tc>
        <w:tc>
          <w:tcPr>
            <w:tcW w:w="4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A-35</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Section 6.03. Governmental</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0"/>
                <w:szCs w:val="10"/>
                <w:color w:val="auto"/>
                <w:w w:val="71"/>
              </w:rPr>
              <w:t>Authorization..................................</w:t>
            </w:r>
          </w:p>
        </w:tc>
        <w:tc>
          <w:tcPr>
            <w:tcW w:w="4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A-35</w:t>
            </w:r>
          </w:p>
        </w:tc>
      </w:tr>
      <w:tr>
        <w:trPr>
          <w:trHeight w:val="201"/>
        </w:trPr>
        <w:tc>
          <w:tcPr>
            <w:tcW w:w="2040" w:type="dxa"/>
            <w:vAlign w:val="bottom"/>
          </w:tcPr>
          <w:p>
            <w:pPr>
              <w:spacing w:after="0"/>
              <w:rPr>
                <w:sz w:val="17"/>
                <w:szCs w:val="17"/>
                <w:color w:val="auto"/>
              </w:rPr>
            </w:pPr>
          </w:p>
        </w:tc>
        <w:tc>
          <w:tcPr>
            <w:tcW w:w="4200" w:type="dxa"/>
            <w:vAlign w:val="bottom"/>
          </w:tcPr>
          <w:p>
            <w:pPr>
              <w:jc w:val="center"/>
              <w:ind w:right="1893"/>
              <w:spacing w:after="0"/>
              <w:rPr>
                <w:sz w:val="20"/>
                <w:szCs w:val="20"/>
                <w:color w:val="auto"/>
              </w:rPr>
            </w:pPr>
            <w:r>
              <w:rPr>
                <w:rFonts w:ascii="Courier New" w:cs="Courier New" w:eastAsia="Courier New" w:hAnsi="Courier New"/>
                <w:sz w:val="17"/>
                <w:szCs w:val="17"/>
                <w:color w:val="auto"/>
              </w:rPr>
              <w:t>Section 6.04. Non-</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8"/>
                <w:szCs w:val="8"/>
                <w:color w:val="auto"/>
                <w:w w:val="75"/>
              </w:rPr>
              <w:t>contravention...........................................</w:t>
            </w:r>
          </w:p>
        </w:tc>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rPr>
              <w:t>A-</w:t>
            </w:r>
          </w:p>
        </w:tc>
      </w:tr>
      <w:tr>
        <w:trPr>
          <w:trHeight w:val="201"/>
        </w:trPr>
        <w:tc>
          <w:tcPr>
            <w:tcW w:w="2040" w:type="dxa"/>
            <w:vAlign w:val="bottom"/>
          </w:tcPr>
          <w:p>
            <w:pPr>
              <w:spacing w:after="0"/>
              <w:rPr>
                <w:sz w:val="17"/>
                <w:szCs w:val="17"/>
                <w:color w:val="auto"/>
              </w:rPr>
            </w:pPr>
          </w:p>
        </w:tc>
        <w:tc>
          <w:tcPr>
            <w:tcW w:w="4200" w:type="dxa"/>
            <w:vAlign w:val="bottom"/>
          </w:tcPr>
          <w:p>
            <w:pPr>
              <w:jc w:val="center"/>
              <w:ind w:right="1893"/>
              <w:spacing w:after="0"/>
              <w:rPr>
                <w:sz w:val="20"/>
                <w:szCs w:val="20"/>
                <w:color w:val="auto"/>
              </w:rPr>
            </w:pPr>
            <w:r>
              <w:rPr>
                <w:rFonts w:ascii="Courier New" w:cs="Courier New" w:eastAsia="Courier New" w:hAnsi="Courier New"/>
                <w:sz w:val="17"/>
                <w:szCs w:val="17"/>
                <w:color w:val="auto"/>
              </w:rPr>
              <w:t>36 Section 6.05.</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Capitalization..............................................</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A-36 Section 6.06. AT&amp;T Broadband and AT&amp;T Broadband</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w w:val="76"/>
              </w:rPr>
              <w:t>Subsidiaries..............</w:t>
            </w:r>
          </w:p>
        </w:tc>
        <w:tc>
          <w:tcPr>
            <w:tcW w:w="4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A-37 Section 6.07. SEC</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8"/>
                <w:szCs w:val="8"/>
                <w:color w:val="auto"/>
                <w:w w:val="75"/>
              </w:rPr>
              <w:t>Filings.................................................</w:t>
            </w:r>
          </w:p>
        </w:tc>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rPr>
              <w:t>A-</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38 Section 6.08. Financial</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9"/>
                <w:szCs w:val="9"/>
                <w:color w:val="auto"/>
                <w:w w:val="74"/>
              </w:rPr>
              <w:t>Statements........................................</w:t>
            </w:r>
          </w:p>
        </w:tc>
        <w:tc>
          <w:tcPr>
            <w:tcW w:w="4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A-38</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Section 6.09. Information</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0"/>
                <w:szCs w:val="10"/>
                <w:color w:val="auto"/>
                <w:w w:val="70"/>
              </w:rPr>
              <w:t>Supplied........................................</w:t>
            </w:r>
          </w:p>
        </w:tc>
        <w:tc>
          <w:tcPr>
            <w:tcW w:w="4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A-38</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Section 6.10. Absence of Certain</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1"/>
                <w:szCs w:val="11"/>
                <w:color w:val="auto"/>
                <w:w w:val="74"/>
              </w:rPr>
              <w:t>Changes..................................</w:t>
            </w:r>
          </w:p>
        </w:tc>
        <w:tc>
          <w:tcPr>
            <w:tcW w:w="4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A-39 Section</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6.11. No Undisclosed Material</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3"/>
                <w:szCs w:val="13"/>
                <w:color w:val="auto"/>
                <w:w w:val="71"/>
              </w:rPr>
              <w:t>Liabilities.........................</w:t>
            </w:r>
          </w:p>
        </w:tc>
        <w:tc>
          <w:tcPr>
            <w:tcW w:w="4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A-39 Section 6.12.</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Compliance with Laws and Court</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w w:val="72"/>
              </w:rPr>
              <w:t>Orders.......................</w:t>
            </w:r>
          </w:p>
        </w:tc>
        <w:tc>
          <w:tcPr>
            <w:tcW w:w="42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A-39 Section 6.13.</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Litigation..................................................</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A-39 Section 6.14. Finders'</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9"/>
                <w:szCs w:val="9"/>
                <w:color w:val="auto"/>
                <w:w w:val="73"/>
              </w:rPr>
              <w:t>Fees...............................................</w:t>
            </w:r>
          </w:p>
        </w:tc>
        <w:tc>
          <w:tcPr>
            <w:tcW w:w="4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A-40</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Section 6.15. Opinion of Financial</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2"/>
                <w:szCs w:val="12"/>
                <w:color w:val="auto"/>
                <w:w w:val="71"/>
              </w:rPr>
              <w:t>Advisor................................</w:t>
            </w:r>
          </w:p>
        </w:tc>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rPr>
              <w:t>A-40 Section 6.16.</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Taxes.......................................................</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A-40 Section 6.17. Tax</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8"/>
                <w:szCs w:val="8"/>
                <w:color w:val="auto"/>
                <w:w w:val="75"/>
              </w:rPr>
              <w:t>Opinions................................................</w:t>
            </w:r>
          </w:p>
        </w:tc>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rPr>
              <w:t>A-</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40 Section 6.18. Employee Benefit Plans and Labor</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w w:val="73"/>
              </w:rPr>
              <w:t>Matters....................</w:t>
            </w:r>
          </w:p>
        </w:tc>
        <w:tc>
          <w:tcPr>
            <w:tcW w:w="42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A-40 Section 6.19.</w:t>
            </w:r>
          </w:p>
        </w:tc>
      </w:tr>
      <w:tr>
        <w:trPr>
          <w:trHeight w:val="201"/>
        </w:trPr>
        <w:tc>
          <w:tcPr>
            <w:tcW w:w="2040" w:type="dxa"/>
            <w:vAlign w:val="bottom"/>
          </w:tcPr>
          <w:p>
            <w:pPr>
              <w:spacing w:after="0"/>
              <w:rPr>
                <w:sz w:val="17"/>
                <w:szCs w:val="17"/>
                <w:color w:val="auto"/>
              </w:rPr>
            </w:pPr>
          </w:p>
        </w:tc>
        <w:tc>
          <w:tcPr>
            <w:tcW w:w="4200" w:type="dxa"/>
            <w:vAlign w:val="bottom"/>
          </w:tcPr>
          <w:p>
            <w:pPr>
              <w:jc w:val="center"/>
              <w:ind w:right="1893"/>
              <w:spacing w:after="0"/>
              <w:rPr>
                <w:sz w:val="20"/>
                <w:szCs w:val="20"/>
                <w:color w:val="auto"/>
              </w:rPr>
            </w:pPr>
            <w:r>
              <w:rPr>
                <w:rFonts w:ascii="Courier New" w:cs="Courier New" w:eastAsia="Courier New" w:hAnsi="Courier New"/>
                <w:sz w:val="17"/>
                <w:szCs w:val="17"/>
                <w:color w:val="auto"/>
              </w:rPr>
              <w:t>Environmental</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0"/>
                <w:szCs w:val="10"/>
                <w:color w:val="auto"/>
                <w:w w:val="73"/>
              </w:rPr>
              <w:t>Matters.......................................</w:t>
            </w:r>
          </w:p>
        </w:tc>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rPr>
              <w:t>A-42 Section</w:t>
            </w:r>
          </w:p>
        </w:tc>
      </w:tr>
      <w:tr>
        <w:trPr>
          <w:trHeight w:val="201"/>
        </w:trPr>
        <w:tc>
          <w:tcPr>
            <w:tcW w:w="2040" w:type="dxa"/>
            <w:vAlign w:val="bottom"/>
          </w:tcPr>
          <w:p>
            <w:pPr>
              <w:spacing w:after="0"/>
              <w:rPr>
                <w:sz w:val="17"/>
                <w:szCs w:val="17"/>
                <w:color w:val="auto"/>
              </w:rPr>
            </w:pPr>
          </w:p>
        </w:tc>
        <w:tc>
          <w:tcPr>
            <w:tcW w:w="4200" w:type="dxa"/>
            <w:vAlign w:val="bottom"/>
          </w:tcPr>
          <w:p>
            <w:pPr>
              <w:jc w:val="center"/>
              <w:ind w:right="1893"/>
              <w:spacing w:after="0"/>
              <w:rPr>
                <w:sz w:val="20"/>
                <w:szCs w:val="20"/>
                <w:color w:val="auto"/>
              </w:rPr>
            </w:pPr>
            <w:r>
              <w:rPr>
                <w:rFonts w:ascii="Courier New" w:cs="Courier New" w:eastAsia="Courier New" w:hAnsi="Courier New"/>
                <w:sz w:val="17"/>
                <w:szCs w:val="17"/>
                <w:color w:val="auto"/>
              </w:rPr>
              <w:t>6.20. Intellectual</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0"/>
                <w:szCs w:val="10"/>
                <w:color w:val="auto"/>
                <w:w w:val="71"/>
              </w:rPr>
              <w:t>Property.......................................</w:t>
            </w:r>
          </w:p>
        </w:tc>
        <w:tc>
          <w:tcPr>
            <w:tcW w:w="4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A-43</w:t>
            </w:r>
          </w:p>
        </w:tc>
      </w:tr>
      <w:tr>
        <w:trPr>
          <w:trHeight w:val="201"/>
        </w:trPr>
        <w:tc>
          <w:tcPr>
            <w:tcW w:w="2040" w:type="dxa"/>
            <w:vAlign w:val="bottom"/>
          </w:tcPr>
          <w:p>
            <w:pPr>
              <w:spacing w:after="0"/>
              <w:rPr>
                <w:sz w:val="17"/>
                <w:szCs w:val="17"/>
                <w:color w:val="auto"/>
              </w:rPr>
            </w:pPr>
          </w:p>
        </w:tc>
        <w:tc>
          <w:tcPr>
            <w:tcW w:w="4200" w:type="dxa"/>
            <w:vAlign w:val="bottom"/>
          </w:tcPr>
          <w:p>
            <w:pPr>
              <w:jc w:val="center"/>
              <w:ind w:right="1893"/>
              <w:spacing w:after="0"/>
              <w:rPr>
                <w:sz w:val="20"/>
                <w:szCs w:val="20"/>
                <w:color w:val="auto"/>
              </w:rPr>
            </w:pPr>
            <w:r>
              <w:rPr>
                <w:rFonts w:ascii="Courier New" w:cs="Courier New" w:eastAsia="Courier New" w:hAnsi="Courier New"/>
                <w:sz w:val="17"/>
                <w:szCs w:val="17"/>
                <w:color w:val="auto"/>
              </w:rPr>
              <w:t>Section 6.21.</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Contracts...................................................</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A-43 Section 6.22. AT&amp;T Shareholder</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1"/>
                <w:szCs w:val="11"/>
                <w:color w:val="auto"/>
                <w:w w:val="71"/>
              </w:rPr>
              <w:t>Vote.......................................</w:t>
            </w:r>
          </w:p>
        </w:tc>
        <w:tc>
          <w:tcPr>
            <w:tcW w:w="4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A-44 Section</w:t>
            </w:r>
          </w:p>
        </w:tc>
      </w:tr>
      <w:tr>
        <w:trPr>
          <w:trHeight w:val="201"/>
        </w:trPr>
        <w:tc>
          <w:tcPr>
            <w:tcW w:w="2040" w:type="dxa"/>
            <w:vAlign w:val="bottom"/>
          </w:tcPr>
          <w:p>
            <w:pPr>
              <w:spacing w:after="0"/>
              <w:rPr>
                <w:sz w:val="17"/>
                <w:szCs w:val="17"/>
                <w:color w:val="auto"/>
              </w:rPr>
            </w:pPr>
          </w:p>
        </w:tc>
        <w:tc>
          <w:tcPr>
            <w:tcW w:w="4200" w:type="dxa"/>
            <w:vAlign w:val="bottom"/>
          </w:tcPr>
          <w:p>
            <w:pPr>
              <w:jc w:val="center"/>
              <w:ind w:right="1893"/>
              <w:spacing w:after="0"/>
              <w:rPr>
                <w:sz w:val="20"/>
                <w:szCs w:val="20"/>
                <w:color w:val="auto"/>
              </w:rPr>
            </w:pPr>
            <w:r>
              <w:rPr>
                <w:rFonts w:ascii="Courier New" w:cs="Courier New" w:eastAsia="Courier New" w:hAnsi="Courier New"/>
                <w:sz w:val="17"/>
                <w:szCs w:val="17"/>
                <w:color w:val="auto"/>
              </w:rPr>
              <w:t>6.23. Antitakeover</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0"/>
                <w:szCs w:val="10"/>
                <w:color w:val="auto"/>
                <w:w w:val="71"/>
              </w:rPr>
              <w:t>Statutes.......................................</w:t>
            </w:r>
          </w:p>
        </w:tc>
        <w:tc>
          <w:tcPr>
            <w:tcW w:w="4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A-44</w:t>
            </w:r>
          </w:p>
        </w:tc>
      </w:tr>
      <w:tr>
        <w:trPr>
          <w:trHeight w:val="201"/>
        </w:trPr>
        <w:tc>
          <w:tcPr>
            <w:tcW w:w="2040" w:type="dxa"/>
            <w:vAlign w:val="bottom"/>
          </w:tcPr>
          <w:p>
            <w:pPr>
              <w:spacing w:after="0"/>
              <w:rPr>
                <w:sz w:val="17"/>
                <w:szCs w:val="17"/>
                <w:color w:val="auto"/>
              </w:rPr>
            </w:pPr>
          </w:p>
        </w:tc>
        <w:tc>
          <w:tcPr>
            <w:tcW w:w="4200" w:type="dxa"/>
            <w:vAlign w:val="bottom"/>
          </w:tcPr>
          <w:p>
            <w:pPr>
              <w:jc w:val="center"/>
              <w:ind w:right="1913"/>
              <w:spacing w:after="0"/>
              <w:rPr>
                <w:sz w:val="20"/>
                <w:szCs w:val="20"/>
                <w:color w:val="auto"/>
              </w:rPr>
            </w:pPr>
            <w:r>
              <w:rPr>
                <w:rFonts w:ascii="Courier New" w:cs="Courier New" w:eastAsia="Courier New" w:hAnsi="Courier New"/>
                <w:sz w:val="17"/>
                <w:szCs w:val="17"/>
                <w:color w:val="auto"/>
              </w:rPr>
              <w:t>Section 6.24. Comcast</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9"/>
                <w:szCs w:val="9"/>
                <w:color w:val="auto"/>
                <w:w w:val="71"/>
              </w:rPr>
              <w:t>Securities..........................................</w:t>
            </w:r>
          </w:p>
        </w:tc>
        <w:tc>
          <w:tcPr>
            <w:tcW w:w="4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A-44</w:t>
            </w:r>
          </w:p>
        </w:tc>
      </w:tr>
      <w:tr>
        <w:trPr>
          <w:trHeight w:val="201"/>
        </w:trPr>
        <w:tc>
          <w:tcPr>
            <w:tcW w:w="2040" w:type="dxa"/>
            <w:vAlign w:val="bottom"/>
          </w:tcPr>
          <w:p>
            <w:pPr>
              <w:spacing w:after="0"/>
              <w:rPr>
                <w:sz w:val="17"/>
                <w:szCs w:val="17"/>
                <w:color w:val="auto"/>
              </w:rPr>
            </w:pPr>
          </w:p>
        </w:tc>
        <w:tc>
          <w:tcPr>
            <w:tcW w:w="4200" w:type="dxa"/>
            <w:vAlign w:val="bottom"/>
          </w:tcPr>
          <w:p>
            <w:pPr>
              <w:jc w:val="center"/>
              <w:ind w:right="1913"/>
              <w:spacing w:after="0"/>
              <w:rPr>
                <w:sz w:val="20"/>
                <w:szCs w:val="20"/>
                <w:color w:val="auto"/>
              </w:rPr>
            </w:pPr>
            <w:r>
              <w:rPr>
                <w:rFonts w:ascii="Courier New" w:cs="Courier New" w:eastAsia="Courier New" w:hAnsi="Courier New"/>
                <w:sz w:val="17"/>
                <w:szCs w:val="17"/>
                <w:color w:val="auto"/>
              </w:rPr>
              <w:t>Section 6.25. TWE; At</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9"/>
                <w:szCs w:val="9"/>
                <w:color w:val="auto"/>
                <w:w w:val="71"/>
              </w:rPr>
              <w:t>Home................................................</w:t>
            </w:r>
          </w:p>
        </w:tc>
        <w:tc>
          <w:tcPr>
            <w:tcW w:w="4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A-44</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Section 6.26. Intercompany</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0"/>
                <w:szCs w:val="10"/>
                <w:color w:val="auto"/>
                <w:w w:val="71"/>
              </w:rPr>
              <w:t>Transactions...................................</w:t>
            </w:r>
          </w:p>
        </w:tc>
        <w:tc>
          <w:tcPr>
            <w:tcW w:w="4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A-45</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Section 6.27. Sufficiency of Transferred</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w w:val="72"/>
              </w:rPr>
              <w:t>Assets...........................</w:t>
            </w:r>
          </w:p>
        </w:tc>
        <w:tc>
          <w:tcPr>
            <w:tcW w:w="4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A-45 Section 6.28.</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Investments.................................................</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A-46 ARTICLE 7 COVENANTS OF COMCAST Section 7.01. Comcast</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9"/>
                <w:szCs w:val="9"/>
                <w:color w:val="auto"/>
                <w:w w:val="71"/>
              </w:rPr>
              <w:t>Interim Operations..................................</w:t>
            </w:r>
          </w:p>
        </w:tc>
        <w:tc>
          <w:tcPr>
            <w:tcW w:w="4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A-46</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Section 7.02. Comcast Shareholders' Meeting; Proxy</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w w:val="86"/>
              </w:rPr>
              <w:t>Material...............</w:t>
            </w:r>
          </w:p>
        </w:tc>
        <w:tc>
          <w:tcPr>
            <w:tcW w:w="4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A-48 Section 7.03. Voting</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9"/>
                <w:szCs w:val="9"/>
                <w:color w:val="auto"/>
                <w:w w:val="70"/>
              </w:rPr>
              <w:t>Agreement............................................</w:t>
            </w:r>
          </w:p>
        </w:tc>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rPr>
              <w:t>A-48</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ARTICLE 8 COVENANTS OF AT&amp;T Section 8.01. AT&amp;T Broadband</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0"/>
                <w:szCs w:val="10"/>
                <w:color w:val="auto"/>
                <w:w w:val="74"/>
              </w:rPr>
              <w:t>Interim Operations...........................</w:t>
            </w:r>
          </w:p>
        </w:tc>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rPr>
              <w:t>A-49 Section</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8.02. AT&amp;T Shareholders' Meeting; Proxy</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w w:val="76"/>
              </w:rPr>
              <w:t>Material..................</w:t>
            </w:r>
          </w:p>
        </w:tc>
        <w:tc>
          <w:tcPr>
            <w:tcW w:w="42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A-53 Section 8.03. No</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Solicitation.............................................</w:t>
            </w:r>
          </w:p>
        </w:tc>
      </w:tr>
      <w:tr>
        <w:trPr>
          <w:trHeight w:val="201"/>
        </w:trPr>
        <w:tc>
          <w:tcPr>
            <w:tcW w:w="2040" w:type="dxa"/>
            <w:vAlign w:val="bottom"/>
          </w:tcPr>
          <w:p>
            <w:pPr>
              <w:spacing w:after="0"/>
              <w:rPr>
                <w:sz w:val="17"/>
                <w:szCs w:val="17"/>
                <w:color w:val="auto"/>
              </w:rPr>
            </w:pPr>
          </w:p>
        </w:tc>
        <w:tc>
          <w:tcPr>
            <w:tcW w:w="4200" w:type="dxa"/>
            <w:vAlign w:val="bottom"/>
          </w:tcPr>
          <w:p>
            <w:pPr>
              <w:jc w:val="center"/>
              <w:ind w:right="1893"/>
              <w:spacing w:after="0"/>
              <w:rPr>
                <w:sz w:val="20"/>
                <w:szCs w:val="20"/>
                <w:color w:val="auto"/>
              </w:rPr>
            </w:pPr>
            <w:r>
              <w:rPr>
                <w:rFonts w:ascii="Courier New" w:cs="Courier New" w:eastAsia="Courier New" w:hAnsi="Courier New"/>
                <w:sz w:val="17"/>
                <w:szCs w:val="17"/>
                <w:color w:val="auto"/>
              </w:rPr>
              <w:t>A-53</w:t>
            </w:r>
          </w:p>
        </w:tc>
      </w:tr>
    </w:tbl>
    <w:p>
      <w:pPr>
        <w:sectPr>
          <w:pgSz w:w="11900" w:h="16838" w:orient="portrait"/>
          <w:cols w:equalWidth="0" w:num="1">
            <w:col w:w="10219"/>
          </w:cols>
          <w:pgMar w:left="240" w:top="719" w:right="1440" w:bottom="50" w:gutter="0" w:footer="0" w:header="0"/>
        </w:sectPr>
      </w:pPr>
    </w:p>
    <w:bookmarkStart w:id="394" w:name="page395"/>
    <w:bookmarkEnd w:id="394"/>
    <w:p>
      <w:pPr>
        <w:ind w:left="2900"/>
        <w:spacing w:after="0"/>
        <w:rPr>
          <w:sz w:val="20"/>
          <w:szCs w:val="20"/>
          <w:color w:val="auto"/>
        </w:rPr>
      </w:pPr>
      <w:r>
        <w:rPr>
          <w:rFonts w:ascii="Courier New" w:cs="Courier New" w:eastAsia="Courier New" w:hAnsi="Courier New"/>
          <w:sz w:val="17"/>
          <w:szCs w:val="17"/>
          <w:color w:val="auto"/>
        </w:rPr>
        <w:t>A-ii</w:t>
      </w:r>
    </w:p>
    <w:p>
      <w:pPr>
        <w:sectPr>
          <w:pgSz w:w="11900" w:h="16838" w:orient="portrait"/>
          <w:cols w:equalWidth="0" w:num="1">
            <w:col w:w="9019"/>
          </w:cols>
          <w:pgMar w:left="1440" w:top="142" w:right="1440" w:bottom="1440" w:gutter="0" w:footer="0" w:header="0"/>
        </w:sectPr>
      </w:pPr>
    </w:p>
    <w:bookmarkStart w:id="395" w:name="page396"/>
    <w:bookmarkEnd w:id="395"/>
    <w:tbl>
      <w:tblPr>
        <w:tblLayout w:type="fixed"/>
        <w:tblInd w:w="0" w:type="dxa"/>
        <w:tblCellMar>
          <w:top w:w="0" w:type="dxa"/>
          <w:left w:w="0" w:type="dxa"/>
          <w:bottom w:w="0" w:type="dxa"/>
          <w:right w:w="0" w:type="dxa"/>
        </w:tblCellMar>
      </w:tblPr>
      <w:tr>
        <w:trPr>
          <w:trHeight w:val="197"/>
        </w:trPr>
        <w:tc>
          <w:tcPr>
            <w:tcW w:w="6240" w:type="dxa"/>
            <w:vAlign w:val="bottom"/>
            <w:gridSpan w:val="2"/>
          </w:tcPr>
          <w:p>
            <w:pPr>
              <w:jc w:val="center"/>
              <w:ind w:left="5"/>
              <w:spacing w:after="0"/>
              <w:rPr>
                <w:sz w:val="20"/>
                <w:szCs w:val="20"/>
                <w:color w:val="auto"/>
              </w:rPr>
            </w:pPr>
            <w:r>
              <w:rPr>
                <w:rFonts w:ascii="Courier New" w:cs="Courier New" w:eastAsia="Courier New" w:hAnsi="Courier New"/>
                <w:sz w:val="17"/>
                <w:szCs w:val="17"/>
                <w:color w:val="auto"/>
              </w:rPr>
              <w:t>PAGE ---- Section 8.04. Ancillary</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7"/>
              </w:rPr>
              <w:t>Agreements........................................</w:t>
            </w:r>
          </w:p>
        </w:tc>
        <w:tc>
          <w:tcPr>
            <w:tcW w:w="46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A-55</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Section 8.05. Neutrality</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8"/>
              </w:rPr>
              <w:t>Agreement........................................</w:t>
            </w:r>
          </w:p>
        </w:tc>
        <w:tc>
          <w:tcPr>
            <w:tcW w:w="46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A-55</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Section 8.06. Broadband</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7"/>
              </w:rPr>
              <w:t>Employees.........................................</w:t>
            </w:r>
          </w:p>
        </w:tc>
        <w:tc>
          <w:tcPr>
            <w:tcW w:w="46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A-56</w:t>
            </w:r>
          </w:p>
        </w:tc>
      </w:tr>
      <w:tr>
        <w:trPr>
          <w:trHeight w:val="201"/>
        </w:trPr>
        <w:tc>
          <w:tcPr>
            <w:tcW w:w="6240" w:type="dxa"/>
            <w:vAlign w:val="bottom"/>
            <w:gridSpan w:val="2"/>
          </w:tcPr>
          <w:p>
            <w:pPr>
              <w:jc w:val="center"/>
              <w:ind w:left="5"/>
              <w:spacing w:after="0"/>
              <w:rPr>
                <w:sz w:val="20"/>
                <w:szCs w:val="20"/>
                <w:color w:val="auto"/>
              </w:rPr>
            </w:pPr>
            <w:r>
              <w:rPr>
                <w:rFonts w:ascii="Courier New" w:cs="Courier New" w:eastAsia="Courier New" w:hAnsi="Courier New"/>
                <w:sz w:val="17"/>
                <w:szCs w:val="17"/>
                <w:color w:val="auto"/>
              </w:rPr>
              <w:t>Section 8.07. AT&amp;T Post-Signing Equity</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11"/>
                <w:szCs w:val="11"/>
                <w:color w:val="auto"/>
                <w:w w:val="70"/>
              </w:rPr>
              <w:t>Awards.............................</w:t>
            </w:r>
          </w:p>
        </w:tc>
        <w:tc>
          <w:tcPr>
            <w:tcW w:w="46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A-56 Section 8.08.</w:t>
            </w:r>
          </w:p>
        </w:tc>
      </w:tr>
      <w:tr>
        <w:trPr>
          <w:trHeight w:val="201"/>
        </w:trPr>
        <w:tc>
          <w:tcPr>
            <w:tcW w:w="6240" w:type="dxa"/>
            <w:vAlign w:val="bottom"/>
            <w:gridSpan w:val="2"/>
          </w:tcPr>
          <w:p>
            <w:pPr>
              <w:jc w:val="center"/>
              <w:ind w:left="5"/>
              <w:spacing w:after="0"/>
              <w:rPr>
                <w:sz w:val="20"/>
                <w:szCs w:val="20"/>
                <w:color w:val="auto"/>
              </w:rPr>
            </w:pPr>
            <w:r>
              <w:rPr>
                <w:rFonts w:ascii="Courier New" w:cs="Courier New" w:eastAsia="Courier New" w:hAnsi="Courier New"/>
                <w:sz w:val="17"/>
                <w:szCs w:val="17"/>
                <w:color w:val="auto"/>
              </w:rPr>
              <w:t>Redemption of TCI Pacific Preferred</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w w:val="70"/>
              </w:rPr>
              <w:t>Stock...................</w:t>
            </w:r>
          </w:p>
        </w:tc>
        <w:tc>
          <w:tcPr>
            <w:tcW w:w="46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A-56 Section 8.09. Note Consent</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8"/>
                <w:szCs w:val="8"/>
                <w:color w:val="auto"/>
                <w:w w:val="71"/>
              </w:rPr>
              <w:t>Process........................................</w:t>
            </w:r>
          </w:p>
        </w:tc>
        <w:tc>
          <w:tcPr>
            <w:tcW w:w="46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A-56</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ARTICLE 9 COVENANTS OF AT&amp;T, COMCAST AND PARENT Section</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9.01. Best</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0"/>
              </w:rPr>
              <w:t>Efforts................................................</w:t>
            </w:r>
          </w:p>
        </w:tc>
        <w:tc>
          <w:tcPr>
            <w:tcW w:w="4600" w:type="dxa"/>
            <w:vAlign w:val="bottom"/>
          </w:tcPr>
          <w:p>
            <w:pPr>
              <w:jc w:val="right"/>
              <w:spacing w:after="0"/>
              <w:rPr>
                <w:sz w:val="20"/>
                <w:szCs w:val="20"/>
                <w:color w:val="auto"/>
              </w:rPr>
            </w:pPr>
            <w:r>
              <w:rPr>
                <w:rFonts w:ascii="Courier New" w:cs="Courier New" w:eastAsia="Courier New" w:hAnsi="Courier New"/>
                <w:sz w:val="17"/>
                <w:szCs w:val="17"/>
                <w:color w:val="auto"/>
              </w:rPr>
              <w:t>A-</w:t>
            </w:r>
          </w:p>
        </w:tc>
      </w:tr>
      <w:tr>
        <w:trPr>
          <w:trHeight w:val="201"/>
        </w:trPr>
        <w:tc>
          <w:tcPr>
            <w:tcW w:w="6240" w:type="dxa"/>
            <w:vAlign w:val="bottom"/>
            <w:gridSpan w:val="2"/>
          </w:tcPr>
          <w:p>
            <w:pPr>
              <w:jc w:val="center"/>
              <w:ind w:left="5"/>
              <w:spacing w:after="0"/>
              <w:rPr>
                <w:sz w:val="20"/>
                <w:szCs w:val="20"/>
                <w:color w:val="auto"/>
              </w:rPr>
            </w:pPr>
            <w:r>
              <w:rPr>
                <w:rFonts w:ascii="Courier New" w:cs="Courier New" w:eastAsia="Courier New" w:hAnsi="Courier New"/>
                <w:sz w:val="17"/>
                <w:szCs w:val="17"/>
                <w:color w:val="auto"/>
              </w:rPr>
              <w:t>56 Section 9.02. Joint Proxy Statement; Registration</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w w:val="70"/>
              </w:rPr>
              <w:t>Statement...............</w:t>
            </w:r>
          </w:p>
        </w:tc>
        <w:tc>
          <w:tcPr>
            <w:tcW w:w="46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A-57 Section 9.03. Public</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2"/>
              </w:rPr>
              <w:t>Announcements........................................</w:t>
            </w:r>
          </w:p>
        </w:tc>
        <w:tc>
          <w:tcPr>
            <w:tcW w:w="4600" w:type="dxa"/>
            <w:vAlign w:val="bottom"/>
          </w:tcPr>
          <w:p>
            <w:pPr>
              <w:jc w:val="right"/>
              <w:spacing w:after="0"/>
              <w:rPr>
                <w:sz w:val="20"/>
                <w:szCs w:val="20"/>
                <w:color w:val="auto"/>
              </w:rPr>
            </w:pPr>
            <w:r>
              <w:rPr>
                <w:rFonts w:ascii="Courier New" w:cs="Courier New" w:eastAsia="Courier New" w:hAnsi="Courier New"/>
                <w:sz w:val="17"/>
                <w:szCs w:val="17"/>
                <w:color w:val="auto"/>
              </w:rPr>
              <w:t>A-58</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513"/>
              <w:spacing w:after="0"/>
              <w:rPr>
                <w:sz w:val="20"/>
                <w:szCs w:val="20"/>
                <w:color w:val="auto"/>
              </w:rPr>
            </w:pPr>
            <w:r>
              <w:rPr>
                <w:rFonts w:ascii="Courier New" w:cs="Courier New" w:eastAsia="Courier New" w:hAnsi="Courier New"/>
                <w:sz w:val="17"/>
                <w:szCs w:val="17"/>
                <w:color w:val="auto"/>
              </w:rPr>
              <w:t>Section 9.04. Further</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4"/>
              </w:rPr>
              <w:t>Assurances..........................................</w:t>
            </w:r>
          </w:p>
        </w:tc>
        <w:tc>
          <w:tcPr>
            <w:tcW w:w="46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A-58</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Section 9.05. Access to</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7"/>
              </w:rPr>
              <w:t>Information.......................................</w:t>
            </w:r>
          </w:p>
        </w:tc>
        <w:tc>
          <w:tcPr>
            <w:tcW w:w="46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A-58</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Section 9.06. Tax-free</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5"/>
              </w:rPr>
              <w:t>Transactions.......................................</w:t>
            </w:r>
          </w:p>
        </w:tc>
        <w:tc>
          <w:tcPr>
            <w:tcW w:w="46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A-59</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Section 9.07.</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Affiliates..................................................</w:t>
            </w:r>
          </w:p>
        </w:tc>
      </w:tr>
      <w:tr>
        <w:trPr>
          <w:trHeight w:val="201"/>
        </w:trPr>
        <w:tc>
          <w:tcPr>
            <w:tcW w:w="6240" w:type="dxa"/>
            <w:vAlign w:val="bottom"/>
            <w:gridSpan w:val="2"/>
          </w:tcPr>
          <w:p>
            <w:pPr>
              <w:jc w:val="center"/>
              <w:ind w:left="5"/>
              <w:spacing w:after="0"/>
              <w:rPr>
                <w:sz w:val="20"/>
                <w:szCs w:val="20"/>
                <w:color w:val="auto"/>
              </w:rPr>
            </w:pPr>
            <w:r>
              <w:rPr>
                <w:rFonts w:ascii="Courier New" w:cs="Courier New" w:eastAsia="Courier New" w:hAnsi="Courier New"/>
                <w:sz w:val="17"/>
                <w:szCs w:val="17"/>
                <w:color w:val="auto"/>
              </w:rPr>
              <w:t>A-59 Section 9.08. Governance and Other</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9"/>
                <w:szCs w:val="9"/>
                <w:color w:val="auto"/>
                <w:w w:val="76"/>
              </w:rPr>
              <w:t>Matters................................</w:t>
            </w:r>
          </w:p>
        </w:tc>
        <w:tc>
          <w:tcPr>
            <w:tcW w:w="4600" w:type="dxa"/>
            <w:vAlign w:val="bottom"/>
          </w:tcPr>
          <w:p>
            <w:pPr>
              <w:jc w:val="right"/>
              <w:spacing w:after="0"/>
              <w:rPr>
                <w:sz w:val="20"/>
                <w:szCs w:val="20"/>
                <w:color w:val="auto"/>
              </w:rPr>
            </w:pPr>
            <w:r>
              <w:rPr>
                <w:rFonts w:ascii="Courier New" w:cs="Courier New" w:eastAsia="Courier New" w:hAnsi="Courier New"/>
                <w:sz w:val="17"/>
                <w:szCs w:val="17"/>
                <w:color w:val="auto"/>
              </w:rPr>
              <w:t>A-59 Section 9.09.</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Notices of Certain</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9"/>
                <w:szCs w:val="9"/>
                <w:color w:val="auto"/>
                <w:w w:val="73"/>
              </w:rPr>
              <w:t>Events...................................</w:t>
            </w:r>
          </w:p>
        </w:tc>
        <w:tc>
          <w:tcPr>
            <w:tcW w:w="46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A-59 Section</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9.10. Section 16</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8"/>
              </w:rPr>
              <w:t>Matters..........................................</w:t>
            </w:r>
          </w:p>
        </w:tc>
        <w:tc>
          <w:tcPr>
            <w:tcW w:w="46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A-60</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Section 9.11. Director and Officer</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9"/>
                <w:szCs w:val="9"/>
                <w:color w:val="auto"/>
                <w:w w:val="76"/>
              </w:rPr>
              <w:t>Liability..............................</w:t>
            </w:r>
          </w:p>
        </w:tc>
        <w:tc>
          <w:tcPr>
            <w:tcW w:w="4600" w:type="dxa"/>
            <w:vAlign w:val="bottom"/>
          </w:tcPr>
          <w:p>
            <w:pPr>
              <w:jc w:val="right"/>
              <w:spacing w:after="0"/>
              <w:rPr>
                <w:sz w:val="20"/>
                <w:szCs w:val="20"/>
                <w:color w:val="auto"/>
              </w:rPr>
            </w:pPr>
            <w:r>
              <w:rPr>
                <w:rFonts w:ascii="Courier New" w:cs="Courier New" w:eastAsia="Courier New" w:hAnsi="Courier New"/>
                <w:sz w:val="17"/>
                <w:szCs w:val="17"/>
                <w:color w:val="auto"/>
              </w:rPr>
              <w:t>A-60 Section 9.12.</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Listing of</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8"/>
              </w:rPr>
              <w:t>Stock............................................</w:t>
            </w:r>
          </w:p>
        </w:tc>
        <w:tc>
          <w:tcPr>
            <w:tcW w:w="46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A-61</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Section 9.13. Employee</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5"/>
              </w:rPr>
              <w:t>Matters............................................</w:t>
            </w:r>
          </w:p>
        </w:tc>
        <w:tc>
          <w:tcPr>
            <w:tcW w:w="46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A-61</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Section 9.14. Employment</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8"/>
              </w:rPr>
              <w:t>Agreements.......................................</w:t>
            </w:r>
          </w:p>
        </w:tc>
        <w:tc>
          <w:tcPr>
            <w:tcW w:w="46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A-62</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Section 9.15. Interim Finance</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8"/>
                <w:szCs w:val="8"/>
                <w:color w:val="auto"/>
                <w:w w:val="76"/>
              </w:rPr>
              <w:t>Committee...................................</w:t>
            </w:r>
          </w:p>
        </w:tc>
        <w:tc>
          <w:tcPr>
            <w:tcW w:w="46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A-62 Section</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9.16.</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TOPRS.......................................................</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A-63 Section 9.17.</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Consideration...............................................</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A-63 Section 9.18.</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QUIPS.......................................................</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A-64 Section 9.19. Index</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1"/>
              </w:rPr>
              <w:t>Stock.................................................</w:t>
            </w:r>
          </w:p>
        </w:tc>
        <w:tc>
          <w:tcPr>
            <w:tcW w:w="4600" w:type="dxa"/>
            <w:vAlign w:val="bottom"/>
          </w:tcPr>
          <w:p>
            <w:pPr>
              <w:jc w:val="right"/>
              <w:spacing w:after="0"/>
              <w:rPr>
                <w:sz w:val="20"/>
                <w:szCs w:val="20"/>
                <w:color w:val="auto"/>
              </w:rPr>
            </w:pPr>
            <w:r>
              <w:rPr>
                <w:rFonts w:ascii="Courier New" w:cs="Courier New" w:eastAsia="Courier New" w:hAnsi="Courier New"/>
                <w:sz w:val="17"/>
                <w:szCs w:val="17"/>
                <w:color w:val="auto"/>
              </w:rPr>
              <w:t>A-66</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Section 9.20. Use of Name and</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8"/>
                <w:szCs w:val="8"/>
                <w:color w:val="auto"/>
                <w:w w:val="76"/>
              </w:rPr>
              <w:t>Logo........................................</w:t>
            </w:r>
          </w:p>
        </w:tc>
        <w:tc>
          <w:tcPr>
            <w:tcW w:w="46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A-66 Section</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9.21. Exchange</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7"/>
                <w:szCs w:val="7"/>
                <w:color w:val="auto"/>
                <w:w w:val="75"/>
              </w:rPr>
              <w:t>Agreement..........................................</w:t>
            </w:r>
          </w:p>
        </w:tc>
        <w:tc>
          <w:tcPr>
            <w:tcW w:w="46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A-66</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Section 9.22. Significant Excepted</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9"/>
                <w:szCs w:val="9"/>
                <w:color w:val="auto"/>
                <w:w w:val="76"/>
              </w:rPr>
              <w:t>Transactions...........................</w:t>
            </w:r>
          </w:p>
        </w:tc>
        <w:tc>
          <w:tcPr>
            <w:tcW w:w="4600" w:type="dxa"/>
            <w:vAlign w:val="bottom"/>
          </w:tcPr>
          <w:p>
            <w:pPr>
              <w:jc w:val="right"/>
              <w:spacing w:after="0"/>
              <w:rPr>
                <w:sz w:val="20"/>
                <w:szCs w:val="20"/>
                <w:color w:val="auto"/>
              </w:rPr>
            </w:pPr>
            <w:r>
              <w:rPr>
                <w:rFonts w:ascii="Courier New" w:cs="Courier New" w:eastAsia="Courier New" w:hAnsi="Courier New"/>
                <w:sz w:val="17"/>
                <w:szCs w:val="17"/>
                <w:color w:val="auto"/>
              </w:rPr>
              <w:t>A-66 Section 9.23.</w:t>
            </w:r>
          </w:p>
        </w:tc>
      </w:tr>
      <w:tr>
        <w:trPr>
          <w:trHeight w:val="201"/>
        </w:trPr>
        <w:tc>
          <w:tcPr>
            <w:tcW w:w="1640" w:type="dxa"/>
            <w:vAlign w:val="bottom"/>
          </w:tcPr>
          <w:p>
            <w:pPr>
              <w:spacing w:after="0"/>
              <w:rPr>
                <w:sz w:val="17"/>
                <w:szCs w:val="17"/>
                <w:color w:val="auto"/>
              </w:rPr>
            </w:pPr>
          </w:p>
        </w:tc>
        <w:tc>
          <w:tcPr>
            <w:tcW w:w="4600" w:type="dxa"/>
            <w:vAlign w:val="bottom"/>
          </w:tcPr>
          <w:p>
            <w:pPr>
              <w:jc w:val="center"/>
              <w:ind w:right="1493"/>
              <w:spacing w:after="0"/>
              <w:rPr>
                <w:sz w:val="20"/>
                <w:szCs w:val="20"/>
                <w:color w:val="auto"/>
              </w:rPr>
            </w:pPr>
            <w:r>
              <w:rPr>
                <w:rFonts w:ascii="Courier New" w:cs="Courier New" w:eastAsia="Courier New" w:hAnsi="Courier New"/>
                <w:sz w:val="17"/>
                <w:szCs w:val="17"/>
                <w:color w:val="auto"/>
              </w:rPr>
              <w:t>Comcast's AT&amp;T</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8"/>
                <w:szCs w:val="8"/>
                <w:color w:val="auto"/>
                <w:w w:val="74"/>
              </w:rPr>
              <w:t>Stock........................................</w:t>
            </w:r>
          </w:p>
        </w:tc>
        <w:tc>
          <w:tcPr>
            <w:tcW w:w="4600" w:type="dxa"/>
            <w:vAlign w:val="bottom"/>
          </w:tcPr>
          <w:p>
            <w:pPr>
              <w:jc w:val="right"/>
              <w:spacing w:after="0"/>
              <w:rPr>
                <w:sz w:val="20"/>
                <w:szCs w:val="20"/>
                <w:color w:val="auto"/>
              </w:rPr>
            </w:pPr>
            <w:r>
              <w:rPr>
                <w:rFonts w:ascii="Courier New" w:cs="Courier New" w:eastAsia="Courier New" w:hAnsi="Courier New"/>
                <w:sz w:val="17"/>
                <w:szCs w:val="17"/>
                <w:color w:val="auto"/>
              </w:rPr>
              <w:t>A-67 ARTICLE</w:t>
            </w:r>
          </w:p>
        </w:tc>
      </w:tr>
    </w:tbl>
    <w:p>
      <w:pPr>
        <w:spacing w:after="0" w:line="4"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10 CONDITIONS TO THE MERGERS Section 10.01. Conditions to</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the Obligations of Each Party................. A-68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10.02. Conditions to the Obligations of</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AT&amp;T....................... A-69 Section 10.03. Conditions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to the Obligations of Comcast.................... A-70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ARTICLE 11 TERMINATION Section 11.01.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A-70 Section 11.02. Effect of</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Termination....................................... A-71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11.03. Fees and</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Expenses........................................... A-72</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ARTICLE 12 MISCELLANEOUS Section 12.01.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A-73 Section 12.02.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Survival....................................................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A-74 Section 12.03. Amendments; No</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Waivers...................................... A-74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12.04. Successors and</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Assigns...................................... A-74</w:t>
      </w:r>
    </w:p>
    <w:p>
      <w:pPr>
        <w:sectPr>
          <w:pgSz w:w="11900" w:h="16838" w:orient="portrait"/>
          <w:cols w:equalWidth="0" w:num="1">
            <w:col w:w="10219"/>
          </w:cols>
          <w:pgMar w:left="240" w:top="719" w:right="1440" w:bottom="0" w:gutter="0" w:footer="0" w:header="0"/>
        </w:sectPr>
      </w:pP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A-iii</w:t>
      </w:r>
    </w:p>
    <w:p>
      <w:pPr>
        <w:sectPr>
          <w:pgSz w:w="11900" w:h="16838" w:orient="portrait"/>
          <w:cols w:equalWidth="0" w:num="1">
            <w:col w:w="10219"/>
          </w:cols>
          <w:pgMar w:left="240" w:top="719" w:right="1440" w:bottom="0" w:gutter="0" w:footer="0" w:header="0"/>
          <w:type w:val="continuous"/>
        </w:sectPr>
      </w:pPr>
    </w:p>
    <w:bookmarkStart w:id="396" w:name="page397"/>
    <w:bookmarkEnd w:id="396"/>
    <w:tbl>
      <w:tblPr>
        <w:tblLayout w:type="fixed"/>
        <w:tblInd w:w="0" w:type="dxa"/>
        <w:tblCellMar>
          <w:top w:w="0" w:type="dxa"/>
          <w:left w:w="0" w:type="dxa"/>
          <w:bottom w:w="0" w:type="dxa"/>
          <w:right w:w="0" w:type="dxa"/>
        </w:tblCellMar>
      </w:tblPr>
      <w:tr>
        <w:trPr>
          <w:trHeight w:val="197"/>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PAGE ---- Section 12.05. Governing</w:t>
            </w:r>
          </w:p>
        </w:tc>
      </w:tr>
      <w:tr>
        <w:trPr>
          <w:trHeight w:val="201"/>
        </w:trPr>
        <w:tc>
          <w:tcPr>
            <w:tcW w:w="2100" w:type="dxa"/>
            <w:vAlign w:val="bottom"/>
          </w:tcPr>
          <w:p>
            <w:pPr>
              <w:jc w:val="right"/>
              <w:spacing w:after="0"/>
              <w:rPr>
                <w:sz w:val="20"/>
                <w:szCs w:val="20"/>
                <w:color w:val="auto"/>
              </w:rPr>
            </w:pPr>
            <w:r>
              <w:rPr>
                <w:rFonts w:ascii="Courier New" w:cs="Courier New" w:eastAsia="Courier New" w:hAnsi="Courier New"/>
                <w:sz w:val="9"/>
                <w:szCs w:val="9"/>
                <w:color w:val="auto"/>
                <w:w w:val="77"/>
              </w:rPr>
              <w:t>Law...............................................</w:t>
            </w:r>
          </w:p>
        </w:tc>
        <w:tc>
          <w:tcPr>
            <w:tcW w:w="4140" w:type="dxa"/>
            <w:vAlign w:val="bottom"/>
          </w:tcPr>
          <w:p>
            <w:pPr>
              <w:ind w:left="3520"/>
              <w:spacing w:after="0"/>
              <w:rPr>
                <w:sz w:val="20"/>
                <w:szCs w:val="20"/>
                <w:color w:val="auto"/>
              </w:rPr>
            </w:pPr>
            <w:r>
              <w:rPr>
                <w:rFonts w:ascii="Courier New" w:cs="Courier New" w:eastAsia="Courier New" w:hAnsi="Courier New"/>
                <w:sz w:val="17"/>
                <w:szCs w:val="17"/>
                <w:color w:val="auto"/>
              </w:rPr>
              <w:t>A-75</w:t>
            </w:r>
          </w:p>
        </w:tc>
      </w:tr>
      <w:tr>
        <w:trPr>
          <w:trHeight w:val="201"/>
        </w:trPr>
        <w:tc>
          <w:tcPr>
            <w:tcW w:w="2100" w:type="dxa"/>
            <w:vAlign w:val="bottom"/>
          </w:tcPr>
          <w:p>
            <w:pPr>
              <w:spacing w:after="0"/>
              <w:rPr>
                <w:sz w:val="17"/>
                <w:szCs w:val="17"/>
                <w:color w:val="auto"/>
              </w:rPr>
            </w:pPr>
          </w:p>
        </w:tc>
        <w:tc>
          <w:tcPr>
            <w:tcW w:w="4140" w:type="dxa"/>
            <w:vAlign w:val="bottom"/>
          </w:tcPr>
          <w:p>
            <w:pPr>
              <w:jc w:val="center"/>
              <w:ind w:right="1953"/>
              <w:spacing w:after="0"/>
              <w:rPr>
                <w:sz w:val="20"/>
                <w:szCs w:val="20"/>
                <w:color w:val="auto"/>
              </w:rPr>
            </w:pPr>
            <w:r>
              <w:rPr>
                <w:rFonts w:ascii="Courier New" w:cs="Courier New" w:eastAsia="Courier New" w:hAnsi="Courier New"/>
                <w:sz w:val="17"/>
                <w:szCs w:val="17"/>
                <w:color w:val="auto"/>
              </w:rPr>
              <w:t>Section 12.06.</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Jurisdiction................................................</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A-75 Section 12.07. WAIVER OF JURY</w:t>
            </w:r>
          </w:p>
        </w:tc>
      </w:tr>
      <w:tr>
        <w:trPr>
          <w:trHeight w:val="201"/>
        </w:trPr>
        <w:tc>
          <w:tcPr>
            <w:tcW w:w="2100" w:type="dxa"/>
            <w:vAlign w:val="bottom"/>
          </w:tcPr>
          <w:p>
            <w:pPr>
              <w:jc w:val="right"/>
              <w:spacing w:after="0"/>
              <w:rPr>
                <w:sz w:val="20"/>
                <w:szCs w:val="20"/>
                <w:color w:val="auto"/>
              </w:rPr>
            </w:pPr>
            <w:r>
              <w:rPr>
                <w:rFonts w:ascii="Courier New" w:cs="Courier New" w:eastAsia="Courier New" w:hAnsi="Courier New"/>
                <w:sz w:val="11"/>
                <w:szCs w:val="11"/>
                <w:color w:val="auto"/>
                <w:w w:val="70"/>
              </w:rPr>
              <w:t>TRIAL........................................</w:t>
            </w:r>
          </w:p>
        </w:tc>
        <w:tc>
          <w:tcPr>
            <w:tcW w:w="4140" w:type="dxa"/>
            <w:vAlign w:val="bottom"/>
          </w:tcPr>
          <w:p>
            <w:pPr>
              <w:ind w:left="2840"/>
              <w:spacing w:after="0"/>
              <w:rPr>
                <w:sz w:val="20"/>
                <w:szCs w:val="20"/>
                <w:color w:val="auto"/>
              </w:rPr>
            </w:pPr>
            <w:r>
              <w:rPr>
                <w:rFonts w:ascii="Courier New" w:cs="Courier New" w:eastAsia="Courier New" w:hAnsi="Courier New"/>
                <w:sz w:val="17"/>
                <w:szCs w:val="17"/>
                <w:color w:val="auto"/>
              </w:rPr>
              <w:t>A-75 Section</w:t>
            </w:r>
          </w:p>
        </w:tc>
      </w:tr>
      <w:tr>
        <w:trPr>
          <w:trHeight w:val="201"/>
        </w:trPr>
        <w:tc>
          <w:tcPr>
            <w:tcW w:w="2100" w:type="dxa"/>
            <w:vAlign w:val="bottom"/>
          </w:tcPr>
          <w:p>
            <w:pPr>
              <w:spacing w:after="0"/>
              <w:rPr>
                <w:sz w:val="17"/>
                <w:szCs w:val="17"/>
                <w:color w:val="auto"/>
              </w:rPr>
            </w:pPr>
          </w:p>
        </w:tc>
        <w:tc>
          <w:tcPr>
            <w:tcW w:w="4140" w:type="dxa"/>
            <w:vAlign w:val="bottom"/>
          </w:tcPr>
          <w:p>
            <w:pPr>
              <w:jc w:val="center"/>
              <w:ind w:right="1953"/>
              <w:spacing w:after="0"/>
              <w:rPr>
                <w:sz w:val="20"/>
                <w:szCs w:val="20"/>
                <w:color w:val="auto"/>
              </w:rPr>
            </w:pPr>
            <w:r>
              <w:rPr>
                <w:rFonts w:ascii="Courier New" w:cs="Courier New" w:eastAsia="Courier New" w:hAnsi="Courier New"/>
                <w:sz w:val="17"/>
                <w:szCs w:val="17"/>
                <w:color w:val="auto"/>
              </w:rPr>
              <w:t>12.08. Counterparts;</w:t>
            </w:r>
          </w:p>
        </w:tc>
      </w:tr>
      <w:tr>
        <w:trPr>
          <w:trHeight w:val="201"/>
        </w:trPr>
        <w:tc>
          <w:tcPr>
            <w:tcW w:w="2100" w:type="dxa"/>
            <w:vAlign w:val="bottom"/>
          </w:tcPr>
          <w:p>
            <w:pPr>
              <w:jc w:val="right"/>
              <w:spacing w:after="0"/>
              <w:rPr>
                <w:sz w:val="20"/>
                <w:szCs w:val="20"/>
                <w:color w:val="auto"/>
              </w:rPr>
            </w:pPr>
            <w:r>
              <w:rPr>
                <w:rFonts w:ascii="Courier New" w:cs="Courier New" w:eastAsia="Courier New" w:hAnsi="Courier New"/>
                <w:sz w:val="10"/>
                <w:szCs w:val="10"/>
                <w:color w:val="auto"/>
                <w:w w:val="75"/>
              </w:rPr>
              <w:t>Effectiveness.................................</w:t>
            </w:r>
          </w:p>
        </w:tc>
        <w:tc>
          <w:tcPr>
            <w:tcW w:w="4140" w:type="dxa"/>
            <w:vAlign w:val="bottom"/>
          </w:tcPr>
          <w:p>
            <w:pPr>
              <w:ind w:left="2880"/>
              <w:spacing w:after="0"/>
              <w:rPr>
                <w:sz w:val="20"/>
                <w:szCs w:val="20"/>
                <w:color w:val="auto"/>
              </w:rPr>
            </w:pPr>
            <w:r>
              <w:rPr>
                <w:rFonts w:ascii="Courier New" w:cs="Courier New" w:eastAsia="Courier New" w:hAnsi="Courier New"/>
                <w:sz w:val="17"/>
                <w:szCs w:val="17"/>
                <w:color w:val="auto"/>
              </w:rPr>
              <w:t>A-75 Section</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12.09. Entire Agreement; No Third Party</w:t>
            </w:r>
          </w:p>
        </w:tc>
      </w:tr>
      <w:tr>
        <w:trPr>
          <w:trHeight w:val="201"/>
        </w:trPr>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w w:val="75"/>
              </w:rPr>
              <w:t>Beneficiaries..............</w:t>
            </w:r>
          </w:p>
        </w:tc>
        <w:tc>
          <w:tcPr>
            <w:tcW w:w="4140" w:type="dxa"/>
            <w:vAlign w:val="bottom"/>
          </w:tcPr>
          <w:p>
            <w:pPr>
              <w:ind w:left="1520"/>
              <w:spacing w:after="0"/>
              <w:rPr>
                <w:sz w:val="20"/>
                <w:szCs w:val="20"/>
                <w:color w:val="auto"/>
              </w:rPr>
            </w:pPr>
            <w:r>
              <w:rPr>
                <w:rFonts w:ascii="Courier New" w:cs="Courier New" w:eastAsia="Courier New" w:hAnsi="Courier New"/>
                <w:sz w:val="17"/>
                <w:szCs w:val="17"/>
                <w:color w:val="auto"/>
              </w:rPr>
              <w:t>A-75 Section 12.10.</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Severability................................................</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A-75 Section 12.11. Specific</w:t>
            </w:r>
          </w:p>
        </w:tc>
      </w:tr>
      <w:tr>
        <w:trPr>
          <w:trHeight w:val="201"/>
        </w:trPr>
        <w:tc>
          <w:tcPr>
            <w:tcW w:w="2100" w:type="dxa"/>
            <w:vAlign w:val="bottom"/>
          </w:tcPr>
          <w:p>
            <w:pPr>
              <w:jc w:val="right"/>
              <w:spacing w:after="0"/>
              <w:rPr>
                <w:sz w:val="20"/>
                <w:szCs w:val="20"/>
                <w:color w:val="auto"/>
              </w:rPr>
            </w:pPr>
            <w:r>
              <w:rPr>
                <w:rFonts w:ascii="Courier New" w:cs="Courier New" w:eastAsia="Courier New" w:hAnsi="Courier New"/>
                <w:sz w:val="9"/>
                <w:szCs w:val="9"/>
                <w:color w:val="auto"/>
                <w:w w:val="75"/>
              </w:rPr>
              <w:t>Performance........................................</w:t>
            </w:r>
          </w:p>
        </w:tc>
        <w:tc>
          <w:tcPr>
            <w:tcW w:w="4140" w:type="dxa"/>
            <w:vAlign w:val="bottom"/>
          </w:tcPr>
          <w:p>
            <w:pPr>
              <w:ind w:left="3560"/>
              <w:spacing w:after="0"/>
              <w:rPr>
                <w:sz w:val="20"/>
                <w:szCs w:val="20"/>
                <w:color w:val="auto"/>
              </w:rPr>
            </w:pPr>
            <w:r>
              <w:rPr>
                <w:rFonts w:ascii="Courier New" w:cs="Courier New" w:eastAsia="Courier New" w:hAnsi="Courier New"/>
                <w:sz w:val="17"/>
                <w:szCs w:val="17"/>
                <w:color w:val="auto"/>
              </w:rPr>
              <w:t>A-75</w:t>
            </w:r>
          </w:p>
        </w:tc>
      </w:tr>
      <w:tr>
        <w:trPr>
          <w:trHeight w:val="201"/>
        </w:trPr>
        <w:tc>
          <w:tcPr>
            <w:tcW w:w="2100" w:type="dxa"/>
            <w:vAlign w:val="bottom"/>
          </w:tcPr>
          <w:p>
            <w:pPr>
              <w:spacing w:after="0"/>
              <w:rPr>
                <w:sz w:val="17"/>
                <w:szCs w:val="17"/>
                <w:color w:val="auto"/>
              </w:rPr>
            </w:pPr>
          </w:p>
        </w:tc>
        <w:tc>
          <w:tcPr>
            <w:tcW w:w="4140" w:type="dxa"/>
            <w:vAlign w:val="bottom"/>
          </w:tcPr>
          <w:p>
            <w:pPr>
              <w:jc w:val="center"/>
              <w:ind w:right="1953"/>
              <w:spacing w:after="0"/>
              <w:rPr>
                <w:sz w:val="20"/>
                <w:szCs w:val="20"/>
                <w:color w:val="auto"/>
              </w:rPr>
            </w:pPr>
            <w:r>
              <w:rPr>
                <w:rFonts w:ascii="Courier New" w:cs="Courier New" w:eastAsia="Courier New" w:hAnsi="Courier New"/>
                <w:sz w:val="17"/>
                <w:szCs w:val="17"/>
                <w:color w:val="auto"/>
              </w:rPr>
              <w:t>Section 12.12.</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Schedules...................................................</w:t>
            </w:r>
          </w:p>
        </w:tc>
      </w:tr>
      <w:tr>
        <w:trPr>
          <w:trHeight w:val="201"/>
        </w:trPr>
        <w:tc>
          <w:tcPr>
            <w:tcW w:w="2100" w:type="dxa"/>
            <w:vAlign w:val="bottom"/>
          </w:tcPr>
          <w:p>
            <w:pPr>
              <w:spacing w:after="0"/>
              <w:rPr>
                <w:sz w:val="17"/>
                <w:szCs w:val="17"/>
                <w:color w:val="auto"/>
              </w:rPr>
            </w:pPr>
          </w:p>
        </w:tc>
        <w:tc>
          <w:tcPr>
            <w:tcW w:w="4140" w:type="dxa"/>
            <w:vAlign w:val="bottom"/>
          </w:tcPr>
          <w:p>
            <w:pPr>
              <w:jc w:val="center"/>
              <w:ind w:right="1953"/>
              <w:spacing w:after="0"/>
              <w:rPr>
                <w:sz w:val="20"/>
                <w:szCs w:val="20"/>
                <w:color w:val="auto"/>
              </w:rPr>
            </w:pPr>
            <w:r>
              <w:rPr>
                <w:rFonts w:ascii="Courier New" w:cs="Courier New" w:eastAsia="Courier New" w:hAnsi="Courier New"/>
                <w:sz w:val="17"/>
                <w:szCs w:val="17"/>
                <w:color w:val="auto"/>
              </w:rPr>
              <w:t>A-76</w:t>
            </w:r>
          </w:p>
        </w:tc>
      </w:tr>
      <w:tr>
        <w:trPr>
          <w:trHeight w:val="604"/>
        </w:trPr>
        <w:tc>
          <w:tcPr>
            <w:tcW w:w="2100" w:type="dxa"/>
            <w:vAlign w:val="bottom"/>
          </w:tcPr>
          <w:p>
            <w:pPr>
              <w:spacing w:after="0"/>
              <w:rPr>
                <w:sz w:val="24"/>
                <w:szCs w:val="24"/>
                <w:color w:val="auto"/>
              </w:rPr>
            </w:pPr>
          </w:p>
        </w:tc>
        <w:tc>
          <w:tcPr>
            <w:tcW w:w="4140" w:type="dxa"/>
            <w:vAlign w:val="bottom"/>
          </w:tcPr>
          <w:p>
            <w:pPr>
              <w:ind w:left="940"/>
              <w:spacing w:after="0"/>
              <w:rPr>
                <w:sz w:val="20"/>
                <w:szCs w:val="20"/>
                <w:color w:val="auto"/>
              </w:rPr>
            </w:pPr>
            <w:r>
              <w:rPr>
                <w:rFonts w:ascii="Courier New" w:cs="Courier New" w:eastAsia="Courier New" w:hAnsi="Courier New"/>
                <w:sz w:val="17"/>
                <w:szCs w:val="17"/>
                <w:color w:val="auto"/>
              </w:rPr>
              <w:t>EXHIBITS AND SCHEDULES</w:t>
            </w:r>
          </w:p>
        </w:tc>
      </w:tr>
      <w:tr>
        <w:trPr>
          <w:trHeight w:val="403"/>
        </w:trPr>
        <w:tc>
          <w:tcPr>
            <w:tcW w:w="6240" w:type="dxa"/>
            <w:vAlign w:val="bottom"/>
            <w:gridSpan w:val="2"/>
          </w:tcPr>
          <w:p>
            <w:pPr>
              <w:spacing w:after="0"/>
              <w:rPr>
                <w:sz w:val="20"/>
                <w:szCs w:val="20"/>
                <w:color w:val="auto"/>
              </w:rPr>
            </w:pPr>
            <w:r>
              <w:rPr>
                <w:rFonts w:ascii="Courier New" w:cs="Courier New" w:eastAsia="Courier New" w:hAnsi="Courier New"/>
                <w:sz w:val="17"/>
                <w:szCs w:val="17"/>
                <w:color w:val="auto"/>
              </w:rPr>
              <w:t>Exhibit A -- Form of Support Agreement</w:t>
            </w:r>
          </w:p>
        </w:tc>
      </w:tr>
      <w:tr>
        <w:trPr>
          <w:trHeight w:val="403"/>
        </w:trPr>
        <w:tc>
          <w:tcPr>
            <w:tcW w:w="6240" w:type="dxa"/>
            <w:vAlign w:val="bottom"/>
            <w:gridSpan w:val="2"/>
          </w:tcPr>
          <w:p>
            <w:pPr>
              <w:spacing w:after="0"/>
              <w:rPr>
                <w:sz w:val="20"/>
                <w:szCs w:val="20"/>
                <w:color w:val="auto"/>
              </w:rPr>
            </w:pPr>
            <w:r>
              <w:rPr>
                <w:rFonts w:ascii="Courier New" w:cs="Courier New" w:eastAsia="Courier New" w:hAnsi="Courier New"/>
                <w:sz w:val="17"/>
                <w:szCs w:val="17"/>
                <w:color w:val="auto"/>
              </w:rPr>
              <w:t>Exhibit B -- Form of Rule 145 Affiliate Letter</w:t>
            </w:r>
          </w:p>
        </w:tc>
      </w:tr>
      <w:tr>
        <w:trPr>
          <w:trHeight w:val="403"/>
        </w:trPr>
        <w:tc>
          <w:tcPr>
            <w:tcW w:w="6240" w:type="dxa"/>
            <w:vAlign w:val="bottom"/>
            <w:gridSpan w:val="2"/>
          </w:tcPr>
          <w:p>
            <w:pPr>
              <w:spacing w:after="0"/>
              <w:rPr>
                <w:sz w:val="20"/>
                <w:szCs w:val="20"/>
                <w:color w:val="auto"/>
              </w:rPr>
            </w:pPr>
            <w:r>
              <w:rPr>
                <w:rFonts w:ascii="Courier New" w:cs="Courier New" w:eastAsia="Courier New" w:hAnsi="Courier New"/>
                <w:sz w:val="17"/>
                <w:szCs w:val="17"/>
                <w:color w:val="auto"/>
              </w:rPr>
              <w:t>Exhibit C -- Form of Separation and Distribution Agreement</w:t>
            </w:r>
          </w:p>
        </w:tc>
      </w:tr>
      <w:tr>
        <w:trPr>
          <w:trHeight w:val="403"/>
        </w:trPr>
        <w:tc>
          <w:tcPr>
            <w:tcW w:w="6240" w:type="dxa"/>
            <w:vAlign w:val="bottom"/>
            <w:gridSpan w:val="2"/>
          </w:tcPr>
          <w:p>
            <w:pPr>
              <w:spacing w:after="0"/>
              <w:rPr>
                <w:sz w:val="20"/>
                <w:szCs w:val="20"/>
                <w:color w:val="auto"/>
              </w:rPr>
            </w:pPr>
            <w:r>
              <w:rPr>
                <w:rFonts w:ascii="Courier New" w:cs="Courier New" w:eastAsia="Courier New" w:hAnsi="Courier New"/>
                <w:sz w:val="17"/>
                <w:szCs w:val="17"/>
                <w:color w:val="auto"/>
              </w:rPr>
              <w:t>Exhibit D-1 -- Form of Parent Charter (Preferred Structure)</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D-2 -- Term Sheet for Parent Charter (Alternative Structure)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D-3 -- Form of Parent Bylaws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D-4 -- Form of Comcast Articles Amendment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E -- AT&amp;T Broadband Financial Statements (12/31/00 and 9/30/01)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F -- Admission Agreement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Disclosure Schedule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Disclosure Schedule</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A-iv</w:t>
      </w:r>
    </w:p>
    <w:p>
      <w:pPr>
        <w:sectPr>
          <w:pgSz w:w="11900" w:h="16838" w:orient="portrait"/>
          <w:cols w:equalWidth="0" w:num="1">
            <w:col w:w="10219"/>
          </w:cols>
          <w:pgMar w:left="240" w:top="719" w:right="1440" w:bottom="1440" w:gutter="0" w:footer="0" w:header="0"/>
        </w:sectPr>
      </w:pPr>
    </w:p>
    <w:bookmarkStart w:id="397" w:name="page398"/>
    <w:bookmarkEnd w:id="397"/>
    <w:p>
      <w:pPr>
        <w:ind w:left="2740"/>
        <w:spacing w:after="0"/>
        <w:rPr>
          <w:sz w:val="20"/>
          <w:szCs w:val="20"/>
          <w:color w:val="auto"/>
        </w:rPr>
      </w:pPr>
      <w:r>
        <w:rPr>
          <w:rFonts w:ascii="Courier New" w:cs="Courier New" w:eastAsia="Courier New" w:hAnsi="Courier New"/>
          <w:sz w:val="17"/>
          <w:szCs w:val="17"/>
          <w:color w:val="auto"/>
        </w:rPr>
        <w:t>AGREEMENT AND PLAN OF MERGER</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AGREEMENT AND PLAN OF MERGER (this "AGREEMENT"), dated as of December 19, 2001, by and among AT&amp;T Corp., a New York corporation ("AT&amp;T"), AT&amp;T Broadband Corp., a Delaware corporation and a wholly owned subsidiary of AT&amp;T ("AT&amp;T BROADBAND"), Comcast Corporation, a Pennsylvania corporation ("COMCAST"), AT&amp;T Comcast Corporation, a Pennsylvania corporation ("PARENT"), AT&amp;T Broadband Acquisition Corp., a Delaware corporation and a wholly owned subsidiary of Parent ("AT&amp;T BROADBAND MERGER SUB"), and Comcast Acquisition Corp., a Pennsylvania corporation and a wholly owned subsidiary of Parent ("COMCAST MERGER SUB").</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WHEREAS, AT&amp;T Broadband is a newly formed wholly owned subsidiary of AT&amp;T that will hold, directly or indirectly, all of the assets and liabilities of the AT&amp;T Broadband Group in accordance with the terms and conditions of the Separation and Distribution Agreement (as defined below);</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WHEREAS, the Boards of Directors of AT&amp;T, AT&amp;T Broadband and Comcast and each of the other parties hereto have approved this Agreement and deem it advisable and in the best interests of their respective shareholders to consummate the transactions contemplated hereby on the terms and conditions set forth herein;</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WHEREAS, immediately prior to the execution and delivery of this Agreement, as a condition and inducement to AT&amp;T's willingness to enter into this Agreement, each of Sural LLC ("COMCAST SHAREHOLDER"), Mr. Brian L. Roberts, Comcast and Parent has executed and delivered to AT&amp;T the support agreement, dated as of the date hereof, in the form attached as Exhibit A (the "SUPPORT AGREEMENT");</w:t>
      </w:r>
    </w:p>
    <w:p>
      <w:pPr>
        <w:spacing w:after="0" w:line="399"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WHEREAS, it is intended that, for United States federal income tax purposes, the Mergers (as defined below) shall qualify as tax-free exchanges described in Section 351 of the Internal Revenue Code of 1986, as amended (the "CODE"), and the rules and regulations promulgated thereunder;</w:t>
      </w:r>
    </w:p>
    <w:p>
      <w:pPr>
        <w:spacing w:after="0" w:line="195" w:lineRule="exact"/>
        <w:rPr>
          <w:sz w:val="20"/>
          <w:szCs w:val="20"/>
          <w:color w:val="auto"/>
        </w:rPr>
      </w:pPr>
    </w:p>
    <w:p>
      <w:pPr>
        <w:ind w:right="2459" w:firstLine="524"/>
        <w:spacing w:after="0" w:line="254" w:lineRule="auto"/>
        <w:rPr>
          <w:sz w:val="20"/>
          <w:szCs w:val="20"/>
          <w:color w:val="auto"/>
        </w:rPr>
      </w:pPr>
      <w:r>
        <w:rPr>
          <w:rFonts w:ascii="Courier New" w:cs="Courier New" w:eastAsia="Courier New" w:hAnsi="Courier New"/>
          <w:sz w:val="17"/>
          <w:szCs w:val="17"/>
          <w:color w:val="auto"/>
        </w:rPr>
        <w:t>NOW, THEREFORE, in consideration of the foregoing and the respective representations, warranties, covenants and agreements set forth below, the parties hereto agree as follows:</w:t>
      </w:r>
    </w:p>
    <w:p>
      <w:pPr>
        <w:spacing w:after="0" w:line="19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1</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DEFINITIONS</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SECTION 1.01. Definitions. (a) The following terms, as used herein, have the following meanings:</w:t>
      </w:r>
    </w:p>
    <w:p>
      <w:pPr>
        <w:spacing w:after="0" w:line="192"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"1933 ACT" means the Securities Act of 1933, as amended, and the rules and regulations promulgated thereunder.</w:t>
      </w:r>
    </w:p>
    <w:p>
      <w:pPr>
        <w:spacing w:after="0" w:line="192"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"1934 ACT" means the Securities Exchange Act of 1934, as amended, and the rules and regulations promulgated thereunder.</w:t>
      </w:r>
    </w:p>
    <w:p>
      <w:pPr>
        <w:spacing w:after="0" w:line="19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 SHAREHOLDER APPROVAL" means the approval, by a majority of the votes cast, of the holders of the Comcast Class A Common Stock (voting as a class at a meeting at which a quorum is present) of this Agreement and the transactions contemplated by this Agreement and the Articles Amendment.</w:t>
      </w:r>
    </w:p>
    <w:p>
      <w:pPr>
        <w:spacing w:after="0" w:line="195" w:lineRule="exact"/>
        <w:rPr>
          <w:sz w:val="20"/>
          <w:szCs w:val="20"/>
          <w:color w:val="auto"/>
        </w:rPr>
      </w:pPr>
    </w:p>
    <w:p>
      <w:pPr>
        <w:ind w:right="2679" w:firstLine="524"/>
        <w:spacing w:after="0" w:line="257" w:lineRule="auto"/>
        <w:rPr>
          <w:sz w:val="20"/>
          <w:szCs w:val="20"/>
          <w:color w:val="auto"/>
        </w:rPr>
      </w:pPr>
      <w:r>
        <w:rPr>
          <w:rFonts w:ascii="Courier New" w:cs="Courier New" w:eastAsia="Courier New" w:hAnsi="Courier New"/>
          <w:sz w:val="17"/>
          <w:szCs w:val="17"/>
          <w:color w:val="auto"/>
        </w:rPr>
        <w:t>"ADDITIONAL COMMERCIAL AGREEMENTS" has the meaning set forth in the Separation and Distribution Agreement.</w:t>
      </w:r>
    </w:p>
    <w:p>
      <w:pPr>
        <w:spacing w:after="0" w:line="192" w:lineRule="exact"/>
        <w:rPr>
          <w:sz w:val="20"/>
          <w:szCs w:val="20"/>
          <w:color w:val="auto"/>
        </w:rPr>
      </w:pPr>
    </w:p>
    <w:p>
      <w:pPr>
        <w:ind w:right="2359" w:firstLine="524"/>
        <w:spacing w:after="0" w:line="254" w:lineRule="auto"/>
        <w:rPr>
          <w:sz w:val="20"/>
          <w:szCs w:val="20"/>
          <w:color w:val="auto"/>
        </w:rPr>
      </w:pPr>
      <w:r>
        <w:rPr>
          <w:rFonts w:ascii="Courier New" w:cs="Courier New" w:eastAsia="Courier New" w:hAnsi="Courier New"/>
          <w:sz w:val="17"/>
          <w:szCs w:val="17"/>
          <w:color w:val="auto"/>
        </w:rPr>
        <w:t>"ADMISSION AGREEMENT" means the Instrument of Admission, in the form attached hereto as Exhibit F, pursuant to which AT&amp;T and Parent will become parties to the Exchange Agreement.</w:t>
      </w:r>
    </w:p>
    <w:p>
      <w:pPr>
        <w:spacing w:after="0" w:line="194"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"AFFILIATE" means, with respect to any Person, any other Person, directly or indirectly, controlling, controlled by, or under common control with such Person.</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719" w:right="1440" w:bottom="1440" w:gutter="0" w:footer="0" w:header="0"/>
        </w:sectPr>
      </w:pPr>
    </w:p>
    <w:bookmarkStart w:id="398" w:name="page399"/>
    <w:bookmarkEnd w:id="398"/>
    <w:p>
      <w:pPr>
        <w:ind w:left="540"/>
        <w:spacing w:after="0"/>
        <w:rPr>
          <w:sz w:val="20"/>
          <w:szCs w:val="20"/>
          <w:color w:val="auto"/>
        </w:rPr>
      </w:pPr>
      <w:r>
        <w:rPr>
          <w:rFonts w:ascii="Courier New" w:cs="Courier New" w:eastAsia="Courier New" w:hAnsi="Courier New"/>
          <w:sz w:val="17"/>
          <w:szCs w:val="17"/>
          <w:color w:val="auto"/>
        </w:rPr>
        <w:t>"AGGREGATE FORMER EMPLOYEE BROADBAND OPTION AMOUNT" means:</w:t>
      </w:r>
    </w:p>
    <w:p>
      <w:pPr>
        <w:spacing w:after="0" w:line="210" w:lineRule="exact"/>
        <w:rPr>
          <w:sz w:val="20"/>
          <w:szCs w:val="20"/>
          <w:color w:val="auto"/>
        </w:rPr>
      </w:pPr>
    </w:p>
    <w:p>
      <w:pPr>
        <w:ind w:left="540" w:right="1839" w:firstLine="515"/>
        <w:spacing w:after="0" w:line="251" w:lineRule="auto"/>
        <w:tabs>
          <w:tab w:leader="none" w:pos="1483" w:val="left"/>
        </w:tabs>
        <w:numPr>
          <w:ilvl w:val="0"/>
          <w:numId w:val="3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AT&amp;T Common Stock trades "ex-distribution" or "when issued (to give effect to the Distribution)" on the NYSE on or immediately prior to the Distribution Date, the excess of (i) the product of the aggregate number of shares of AT&amp;T Broadband Common Stock subject to Broadband Options granted pursuant to Section 5.3(b) of the Employee Benefits Agreement, multiplied by the Broadband Common Stock Value (as defined in the Employee Benefits Agreement), over (ii) the aggregate exercise price of such Broadband Options; and</w:t>
      </w:r>
    </w:p>
    <w:p>
      <w:pPr>
        <w:spacing w:after="0" w:line="201" w:lineRule="exact"/>
        <w:rPr>
          <w:rFonts w:ascii="Courier New" w:cs="Courier New" w:eastAsia="Courier New" w:hAnsi="Courier New"/>
          <w:sz w:val="17"/>
          <w:szCs w:val="17"/>
          <w:color w:val="auto"/>
        </w:rPr>
      </w:pPr>
    </w:p>
    <w:p>
      <w:pPr>
        <w:ind w:left="540" w:right="1839" w:firstLine="515"/>
        <w:spacing w:after="0" w:line="254" w:lineRule="auto"/>
        <w:tabs>
          <w:tab w:leader="none" w:pos="1483" w:val="left"/>
        </w:tabs>
        <w:numPr>
          <w:ilvl w:val="0"/>
          <w:numId w:val="3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AT&amp;T Common Stock does not trade "ex-distribution" or "when issued (to give effect to the Distribution)" on the NYSE on or immediately prior to the Distribution Date, the product of</w:t>
      </w:r>
    </w:p>
    <w:p>
      <w:pPr>
        <w:spacing w:after="0" w:line="194" w:lineRule="exact"/>
        <w:rPr>
          <w:rFonts w:ascii="Courier New" w:cs="Courier New" w:eastAsia="Courier New" w:hAnsi="Courier New"/>
          <w:sz w:val="17"/>
          <w:szCs w:val="17"/>
          <w:color w:val="auto"/>
        </w:rPr>
      </w:pPr>
    </w:p>
    <w:p>
      <w:pPr>
        <w:ind w:left="840" w:right="2139" w:firstLine="529"/>
        <w:spacing w:after="0" w:line="254" w:lineRule="auto"/>
        <w:tabs>
          <w:tab w:leader="none" w:pos="1783" w:val="left"/>
        </w:tabs>
        <w:numPr>
          <w:ilvl w:val="1"/>
          <w:numId w:val="3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fraction, the numerator or which is the product of the Comcast Stock Price multiplied by the Preliminary Exchange Ratio, and the denominator of which is the AT&amp;T Closing Stock Value; times</w:t>
      </w:r>
    </w:p>
    <w:p>
      <w:pPr>
        <w:spacing w:after="0" w:line="194" w:lineRule="exact"/>
        <w:rPr>
          <w:rFonts w:ascii="Courier New" w:cs="Courier New" w:eastAsia="Courier New" w:hAnsi="Courier New"/>
          <w:sz w:val="17"/>
          <w:szCs w:val="17"/>
          <w:color w:val="auto"/>
        </w:rPr>
      </w:pPr>
    </w:p>
    <w:p>
      <w:pPr>
        <w:ind w:left="840" w:right="1839" w:firstLine="529"/>
        <w:spacing w:after="0" w:line="252" w:lineRule="auto"/>
        <w:tabs>
          <w:tab w:leader="none" w:pos="1887" w:val="left"/>
        </w:tabs>
        <w:numPr>
          <w:ilvl w:val="1"/>
          <w:numId w:val="3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excess of (i) the product of the aggregate number of shares of AT&amp;T Common Stock subject to unexercised AT&amp;T Options held by Former Employees (both as defined in the Employee Benefits Agreement) immediately prior to the Distribution Date, times the AT&amp;T Closing Stock Value, over (ii) the aggregate exercise price of such AT&amp;T Options.</w:t>
      </w:r>
    </w:p>
    <w:p>
      <w:pPr>
        <w:spacing w:after="0" w:line="197"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"ANCILLARY AGREEMENTS" has the meaning set forth in the Separation and Distribution Agreement.</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"AOL" means AOL Time Warner Inc., a Delaware corporation.</w:t>
      </w:r>
    </w:p>
    <w:p>
      <w:pPr>
        <w:spacing w:after="0" w:line="210"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"ARTICLES AMENDMENT" mean the articles of amendment to the articles of incorporation of Comcast in the form attached as Exhibit D-4.</w:t>
      </w:r>
    </w:p>
    <w:p>
      <w:pPr>
        <w:spacing w:after="0" w:line="192"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"AT HOME" means At Home Corporation, a Delaware corporation and/or its bankruptcy estate, as the case may be.</w:t>
      </w:r>
    </w:p>
    <w:p>
      <w:pPr>
        <w:spacing w:after="0" w:line="19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"AT&amp;T 10-K" means AT&amp;T's annual report on Form 10-K for the fiscal year ended December 31, 2000.</w:t>
      </w:r>
    </w:p>
    <w:p>
      <w:pPr>
        <w:spacing w:after="0" w:line="192"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"AT&amp;T BALANCE SHEET" means the consolidated balance sheet of AT&amp;T and its consolidated Subsidiaries as of December 31, 2000 and the footnotes thereto, as set forth in the AT&amp;T 10-K.</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ACQUISITION PROPOSAL" means any offer or proposal for, or any indication of interest in (i) a merger, consolidation, share exchange, business combination, reorganization, recapitalization or other similar transaction involving AT&amp;T, the AT&amp;T Broadband Group, AT&amp;T Broadband or any AT&amp;T Significant Broadband Subsidiary, (ii) the acquisition, directly or indirectly, of (A) an equity interest representing greater than 25% of the voting securities of AT&amp;T, the AT&amp;T Broadband Group, AT&amp;T Broadband or any AT&amp;T Significant Broadband Subsidiary or (B) assets, securities or ownership interests representing an amount equal to or greater than 25% of the consolidated assets or EBITDA generating power of the AT&amp;T Broadband Group, or (iii) any transaction</w:t>
      </w:r>
    </w:p>
    <w:p>
      <w:pPr>
        <w:ind w:right="1839" w:firstLine="7"/>
        <w:spacing w:after="0" w:line="251" w:lineRule="auto"/>
        <w:tabs>
          <w:tab w:leader="none" w:pos="419" w:val="left"/>
        </w:tabs>
        <w:numPr>
          <w:ilvl w:val="0"/>
          <w:numId w:val="3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entering into or the consummation of which would reasonably be expected to be inconsistent in any material respect with the consummation of the transactions contemplated by this Agreement and the other Transaction Agreements, on the terms set forth in this Agreement and the other Transaction Agreements, as the case may be, or (y) that would reasonably be expected to prevent or materially delay, impede or adversely affect the consummation of the transactions contemplated by this Agreement and the other Transaction Agreements other than (X) in the case of (i) or (ii), (I) the transactions contemplated by this Agreement, (II) transactions permitted pursuant to Section 8.01 or (III) transactions that would not directly or indirectly (other than indirectly by virtue of the ownership of securities of AT&amp;T) include any of the businesses, assets or liabilities of, or materially affect the business of, AT&amp;T (to the extent relating to the AT&amp;T Broadband Group), the AT&amp;T Broadband Group, AT&amp;T Broadband or any AT&amp;T Broadband Subsidiary and (Y) in the case of (i), (ii) or (iii), a transaction that does not involve the AT&amp;T Broadband Group, AT&amp;T Broadband or any AT&amp;T Broadband Subsidiary (except to the extent</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219"/>
          </w:cols>
          <w:pgMar w:left="240" w:top="719" w:right="1440" w:bottom="1440" w:gutter="0" w:footer="0" w:header="0"/>
        </w:sectPr>
      </w:pPr>
    </w:p>
    <w:bookmarkStart w:id="399" w:name="page400"/>
    <w:bookmarkEnd w:id="399"/>
    <w:p>
      <w:pPr>
        <w:ind w:right="1839"/>
        <w:spacing w:after="0" w:line="251" w:lineRule="auto"/>
        <w:rPr>
          <w:sz w:val="20"/>
          <w:szCs w:val="20"/>
          <w:color w:val="auto"/>
        </w:rPr>
      </w:pPr>
      <w:r>
        <w:rPr>
          <w:rFonts w:ascii="Courier New" w:cs="Courier New" w:eastAsia="Courier New" w:hAnsi="Courier New"/>
          <w:sz w:val="17"/>
          <w:szCs w:val="17"/>
          <w:color w:val="auto"/>
        </w:rPr>
        <w:t>relating to (A) the transactions contemplated by this Agreement and the other Transaction Agreements or (B) a spin-off of the AT&amp;T Broadband Group substantially pro rata to the holders of AT&amp;T Common Stock not in connection with any other transaction involving the AT&amp;T Broadband Group) that in any such case is consistent in all material respects with the consummation of the transactions contemplated by this Agreement and the other Transaction Agreements, on the terms set forth in this Agreement and the other Transaction Agreements, as the case may be; provided that each of the parties to such transaction agrees that AT&amp;T and AT&amp;T Broadband shall honor the terms and conditions of this Agreement (any transaction referred to in this clause (Y), an "EXCEPTED TRANSACTION").</w:t>
      </w:r>
    </w:p>
    <w:p>
      <w:pPr>
        <w:spacing w:after="0" w:line="200" w:lineRule="exact"/>
        <w:rPr>
          <w:sz w:val="20"/>
          <w:szCs w:val="20"/>
          <w:color w:val="auto"/>
        </w:rPr>
      </w:pPr>
    </w:p>
    <w:p>
      <w:pPr>
        <w:spacing w:after="0" w:line="203"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"AT&amp;T BROADBAND ASSETS" has the meaning set forth in the Separation and Distribution Agreement.</w:t>
      </w:r>
    </w:p>
    <w:p>
      <w:pPr>
        <w:spacing w:after="0" w:line="192"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"AT&amp;T BROADBAND BALANCE SHEET" means the unaudited combined balance sheet of the AT&amp;T Broadband Group as of September 30, 2001 and the footnotes thereto, as attached as Exhibit E.</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BROADBAND BALANCE SHEET DATE" means September 30, 2001.</w:t>
      </w:r>
    </w:p>
    <w:p>
      <w:pPr>
        <w:spacing w:after="0" w:line="210"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"AT&amp;T BROADBAND BUSINESS" has the meaning set forth in the Separation and Distribution Agreement.</w:t>
      </w:r>
    </w:p>
    <w:p>
      <w:pPr>
        <w:spacing w:after="0" w:line="192"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"AT&amp;T BROADBAND COMMON STOCK" means the Common Stock, par value $0.01 per share, of AT&amp;T Broadband, which, subject to the terms of the Separation and Distribution Agreement, will be distributed on a one-for-one basis on the Distribution Date to holders of shares of AT&amp;T Common Stock.</w:t>
      </w:r>
    </w:p>
    <w:p>
      <w:pPr>
        <w:spacing w:after="0" w:line="195"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"AT&amp;T BROADBAND ENTITIES" has the meaning set forth in the Separation and Distribution Agreement.</w:t>
      </w:r>
    </w:p>
    <w:p>
      <w:pPr>
        <w:spacing w:after="0" w:line="192"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"AT&amp;T BROADBAND FINANCIAL STATEMENTS" means the unaudited combined financial statements of the AT&amp;T Broadband Group as of and for the periods ending December 31, 2000 and September 30, 2001 and the footnotes thereto, as attached as Exhibit E.</w:t>
      </w:r>
    </w:p>
    <w:p>
      <w:pPr>
        <w:spacing w:after="0" w:line="195"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"AT&amp;T BROADBAND GROUP" has the meaning set forth in the Separation and Distribution Agreement.</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MATERIAL ADVERSE EFFECT" means a material adverse effect on the financial condition, assets or results of operations of the AT&amp;T Broadband Group, taken as a whole, excluding any such effect resulting from or arising in connection with (i) changes or conditions generally affecting the industries in which the AT&amp;T Broadband Group (including AT&amp;T Broadband and all the AT&amp;T Broadband Subsidiaries) operate, (ii) changes in general economic, regulatory or political conditions, or (iii) the announcement of this Agreement or of the transactions contemplated hereby.</w:t>
      </w:r>
    </w:p>
    <w:p>
      <w:pPr>
        <w:spacing w:after="0" w:line="201"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"AT&amp;T BROADBAND SUBSIDIARY" has the meaning set forth in the Separation and Distribution Agreement.</w:t>
      </w:r>
    </w:p>
    <w:p>
      <w:pPr>
        <w:spacing w:after="0" w:line="192" w:lineRule="exact"/>
        <w:rPr>
          <w:sz w:val="20"/>
          <w:szCs w:val="20"/>
          <w:color w:val="auto"/>
        </w:rPr>
      </w:pPr>
    </w:p>
    <w:p>
      <w:pPr>
        <w:ind w:right="2559" w:firstLine="524"/>
        <w:spacing w:after="0" w:line="257" w:lineRule="auto"/>
        <w:rPr>
          <w:sz w:val="20"/>
          <w:szCs w:val="20"/>
          <w:color w:val="auto"/>
        </w:rPr>
      </w:pPr>
      <w:r>
        <w:rPr>
          <w:rFonts w:ascii="Courier New" w:cs="Courier New" w:eastAsia="Courier New" w:hAnsi="Courier New"/>
          <w:sz w:val="17"/>
          <w:szCs w:val="17"/>
          <w:color w:val="auto"/>
        </w:rPr>
        <w:t>"AT&amp;T CLOSING STOCK VALUE" has the meaning set forth in the Employee Benefits Agreement.</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COMMON STOCK" means the Common Stock, par value $1.00 per share,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"AT&amp;T COMMUNICATIONS BUSINESS" has the meaning set forth in the Exchange Agreement.</w:t>
      </w:r>
    </w:p>
    <w:p>
      <w:pPr>
        <w:spacing w:after="0" w:line="192"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"AT&amp;T COMMUNICATIONS GROUP" has the meaning set forth in the Separation and Distribution Agreement.</w:t>
      </w:r>
    </w:p>
    <w:p>
      <w:pPr>
        <w:spacing w:after="0" w:line="19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"AT&amp;T CONFIDENTIALITY AGREEMENT" means the confidentiality letter agreement, dated September 28, 2001, as amended, by and between AT&amp;T and Comcast providing for, among other things, confidential treatment of information provided by AT&amp;T to Comcast.</w:t>
      </w:r>
    </w:p>
    <w:p>
      <w:pPr>
        <w:spacing w:after="0" w:line="195"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"AT&amp;T DISCLOSURE SCHEDULE" means the AT&amp;T disclosure schedule delivered to Comcast concurrently herewith.</w:t>
      </w:r>
    </w:p>
    <w:p>
      <w:pPr>
        <w:spacing w:after="0" w:line="192" w:lineRule="exact"/>
        <w:rPr>
          <w:sz w:val="20"/>
          <w:szCs w:val="20"/>
          <w:color w:val="auto"/>
        </w:rPr>
      </w:pPr>
    </w:p>
    <w:p>
      <w:pPr>
        <w:ind w:right="2979" w:firstLine="524"/>
        <w:spacing w:after="0" w:line="257" w:lineRule="auto"/>
        <w:rPr>
          <w:sz w:val="20"/>
          <w:szCs w:val="20"/>
          <w:color w:val="auto"/>
        </w:rPr>
      </w:pPr>
      <w:r>
        <w:rPr>
          <w:rFonts w:ascii="Courier New" w:cs="Courier New" w:eastAsia="Courier New" w:hAnsi="Courier New"/>
          <w:sz w:val="17"/>
          <w:szCs w:val="17"/>
          <w:color w:val="auto"/>
        </w:rPr>
        <w:t>"AT&amp;T EMPLOYEES" has the meaning set forth in the Separation and Distribution Agreement.</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ESPP" means the AT&amp;T Employee Stock Purchase Plan.</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719" w:right="1440" w:bottom="0" w:gutter="0" w:footer="0" w:header="0"/>
        </w:sectPr>
      </w:pPr>
    </w:p>
    <w:bookmarkStart w:id="400" w:name="page401"/>
    <w:bookmarkEnd w:id="400"/>
    <w:p>
      <w:pPr>
        <w:ind w:right="2559" w:firstLine="524"/>
        <w:spacing w:after="0" w:line="257" w:lineRule="auto"/>
        <w:rPr>
          <w:sz w:val="20"/>
          <w:szCs w:val="20"/>
          <w:color w:val="auto"/>
        </w:rPr>
      </w:pPr>
      <w:r>
        <w:rPr>
          <w:rFonts w:ascii="Courier New" w:cs="Courier New" w:eastAsia="Courier New" w:hAnsi="Courier New"/>
          <w:sz w:val="17"/>
          <w:szCs w:val="17"/>
          <w:color w:val="auto"/>
        </w:rPr>
        <w:t>"AT&amp;T EXCHANGEABLE PREFERRED STOCK" has the meaning set forth in the definition of Exchange Amount.</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GROUP" means AT&amp;T together with the AT&amp;T Subsidiaries.</w:t>
      </w:r>
    </w:p>
    <w:p>
      <w:pPr>
        <w:spacing w:after="0" w:line="210" w:lineRule="exact"/>
        <w:rPr>
          <w:sz w:val="20"/>
          <w:szCs w:val="20"/>
          <w:color w:val="auto"/>
        </w:rPr>
      </w:pPr>
    </w:p>
    <w:p>
      <w:pPr>
        <w:ind w:right="2359" w:firstLine="524"/>
        <w:spacing w:after="0" w:line="254" w:lineRule="auto"/>
        <w:rPr>
          <w:sz w:val="20"/>
          <w:szCs w:val="20"/>
          <w:color w:val="auto"/>
        </w:rPr>
      </w:pPr>
      <w:r>
        <w:rPr>
          <w:rFonts w:ascii="Courier New" w:cs="Courier New" w:eastAsia="Courier New" w:hAnsi="Courier New"/>
          <w:sz w:val="17"/>
          <w:szCs w:val="17"/>
          <w:color w:val="auto"/>
        </w:rPr>
        <w:t>"AT&amp;T REGISTRATION RIGHTS AGREEMENT" means the Registration Rights Agreement dated as of June 11, 2001 between Comcast PC Investments Inc. and AT&amp;T.</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SIGNIFICANT BROADBAND SUBSIDIARY" means any AT&amp;T Broadband Subsidiary that would have constituted a "significant subsidiary" (within the meaning of Rule 1-02 of Regulation S-X of the SEC) of the AT&amp;T Broadband Group as of December 31, 2000 if, as of such date, the AT&amp;T Broadband Group were a reporting company under the 1934 Act; provided that for purposes hereof, the phrase "EBITDA" will be substituted for the phrase "income from continuing operations before income taxes, extraordinary items and cumulative effect of a change in accounting principle" in Rule 1-02(w)(3).</w:t>
      </w:r>
    </w:p>
    <w:p>
      <w:pPr>
        <w:spacing w:after="0" w:line="201"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"AT&amp;T SIGNIFICANT SUBSIDIARY" means any AT&amp;T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9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"AT&amp;T SUBSIDIARY" means a Subsidiary of AT&amp;T; provided that notwithstanding the Distribution, AT&amp;T Broadband and the AT&amp;T Broadband Subsidiaries will be treated as AT&amp;T Subsidiaries through the Effective Time but not thereafter.</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"AVERAGE CLASS A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19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"AVERAGE CLASS A SPECIAL PRICE" means the average (rounded to the nearest 1/10,000) of the Trading Values for the 10 Trading Days randomly selected by lot by AT&amp;T and Comcast from the Trading Days occurring during the Pricing Period.</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"AVERAGE CLASS C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"BENEFIT ARRANGEMENT" means, with respect to any Person, any employment, severance or similar contract or arrangement (whether or not written) or any plan, policy, fund, program or arrangement or contract providing for compensation, bonus, profit-sharing, stock option, or other stock-related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or other benefits) that (i) is not an Employee Plan, (ii) is entered into, maintained, administered or contributed to or required to be contributed to, as the case may be, by such Person or any of its Affiliates and (iii) covers any employee or former employee of such Person or any of its Subsidiaries employed in the United States.</w:t>
      </w:r>
    </w:p>
    <w:p>
      <w:pPr>
        <w:spacing w:after="0" w:line="200" w:lineRule="exact"/>
        <w:rPr>
          <w:sz w:val="20"/>
          <w:szCs w:val="20"/>
          <w:color w:val="auto"/>
        </w:rPr>
      </w:pPr>
    </w:p>
    <w:p>
      <w:pPr>
        <w:spacing w:after="0" w:line="203"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"BROADBAND BENEFIT ARRANGEMENT" means a Benefit Arrangement that is a Broadband Benefit Plan as defined in the Employee Benefits Agreement.</w:t>
      </w:r>
    </w:p>
    <w:p>
      <w:pPr>
        <w:spacing w:after="0" w:line="192"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"BROADBAND DEFERRED COMPENSATION PLAN" means a Deferred Compensation Plan that is a Broadband Plan as defined in the Employee Benefits Agreement.</w:t>
      </w:r>
    </w:p>
    <w:p>
      <w:pPr>
        <w:spacing w:after="0" w:line="192" w:lineRule="exact"/>
        <w:rPr>
          <w:sz w:val="20"/>
          <w:szCs w:val="20"/>
          <w:color w:val="auto"/>
        </w:rPr>
      </w:pPr>
    </w:p>
    <w:p>
      <w:pPr>
        <w:jc w:val="both"/>
        <w:ind w:right="2259" w:firstLine="524"/>
        <w:spacing w:after="0" w:line="254" w:lineRule="auto"/>
        <w:rPr>
          <w:sz w:val="20"/>
          <w:szCs w:val="20"/>
          <w:color w:val="auto"/>
        </w:rPr>
      </w:pPr>
      <w:r>
        <w:rPr>
          <w:rFonts w:ascii="Courier New" w:cs="Courier New" w:eastAsia="Courier New" w:hAnsi="Courier New"/>
          <w:sz w:val="17"/>
          <w:szCs w:val="17"/>
          <w:color w:val="auto"/>
        </w:rPr>
        <w:t>"BROADBAND EMPLOYEE" has the meaning set forth in the Employee Benefits Agreement, except that for purposes of this Agreement, "Broadband Employee" shall include any Broadband Transferee, and for</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719" w:right="1440" w:bottom="1440" w:gutter="0" w:footer="0" w:header="0"/>
        </w:sectPr>
      </w:pPr>
    </w:p>
    <w:bookmarkStart w:id="401" w:name="page402"/>
    <w:bookmarkEnd w:id="401"/>
    <w:p>
      <w:pPr>
        <w:ind w:right="1939"/>
        <w:spacing w:after="0" w:line="254" w:lineRule="auto"/>
        <w:rPr>
          <w:sz w:val="20"/>
          <w:szCs w:val="20"/>
          <w:color w:val="auto"/>
        </w:rPr>
      </w:pPr>
      <w:r>
        <w:rPr>
          <w:rFonts w:ascii="Courier New" w:cs="Courier New" w:eastAsia="Courier New" w:hAnsi="Courier New"/>
          <w:sz w:val="17"/>
          <w:szCs w:val="17"/>
          <w:color w:val="auto"/>
        </w:rPr>
        <w:t>purposes of Section 9.13, "Broadband Employee" shall not include any current or former non-employee director of AT&amp;T Broadband with respect to service as a director.</w:t>
      </w:r>
    </w:p>
    <w:p>
      <w:pPr>
        <w:spacing w:after="0" w:line="194" w:lineRule="exact"/>
        <w:rPr>
          <w:sz w:val="20"/>
          <w:szCs w:val="20"/>
          <w:color w:val="auto"/>
        </w:rPr>
      </w:pPr>
    </w:p>
    <w:p>
      <w:pPr>
        <w:ind w:right="2559" w:firstLine="524"/>
        <w:spacing w:after="0" w:line="257" w:lineRule="auto"/>
        <w:rPr>
          <w:sz w:val="20"/>
          <w:szCs w:val="20"/>
          <w:color w:val="auto"/>
        </w:rPr>
      </w:pPr>
      <w:r>
        <w:rPr>
          <w:rFonts w:ascii="Courier New" w:cs="Courier New" w:eastAsia="Courier New" w:hAnsi="Courier New"/>
          <w:sz w:val="17"/>
          <w:szCs w:val="17"/>
          <w:color w:val="auto"/>
        </w:rPr>
        <w:t>"BROADBAND EMPLOYEE PLAN" means an Employee Plan that is a Broadband Benefit Plan as defined in the Employee Benefits Agreement.</w:t>
      </w:r>
    </w:p>
    <w:p>
      <w:pPr>
        <w:spacing w:after="0" w:line="192" w:lineRule="exact"/>
        <w:rPr>
          <w:sz w:val="20"/>
          <w:szCs w:val="20"/>
          <w:color w:val="auto"/>
        </w:rPr>
      </w:pPr>
    </w:p>
    <w:p>
      <w:pPr>
        <w:ind w:right="2559" w:firstLine="524"/>
        <w:spacing w:after="0" w:line="257" w:lineRule="auto"/>
        <w:rPr>
          <w:sz w:val="20"/>
          <w:szCs w:val="20"/>
          <w:color w:val="auto"/>
        </w:rPr>
      </w:pPr>
      <w:r>
        <w:rPr>
          <w:rFonts w:ascii="Courier New" w:cs="Courier New" w:eastAsia="Courier New" w:hAnsi="Courier New"/>
          <w:sz w:val="17"/>
          <w:szCs w:val="17"/>
          <w:color w:val="auto"/>
        </w:rPr>
        <w:t>"BROADBAND INTERNATIONAL PLAN" means an International Plan that is a Broadband Benefit Plan as defined in the Employee Benefits Agreement.</w:t>
      </w:r>
    </w:p>
    <w:p>
      <w:pPr>
        <w:spacing w:after="0" w:line="192"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"BROADBAND OPTIONS" has the meaning set forth in the Employee Benefits Agreement.</w:t>
      </w:r>
    </w:p>
    <w:p>
      <w:pPr>
        <w:spacing w:after="0" w:line="192"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"BROADBAND PENSION PLAN" means a Pension Plan that is a Broadband Benefit Plan as defined in the Employee Benefits Agreement.</w:t>
      </w:r>
    </w:p>
    <w:p>
      <w:pPr>
        <w:spacing w:after="0" w:line="192"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"BROADBAND TRANSFEREE" has the meaning set forth in the Employee Benefits Agreement.</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"BROADBAND VALUE" means the product of the Exchange Ratio multiplied by the average (rounded to the nearest 1/10,000) of the Trading Values of Comcast Class A Common Stock for the 10 Combined Trading Days randomly selected by lot by AT&amp;T and Comcast from the Combined Trading Days occurring during the 20 consecutive Combined Trading Days following the Closing Date.</w:t>
      </w:r>
    </w:p>
    <w:p>
      <w:pPr>
        <w:spacing w:after="0" w:line="197"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"BUSINESS DAY" means a day other than a Saturday, Sunday or other day on which commercial banks in New York City are authorized or required by law to close.</w:t>
      </w:r>
    </w:p>
    <w:p>
      <w:pPr>
        <w:spacing w:after="0" w:line="194"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"CLASS A LIBERTY MEDIA GROUP COMMON STOCK" means the Class A Liberty Media Group Common Stock, par value $1.00 per share, of AT&amp;T.</w:t>
      </w:r>
    </w:p>
    <w:p>
      <w:pPr>
        <w:spacing w:after="0" w:line="192"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"CLASS B LIBERTY MEDIA GROUP COMMON STOCK" means the Class B Liberty Media Group Common Stock, par value $1.00 per share, of AT&amp;T.</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"CLOSING DATE" means the date on which the Effective Time occurs.</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"COMBINED TRADING DAY" means any day which is both a Trading Day and a NYSE Trading Day.</w:t>
      </w:r>
    </w:p>
    <w:p>
      <w:pPr>
        <w:spacing w:after="0" w:line="192"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"COMCAST 10-Q" means Comcast's annual report on Form 10-Q for the fiscal quarter ended September 30, 2001.</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"COMCAST AFFILIATE" means an Affiliate of Comcast.</w:t>
      </w:r>
    </w:p>
    <w:p>
      <w:pPr>
        <w:spacing w:after="0" w:line="210"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"COMCAST BALANCE SHEET" means the unaudited consolidated balance sheet of Comcast and its consolidated Subsidiaries as of September 30, 2001 and the footnotes thereto, as set forth in the Comcast 10-Q.</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"COMCAST BALANCE SHEET DATE" means September 30, 2001.</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"COMCAST BENEFIT ARRANGEMENTS" means the Benefit Arrangements of Comcast or any Comcast Subsidiary.</w:t>
      </w:r>
    </w:p>
    <w:p>
      <w:pPr>
        <w:spacing w:after="0" w:line="192"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"COMCAST CLASS A COMMON STOCK" means the Class A Common Stock, par value $1.00 per share, of Comcast.</w:t>
      </w:r>
    </w:p>
    <w:p>
      <w:pPr>
        <w:spacing w:after="0" w:line="19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"COMCAST CLASS A SPECIAL COMMON STOCK" means the Class A Special Common Stock, par value $1.00 per share, of Comcast.</w:t>
      </w:r>
    </w:p>
    <w:p>
      <w:pPr>
        <w:spacing w:after="0" w:line="192"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"COMCAST CLASS B COMMON STOCK" means the Class B Common Stock, par value $1.00 per share, of Comcast.</w:t>
      </w:r>
    </w:p>
    <w:p>
      <w:pPr>
        <w:spacing w:after="0" w:line="192"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"COMCAST COMMON STOCK" means the Comcast Class A Common Stock, the Comcast Class A Special Common Stock and the Comcast Class B Common Stock.</w:t>
      </w:r>
    </w:p>
    <w:p>
      <w:pPr>
        <w:spacing w:after="0" w:line="192" w:lineRule="exact"/>
        <w:rPr>
          <w:sz w:val="20"/>
          <w:szCs w:val="20"/>
          <w:color w:val="auto"/>
        </w:rPr>
      </w:pPr>
    </w:p>
    <w:p>
      <w:pPr>
        <w:ind w:right="2259" w:firstLine="524"/>
        <w:spacing w:after="0" w:line="254" w:lineRule="auto"/>
        <w:rPr>
          <w:sz w:val="20"/>
          <w:szCs w:val="20"/>
          <w:color w:val="auto"/>
        </w:rPr>
      </w:pPr>
      <w:r>
        <w:rPr>
          <w:rFonts w:ascii="Courier New" w:cs="Courier New" w:eastAsia="Courier New" w:hAnsi="Courier New"/>
          <w:sz w:val="17"/>
          <w:szCs w:val="17"/>
          <w:color w:val="auto"/>
        </w:rPr>
        <w:t>"COMCAST CONFIDENTIALITY AGREEMENT" means the confidentiality letter agreement, dated September 28, 2001, as the same may be amended from time to time, by and between AT&amp;T and</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10219"/>
          </w:cols>
          <w:pgMar w:left="240" w:top="719" w:right="1440" w:bottom="1440" w:gutter="0" w:footer="0" w:header="0"/>
        </w:sectPr>
      </w:pPr>
    </w:p>
    <w:bookmarkStart w:id="402" w:name="page403"/>
    <w:bookmarkEnd w:id="402"/>
    <w:p>
      <w:pPr>
        <w:ind w:right="1839"/>
        <w:spacing w:after="0" w:line="257" w:lineRule="auto"/>
        <w:rPr>
          <w:sz w:val="20"/>
          <w:szCs w:val="20"/>
          <w:color w:val="auto"/>
        </w:rPr>
      </w:pPr>
      <w:r>
        <w:rPr>
          <w:rFonts w:ascii="Courier New" w:cs="Courier New" w:eastAsia="Courier New" w:hAnsi="Courier New"/>
          <w:sz w:val="17"/>
          <w:szCs w:val="17"/>
          <w:color w:val="auto"/>
        </w:rPr>
        <w:t>Comcast providing for, among other things, confidential treatment of information provided by Comcast to AT&amp;T.</w:t>
      </w:r>
    </w:p>
    <w:p>
      <w:pPr>
        <w:spacing w:after="0" w:line="192"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"COMCAST DEFERRED COMPENSATION PLAN" means a Deferred Compensation Plan of Comcast or any Comcast Affiliate for the benefit of any current or former employee or director of Comcast or any Comcast Subsidiary.</w:t>
      </w:r>
    </w:p>
    <w:p>
      <w:pPr>
        <w:spacing w:after="0" w:line="194" w:lineRule="exact"/>
        <w:rPr>
          <w:sz w:val="20"/>
          <w:szCs w:val="20"/>
          <w:color w:val="auto"/>
        </w:rPr>
      </w:pPr>
    </w:p>
    <w:p>
      <w:pPr>
        <w:ind w:right="2679" w:firstLine="524"/>
        <w:spacing w:after="0" w:line="257" w:lineRule="auto"/>
        <w:rPr>
          <w:sz w:val="20"/>
          <w:szCs w:val="20"/>
          <w:color w:val="auto"/>
        </w:rPr>
      </w:pPr>
      <w:r>
        <w:rPr>
          <w:rFonts w:ascii="Courier New" w:cs="Courier New" w:eastAsia="Courier New" w:hAnsi="Courier New"/>
          <w:sz w:val="17"/>
          <w:szCs w:val="17"/>
          <w:color w:val="auto"/>
        </w:rPr>
        <w:t>"COMCAST DISCLOSURE SCHEDULE" means the Comcast disclosure schedule delivered to AT&amp;T concurrently herewith.</w:t>
      </w:r>
    </w:p>
    <w:p>
      <w:pPr>
        <w:spacing w:after="0" w:line="192"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"COMCAST EMPLOYEE PLAN" means an Employee Plan of Comcast or any Comcast Subsidiary.</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"COMCAST ESPP" means the Comcast Employee Stock Purchase Plan.</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"COMCAST GROUP" means Comcast together with the Comcast Subsidiaries.</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"COMCAST INTERNATIONAL PLAN" means an International Plan of Comcast or any Comcast Subsidiary.</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"COMCAST MATERIAL ADVERSE EFFECT" means a material adverse effect on the financial condition, assets or results of operations of the Comcast Group taken as a whole, excluding any such effect resulting from or arising in connection with (i) changes or conditions generally affecting the industries in which Comcast and the Comcast Subsidiaries, operate, (ii) changes in general economic, regulatory or political conditions, or (iii) the announcement of this Agreement or of the transactions contemplated hereby.</w:t>
      </w:r>
    </w:p>
    <w:p>
      <w:pPr>
        <w:spacing w:after="0" w:line="196"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"COMCAST PENSION PLAN" means a Pension Plan of Comcast or any of its ERISA Affiliates.</w:t>
      </w:r>
    </w:p>
    <w:p>
      <w:pPr>
        <w:spacing w:after="0" w:line="192"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"COMCAST SIGNIFICANT SUBSIDIARY" means any Comcast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97" w:lineRule="exact"/>
        <w:rPr>
          <w:sz w:val="20"/>
          <w:szCs w:val="20"/>
          <w:color w:val="auto"/>
        </w:rPr>
      </w:pPr>
    </w:p>
    <w:p>
      <w:pPr>
        <w:jc w:val="both"/>
        <w:ind w:right="2039" w:firstLine="524"/>
        <w:spacing w:after="0" w:line="254" w:lineRule="auto"/>
        <w:rPr>
          <w:sz w:val="20"/>
          <w:szCs w:val="20"/>
          <w:color w:val="auto"/>
        </w:rPr>
      </w:pPr>
      <w:r>
        <w:rPr>
          <w:rFonts w:ascii="Courier New" w:cs="Courier New" w:eastAsia="Courier New" w:hAnsi="Courier New"/>
          <w:sz w:val="17"/>
          <w:szCs w:val="17"/>
          <w:color w:val="auto"/>
        </w:rPr>
        <w:t>"COMCAST STOCK PRICE" means the average (rounded to the nearest 1/10,000) of the Trading Values of Comcast Class A Common Stock for the five consecutive Trading Days immediately preceding the Distribution Date.</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"COMCAST SUBSIDIARY" means a Subsidiary of Comcast.</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"COMMUNICATIONS ACT" means the Communications Act of 1934, as amended, and the rules and regulations promulgated thereunder.</w:t>
      </w:r>
    </w:p>
    <w:p>
      <w:pPr>
        <w:spacing w:after="0" w:line="19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"COMMUNICATIONS VALUE" means the average (rounded to the nearest 1/10,000) of the Trading Values of AT&amp;T Common Stock for the 10 Combined Trading Days randomly selected by lot by AT&amp;T and Comcast from the Combined Trading Days occurring during the 20 consecutive Combined Trading Days following the Closing Date, which shall be the same 10 Combined Trading Days as used for the calculation of Broadband Value.</w:t>
      </w:r>
    </w:p>
    <w:p>
      <w:pPr>
        <w:spacing w:after="0" w:line="197"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"CONFIDENTIALITY AGREEMENTS" means the AT&amp;T Confidentiality Agreement and the Comcast Confidentiality Agreement.</w:t>
      </w:r>
    </w:p>
    <w:p>
      <w:pPr>
        <w:spacing w:after="0" w:line="192"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"DEBENTURES" means the 5% Junior Convertible Subordinated Debentures due 2029 of AT&amp;T.</w:t>
      </w:r>
    </w:p>
    <w:p>
      <w:pPr>
        <w:spacing w:after="0" w:line="19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"DEFERRED COMPENSATION PLAN" means, with respect to any Person, any plan, agreement or arrangement that (i) is described under Sections 4(b)(5) or 401(a)(1) of ERISA (or similar plan covering one or more non-employee directors of a Person), (ii) is maintained, administered or contributed to or required to be contributed to or required to be contributed to by such Person or any of its Affiliates and (iii) covers any current or former employee or director of such Person or any of its Subsidiaries.</w:t>
      </w:r>
    </w:p>
    <w:p>
      <w:pPr>
        <w:spacing w:after="0" w:line="196"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"DGCL" means the Delaware General Corporation Law.</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"DISTRIBUTION" has the meaning set forth in the Separation and Distribution Agreement.</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A-6</w:t>
      </w:r>
    </w:p>
    <w:p>
      <w:pPr>
        <w:sectPr>
          <w:pgSz w:w="11900" w:h="16838" w:orient="portrait"/>
          <w:cols w:equalWidth="0" w:num="1">
            <w:col w:w="10219"/>
          </w:cols>
          <w:pgMar w:left="240" w:top="719" w:right="1440" w:bottom="659" w:gutter="0" w:footer="0" w:header="0"/>
        </w:sectPr>
      </w:pPr>
    </w:p>
    <w:bookmarkStart w:id="403" w:name="page404"/>
    <w:bookmarkEnd w:id="403"/>
    <w:p>
      <w:pPr>
        <w:ind w:right="2679" w:firstLine="524"/>
        <w:spacing w:after="0" w:line="257" w:lineRule="auto"/>
        <w:rPr>
          <w:sz w:val="20"/>
          <w:szCs w:val="20"/>
          <w:color w:val="auto"/>
        </w:rPr>
      </w:pPr>
      <w:r>
        <w:rPr>
          <w:rFonts w:ascii="Courier New" w:cs="Courier New" w:eastAsia="Courier New" w:hAnsi="Courier New"/>
          <w:sz w:val="17"/>
          <w:szCs w:val="17"/>
          <w:color w:val="auto"/>
        </w:rPr>
        <w:t>"DISTRIBUTION DATE" has the meaning set forth in the Separation and Distribution Agreement.</w:t>
      </w:r>
    </w:p>
    <w:p>
      <w:pPr>
        <w:spacing w:after="0" w:line="192"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"DIVIDEND STOCK" has the meaning set forth in the definition of Exchange Amount.</w:t>
      </w:r>
    </w:p>
    <w:p>
      <w:pPr>
        <w:spacing w:after="0" w:line="19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"EBITDA" means operating income plus depreciation plus amortization, in each case as determined in accordance with GAAP.</w:t>
      </w:r>
    </w:p>
    <w:p>
      <w:pPr>
        <w:spacing w:after="0" w:line="192"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"EMPLOYEE BENEFITS AGREEMENT" has the meaning set forth in the Separation and Distribution Agreement.</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"EMPLOYEE PLAN" means, with respect to any Person, any "employee benefit plan" (as defined in Section 3(3) of ERISA) that (i) is subject to any provision of ERISA, (ii) is maintained, administered or contributed to or required to be contributed to by such Person or any of its Affiliates and (iii) covers any employee or former employee of such Person or any of its Subsidiaries.</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"ENVIRONMENTAL LAWS" means any United States federal, state or local, foreign or supranational law (including common law), treaty, judicial decision, regulation, rule, judgment, order, decree, injunction, permit or governmental restriction or requirement or any agreement with any Governmental Authority or other third party, relating to human health and safety, the environment or to pollutants, contaminants, wastes or chemicals or any toxic, radioactive, ignitable, corrosive, reactive or otherwise hazardous substances, wastes or materials.</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"ENVIRONMENTAL PERMITS" means, with respect to any Person, all permits, licenses, franchises, certificates, approvals and other similar authorizations of any Governmental Authority relating to or required by Environmental Laws and affecting, or relating in any way to, the business of such Person or any of its Subsidiaries as currently conducted.</w:t>
      </w:r>
    </w:p>
    <w:p>
      <w:pPr>
        <w:spacing w:after="0" w:line="197"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"ERISA" means the Employee Retirement Income Security Act of 1974, as amended, and the rules and regulations promulgated thereunder.</w:t>
      </w:r>
    </w:p>
    <w:p>
      <w:pPr>
        <w:spacing w:after="0" w:line="192" w:lineRule="exact"/>
        <w:rPr>
          <w:sz w:val="20"/>
          <w:szCs w:val="20"/>
          <w:color w:val="auto"/>
        </w:rPr>
      </w:pPr>
    </w:p>
    <w:p>
      <w:pPr>
        <w:ind w:right="1939" w:firstLine="524"/>
        <w:spacing w:after="0" w:line="258" w:lineRule="auto"/>
        <w:rPr>
          <w:sz w:val="20"/>
          <w:szCs w:val="20"/>
          <w:color w:val="auto"/>
        </w:rPr>
      </w:pPr>
      <w:r>
        <w:rPr>
          <w:rFonts w:ascii="Courier New" w:cs="Courier New" w:eastAsia="Courier New" w:hAnsi="Courier New"/>
          <w:sz w:val="17"/>
          <w:szCs w:val="17"/>
          <w:color w:val="auto"/>
        </w:rPr>
        <w:t>"ERISA AFFILIATE" of any Person means any other Person that, together with such Person, would be treated as a single employer under Section 414 of the Code.</w:t>
      </w:r>
    </w:p>
    <w:p>
      <w:pPr>
        <w:spacing w:after="0" w:line="392"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"EXCEPTED TRANSACTION" has the meaning set forth in the definition of AT&amp;T Broadband Acquisition Proposal.</w:t>
      </w:r>
    </w:p>
    <w:p>
      <w:pPr>
        <w:spacing w:after="0" w:line="192"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"EXCHANGE AGREEMENT" means the Exchange Agreement dated as of December 7, 2001 between Comcast and Microsoft.</w:t>
      </w:r>
    </w:p>
    <w:p>
      <w:pPr>
        <w:spacing w:after="0" w:line="192" w:lineRule="exact"/>
        <w:rPr>
          <w:sz w:val="20"/>
          <w:szCs w:val="20"/>
          <w:color w:val="auto"/>
        </w:rPr>
      </w:pPr>
    </w:p>
    <w:p>
      <w:pPr>
        <w:ind w:right="2679" w:firstLine="524"/>
        <w:spacing w:after="0" w:line="257" w:lineRule="auto"/>
        <w:rPr>
          <w:sz w:val="20"/>
          <w:szCs w:val="20"/>
          <w:color w:val="auto"/>
        </w:rPr>
      </w:pPr>
      <w:r>
        <w:rPr>
          <w:rFonts w:ascii="Courier New" w:cs="Courier New" w:eastAsia="Courier New" w:hAnsi="Courier New"/>
          <w:sz w:val="17"/>
          <w:szCs w:val="17"/>
          <w:color w:val="auto"/>
        </w:rPr>
        <w:t>"EXCHANGE AMOUNT" means an amount "K" where "K" is derived from the following equation:</w:t>
      </w:r>
    </w:p>
    <w:p>
      <w:pPr>
        <w:spacing w:after="0" w:line="192"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7"/>
          <w:szCs w:val="17"/>
          <w:color w:val="auto"/>
        </w:rPr>
        <w:t>K = (Tx (B + C))/C</w:t>
      </w:r>
    </w:p>
    <w:p>
      <w:pPr>
        <w:spacing w:after="0" w:line="210" w:lineRule="exact"/>
        <w:rPr>
          <w:sz w:val="20"/>
          <w:szCs w:val="20"/>
          <w:color w:val="auto"/>
        </w:rPr>
      </w:pPr>
    </w:p>
    <w:p>
      <w:pPr>
        <w:ind w:left="540" w:right="1839"/>
        <w:spacing w:after="0" w:line="253" w:lineRule="auto"/>
        <w:rPr>
          <w:sz w:val="20"/>
          <w:szCs w:val="20"/>
          <w:color w:val="auto"/>
        </w:rPr>
      </w:pPr>
      <w:r>
        <w:rPr>
          <w:rFonts w:ascii="Courier New" w:cs="Courier New" w:eastAsia="Courier New" w:hAnsi="Courier New"/>
          <w:sz w:val="17"/>
          <w:szCs w:val="17"/>
          <w:color w:val="auto"/>
        </w:rPr>
        <w:t>provided that in no event shall K exceed the product of 10.0% multiplied by the total number of shares of AT&amp;T Common Stock that would be outstanding immediately after giving effect to the exchange of the AT&amp;T Exchangeable Preferred Stock.</w:t>
      </w:r>
    </w:p>
    <w:p>
      <w:pPr>
        <w:spacing w:after="0" w:line="195"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The variables used to calculate K pursuant to the foregoing formula are defined as follows:</w:t>
      </w:r>
    </w:p>
    <w:p>
      <w:pPr>
        <w:spacing w:after="0" w:line="192" w:lineRule="exact"/>
        <w:rPr>
          <w:sz w:val="20"/>
          <w:szCs w:val="20"/>
          <w:color w:val="auto"/>
        </w:rPr>
      </w:pPr>
    </w:p>
    <w:p>
      <w:pPr>
        <w:ind w:left="540" w:right="2039" w:firstLine="524"/>
        <w:spacing w:after="0" w:line="257" w:lineRule="auto"/>
        <w:rPr>
          <w:sz w:val="20"/>
          <w:szCs w:val="20"/>
          <w:color w:val="auto"/>
        </w:rPr>
      </w:pPr>
      <w:r>
        <w:rPr>
          <w:rFonts w:ascii="Courier New" w:cs="Courier New" w:eastAsia="Courier New" w:hAnsi="Courier New"/>
          <w:sz w:val="17"/>
          <w:szCs w:val="17"/>
          <w:color w:val="auto"/>
        </w:rPr>
        <w:t>"T" is the number of shares of AT&amp;T Common Stock held by Comcast and any Comcast Subsidiary immediately prior to the Distribution.</w:t>
      </w:r>
    </w:p>
    <w:p>
      <w:pPr>
        <w:spacing w:after="0" w:line="192"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"B" is the Broadband Value.</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"C" is the Communications Value.</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"EXCHANGE DATE" has the meaning set forth in Section 9.23.</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"EXCHANGE RATIO" means the value, "X", as defined below (and rounded to the nearest 1/10,000). The purpose of the Exchange Ratio is to determine the number of shares of Parent Common Stock that will be delivered in exchange for each outstanding share of AT&amp;T Broadband Common Stock at the</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219"/>
          </w:cols>
          <w:pgMar w:left="240" w:top="719" w:right="1440" w:bottom="659" w:gutter="0" w:footer="0" w:header="0"/>
        </w:sectPr>
      </w:pPr>
    </w:p>
    <w:bookmarkStart w:id="404" w:name="page405"/>
    <w:bookmarkEnd w:id="404"/>
    <w:p>
      <w:pPr>
        <w:jc w:val="both"/>
        <w:ind w:right="2359"/>
        <w:spacing w:after="0" w:line="257" w:lineRule="auto"/>
        <w:rPr>
          <w:sz w:val="20"/>
          <w:szCs w:val="20"/>
          <w:color w:val="auto"/>
        </w:rPr>
      </w:pPr>
      <w:r>
        <w:rPr>
          <w:rFonts w:ascii="Courier New" w:cs="Courier New" w:eastAsia="Courier New" w:hAnsi="Courier New"/>
          <w:sz w:val="17"/>
          <w:szCs w:val="17"/>
          <w:color w:val="auto"/>
        </w:rPr>
        <w:t>Effective Time, and to adjust for the value of certain employee options and stock appreciation rights to be assumed by Parent as of the Effective Time.</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"X" is defined according to the following formula: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1,235,000,000 - (I + F)/C</w:t>
      </w:r>
    </w:p>
    <w:p>
      <w:pPr>
        <w:spacing w:after="0" w:line="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X =</w:t>
        <w:tab/>
        <w:t>-------------------------</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O</w:t>
      </w:r>
    </w:p>
    <w:p>
      <w:pPr>
        <w:spacing w:after="0" w:line="200" w:lineRule="exact"/>
        <w:rPr>
          <w:sz w:val="20"/>
          <w:szCs w:val="20"/>
          <w:color w:val="auto"/>
        </w:rPr>
      </w:pPr>
    </w:p>
    <w:p>
      <w:pPr>
        <w:spacing w:after="0" w:line="212"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The variables used in calculating X pursuant to the foregoing formula are defined as follows:</w:t>
      </w:r>
    </w:p>
    <w:p>
      <w:pPr>
        <w:spacing w:after="0" w:line="192"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"C" is the Comcast Stock Price.</w:t>
      </w:r>
    </w:p>
    <w:p>
      <w:pPr>
        <w:spacing w:after="0" w:line="210" w:lineRule="exact"/>
        <w:rPr>
          <w:sz w:val="20"/>
          <w:szCs w:val="20"/>
          <w:color w:val="auto"/>
        </w:rPr>
      </w:pPr>
    </w:p>
    <w:p>
      <w:pPr>
        <w:ind w:left="540" w:right="1839" w:firstLine="524"/>
        <w:spacing w:after="0" w:line="251" w:lineRule="auto"/>
        <w:rPr>
          <w:sz w:val="20"/>
          <w:szCs w:val="20"/>
          <w:color w:val="auto"/>
        </w:rPr>
      </w:pPr>
      <w:r>
        <w:rPr>
          <w:rFonts w:ascii="Courier New" w:cs="Courier New" w:eastAsia="Courier New" w:hAnsi="Courier New"/>
          <w:sz w:val="17"/>
          <w:szCs w:val="17"/>
          <w:color w:val="auto"/>
        </w:rPr>
        <w:t>"O" is (i) the number of shares of AT&amp;T Broadband Common Stock outstanding immediately prior to the AT&amp;T Broadband Merger excluding any shares issued pursuant to the QUIPS Exchange and any shares held by any wholly owned AT&amp;T Broadband Subsidiary plus (ii) the number of shares, if any, of AT&amp;T Common Stock in respect of which rights pursuant to Section 910 of the NYBCL have purportedly been exercised and not withdrawn. For purposes of this definition and for the avoidance of doubt, any restricted shares of AT&amp;T Broadband Common Stock that have been awarded prior to the date of this Agreement and not forfeited prior to the Closing Date shall be considered "outstanding", regardless of whether an election has been made with respect to such shares pursuant to Section 83(b) of the Code.</w:t>
      </w:r>
    </w:p>
    <w:p>
      <w:pPr>
        <w:spacing w:after="0" w:line="201" w:lineRule="exact"/>
        <w:rPr>
          <w:sz w:val="20"/>
          <w:szCs w:val="20"/>
          <w:color w:val="auto"/>
        </w:rPr>
      </w:pPr>
    </w:p>
    <w:p>
      <w:pPr>
        <w:ind w:left="540" w:right="2039" w:firstLine="524"/>
        <w:spacing w:after="0" w:line="252" w:lineRule="auto"/>
        <w:rPr>
          <w:sz w:val="20"/>
          <w:szCs w:val="20"/>
          <w:color w:val="auto"/>
        </w:rPr>
      </w:pPr>
      <w:r>
        <w:rPr>
          <w:rFonts w:ascii="Courier New" w:cs="Courier New" w:eastAsia="Courier New" w:hAnsi="Courier New"/>
          <w:sz w:val="17"/>
          <w:szCs w:val="17"/>
          <w:color w:val="auto"/>
        </w:rPr>
        <w:t>"I" is the aggregate "in-the-money" amount for all unexercised AT&amp;T Stock Options outstanding as of the date of this Agreement and held by Broadband Employees immediately prior to the Closing Date whose exercise price, as of the Closing Date, is less than the AT&amp;T Closing Stock Value, calculated with respect to each such AT&amp;T Stock Option as the product of:</w:t>
      </w:r>
    </w:p>
    <w:p>
      <w:pPr>
        <w:spacing w:after="0" w:line="197" w:lineRule="exact"/>
        <w:rPr>
          <w:sz w:val="20"/>
          <w:szCs w:val="20"/>
          <w:color w:val="auto"/>
        </w:rPr>
      </w:pPr>
    </w:p>
    <w:p>
      <w:pPr>
        <w:ind w:left="840" w:right="2139" w:firstLine="529"/>
        <w:spacing w:after="0" w:line="257" w:lineRule="auto"/>
        <w:tabs>
          <w:tab w:leader="none" w:pos="1783" w:val="left"/>
        </w:tabs>
        <w:numPr>
          <w:ilvl w:val="0"/>
          <w:numId w:val="3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excess of the AT&amp;T Closing Stock Value over the exercise price, as of the Closing Date, for such option, times</w:t>
      </w:r>
    </w:p>
    <w:p>
      <w:pPr>
        <w:spacing w:after="0" w:line="191" w:lineRule="exact"/>
        <w:rPr>
          <w:rFonts w:ascii="Courier New" w:cs="Courier New" w:eastAsia="Courier New" w:hAnsi="Courier New"/>
          <w:sz w:val="17"/>
          <w:szCs w:val="17"/>
          <w:color w:val="auto"/>
        </w:rPr>
      </w:pPr>
    </w:p>
    <w:p>
      <w:pPr>
        <w:ind w:left="1780" w:hanging="411"/>
        <w:spacing w:after="0"/>
        <w:tabs>
          <w:tab w:leader="none" w:pos="1780" w:val="left"/>
        </w:tabs>
        <w:numPr>
          <w:ilvl w:val="0"/>
          <w:numId w:val="3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AT&amp;T Common Stock subject to such</w:t>
      </w:r>
    </w:p>
    <w:p>
      <w:pPr>
        <w:spacing w:after="0" w:line="8"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option.</w:t>
      </w:r>
    </w:p>
    <w:p>
      <w:pPr>
        <w:spacing w:after="0" w:line="210" w:lineRule="exact"/>
        <w:rPr>
          <w:sz w:val="20"/>
          <w:szCs w:val="20"/>
          <w:color w:val="auto"/>
        </w:rPr>
      </w:pPr>
    </w:p>
    <w:p>
      <w:pPr>
        <w:ind w:left="540" w:right="1939"/>
        <w:spacing w:after="0" w:line="253" w:lineRule="auto"/>
        <w:rPr>
          <w:sz w:val="20"/>
          <w:szCs w:val="20"/>
          <w:color w:val="auto"/>
        </w:rPr>
      </w:pPr>
      <w:r>
        <w:rPr>
          <w:rFonts w:ascii="Courier New" w:cs="Courier New" w:eastAsia="Courier New" w:hAnsi="Courier New"/>
          <w:sz w:val="17"/>
          <w:szCs w:val="17"/>
          <w:color w:val="auto"/>
        </w:rPr>
        <w:t>For this purpose, a stock appreciation right with respect to AT&amp;T Common Stock shall be treated as an AT&amp;T Stock Option. In addition, for purposes of this definition, AT&amp;T Stock Options granted after the date hereof shall be disregarded.</w:t>
      </w:r>
    </w:p>
    <w:p>
      <w:pPr>
        <w:spacing w:after="0" w:line="195" w:lineRule="exact"/>
        <w:rPr>
          <w:sz w:val="20"/>
          <w:szCs w:val="20"/>
          <w:color w:val="auto"/>
        </w:rPr>
      </w:pPr>
    </w:p>
    <w:p>
      <w:pPr>
        <w:ind w:left="540" w:right="1839" w:firstLine="524"/>
        <w:spacing w:after="0" w:line="252" w:lineRule="auto"/>
        <w:rPr>
          <w:sz w:val="20"/>
          <w:szCs w:val="20"/>
          <w:color w:val="auto"/>
        </w:rPr>
      </w:pPr>
      <w:r>
        <w:rPr>
          <w:rFonts w:ascii="Courier New" w:cs="Courier New" w:eastAsia="Courier New" w:hAnsi="Courier New"/>
          <w:sz w:val="17"/>
          <w:szCs w:val="17"/>
          <w:color w:val="auto"/>
        </w:rPr>
        <w:t>"F" means the aggregate "in-the-money" amount for AT&amp;T Stock Options held by Former Employees (as defined in the Employee Benefits Agreement) to the extent converted into options to purchase AT&amp;T Broadband Common Stock, calculated as equal to the Aggregate Former Employee Broadband Option Amount.</w:t>
      </w:r>
    </w:p>
    <w:p>
      <w:pPr>
        <w:spacing w:after="0" w:line="197"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"EXPENSE AGREEMENT" means the Expense Agreement dated as of June 16, 1999 between AT&amp;T and the Issuer Trust.</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"FCC" means the United States Federal Communications Commission.</w:t>
      </w:r>
    </w:p>
    <w:p>
      <w:pPr>
        <w:spacing w:after="0" w:line="210"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"FRANCHISE" means a written "franchise" (within the meaning of Section 602(8) of the Communications Act).</w:t>
      </w:r>
    </w:p>
    <w:p>
      <w:pPr>
        <w:spacing w:after="0" w:line="192"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"FRANCHISING AUTHORITY" means "franchising authority" (within the meaning of Section 602(9) of the Communications Act).</w:t>
      </w:r>
    </w:p>
    <w:p>
      <w:pPr>
        <w:spacing w:after="0" w:line="192"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"GUARANTEE AGREEMENT" means the Guarantee Agreement dated as of June 16, 1999 between AT&amp;T, as Guarantor, and The Bank of New York, as Guarantor Trustee, relating to the Issuer Trust.</w:t>
      </w:r>
    </w:p>
    <w:p>
      <w:pPr>
        <w:spacing w:after="0" w:line="194"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"HSR ACT" means the Hart-Scott-Rodino Antitrust Improvements Act of 1976, as amended, and the rules and regulations promulgated thereunder.</w:t>
      </w:r>
    </w:p>
    <w:p>
      <w:pPr>
        <w:spacing w:after="0" w:line="192"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"INDEBTEDNESS" has the meaning set forth in the Separation and Distribution Agreement.</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219"/>
          </w:cols>
          <w:pgMar w:left="240" w:top="719" w:right="1440" w:bottom="659" w:gutter="0" w:footer="0" w:header="0"/>
        </w:sectPr>
      </w:pPr>
    </w:p>
    <w:bookmarkStart w:id="405" w:name="page406"/>
    <w:bookmarkEnd w:id="405"/>
    <w:p>
      <w:pPr>
        <w:ind w:right="1839" w:firstLine="524"/>
        <w:spacing w:after="0" w:line="254" w:lineRule="auto"/>
        <w:rPr>
          <w:sz w:val="20"/>
          <w:szCs w:val="20"/>
          <w:color w:val="auto"/>
        </w:rPr>
      </w:pPr>
      <w:r>
        <w:rPr>
          <w:rFonts w:ascii="Courier New" w:cs="Courier New" w:eastAsia="Courier New" w:hAnsi="Courier New"/>
          <w:sz w:val="17"/>
          <w:szCs w:val="17"/>
          <w:color w:val="auto"/>
        </w:rPr>
        <w:t>"INDENTURE" means the Indenture dated as of June 16, 1999, as amended or supplemented, between AT&amp;T and The Bank of New York, as Trustee, relating to the Debentures.</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"INDEPENDENT PERSON" has the meaning set forth in the Parent Charter.</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"INDEX" means the Standard and Poors' 500 Index.</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"INTERIM FINANCE COMMITTEE" means the committee described in Section 9.15.</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"INTERNATIONAL PLAN" means, with respect to any Person, any employment, severance or similar contract or arrangement (whether or not written) or any plan, policy, fund, program or arrangement or contract providing for severance, insurance coverage (including any self-insured arrangements), workers' compensation, disability benefits, supplemental unemployment benefits, vacation benefits, pension or retirement benefits or for deferred compensation, profit-sharing, bonuses, stock options, stock appreciation rights or other forms of incentive compensation or post-retirement insurance, compensation or benefits that (i) is not an Employee Plan or a Benefit Arrangement, (ii) is entered into, maintained, administered or contributed to or required to be contributed to by such Person or any of its Affiliates and (iii) covers any employee or former employee of such Person or any of its Subsidiaries.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"IRS" means the United States Internal Revenue Service.</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"ISSUER TRUST" means AT&amp;T Finance Trust I, a Delaware business trust.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"K/A PRICE DIFFERENTIAL" means the number equal to the excess, if any, of</w:t>
      </w:r>
    </w:p>
    <w:p>
      <w:pPr>
        <w:spacing w:after="0" w:line="9" w:lineRule="exact"/>
        <w:rPr>
          <w:sz w:val="20"/>
          <w:szCs w:val="20"/>
          <w:color w:val="auto"/>
        </w:rPr>
      </w:pPr>
    </w:p>
    <w:p>
      <w:pPr>
        <w:ind w:left="420" w:hanging="413"/>
        <w:spacing w:after="0"/>
        <w:tabs>
          <w:tab w:leader="none" w:pos="420" w:val="left"/>
        </w:tabs>
        <w:numPr>
          <w:ilvl w:val="0"/>
          <w:numId w:val="3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quotient obtained by dividing (A) the Average Class A Special Price by</w:t>
      </w:r>
    </w:p>
    <w:p>
      <w:pPr>
        <w:spacing w:after="0" w:line="8" w:lineRule="exact"/>
        <w:rPr>
          <w:rFonts w:ascii="Courier New" w:cs="Courier New" w:eastAsia="Courier New" w:hAnsi="Courier New"/>
          <w:sz w:val="17"/>
          <w:szCs w:val="17"/>
          <w:color w:val="auto"/>
        </w:rPr>
      </w:pPr>
    </w:p>
    <w:p>
      <w:pPr>
        <w:ind w:right="287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 the Average Class A Price over (ii) 1; provided that the K/A Price Differential shall in no event be less than 0 or more than .03.</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"K/C PRICE DIFFERENTIAL" means the number equal to the excess, if any, of</w:t>
      </w:r>
    </w:p>
    <w:p>
      <w:pPr>
        <w:spacing w:after="0" w:line="9" w:lineRule="exact"/>
        <w:rPr>
          <w:sz w:val="20"/>
          <w:szCs w:val="20"/>
          <w:color w:val="auto"/>
        </w:rPr>
      </w:pPr>
    </w:p>
    <w:p>
      <w:pPr>
        <w:ind w:left="420" w:hanging="413"/>
        <w:spacing w:after="0"/>
        <w:tabs>
          <w:tab w:leader="none" w:pos="420" w:val="left"/>
        </w:tabs>
        <w:numPr>
          <w:ilvl w:val="0"/>
          <w:numId w:val="3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quotient obtained by dividing (A) the Average Class A Special Price by</w:t>
      </w:r>
    </w:p>
    <w:p>
      <w:pPr>
        <w:spacing w:after="0" w:line="8" w:lineRule="exact"/>
        <w:rPr>
          <w:rFonts w:ascii="Courier New" w:cs="Courier New" w:eastAsia="Courier New" w:hAnsi="Courier New"/>
          <w:sz w:val="17"/>
          <w:szCs w:val="17"/>
          <w:color w:val="auto"/>
        </w:rPr>
      </w:pPr>
    </w:p>
    <w:p>
      <w:pPr>
        <w:ind w:right="287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 the Average Class C Price over (ii) 1; provided that the K/C Price Differential shall in no event be less than 0 or more than .03.</w:t>
      </w:r>
    </w:p>
    <w:p>
      <w:pPr>
        <w:spacing w:after="0" w:line="192"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"KNOWLEDGE" means, with respect to any fact, the conscious awareness of such fact by an "executive officer" (as defined under the 1933 Act) of the relevant Person or, in the case of AT&amp;T, any Person who would be considered an "executive officer" (as so defined) of the AT&amp;T Broadband Group.</w:t>
      </w:r>
    </w:p>
    <w:p>
      <w:pPr>
        <w:spacing w:after="0" w:line="195"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"LIEN"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96"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"MERGERS" means the AT&amp;T Broadband Merger and the Comcast Merger.</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"MICROSOFT" means Microsoft Corporation, a Washington corporation.</w:t>
      </w:r>
    </w:p>
    <w:p>
      <w:pPr>
        <w:spacing w:after="0" w:line="210"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"MULTIEMPLOYER PLAN" means each Employee Plan that is a "multiemployer plan" (as defined in Section 3(37) of ERISA).</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"NASDAQ" means The Nasdaq Stock Market.</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"NOTE CONSENT" means, with regard to any given series of securities issued under the Notes Indenture, the receipt of the irrevocable consent to the transactions contemplated by the Separation and Distribution Agreement of the holders of at least a majority in aggregate principal amount of such series.</w:t>
      </w:r>
    </w:p>
    <w:p>
      <w:pPr>
        <w:spacing w:after="0" w:line="195"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"NOTES INDENTURE" means the Indenture dated as of September 7, 1990, as amended or supplemented, between American Telephone &amp; Telegraph Company and The Bank of New York, as trustee.</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"NYSE" means the New York Stock Exchange.</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"NYSE TRADING DAY" means any day on which securities of AT&amp;T are traded on the NYSE.</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A-9</w:t>
      </w:r>
    </w:p>
    <w:p>
      <w:pPr>
        <w:sectPr>
          <w:pgSz w:w="11900" w:h="16838" w:orient="portrait"/>
          <w:cols w:equalWidth="0" w:num="1">
            <w:col w:w="10219"/>
          </w:cols>
          <w:pgMar w:left="240" w:top="719" w:right="1440" w:bottom="659" w:gutter="0" w:footer="0" w:header="0"/>
        </w:sectPr>
      </w:pPr>
    </w:p>
    <w:bookmarkStart w:id="406" w:name="page407"/>
    <w:bookmarkEnd w:id="406"/>
    <w:p>
      <w:pPr>
        <w:ind w:right="2139" w:firstLine="524"/>
        <w:spacing w:after="0" w:line="252" w:lineRule="auto"/>
        <w:rPr>
          <w:sz w:val="20"/>
          <w:szCs w:val="20"/>
          <w:color w:val="auto"/>
        </w:rPr>
      </w:pPr>
      <w:r>
        <w:rPr>
          <w:rFonts w:ascii="Courier New" w:cs="Courier New" w:eastAsia="Courier New" w:hAnsi="Courier New"/>
          <w:sz w:val="17"/>
          <w:szCs w:val="17"/>
          <w:color w:val="auto"/>
        </w:rPr>
        <w:t>"NYSE TRADING VALUE" means, with respect to any equity security on any given NYSE Trading Day, the volume weighted average trading price (rounded to the nearest 1/10,000) of such security on the NYSE, as reported by Bloomberg Financial Markets (or such other source as AT&amp;T and Comcast shall agree in writing) for that NYSE Trading Day.</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"NYBCL" means the New York Business Corporation Law.</w:t>
      </w:r>
    </w:p>
    <w:p>
      <w:pPr>
        <w:spacing w:after="0" w:line="210" w:lineRule="exact"/>
        <w:rPr>
          <w:sz w:val="20"/>
          <w:szCs w:val="20"/>
          <w:color w:val="auto"/>
        </w:rPr>
      </w:pPr>
    </w:p>
    <w:p>
      <w:pPr>
        <w:jc w:val="both"/>
        <w:ind w:right="2259" w:firstLine="524"/>
        <w:spacing w:after="0" w:line="257" w:lineRule="auto"/>
        <w:rPr>
          <w:sz w:val="20"/>
          <w:szCs w:val="20"/>
          <w:color w:val="auto"/>
        </w:rPr>
      </w:pPr>
      <w:r>
        <w:rPr>
          <w:rFonts w:ascii="Courier New" w:cs="Courier New" w:eastAsia="Courier New" w:hAnsi="Courier New"/>
          <w:sz w:val="17"/>
          <w:szCs w:val="17"/>
          <w:color w:val="auto"/>
        </w:rPr>
        <w:t>"PARENT CLASS A COMMON STOCK" means the Class A Common Stock, par value $0.01 per share, of Parent.</w:t>
      </w:r>
    </w:p>
    <w:p>
      <w:pPr>
        <w:spacing w:after="0" w:line="192"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"PARENT CLASS A SPECIAL COMMON STOCK" means the Class A Special Common Stock, par value $0.01 per share, of Parent.</w:t>
      </w:r>
    </w:p>
    <w:p>
      <w:pPr>
        <w:spacing w:after="0" w:line="192" w:lineRule="exact"/>
        <w:rPr>
          <w:sz w:val="20"/>
          <w:szCs w:val="20"/>
          <w:color w:val="auto"/>
        </w:rPr>
      </w:pPr>
    </w:p>
    <w:p>
      <w:pPr>
        <w:jc w:val="both"/>
        <w:ind w:right="2259" w:firstLine="524"/>
        <w:spacing w:after="0" w:line="257" w:lineRule="auto"/>
        <w:rPr>
          <w:sz w:val="20"/>
          <w:szCs w:val="20"/>
          <w:color w:val="auto"/>
        </w:rPr>
      </w:pPr>
      <w:r>
        <w:rPr>
          <w:rFonts w:ascii="Courier New" w:cs="Courier New" w:eastAsia="Courier New" w:hAnsi="Courier New"/>
          <w:sz w:val="17"/>
          <w:szCs w:val="17"/>
          <w:color w:val="auto"/>
        </w:rPr>
        <w:t>"PARENT CLASS B COMMON STOCK" means the Class B Common Stock, par value $0.01 per share, of Parent.</w:t>
      </w:r>
    </w:p>
    <w:p>
      <w:pPr>
        <w:spacing w:after="0" w:line="192" w:lineRule="exact"/>
        <w:rPr>
          <w:sz w:val="20"/>
          <w:szCs w:val="20"/>
          <w:color w:val="auto"/>
        </w:rPr>
      </w:pPr>
    </w:p>
    <w:p>
      <w:pPr>
        <w:jc w:val="both"/>
        <w:ind w:right="2259" w:firstLine="524"/>
        <w:spacing w:after="0" w:line="257" w:lineRule="auto"/>
        <w:rPr>
          <w:sz w:val="20"/>
          <w:szCs w:val="20"/>
          <w:color w:val="auto"/>
        </w:rPr>
      </w:pPr>
      <w:r>
        <w:rPr>
          <w:rFonts w:ascii="Courier New" w:cs="Courier New" w:eastAsia="Courier New" w:hAnsi="Courier New"/>
          <w:sz w:val="17"/>
          <w:szCs w:val="17"/>
          <w:color w:val="auto"/>
        </w:rPr>
        <w:t>"PARENT CLASS C COMMON STOCK" means the Class C Common Stock, par value $0.01 per share, of Parent.</w:t>
      </w:r>
    </w:p>
    <w:p>
      <w:pPr>
        <w:spacing w:after="0" w:line="192" w:lineRule="exact"/>
        <w:rPr>
          <w:sz w:val="20"/>
          <w:szCs w:val="20"/>
          <w:color w:val="auto"/>
        </w:rPr>
      </w:pPr>
    </w:p>
    <w:p>
      <w:pPr>
        <w:jc w:val="both"/>
        <w:ind w:right="2259" w:firstLine="524"/>
        <w:spacing w:after="0" w:line="254" w:lineRule="auto"/>
        <w:rPr>
          <w:sz w:val="20"/>
          <w:szCs w:val="20"/>
          <w:color w:val="auto"/>
        </w:rPr>
      </w:pPr>
      <w:r>
        <w:rPr>
          <w:rFonts w:ascii="Courier New" w:cs="Courier New" w:eastAsia="Courier New" w:hAnsi="Courier New"/>
          <w:sz w:val="17"/>
          <w:szCs w:val="17"/>
          <w:color w:val="auto"/>
        </w:rPr>
        <w:t>"PARENT COMMON STOCK" means the Parent Class A Common Stock, the Parent Class A Special Common Stock, the Parent Class B Common Stock and the Parent Class C Common Stock.</w:t>
      </w:r>
    </w:p>
    <w:p>
      <w:pPr>
        <w:spacing w:after="0" w:line="194"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"PARENT INDEXED STOCK" means the class of Parent Common Stock that is included in the Index on the first Trading Day after the Effective Time.</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"PARENT MATERIAL ADVERSE EFFECT" means a material adverse effect on the financial condition, assets or results of operations of the AT&amp;T Broadband Group and the Comcast Group, taken as a whole, excluding any such effect resulting from or arising in connection with (i) changes or conditions generally affecting the industries in which the AT&amp;T Broadband Group and the Comcast Group operate,</w:t>
      </w:r>
    </w:p>
    <w:p>
      <w:pPr>
        <w:ind w:right="2039" w:firstLine="7"/>
        <w:spacing w:after="0" w:line="257" w:lineRule="auto"/>
        <w:tabs>
          <w:tab w:leader="none" w:pos="524" w:val="left"/>
        </w:tabs>
        <w:numPr>
          <w:ilvl w:val="0"/>
          <w:numId w:val="3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general economic, regulatory or political conditions or (iii) the announcement of this Agreement or of the transactions contemplated hereby.</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"PBCL" means the Pennsylvania Business Corporation Law of 1988.</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"PBGC" means the Pension Benefit Guaranty Corporation.</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"PENSION PLAN" means, with respect to any Person, any plan (other than a Multiemployer Plan) that is subject to Title IV of ERISA and is maintained, administered or contributed to or required to be contributed to by such Person or any of its ERISA Affiliates.</w:t>
      </w:r>
    </w:p>
    <w:p>
      <w:pPr>
        <w:spacing w:after="0" w:line="195"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"PERSON" means an individual, corporation, partnership, limited liability company, association, trust or other entity or organization, including a government or political subdivision or an agency or instrumentality thereof.</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"PRELIMINARY EXCHANGE RATIO" is defined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1,235,000,000 - I/C</w:t>
      </w:r>
    </w:p>
    <w:p>
      <w:pPr>
        <w:spacing w:after="0" w:line="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X =</w:t>
        <w:tab/>
        <w:t>-------------------</w:t>
      </w:r>
    </w:p>
    <w:p>
      <w:pPr>
        <w:spacing w:after="0" w:line="9"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O</w:t>
      </w:r>
    </w:p>
    <w:p>
      <w:pPr>
        <w:spacing w:after="0" w:line="200" w:lineRule="exact"/>
        <w:rPr>
          <w:sz w:val="20"/>
          <w:szCs w:val="20"/>
          <w:color w:val="auto"/>
        </w:rPr>
      </w:pPr>
    </w:p>
    <w:p>
      <w:pPr>
        <w:spacing w:after="0" w:line="212"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where "I", "C" and "O" have the same meanings as in the definition of Exchange Ratio.</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"PRICING PERIOD" means the 20 consecutive Trading Days commencing on the first full Trading Day after the later to occur of (i) the fifth Trading Day after the first date on which Standard &amp; Poors' reweights the Index in respect of the transactions contemplated hereby and (ii) the 30th calendar day after the Closing Date; provided that in no event shall the Pricing Period commence later than the first full Trading Day occurring after the 45th calendar day after the Closing Date.</w:t>
      </w:r>
    </w:p>
    <w:p>
      <w:pPr>
        <w:spacing w:after="0" w:line="196"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"PRIMARY COMMERCIAL AGREEMENTS" has the meaning set forth in the Separation and Distribution Agreement.</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A-10</w:t>
      </w:r>
    </w:p>
    <w:p>
      <w:pPr>
        <w:sectPr>
          <w:pgSz w:w="11900" w:h="16838" w:orient="portrait"/>
          <w:cols w:equalWidth="0" w:num="1">
            <w:col w:w="10219"/>
          </w:cols>
          <w:pgMar w:left="240" w:top="719" w:right="1440" w:bottom="1062" w:gutter="0" w:footer="0" w:header="0"/>
        </w:sectPr>
      </w:pPr>
    </w:p>
    <w:bookmarkStart w:id="407" w:name="page408"/>
    <w:bookmarkEnd w:id="407"/>
    <w:p>
      <w:pPr>
        <w:ind w:right="2879" w:firstLine="524"/>
        <w:spacing w:after="0" w:line="257" w:lineRule="auto"/>
        <w:rPr>
          <w:sz w:val="20"/>
          <w:szCs w:val="20"/>
          <w:color w:val="auto"/>
        </w:rPr>
      </w:pPr>
      <w:r>
        <w:rPr>
          <w:rFonts w:ascii="Courier New" w:cs="Courier New" w:eastAsia="Courier New" w:hAnsi="Courier New"/>
          <w:sz w:val="17"/>
          <w:szCs w:val="17"/>
          <w:color w:val="auto"/>
        </w:rPr>
        <w:t>"PRIMARY TRANSACTION AGREEMENTS" has the meaning set forth in the Separation and Distribution Agreement.</w:t>
      </w:r>
    </w:p>
    <w:p>
      <w:pPr>
        <w:spacing w:after="0" w:line="192"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"PRISMS CONTRACTS" means each of the PrISM Variable Prepaid Forward Securities Contracts dated as of December 1, 2000 among AT&amp;T, TCI Lenfest, Inc. and Morgan Guaranty Trust Company of New York, relating to shares of Comcast Class A Special Common Stock.</w:t>
      </w:r>
    </w:p>
    <w:p>
      <w:pPr>
        <w:spacing w:after="0" w:line="195"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"QUIPS" means the 5% Convertible Quarterly Income Preferred Securities issued pursuant to the Trust Agreement.</w:t>
      </w:r>
    </w:p>
    <w:p>
      <w:pPr>
        <w:spacing w:after="0" w:line="192"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"QUIPS EXCHANGE" means the issuance of shares of AT&amp;T Broadband Common Stock in exchange for the QUIPS pursuant to the Exchange Agreement.</w:t>
      </w:r>
    </w:p>
    <w:p>
      <w:pPr>
        <w:spacing w:after="0" w:line="192"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"RECORD DATE" has the meaning set forth in the Separation and Distribution Agreement.</w:t>
      </w:r>
    </w:p>
    <w:p>
      <w:pPr>
        <w:spacing w:after="0" w:line="19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"REGISTRATION RIGHTS AGREEMENT" means the Registration Rights Agreement dated as of June 16, 1999 between AT&amp;T and Microsoft.</w:t>
      </w:r>
    </w:p>
    <w:p>
      <w:pPr>
        <w:spacing w:after="0" w:line="192"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"SAILS CONTRACTS" means the SAILS Mandatorily Exchangeable Securities Contracts dated as of October 27, 2000, November 6, 2000 and November 10, 2000 among AT&amp;T, TCI Lenfest, Inc., Credit Suisse First Boston International and Credit Suisse First Boston Corporation, relating to shares of Comcast Class A Special Common Stock.</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"SEC" means the United States Securities and Exchange Commission.</w:t>
      </w:r>
    </w:p>
    <w:p>
      <w:pPr>
        <w:spacing w:after="0" w:line="210" w:lineRule="exact"/>
        <w:rPr>
          <w:sz w:val="20"/>
          <w:szCs w:val="20"/>
          <w:color w:val="auto"/>
        </w:rPr>
      </w:pPr>
    </w:p>
    <w:p>
      <w:pPr>
        <w:jc w:val="both"/>
        <w:ind w:right="1839" w:firstLine="524"/>
        <w:spacing w:after="0" w:line="257" w:lineRule="auto"/>
        <w:rPr>
          <w:sz w:val="20"/>
          <w:szCs w:val="20"/>
          <w:color w:val="auto"/>
        </w:rPr>
      </w:pPr>
      <w:r>
        <w:rPr>
          <w:rFonts w:ascii="Courier New" w:cs="Courier New" w:eastAsia="Courier New" w:hAnsi="Courier New"/>
          <w:sz w:val="17"/>
          <w:szCs w:val="17"/>
          <w:color w:val="auto"/>
        </w:rPr>
        <w:t>"SENIOR NOTES" means any of the securities issued pursuant to the Indenture dated as of November 21, 2001 between AT&amp;T and The Bank of New York, as Trustee.</w:t>
      </w:r>
    </w:p>
    <w:p>
      <w:pPr>
        <w:spacing w:after="0" w:line="192"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"SEPARATION" has the meaning set forth in the Separation and Distribution Agreement.</w:t>
      </w:r>
    </w:p>
    <w:p>
      <w:pPr>
        <w:spacing w:after="0" w:line="192"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"SEPARATION AND DISTRIBUTION AGREEMENT" means the Separation and Distribution Agreement dated as of the date hereof by and between AT&amp;T and AT&amp;T Broadband, in the form attached as Exhibit C.</w:t>
      </w:r>
    </w:p>
    <w:p>
      <w:pPr>
        <w:spacing w:after="0" w:line="194"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"SIGNIFICANT EXCEPTED TRANSACTION" means any Excepted Transaction providing for the sale or disposition of at least 50% of the AT&amp;T Communications Group.</w:t>
      </w:r>
    </w:p>
    <w:p>
      <w:pPr>
        <w:spacing w:after="0" w:line="192"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"SPECIFIED AT&amp;T SEC DOCUMENTS" means each of (i) AT&amp;T's annual report on Form 10-K for its fiscal year ended December 31, 2000, (ii) AT&amp;T's quarterly reports on Form 10-Q filed since December 31, 2000, (iii) AT&amp;T's periodic reports on Form 8-K filed since December 31, 2000, (iv) AT&amp;T's proxy statement relating to its 2001 annual meeting of shareholders and (v) AT&amp;T's preliminary proxy statement filed on July 3, 2001 regarding, among other things, the creation of a tracking stock reflecting the AT&amp;T Broadband Group.</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"SPECIFIED COMCAST SEC DOCUMENTS" means each of (i) Comcast's annual report on Form 10-K for its fiscal year ended December 31, 2000, (ii) Comcast's quarterly reports on Form 10-Q filed since December 31, 2000, (iii) Comcast's periodic reports on Form 8-K filed since December 31, 2000 and (iv) Comcast's proxy statement relating to its 2001 annual meeting of shareholders.</w:t>
      </w:r>
    </w:p>
    <w:p>
      <w:pPr>
        <w:spacing w:after="0" w:line="19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"SUBSIDIARY" means, with respect to any Person, any entity of which securities or other ownership interests having ordinary voting power to elect a majority of the board of directors or other body performing similar functions are at any time, directly or indirectly, owned by such Person.</w:t>
      </w:r>
    </w:p>
    <w:p>
      <w:pPr>
        <w:spacing w:after="0" w:line="195"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"SUBSIDIARY TRUSTS" means (i) TCI Communications Financing I, (ii) TCI Communications Financing II, (iii) TCI Communications Financing IV, (iv) MediaOne Finance Trust I, (v) MediaOne Finance Trust II, (vi) MediaOne Finance Trust III, (vii) MediaOne Financing A and (viii) MediaOne Financing B, each a Delaware business trust.</w:t>
      </w:r>
    </w:p>
    <w:p>
      <w:pPr>
        <w:spacing w:after="0" w:line="197"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"SURVIVING CORPORATIONS" means the AT&amp;T Broadband Surviving Corporation and the Comcast Surviving Corporation.</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A-11</w:t>
      </w:r>
    </w:p>
    <w:p>
      <w:pPr>
        <w:sectPr>
          <w:pgSz w:w="11900" w:h="16838" w:orient="portrait"/>
          <w:cols w:equalWidth="0" w:num="1">
            <w:col w:w="10219"/>
          </w:cols>
          <w:pgMar w:left="240" w:top="719" w:right="1440" w:bottom="1440" w:gutter="0" w:footer="0" w:header="0"/>
        </w:sectPr>
      </w:pPr>
    </w:p>
    <w:bookmarkStart w:id="408" w:name="page409"/>
    <w:bookmarkEnd w:id="408"/>
    <w:p>
      <w:pPr>
        <w:ind w:right="2039" w:firstLine="524"/>
        <w:spacing w:after="0" w:line="257" w:lineRule="auto"/>
        <w:rPr>
          <w:sz w:val="20"/>
          <w:szCs w:val="20"/>
          <w:color w:val="auto"/>
        </w:rPr>
      </w:pPr>
      <w:r>
        <w:rPr>
          <w:rFonts w:ascii="Courier New" w:cs="Courier New" w:eastAsia="Courier New" w:hAnsi="Courier New"/>
          <w:sz w:val="17"/>
          <w:szCs w:val="17"/>
          <w:color w:val="auto"/>
        </w:rPr>
        <w:t>"SYSTEM" means a "cable television system" (within the meaning of Section 602(7) of the Communications Act).</w:t>
      </w:r>
    </w:p>
    <w:p>
      <w:pPr>
        <w:spacing w:after="0" w:line="19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"T-HOLDINGS" means AT&amp;T Broadband T-Holdings, Inc. (f/k/a TCI Telephony Holdings, Inc), a Delaware corporation.</w:t>
      </w:r>
    </w:p>
    <w:p>
      <w:pPr>
        <w:spacing w:after="0" w:line="19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"TAX SHARING AGREEMENT" has the meaning set forth in the Separation and Distribution Agreement.</w:t>
      </w:r>
    </w:p>
    <w:p>
      <w:pPr>
        <w:spacing w:after="0" w:line="192"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"TOPRS" means (i) the 8.72% Trust Originated Preferred Securities of TCI Communications Financing I; (ii) the 10% Trust Preferred Securities of TCI Communications Financing II; (iii) the 9.72% Trust Preferred Securities of TCI Communications Financing IV; (iv) the 9.50% Trust Originated Preferred Securities of MediaOne Finance Trust II; (v) the 9.04% Trust Originated Preferred Securities of MediaOne Finance Trust III; (vi) the 7.96% Trust Originated Preferred Securities of MediaOne Financing A; and (vii) the 8.25% Trust Originated Preferred Securities of MediaOne Financing B.</w:t>
      </w:r>
    </w:p>
    <w:p>
      <w:pPr>
        <w:spacing w:after="0" w:line="201"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"TRADING DAY" means any day on which securities of Comcast or Parent are traded on Nasdaq.</w:t>
      </w:r>
    </w:p>
    <w:p>
      <w:pPr>
        <w:spacing w:after="0" w:line="19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"TRADING VALUE" means, with respect to any equity security on any given Trading Day, the volume weighted trading price (rounded to the nearest 1/10,000) of such security on Nasdaq, as reported by Bloomberg Financial Markets (or such other source as AT&amp;T and Comcast shall agree in writing) for that Trading Day.</w:t>
      </w:r>
    </w:p>
    <w:p>
      <w:pPr>
        <w:spacing w:after="0" w:line="195"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"TRANSACTION AGREEMENTS" means this Agreement, the Support Agreement and each of the Ancillary Agreements.</w:t>
      </w:r>
    </w:p>
    <w:p>
      <w:pPr>
        <w:spacing w:after="0" w:line="19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"TRUST AGREEMENT" means the Trust Agreement dated as of June 16, 1999 among AT&amp;T, as Depositor, The Bank of New York, as Property Trustee, The Bank of New York (Delaware), as Delaware Trustee, and the administrative trustees named therein, relating to the Issuer Trust.</w:t>
      </w:r>
    </w:p>
    <w:p>
      <w:pPr>
        <w:spacing w:after="0" w:line="195"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"TRUST COMMON SECURITIES" means the common securities of the Issuer Trust issued pursuant to the Trust Agreement.</w:t>
      </w:r>
    </w:p>
    <w:p>
      <w:pPr>
        <w:spacing w:after="0" w:line="19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"TWE" means Time Warner Entertainment Company, L.P., a Delaware limited partnership.</w:t>
      </w:r>
    </w:p>
    <w:p>
      <w:pPr>
        <w:spacing w:after="0" w:line="192"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"TWE OPTION" means the option of MediaOne of Colorado, Inc. to purchase up to an additional 8.5% participating percentage share in TWE pursuant to the TWE Option Agreement.</w:t>
      </w:r>
    </w:p>
    <w:p>
      <w:pPr>
        <w:spacing w:after="0" w:line="194"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"TWE OPTION AGREEMENT" means the Option Agreement, dated as of September 15, 1993, by and between TWE and US West, Inc.</w:t>
      </w:r>
    </w:p>
    <w:p>
      <w:pPr>
        <w:spacing w:after="0" w:line="192"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"TWE PARTNERSHIP AGREEMENT" means the Agreement of Limited Partnership dated as of October 29, 1991, as amended.</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"TWE SUBSIDIARY" means a Subsidiary of TWE.</w:t>
      </w:r>
    </w:p>
    <w:p>
      <w:pPr>
        <w:spacing w:after="0" w:line="210"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"WIRELESS GROUP COMMON STOCK" means the Wireless Group Common Stock, par value $1.00 per share, of AT&amp;T.</w:t>
      </w:r>
    </w:p>
    <w:p>
      <w:pPr>
        <w:spacing w:after="0" w:line="192" w:lineRule="exact"/>
        <w:rPr>
          <w:sz w:val="20"/>
          <w:szCs w:val="20"/>
          <w:color w:val="auto"/>
        </w:rPr>
      </w:pPr>
    </w:p>
    <w:p>
      <w:pPr>
        <w:ind w:right="2139" w:firstLine="531"/>
        <w:spacing w:after="0" w:line="257" w:lineRule="auto"/>
        <w:tabs>
          <w:tab w:leader="none" w:pos="943" w:val="left"/>
        </w:tabs>
        <w:numPr>
          <w:ilvl w:val="0"/>
          <w:numId w:val="3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following additional terms is defined in the Section set forth opposite such term:</w:t>
      </w:r>
    </w:p>
    <w:p>
      <w:pPr>
        <w:spacing w:after="0" w:line="192"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TERM SECTION - ---- -------- 351</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Transactions............................................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9.06(a)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Preamble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Preamble 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Preamble AT&amp;T Broadband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Merger....................................... 3.01(a) 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Broadband Merger Sub...................................</w:t>
      </w:r>
    </w:p>
    <w:p>
      <w:pPr>
        <w:spacing w:after="0" w:line="9"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Preamble AT&amp;T Broadband Rule 145</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3880" w:type="dxa"/>
            <w:vAlign w:val="bottom"/>
          </w:tcPr>
          <w:p>
            <w:pPr>
              <w:spacing w:after="0"/>
              <w:rPr>
                <w:sz w:val="20"/>
                <w:szCs w:val="20"/>
                <w:color w:val="auto"/>
              </w:rPr>
            </w:pPr>
            <w:r>
              <w:rPr>
                <w:rFonts w:ascii="Courier New" w:cs="Courier New" w:eastAsia="Courier New" w:hAnsi="Courier New"/>
                <w:sz w:val="17"/>
                <w:szCs w:val="17"/>
                <w:color w:val="auto"/>
              </w:rPr>
              <w:t>Affiliate...........................</w:t>
            </w:r>
          </w:p>
        </w:tc>
        <w:tc>
          <w:tcPr>
            <w:tcW w:w="2300" w:type="dxa"/>
            <w:vAlign w:val="bottom"/>
          </w:tcPr>
          <w:p>
            <w:pPr>
              <w:spacing w:after="0"/>
              <w:rPr>
                <w:sz w:val="20"/>
                <w:szCs w:val="20"/>
                <w:color w:val="auto"/>
              </w:rPr>
            </w:pPr>
            <w:r>
              <w:rPr>
                <w:rFonts w:ascii="Courier New" w:cs="Courier New" w:eastAsia="Courier New" w:hAnsi="Courier New"/>
                <w:sz w:val="17"/>
                <w:szCs w:val="17"/>
                <w:color w:val="auto"/>
              </w:rPr>
              <w:t>9.07(a) AT&amp;T Broadband</w:t>
            </w:r>
          </w:p>
        </w:tc>
      </w:tr>
      <w:tr>
        <w:trPr>
          <w:trHeight w:val="201"/>
        </w:trPr>
        <w:tc>
          <w:tcPr>
            <w:tcW w:w="3880" w:type="dxa"/>
            <w:vAlign w:val="bottom"/>
          </w:tcPr>
          <w:p>
            <w:pPr>
              <w:ind w:left="320"/>
              <w:spacing w:after="0"/>
              <w:rPr>
                <w:sz w:val="20"/>
                <w:szCs w:val="20"/>
                <w:color w:val="auto"/>
              </w:rPr>
            </w:pPr>
            <w:r>
              <w:rPr>
                <w:rFonts w:ascii="Courier New" w:cs="Courier New" w:eastAsia="Courier New" w:hAnsi="Courier New"/>
                <w:sz w:val="17"/>
                <w:szCs w:val="17"/>
                <w:color w:val="auto"/>
                <w:w w:val="77"/>
              </w:rPr>
              <w:t>Surviving Corporation........................</w:t>
            </w:r>
          </w:p>
        </w:tc>
        <w:tc>
          <w:tcPr>
            <w:tcW w:w="2300" w:type="dxa"/>
            <w:vAlign w:val="bottom"/>
          </w:tcPr>
          <w:p>
            <w:pPr>
              <w:ind w:left="1260"/>
              <w:spacing w:after="0"/>
              <w:rPr>
                <w:sz w:val="20"/>
                <w:szCs w:val="20"/>
                <w:color w:val="auto"/>
              </w:rPr>
            </w:pPr>
            <w:r>
              <w:rPr>
                <w:rFonts w:ascii="Courier New" w:cs="Courier New" w:eastAsia="Courier New" w:hAnsi="Courier New"/>
                <w:sz w:val="17"/>
                <w:szCs w:val="17"/>
                <w:color w:val="auto"/>
              </w:rPr>
              <w:t>3.01(a)</w:t>
            </w:r>
          </w:p>
        </w:tc>
      </w:tr>
      <w:tr>
        <w:trPr>
          <w:trHeight w:val="604"/>
        </w:trPr>
        <w:tc>
          <w:tcPr>
            <w:tcW w:w="388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Courier New" w:cs="Courier New" w:eastAsia="Courier New" w:hAnsi="Courier New"/>
                <w:sz w:val="17"/>
                <w:szCs w:val="17"/>
                <w:color w:val="auto"/>
              </w:rPr>
              <w:t>A-12</w:t>
            </w:r>
          </w:p>
        </w:tc>
      </w:tr>
    </w:tbl>
    <w:p>
      <w:pPr>
        <w:sectPr>
          <w:pgSz w:w="11900" w:h="16838" w:orient="portrait"/>
          <w:cols w:equalWidth="0" w:num="1">
            <w:col w:w="10219"/>
          </w:cols>
          <w:pgMar w:left="240" w:top="719" w:right="1440" w:bottom="453" w:gutter="0" w:footer="0" w:header="0"/>
        </w:sectPr>
      </w:pPr>
    </w:p>
    <w:bookmarkStart w:id="409" w:name="page410"/>
    <w:bookmarkEnd w:id="409"/>
    <w:p>
      <w:pPr>
        <w:ind w:left="380"/>
        <w:spacing w:after="0"/>
        <w:rPr>
          <w:sz w:val="20"/>
          <w:szCs w:val="20"/>
          <w:color w:val="auto"/>
        </w:rPr>
      </w:pPr>
      <w:r>
        <w:rPr>
          <w:rFonts w:ascii="Courier New" w:cs="Courier New" w:eastAsia="Courier New" w:hAnsi="Courier New"/>
          <w:sz w:val="17"/>
          <w:szCs w:val="17"/>
          <w:color w:val="auto"/>
        </w:rPr>
        <w:t>TERM SECTION - ---- -------- AT&amp;T Broadband Surviving</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Corporation Common Stock........... 4.01(a) AT&amp;T Converted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SARs......................................... 4.02(g) 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Converted Stock Options................................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4.02(g) AT&amp;T Converted Equity</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Awards................................ 4.02(g) AT&amp;T Equity</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Awards.......................................... 4.02(g)</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AT&amp;T Franchise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Consents..................................... 6.03 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Intellectual Property..................................</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6.20 AT&amp;T License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Consents....................................... 6.03 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Marks..................................................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9.20(a) AT&amp;T PUC</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Consents........................................... 6.03</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SARs...................................................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4.02(g) AT&amp;T SEC</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Documents.......................................... 6.07(a)</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Securities.............................................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6.05(b) AT&amp;T Shareholders'</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Approval................................. 6.22 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Shareholders' Meeting..................................</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5.09 AT&amp;T Stock</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Options.......................................... 4.02(g)</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AT&amp;T Subsidiary Preferred</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Stock............................. 6.05(a) AT&amp;T Superior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Proposal...................................... 8.03(b) 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Termination Fee........................................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11.03(d)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4.02(b)</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Code........................................................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Recitals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Preamble Comcast Converted Equity</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Awards............................. 4.02(h) Comcast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Converted Stock Options.............................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4.02(h) Comcast Equity</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Awards....................................... 4.02(h)</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Comcast Franchise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Consents.................................. 5.03 Comcast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Intellectual Property............................... 5.20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Comcast License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Consents.................................... 5.03 Comcast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Merger..............................................</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3.02(a) Comcast Merger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Sub.......................................... Preamble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Comcast PUC</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Consents........................................ 5.03</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Comcast Rule 145</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Affiliate.................................. 9.07(b) Comcast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SEC Documents.......................................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5.07(a) Comcast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Securities..........................................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5.05(b) Comcast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Shareholder.........................................</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Preamble Comcast Shareholders'</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Approval.............................. 5.22 Comcast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Shareholders' Meeting............................... 5.09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Comcast Stock</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Options....................................... 4.02(h)</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Comcast Surviving</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Corporation............................... 3.03 Comcast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Surviving Corporation Common Stock..................</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4.01(b) Comcast Termination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Fee..................................... 11.03(b) Common</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Stock Trust..........................................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4.02(e) DE Certificate of</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Merger.................................... 3.01(b)</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Effective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Time.............................................. 3.01(b)</w:t>
      </w:r>
    </w:p>
    <w:p>
      <w:pPr>
        <w:sectPr>
          <w:pgSz w:w="11900" w:h="16838" w:orient="portrait"/>
          <w:cols w:equalWidth="0" w:num="1">
            <w:col w:w="10219"/>
          </w:cols>
          <w:pgMar w:left="240" w:top="719" w:right="1440" w:bottom="257" w:gutter="0" w:footer="0" w:header="0"/>
        </w:sectPr>
      </w:pP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A-13</w:t>
      </w:r>
    </w:p>
    <w:p>
      <w:pPr>
        <w:sectPr>
          <w:pgSz w:w="11900" w:h="16838" w:orient="portrait"/>
          <w:cols w:equalWidth="0" w:num="1">
            <w:col w:w="10219"/>
          </w:cols>
          <w:pgMar w:left="240" w:top="719" w:right="1440" w:bottom="257" w:gutter="0" w:footer="0" w:header="0"/>
          <w:type w:val="continuous"/>
        </w:sectPr>
      </w:pPr>
    </w:p>
    <w:bookmarkStart w:id="410" w:name="page411"/>
    <w:bookmarkEnd w:id="410"/>
    <w:tbl>
      <w:tblPr>
        <w:tblLayout w:type="fixed"/>
        <w:tblInd w:w="0" w:type="dxa"/>
        <w:tblCellMar>
          <w:top w:w="0" w:type="dxa"/>
          <w:left w:w="0" w:type="dxa"/>
          <w:bottom w:w="0" w:type="dxa"/>
          <w:right w:w="0" w:type="dxa"/>
        </w:tblCellMar>
      </w:tblPr>
      <w:tr>
        <w:trPr>
          <w:trHeight w:val="197"/>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TERM SECTION - ---- -------- End</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Date....................................................</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11.01(b) Excess</w:t>
            </w:r>
          </w:p>
        </w:tc>
        <w:tc>
          <w:tcPr>
            <w:tcW w:w="2040" w:type="dxa"/>
            <w:vAlign w:val="bottom"/>
          </w:tcPr>
          <w:p>
            <w:pPr>
              <w:spacing w:after="0"/>
              <w:rPr>
                <w:sz w:val="17"/>
                <w:szCs w:val="17"/>
                <w:color w:val="auto"/>
              </w:rPr>
            </w:pP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Shares...............................................</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4.02(e) Exchange</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0"/>
              </w:rPr>
              <w:t>Agent..............................................</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4.02(a)</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Exchange</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0"/>
              </w:rPr>
              <w:t>Fund...............................................</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4.02(a)</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Financing...................................................</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9.15 Franchise</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1"/>
              </w:rPr>
              <w:t>Consents..........................................</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6.03(a)</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GAAP........................................................</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5.08 Governmental</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7"/>
              </w:rPr>
              <w:t>Authority......................................</w:t>
            </w:r>
          </w:p>
        </w:tc>
        <w:tc>
          <w:tcPr>
            <w:tcW w:w="2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5.03</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Indemnified</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5"/>
              </w:rPr>
              <w:t>Losses..........................................</w:t>
            </w:r>
          </w:p>
        </w:tc>
        <w:tc>
          <w:tcPr>
            <w:tcW w:w="2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7.04(a)</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Indemnified</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5"/>
              </w:rPr>
              <w:t>Person..........................................</w:t>
            </w:r>
          </w:p>
        </w:tc>
        <w:tc>
          <w:tcPr>
            <w:tcW w:w="2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7.04(a)</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Joint Proxy</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5"/>
              </w:rPr>
              <w:t>Statement.......................................</w:t>
            </w:r>
          </w:p>
        </w:tc>
        <w:tc>
          <w:tcPr>
            <w:tcW w:w="2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5.09 K/A</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Security................................................</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4.04(a) K/C</w:t>
            </w:r>
          </w:p>
        </w:tc>
        <w:tc>
          <w:tcPr>
            <w:tcW w:w="2040" w:type="dxa"/>
            <w:vAlign w:val="bottom"/>
          </w:tcPr>
          <w:p>
            <w:pPr>
              <w:spacing w:after="0"/>
              <w:rPr>
                <w:sz w:val="17"/>
                <w:szCs w:val="17"/>
                <w:color w:val="auto"/>
              </w:rPr>
            </w:pP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Security................................................</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4.04(b) Letter of</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1"/>
              </w:rPr>
              <w:t>Credit............................................</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9.16(d)</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License</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78"/>
              </w:rPr>
              <w:t>Consents............................................</w:t>
            </w:r>
          </w:p>
        </w:tc>
        <w:tc>
          <w:tcPr>
            <w:tcW w:w="2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6.03</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Mandatory Residual</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99"/>
              </w:rPr>
              <w:t>Conditions...............................</w:t>
            </w:r>
          </w:p>
        </w:tc>
        <w:tc>
          <w:tcPr>
            <w:tcW w:w="20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8.02(a)</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Neutrality</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3"/>
              </w:rPr>
              <w:t>Agreement........................................</w:t>
            </w:r>
          </w:p>
        </w:tc>
        <w:tc>
          <w:tcPr>
            <w:tcW w:w="2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8.05</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Original</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0"/>
              </w:rPr>
              <w:t>Award..............................................</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4.02(g)</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PA Articles of</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91"/>
              </w:rPr>
              <w:t>Merger.......................................</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3.02(b)</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Parent......................................................</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Preamble Parent</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77"/>
              </w:rPr>
              <w:t>Charter..............................................</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2.01</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w w:val="97"/>
              </w:rPr>
              <w:t>PUC</w:t>
            </w:r>
          </w:p>
        </w:tc>
        <w:tc>
          <w:tcPr>
            <w:tcW w:w="2040" w:type="dxa"/>
            <w:vAlign w:val="bottom"/>
          </w:tcPr>
          <w:p>
            <w:pPr>
              <w:spacing w:after="0"/>
              <w:rPr>
                <w:sz w:val="17"/>
                <w:szCs w:val="17"/>
                <w:color w:val="auto"/>
              </w:rPr>
            </w:pP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Consents................................................</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6.03 Qualified</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1"/>
              </w:rPr>
              <w:t>Holders...........................................</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4.03(c)</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QUIPS Failure</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9"/>
              </w:rPr>
              <w:t>Date..........................................</w:t>
            </w:r>
          </w:p>
        </w:tc>
        <w:tc>
          <w:tcPr>
            <w:tcW w:w="2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9.18(a)</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QUIPS Fair Market</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97"/>
              </w:rPr>
              <w:t>Value.....................................</w:t>
            </w:r>
          </w:p>
        </w:tc>
        <w:tc>
          <w:tcPr>
            <w:tcW w:w="2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9.18(f) QUIPS</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Transfer..............................................</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9.18(j) Purchase</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0"/>
              </w:rPr>
              <w:t>Rights.............................................</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9.01(a)</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Registration</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7"/>
              </w:rPr>
              <w:t>Statement......................................</w:t>
            </w:r>
          </w:p>
        </w:tc>
        <w:tc>
          <w:tcPr>
            <w:tcW w:w="2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5.09 S-</w:t>
            </w:r>
          </w:p>
        </w:tc>
      </w:tr>
      <w:tr>
        <w:trPr>
          <w:trHeight w:val="201"/>
        </w:trPr>
        <w:tc>
          <w:tcPr>
            <w:tcW w:w="6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4.02(g) Series E Preferred</w:t>
            </w: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99"/>
              </w:rPr>
              <w:t>Stock....................................</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6.05(a) Successor</w:t>
            </w: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1"/>
              </w:rPr>
              <w:t>Plan..............................................</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9.13(b)</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Support</w:t>
            </w:r>
          </w:p>
        </w:tc>
        <w:tc>
          <w:tcPr>
            <w:tcW w:w="2040" w:type="dxa"/>
            <w:vAlign w:val="bottom"/>
          </w:tcPr>
          <w:p>
            <w:pPr>
              <w:spacing w:after="0"/>
              <w:rPr>
                <w:sz w:val="17"/>
                <w:szCs w:val="17"/>
                <w:color w:val="auto"/>
              </w:rPr>
            </w:pP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Agreement...........................................</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Recitals Tax</w:t>
            </w:r>
          </w:p>
        </w:tc>
        <w:tc>
          <w:tcPr>
            <w:tcW w:w="2040" w:type="dxa"/>
            <w:vAlign w:val="bottom"/>
          </w:tcPr>
          <w:p>
            <w:pPr>
              <w:spacing w:after="0"/>
              <w:rPr>
                <w:sz w:val="17"/>
                <w:szCs w:val="17"/>
                <w:color w:val="auto"/>
              </w:rPr>
            </w:pP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Returns.................................................</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5.16</w:t>
            </w:r>
          </w:p>
        </w:tc>
        <w:tc>
          <w:tcPr>
            <w:tcW w:w="2040" w:type="dxa"/>
            <w:vAlign w:val="bottom"/>
          </w:tcPr>
          <w:p>
            <w:pPr>
              <w:spacing w:after="0"/>
              <w:rPr>
                <w:sz w:val="17"/>
                <w:szCs w:val="17"/>
                <w:color w:val="auto"/>
              </w:rPr>
            </w:pP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Taxes.......................................................</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5.16 TCI Pacific Preferred</w:t>
            </w:r>
          </w:p>
        </w:tc>
      </w:tr>
      <w:tr>
        <w:trPr>
          <w:trHeight w:val="201"/>
        </w:trPr>
        <w:tc>
          <w:tcPr>
            <w:tcW w:w="4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Stock.................................</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6.05(a) Transferred</w:t>
            </w: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w w:val="85"/>
              </w:rPr>
              <w:t>Broadband Employees.............................</w:t>
            </w:r>
          </w:p>
        </w:tc>
        <w:tc>
          <w:tcPr>
            <w:tcW w:w="2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9.13(a)</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Transferred Comcast</w:t>
            </w:r>
          </w:p>
        </w:tc>
        <w:tc>
          <w:tcPr>
            <w:tcW w:w="2040" w:type="dxa"/>
            <w:vAlign w:val="bottom"/>
          </w:tcPr>
          <w:p>
            <w:pPr>
              <w:spacing w:after="0"/>
              <w:rPr>
                <w:sz w:val="17"/>
                <w:szCs w:val="17"/>
                <w:color w:val="auto"/>
              </w:rPr>
            </w:pPr>
          </w:p>
        </w:tc>
      </w:tr>
      <w:tr>
        <w:trPr>
          <w:trHeight w:val="201"/>
        </w:trPr>
        <w:tc>
          <w:tcPr>
            <w:tcW w:w="4200" w:type="dxa"/>
            <w:vAlign w:val="bottom"/>
          </w:tcPr>
          <w:p>
            <w:pPr>
              <w:jc w:val="right"/>
              <w:spacing w:after="0"/>
              <w:rPr>
                <w:sz w:val="20"/>
                <w:szCs w:val="20"/>
                <w:color w:val="auto"/>
              </w:rPr>
            </w:pPr>
            <w:r>
              <w:rPr>
                <w:rFonts w:ascii="Courier New" w:cs="Courier New" w:eastAsia="Courier New" w:hAnsi="Courier New"/>
                <w:sz w:val="17"/>
                <w:szCs w:val="17"/>
                <w:color w:val="auto"/>
              </w:rPr>
              <w:t>Employees...............................</w:t>
            </w:r>
          </w:p>
        </w:tc>
        <w:tc>
          <w:tcPr>
            <w:tcW w:w="2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9.13(a) TWE</w:t>
            </w:r>
          </w:p>
        </w:tc>
      </w:tr>
      <w:tr>
        <w:trPr>
          <w:trHeight w:val="201"/>
        </w:trPr>
        <w:tc>
          <w:tcPr>
            <w:tcW w:w="6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Contracts...............................................</w:t>
            </w:r>
          </w:p>
        </w:tc>
      </w:tr>
      <w:tr>
        <w:trPr>
          <w:trHeight w:val="201"/>
        </w:trPr>
        <w:tc>
          <w:tcPr>
            <w:tcW w:w="4200" w:type="dxa"/>
            <w:vAlign w:val="bottom"/>
          </w:tcPr>
          <w:p>
            <w:pPr>
              <w:jc w:val="center"/>
              <w:ind w:left="2013"/>
              <w:spacing w:after="0"/>
              <w:rPr>
                <w:sz w:val="20"/>
                <w:szCs w:val="20"/>
                <w:color w:val="auto"/>
              </w:rPr>
            </w:pPr>
            <w:r>
              <w:rPr>
                <w:rFonts w:ascii="Courier New" w:cs="Courier New" w:eastAsia="Courier New" w:hAnsi="Courier New"/>
                <w:sz w:val="17"/>
                <w:szCs w:val="17"/>
                <w:color w:val="auto"/>
              </w:rPr>
              <w:t>6.25</w:t>
            </w:r>
          </w:p>
        </w:tc>
        <w:tc>
          <w:tcPr>
            <w:tcW w:w="2040" w:type="dxa"/>
            <w:vAlign w:val="bottom"/>
          </w:tcPr>
          <w:p>
            <w:pPr>
              <w:spacing w:after="0"/>
              <w:rPr>
                <w:sz w:val="17"/>
                <w:szCs w:val="17"/>
                <w:color w:val="auto"/>
              </w:rPr>
            </w:pPr>
          </w:p>
        </w:tc>
      </w:tr>
    </w:tbl>
    <w:p>
      <w:pPr>
        <w:spacing w:after="0" w:line="4"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Warrants....................................................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6.05(a) Wireless Preferred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Stock.................................... 6.05(a)</w:t>
      </w:r>
    </w:p>
    <w:p>
      <w:pPr>
        <w:spacing w:after="0" w:line="200" w:lineRule="exact"/>
        <w:rPr>
          <w:sz w:val="20"/>
          <w:szCs w:val="20"/>
          <w:color w:val="auto"/>
        </w:rPr>
      </w:pPr>
    </w:p>
    <w:p>
      <w:pPr>
        <w:spacing w:after="0" w:line="212" w:lineRule="exact"/>
        <w:rPr>
          <w:sz w:val="20"/>
          <w:szCs w:val="20"/>
          <w:color w:val="auto"/>
        </w:rPr>
      </w:pPr>
    </w:p>
    <w:p>
      <w:pPr>
        <w:ind w:right="1839" w:firstLine="531"/>
        <w:spacing w:after="0" w:line="257" w:lineRule="auto"/>
        <w:tabs>
          <w:tab w:leader="none" w:pos="943" w:val="left"/>
        </w:tabs>
        <w:numPr>
          <w:ilvl w:val="0"/>
          <w:numId w:val="3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Interpretation. In this Agreement, unless otherwise specified or where the context otherwise requires:</w:t>
      </w:r>
    </w:p>
    <w:p>
      <w:pPr>
        <w:spacing w:after="0" w:line="191" w:lineRule="exact"/>
        <w:rPr>
          <w:rFonts w:ascii="Courier New" w:cs="Courier New" w:eastAsia="Courier New" w:hAnsi="Courier New"/>
          <w:sz w:val="17"/>
          <w:szCs w:val="17"/>
          <w:color w:val="auto"/>
        </w:rPr>
      </w:pPr>
    </w:p>
    <w:p>
      <w:pPr>
        <w:ind w:left="540" w:right="1839" w:firstLine="515"/>
        <w:spacing w:after="0" w:line="254" w:lineRule="auto"/>
        <w:tabs>
          <w:tab w:leader="none" w:pos="1483" w:val="left"/>
        </w:tabs>
        <w:numPr>
          <w:ilvl w:val="1"/>
          <w:numId w:val="3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reference to a Recital is to the relevant Recital to this Agreement, to a Section is to the relevant Section of this Agreement and to an Exhibit is to the relevant Exhibit to this Agreement;</w:t>
      </w:r>
    </w:p>
    <w:p>
      <w:pPr>
        <w:sectPr>
          <w:pgSz w:w="11900" w:h="16838" w:orient="portrait"/>
          <w:cols w:equalWidth="0" w:num="1">
            <w:col w:w="10219"/>
          </w:cols>
          <w:pgMar w:left="240" w:top="719" w:right="1440" w:bottom="0" w:gutter="0" w:footer="0" w:header="0"/>
        </w:sectPr>
      </w:pPr>
    </w:p>
    <w:bookmarkStart w:id="411" w:name="page412"/>
    <w:bookmarkEnd w:id="411"/>
    <w:p>
      <w:pPr>
        <w:ind w:left="2900"/>
        <w:spacing w:after="0"/>
        <w:rPr>
          <w:sz w:val="20"/>
          <w:szCs w:val="20"/>
          <w:color w:val="auto"/>
        </w:rPr>
      </w:pPr>
      <w:r>
        <w:rPr>
          <w:rFonts w:ascii="Courier New" w:cs="Courier New" w:eastAsia="Courier New" w:hAnsi="Courier New"/>
          <w:sz w:val="17"/>
          <w:szCs w:val="17"/>
          <w:color w:val="auto"/>
        </w:rPr>
        <w:t>A-14</w:t>
      </w:r>
    </w:p>
    <w:p>
      <w:pPr>
        <w:sectPr>
          <w:pgSz w:w="11900" w:h="16838" w:orient="portrait"/>
          <w:cols w:equalWidth="0" w:num="1">
            <w:col w:w="9019"/>
          </w:cols>
          <w:pgMar w:left="1440" w:top="343" w:right="1440" w:bottom="1440" w:gutter="0" w:footer="0" w:header="0"/>
        </w:sectPr>
      </w:pPr>
    </w:p>
    <w:bookmarkStart w:id="412" w:name="page413"/>
    <w:bookmarkEnd w:id="412"/>
    <w:p>
      <w:pPr>
        <w:ind w:left="1580" w:hanging="525"/>
        <w:spacing w:after="0"/>
        <w:tabs>
          <w:tab w:leader="none" w:pos="1580" w:val="left"/>
        </w:tabs>
        <w:numPr>
          <w:ilvl w:val="1"/>
          <w:numId w:val="3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words importing any gender shall include other genders;</w:t>
      </w:r>
    </w:p>
    <w:p>
      <w:pPr>
        <w:spacing w:after="0" w:line="210" w:lineRule="exact"/>
        <w:rPr>
          <w:rFonts w:ascii="Courier New" w:cs="Courier New" w:eastAsia="Courier New" w:hAnsi="Courier New"/>
          <w:sz w:val="17"/>
          <w:szCs w:val="17"/>
          <w:color w:val="auto"/>
        </w:rPr>
      </w:pPr>
    </w:p>
    <w:p>
      <w:pPr>
        <w:ind w:left="1680" w:hanging="625"/>
        <w:spacing w:after="0"/>
        <w:tabs>
          <w:tab w:leader="none" w:pos="1680" w:val="left"/>
        </w:tabs>
        <w:numPr>
          <w:ilvl w:val="1"/>
          <w:numId w:val="3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words importing the singular only shall include the plural and</w:t>
      </w:r>
    </w:p>
    <w:p>
      <w:pPr>
        <w:spacing w:after="0" w:line="8"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vice versa;</w:t>
      </w:r>
    </w:p>
    <w:p>
      <w:pPr>
        <w:spacing w:after="0" w:line="210" w:lineRule="exact"/>
        <w:rPr>
          <w:rFonts w:ascii="Courier New" w:cs="Courier New" w:eastAsia="Courier New" w:hAnsi="Courier New"/>
          <w:sz w:val="17"/>
          <w:szCs w:val="17"/>
          <w:color w:val="auto"/>
        </w:rPr>
      </w:pPr>
    </w:p>
    <w:p>
      <w:pPr>
        <w:ind w:left="540" w:right="1839" w:firstLine="515"/>
        <w:spacing w:after="0" w:line="257" w:lineRule="auto"/>
        <w:tabs>
          <w:tab w:leader="none" w:pos="1587" w:val="left"/>
        </w:tabs>
        <w:numPr>
          <w:ilvl w:val="1"/>
          <w:numId w:val="3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words "include", "includes" or "including" shall be deemed to be followed by the words "without limitation";</w:t>
      </w:r>
    </w:p>
    <w:p>
      <w:pPr>
        <w:spacing w:after="0" w:line="191"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1"/>
          <w:numId w:val="3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words "hereof", "herein" and "herewith" and words of similar import shall, unless otherwise stated, be construed to refer to this Agreement as a whole and not to any particular provision of this Agreement, and Article, clause and Exhibit references are to the Articles, clauses and Exhibits to this Agreement unless otherwise specified;</w:t>
      </w:r>
    </w:p>
    <w:p>
      <w:pPr>
        <w:spacing w:after="0" w:line="197" w:lineRule="exact"/>
        <w:rPr>
          <w:rFonts w:ascii="Courier New" w:cs="Courier New" w:eastAsia="Courier New" w:hAnsi="Courier New"/>
          <w:sz w:val="17"/>
          <w:szCs w:val="17"/>
          <w:color w:val="auto"/>
        </w:rPr>
      </w:pPr>
    </w:p>
    <w:p>
      <w:pPr>
        <w:ind w:left="540" w:right="1839" w:firstLine="515"/>
        <w:spacing w:after="0" w:line="257" w:lineRule="auto"/>
        <w:tabs>
          <w:tab w:leader="none" w:pos="1587" w:val="left"/>
        </w:tabs>
        <w:numPr>
          <w:ilvl w:val="1"/>
          <w:numId w:val="3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references to any party hereto or any other agreement or document shall include such party's successors and permitted assigns; and</w:t>
      </w:r>
    </w:p>
    <w:p>
      <w:pPr>
        <w:spacing w:after="0" w:line="191" w:lineRule="exact"/>
        <w:rPr>
          <w:rFonts w:ascii="Courier New" w:cs="Courier New" w:eastAsia="Courier New" w:hAnsi="Courier New"/>
          <w:sz w:val="17"/>
          <w:szCs w:val="17"/>
          <w:color w:val="auto"/>
        </w:rPr>
      </w:pPr>
    </w:p>
    <w:p>
      <w:pPr>
        <w:ind w:left="540" w:right="1839" w:firstLine="515"/>
        <w:spacing w:after="0" w:line="252" w:lineRule="auto"/>
        <w:tabs>
          <w:tab w:leader="none" w:pos="1692" w:val="left"/>
        </w:tabs>
        <w:numPr>
          <w:ilvl w:val="1"/>
          <w:numId w:val="3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196" w:lineRule="exact"/>
        <w:rPr>
          <w:rFonts w:ascii="Courier New" w:cs="Courier New" w:eastAsia="Courier New" w:hAnsi="Courier New"/>
          <w:sz w:val="17"/>
          <w:szCs w:val="17"/>
          <w:color w:val="auto"/>
        </w:rPr>
      </w:pPr>
    </w:p>
    <w:p>
      <w:pPr>
        <w:ind w:right="1939" w:firstLine="531"/>
        <w:spacing w:after="0" w:line="257" w:lineRule="auto"/>
        <w:tabs>
          <w:tab w:leader="none" w:pos="943" w:val="left"/>
        </w:tabs>
        <w:numPr>
          <w:ilvl w:val="0"/>
          <w:numId w:val="3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Headings. In this Agreement the headings to Sections are inserted for convenience only and shall not affect the construction of this Agreement.</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2</w:t>
      </w:r>
    </w:p>
    <w:p>
      <w:pPr>
        <w:spacing w:after="0" w:line="2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PARENT AND MERGER SUBS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2.01. Organization of Parent. Comcast and AT&amp;T have caused Parent to be organized under the laws of the Commonwealth of Pennsylvania. The authorized capital stock of Parent consists of 100 shares of Common Stock, par value $0.01 per share, of which one share has been issued to Comcast and one share has been issued to AT&amp;T. Comcast and AT&amp;T shall take, and shall cause Parent to take, all requisite action to cause (i) if the A Shareholder Approval is obtained, the articles of incorporation of Parent (the "PARENT CHARTER") to be in the form of Exhibit D-1 at the Effective Time, (ii) if the A Shareholder Approval is not obtained, the Parent Charter to be on the terms set forth in Exhibit D-2 at the Effective Time and (iii) whether or not the A Shareholder Approval is obtained, the bylaws of Parent to be in the form of Exhibit D-3 at the Effective Time.</w:t>
      </w:r>
    </w:p>
    <w:p>
      <w:pPr>
        <w:spacing w:after="0" w:line="200" w:lineRule="exact"/>
        <w:rPr>
          <w:sz w:val="20"/>
          <w:szCs w:val="20"/>
          <w:color w:val="auto"/>
        </w:rPr>
      </w:pPr>
    </w:p>
    <w:p>
      <w:pPr>
        <w:spacing w:after="0" w:line="203"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SECTION 2.02. Directors and Officers of Parent. Prior to the Effective Time, the directors and officers of Parent shall consist of equal numbers of representatives of Comcast and AT&amp;T as designated and elected by Comcast and AT&amp;T. Comcast and AT&amp;T shall take all requisite action to cause the directors and officers of Parent as of the Effective Time to be as provided in Section 9.08.</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2.03. Organization of Merger Subs. Parent has caused AT&amp;T Broadband Merger Sub and Comcast Merger Sub to be organized for the sole purpose of effectuating the Mergers. The authorized capital stock of AT&amp;T Broadband Merger Sub consists of 100 shares of Common Stock, par value $0.01 per share, all of which shares have been issued to Parent at a price of $1.00 per share. The authorized capital stock of Comcast Merger Sub consists of 100 shares of Common Stock, par value $0.01 per share, all of which shares have been issued to Parent at a price of $1.00 per share.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2.04. Actions of Comcast and AT&amp;T. Comcast and AT&amp;T, as the holders of all the outstanding shares of Parent capital stock, have approved and adopted this Agreement and the transactions contemplated hereby and have caused Parent, as the sole stockholder of each of the Merger Subs, to approve and adopt this Agreement and the transactions contemplated hereby. Each of Comcast and AT&amp;T shall cause Parent to perform its obligations under this Agreement, and Parent shall cause the Merger Subs to perform their respective obligations under this Agreement.</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A-15</w:t>
      </w:r>
    </w:p>
    <w:p>
      <w:pPr>
        <w:sectPr>
          <w:pgSz w:w="11900" w:h="16838" w:orient="portrait"/>
          <w:cols w:equalWidth="0" w:num="1">
            <w:col w:w="10219"/>
          </w:cols>
          <w:pgMar w:left="240" w:top="719" w:right="1440" w:bottom="1440" w:gutter="0" w:footer="0" w:header="0"/>
        </w:sectPr>
      </w:pPr>
    </w:p>
    <w:bookmarkStart w:id="413" w:name="page414"/>
    <w:bookmarkEnd w:id="413"/>
    <w:p>
      <w:pPr>
        <w:ind w:right="1839" w:firstLine="524"/>
        <w:spacing w:after="0" w:line="254" w:lineRule="auto"/>
        <w:rPr>
          <w:sz w:val="20"/>
          <w:szCs w:val="20"/>
          <w:color w:val="auto"/>
        </w:rPr>
      </w:pPr>
      <w:r>
        <w:rPr>
          <w:rFonts w:ascii="Courier New" w:cs="Courier New" w:eastAsia="Courier New" w:hAnsi="Courier New"/>
          <w:sz w:val="17"/>
          <w:szCs w:val="17"/>
          <w:color w:val="auto"/>
        </w:rPr>
        <w:t>SECTION 2.05. Rights Plan. Parent shall adopt a shareholder rights plan, effective as of the Effective Time, on the terms and conditions set forth in the Comcast Disclosure Schedule.</w:t>
      </w:r>
    </w:p>
    <w:p>
      <w:pPr>
        <w:spacing w:after="0" w:line="19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3</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THE MERGERS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SECTION 3.01. The AT&amp;T Broadband Merger. (a) At the Effective Time, AT&amp;T Broadband Merger Sub shall be merged with and into AT&amp;T Broadband (the "AT&amp;T BROADBAND MERGER") in accordance with the DGCL and upon the terms set forth in this Agreement, whereupon the separate existence of AT&amp;T Broadband Merger Sub shall cease and AT&amp;T Broadband shall be the surviving corporation (the "AT&amp;T BROADBAND SURVIVING CORPORATION").</w:t>
      </w:r>
    </w:p>
    <w:p>
      <w:pPr>
        <w:spacing w:after="0" w:line="197" w:lineRule="exact"/>
        <w:rPr>
          <w:sz w:val="20"/>
          <w:szCs w:val="20"/>
          <w:color w:val="auto"/>
        </w:rPr>
      </w:pPr>
    </w:p>
    <w:p>
      <w:pPr>
        <w:ind w:right="1839" w:firstLine="531"/>
        <w:spacing w:after="0" w:line="251" w:lineRule="auto"/>
        <w:tabs>
          <w:tab w:leader="none" w:pos="943" w:val="left"/>
        </w:tabs>
        <w:numPr>
          <w:ilvl w:val="0"/>
          <w:numId w:val="3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 certificate of merger shall be duly prepared, executed and acknowledged by AT&amp;T Broadband Merger Sub and AT&amp;T Broadband and thereafter delivered to and filed with the Secretary of State of the State of Delaware pursuant to the DGCL (the "DE CERTIFICATE OF MERGER"). The AT&amp;T Broadband Merger shall become effective at the Effective Time. As used herein, the term "Effective Time" means such time as is mutually agreeable to Comcast and AT&amp;T on the date of filing of the DE Certificate of Merger, or on such other date or time as may be agreed by Comcast and AT&amp;T. The Separation shall occur on the Closing Date prior to the Distribution which shall occur at the close of business in New York, New York on the Closing Date. With the consent of Comcast, which consent shall not be unreasonably withheld, AT&amp;T may effect the Separation and/or the Distribution on different dates or different times than provided for in the preceding sentence.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531"/>
        <w:spacing w:after="0" w:line="253" w:lineRule="auto"/>
        <w:tabs>
          <w:tab w:leader="none" w:pos="943" w:val="left"/>
        </w:tabs>
        <w:numPr>
          <w:ilvl w:val="0"/>
          <w:numId w:val="3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and after the Effective Time, the AT&amp;T Broadband Surviving Corporation shall possess all the rights, powers, privileges and franchises, and be subject to all of the obligations, liabilities, restrictions and disabilities, of AT&amp;T Broadband Merger Sub and AT&amp;T Broadband, all as provided under the DGCL.</w:t>
      </w:r>
    </w:p>
    <w:p>
      <w:pPr>
        <w:spacing w:after="0" w:line="396"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SECTION 3.02. The Comcast Merger. (a) At the Effective Time, Comcast Merger Sub shall be merged with and into Comcast (the "COMCAST MERGER") in accordance with the PBCL, and upon the terms set forth in this Agreement, whereupon the separate existence of Comcast Merger Sub shall cease and Comcast shall be the surviving corporation (the "COMCAST SURVIVING CORPORATION").</w:t>
      </w:r>
    </w:p>
    <w:p>
      <w:pPr>
        <w:spacing w:after="0" w:line="197" w:lineRule="exact"/>
        <w:rPr>
          <w:sz w:val="20"/>
          <w:szCs w:val="20"/>
          <w:color w:val="auto"/>
        </w:rPr>
      </w:pPr>
    </w:p>
    <w:p>
      <w:pPr>
        <w:ind w:right="1839" w:firstLine="531"/>
        <w:spacing w:after="0" w:line="251" w:lineRule="auto"/>
        <w:tabs>
          <w:tab w:leader="none" w:pos="943" w:val="left"/>
        </w:tabs>
        <w:numPr>
          <w:ilvl w:val="0"/>
          <w:numId w:val="3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an articles of merger shall be duly prepared, executed and acknowledged by Comcast Merger Sub and Comcast and thereafter delivered to and filed with the Department of State of the Commonwealth of Pennsylvania pursuant to the PBCL (the "PA ARTICLES OF MERGER"). The Comcast Merger shall become effective at the Effective Time.</w:t>
      </w:r>
    </w:p>
    <w:p>
      <w:pPr>
        <w:spacing w:after="0" w:line="201" w:lineRule="exact"/>
        <w:rPr>
          <w:rFonts w:ascii="Courier New" w:cs="Courier New" w:eastAsia="Courier New" w:hAnsi="Courier New"/>
          <w:sz w:val="17"/>
          <w:szCs w:val="17"/>
          <w:color w:val="auto"/>
        </w:rPr>
      </w:pPr>
    </w:p>
    <w:p>
      <w:pPr>
        <w:ind w:right="1939" w:firstLine="531"/>
        <w:spacing w:after="0" w:line="253" w:lineRule="auto"/>
        <w:tabs>
          <w:tab w:leader="none" w:pos="943" w:val="left"/>
        </w:tabs>
        <w:numPr>
          <w:ilvl w:val="0"/>
          <w:numId w:val="3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and after the Effective Time, the Comcast Surviving Corporation shall possess all the rights, powers, privileges and franchises, and be subject to all of the obligations, liabilities, restrictions and disabilities, of Comcast Merger Sub and Comcast, all as provided under the PBCL.</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3.03. Certificate and Articles of Incorporation; Bylaws. The certificate of incorporation of AT&amp;T Broadband in effect at the Effective Time shall be the certificate of incorporation of the AT&amp;T Broadband Surviving Corporation and the bylaws of AT&amp;T Broadband Merger Sub in effect at the Effective Time shall be the bylaws of the AT&amp;T Broadband Surviving Corporation, in each case, until amended in accordance with applicable law. Immediately prior to the Effective Time, if the A Shareholder Approval shall have been obtained, Comcast shall file the Articles Amendment with the Department of State of the Commonwealth of Pennsylvania pursuant to the PBCL. The articles of incorporation of</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A-16</w:t>
      </w:r>
    </w:p>
    <w:p>
      <w:pPr>
        <w:sectPr>
          <w:pgSz w:w="11900" w:h="16838" w:orient="portrait"/>
          <w:cols w:equalWidth="0" w:num="1">
            <w:col w:w="10219"/>
          </w:cols>
          <w:pgMar w:left="240" w:top="719" w:right="1440" w:bottom="1062" w:gutter="0" w:footer="0" w:header="0"/>
        </w:sectPr>
      </w:pPr>
    </w:p>
    <w:bookmarkStart w:id="414" w:name="page415"/>
    <w:bookmarkEnd w:id="414"/>
    <w:p>
      <w:pPr>
        <w:ind w:right="2039"/>
        <w:spacing w:after="0" w:line="253" w:lineRule="auto"/>
        <w:rPr>
          <w:sz w:val="20"/>
          <w:szCs w:val="20"/>
          <w:color w:val="auto"/>
        </w:rPr>
      </w:pPr>
      <w:r>
        <w:rPr>
          <w:rFonts w:ascii="Courier New" w:cs="Courier New" w:eastAsia="Courier New" w:hAnsi="Courier New"/>
          <w:sz w:val="17"/>
          <w:szCs w:val="17"/>
          <w:color w:val="auto"/>
        </w:rPr>
        <w:t>Comcast in effect at the Effective Time shall be the articles of incorporation of the Comcast Surviving Corporation and the bylaws of Comcast Merger Sub in effect at the Effective Time shall be the bylaws of the Comcast Surviving Corporation, in each case, until amended in accordance with applicable law.</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3.04. Directors and Officers of the Surviving Corporations. From and after the Effective Time, until successors are duly elected or appointed and qualified in accordance with applicable law, (a) the directors of AT&amp;T Broadband Merger Sub at the Effective Time shall be the directors of the AT&amp;T Broadband Surviving Corporation, (b) the officers of AT&amp;T Broadband at the Effective Time shall be the officers of the AT&amp;T Broadband Surviving Corporation, (c) the directors of Comcast Merger Sub at the Effective Time shall be the directors of the Comcast Surviving Corporation and (d) the officers of Comcast at the Effective Time shall be the officers of the Comcast Surviving Corporation.</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3.05. Alternative Structure. From the date hereof until the Effective Time, each of AT&amp;T and Comcast agrees that, at the request of the other party, it will consider in good faith amending the terms of this Agreement to the extent necessary to provide for a structure or a sequencing of the Mergers that is more tax efficient or otherwise more advantageous than the structure and sequencing provided by Articles 2 and 3 and is not adverse to the other party.</w:t>
      </w:r>
    </w:p>
    <w:p>
      <w:pPr>
        <w:spacing w:after="0" w:line="39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4</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CONVERSION OF SECURITIES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4.01. Conversion of Securities. (a) If the A Shareholder Approval shall have been obtained, at the Effective Time, by virtue of the AT&amp;T Broadband Merger and without any action on the part of any of the parties hereto or the holders of any of the following securities:</w:t>
      </w:r>
    </w:p>
    <w:p>
      <w:pPr>
        <w:spacing w:after="0" w:line="195" w:lineRule="exact"/>
        <w:rPr>
          <w:sz w:val="20"/>
          <w:szCs w:val="20"/>
          <w:color w:val="auto"/>
        </w:rPr>
      </w:pPr>
    </w:p>
    <w:p>
      <w:pPr>
        <w:ind w:left="540" w:right="1939" w:firstLine="515"/>
        <w:spacing w:after="0" w:line="252" w:lineRule="auto"/>
        <w:tabs>
          <w:tab w:leader="none" w:pos="1483" w:val="left"/>
        </w:tabs>
        <w:numPr>
          <w:ilvl w:val="1"/>
          <w:numId w:val="3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issued and outstanding share of capital stock of AT&amp;T Broadband Merger Sub shall be converted into and become one fully paid and nonassessable share of Common Stock, par value $.01 per share, of the AT&amp;T Broadband Surviving Corporation ("AT&amp;T BROADBAND SURVIVING CORPORATION COMMON STOCK").</w:t>
      </w:r>
    </w:p>
    <w:p>
      <w:pPr>
        <w:spacing w:after="0" w:line="197" w:lineRule="exact"/>
        <w:rPr>
          <w:rFonts w:ascii="Courier New" w:cs="Courier New" w:eastAsia="Courier New" w:hAnsi="Courier New"/>
          <w:sz w:val="17"/>
          <w:szCs w:val="17"/>
          <w:color w:val="auto"/>
        </w:rPr>
      </w:pPr>
    </w:p>
    <w:p>
      <w:pPr>
        <w:ind w:left="540" w:right="1839" w:firstLine="515"/>
        <w:spacing w:after="0" w:line="253" w:lineRule="auto"/>
        <w:tabs>
          <w:tab w:leader="none" w:pos="1587" w:val="left"/>
        </w:tabs>
        <w:numPr>
          <w:ilvl w:val="1"/>
          <w:numId w:val="3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195" w:lineRule="exact"/>
        <w:rPr>
          <w:rFonts w:ascii="Courier New" w:cs="Courier New" w:eastAsia="Courier New" w:hAnsi="Courier New"/>
          <w:sz w:val="17"/>
          <w:szCs w:val="17"/>
          <w:color w:val="auto"/>
        </w:rPr>
      </w:pPr>
    </w:p>
    <w:p>
      <w:pPr>
        <w:ind w:left="540" w:right="1839" w:firstLine="515"/>
        <w:spacing w:after="0" w:line="251" w:lineRule="auto"/>
        <w:tabs>
          <w:tab w:leader="none" w:pos="1692" w:val="left"/>
        </w:tabs>
        <w:numPr>
          <w:ilvl w:val="1"/>
          <w:numId w:val="3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Sections 4.02(e), 4.03(a) and 4.04(a), each issued and outstanding share of AT&amp;T Broadband Common Stock that is issued and outstanding immediately prior to the Effective Time (excluding any shares of AT&amp;T Broadband Common Stock canceled pursuant to Section 4.01(a)(ii)) shall be converted into the right to receive the Exchange Ratio of a fully paid and nonassessable share of Parent Class A Common Stock. As of the Effective Time, all such shares of AT&amp;T Broadband Common Stock shall no longer be outstanding and shall automatically be canceled and retired and shall cease to exist, and each owner of any such shares of AT&amp;T Broadband Common Stock shall cease to have any rights with respect thereto, except the right to receive certificates representing the shares of Parent Common Stock, any cash in lieu of fractional shares of Parent Common Stock and any dividends or distributions to the extent provided in Section 4.02(c) to be issued or paid in consideration therefor, without interest.</w:t>
      </w:r>
    </w:p>
    <w:p>
      <w:pPr>
        <w:spacing w:after="0" w:line="201" w:lineRule="exact"/>
        <w:rPr>
          <w:rFonts w:ascii="Courier New" w:cs="Courier New" w:eastAsia="Courier New" w:hAnsi="Courier New"/>
          <w:sz w:val="17"/>
          <w:szCs w:val="17"/>
          <w:color w:val="auto"/>
        </w:rPr>
      </w:pPr>
    </w:p>
    <w:p>
      <w:pPr>
        <w:ind w:right="2139" w:firstLine="531"/>
        <w:spacing w:after="0" w:line="253" w:lineRule="auto"/>
        <w:tabs>
          <w:tab w:leader="none" w:pos="943" w:val="left"/>
        </w:tabs>
        <w:numPr>
          <w:ilvl w:val="0"/>
          <w:numId w:val="3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 Shareholder Approval shall have been obtained, at the Effective Time, by virtue of the Comcast Merger and without any action on the part of any of the parties hereto or the holders of any of the following securities:</w:t>
      </w:r>
    </w:p>
    <w:p>
      <w:pPr>
        <w:spacing w:after="0" w:line="195" w:lineRule="exact"/>
        <w:rPr>
          <w:rFonts w:ascii="Courier New" w:cs="Courier New" w:eastAsia="Courier New" w:hAnsi="Courier New"/>
          <w:sz w:val="17"/>
          <w:szCs w:val="17"/>
          <w:color w:val="auto"/>
        </w:rPr>
      </w:pPr>
    </w:p>
    <w:p>
      <w:pPr>
        <w:ind w:left="540" w:right="2139" w:firstLine="515"/>
        <w:spacing w:after="0" w:line="252" w:lineRule="auto"/>
        <w:tabs>
          <w:tab w:leader="none" w:pos="1483" w:val="left"/>
        </w:tabs>
        <w:numPr>
          <w:ilvl w:val="1"/>
          <w:numId w:val="3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issued and outstanding share of capital stock of Comcast Merger Sub shall be converted into and become a number of fully paid and nonassessable shares of Common Stock, par value $.01 per share, of the Comcast Surviving Corporation ("COMCAST SURVIVING CORPORATION COMMON STOCK") such that all of such shares of Comcast Surviving Corporation Common Stock, together with the shares of Comcast Surviving Corporation Common Stock issuable upon conversion</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A-17</w:t>
      </w:r>
    </w:p>
    <w:p>
      <w:pPr>
        <w:sectPr>
          <w:pgSz w:w="11900" w:h="16838" w:orient="portrait"/>
          <w:cols w:equalWidth="0" w:num="1">
            <w:col w:w="10219"/>
          </w:cols>
          <w:pgMar w:left="240" w:top="719" w:right="1440" w:bottom="1062" w:gutter="0" w:footer="0" w:header="0"/>
        </w:sectPr>
      </w:pPr>
    </w:p>
    <w:bookmarkStart w:id="415" w:name="page416"/>
    <w:bookmarkEnd w:id="415"/>
    <w:p>
      <w:pPr>
        <w:ind w:left="9" w:right="1939"/>
        <w:spacing w:after="0" w:line="254" w:lineRule="auto"/>
        <w:rPr>
          <w:sz w:val="20"/>
          <w:szCs w:val="20"/>
          <w:color w:val="auto"/>
        </w:rPr>
      </w:pPr>
      <w:r>
        <w:rPr>
          <w:rFonts w:ascii="Courier New" w:cs="Courier New" w:eastAsia="Courier New" w:hAnsi="Courier New"/>
          <w:sz w:val="17"/>
          <w:szCs w:val="17"/>
          <w:color w:val="auto"/>
        </w:rPr>
        <w:t>of the shares of Comcast Common Stock held by Comcast Shareholder pursuant to Section 4.01(e), equal 100 shares of Comcast Surviving Corporation Common Stock.</w:t>
      </w:r>
    </w:p>
    <w:p>
      <w:pPr>
        <w:spacing w:after="0" w:line="194" w:lineRule="exact"/>
        <w:rPr>
          <w:sz w:val="20"/>
          <w:szCs w:val="20"/>
          <w:color w:val="auto"/>
        </w:rPr>
      </w:pPr>
    </w:p>
    <w:p>
      <w:pPr>
        <w:ind w:left="9" w:right="2039" w:firstLine="515"/>
        <w:spacing w:after="0" w:line="253" w:lineRule="auto"/>
        <w:tabs>
          <w:tab w:leader="none" w:pos="1056" w:val="left"/>
        </w:tabs>
        <w:numPr>
          <w:ilvl w:val="1"/>
          <w:numId w:val="3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195" w:lineRule="exact"/>
        <w:rPr>
          <w:rFonts w:ascii="Courier New" w:cs="Courier New" w:eastAsia="Courier New" w:hAnsi="Courier New"/>
          <w:sz w:val="17"/>
          <w:szCs w:val="17"/>
          <w:color w:val="auto"/>
        </w:rPr>
      </w:pPr>
    </w:p>
    <w:p>
      <w:pPr>
        <w:ind w:left="9" w:right="1839" w:firstLine="515"/>
        <w:spacing w:after="0" w:line="251" w:lineRule="auto"/>
        <w:tabs>
          <w:tab w:leader="none" w:pos="1161" w:val="left"/>
        </w:tabs>
        <w:numPr>
          <w:ilvl w:val="1"/>
          <w:numId w:val="3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4.01(b)(ii))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201" w:lineRule="exact"/>
        <w:rPr>
          <w:rFonts w:ascii="Courier New" w:cs="Courier New" w:eastAsia="Courier New" w:hAnsi="Courier New"/>
          <w:sz w:val="17"/>
          <w:szCs w:val="17"/>
          <w:color w:val="auto"/>
        </w:rPr>
      </w:pPr>
    </w:p>
    <w:p>
      <w:pPr>
        <w:ind w:left="-531" w:right="1839" w:firstLine="531"/>
        <w:spacing w:after="0" w:line="253" w:lineRule="auto"/>
        <w:tabs>
          <w:tab w:leader="none" w:pos="412" w:val="left"/>
        </w:tabs>
        <w:numPr>
          <w:ilvl w:val="0"/>
          <w:numId w:val="3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 Shareholder Approval shall not have been obtained, at the Effective Time, by virtue of the AT&amp;T Broadband Merger and without any action on the part of any of the parties hereto or the holders of any of the following securities:</w:t>
      </w:r>
    </w:p>
    <w:p>
      <w:pPr>
        <w:spacing w:after="0" w:line="195" w:lineRule="exact"/>
        <w:rPr>
          <w:rFonts w:ascii="Courier New" w:cs="Courier New" w:eastAsia="Courier New" w:hAnsi="Courier New"/>
          <w:sz w:val="17"/>
          <w:szCs w:val="17"/>
          <w:color w:val="auto"/>
        </w:rPr>
      </w:pPr>
    </w:p>
    <w:p>
      <w:pPr>
        <w:ind w:left="9" w:right="1939" w:firstLine="515"/>
        <w:spacing w:after="0" w:line="254" w:lineRule="auto"/>
        <w:tabs>
          <w:tab w:leader="none" w:pos="952" w:val="left"/>
        </w:tabs>
        <w:numPr>
          <w:ilvl w:val="1"/>
          <w:numId w:val="3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issued and outstanding share of capital stock of AT&amp;T Broadband Merger Sub shall be converted into and become one fully paid and nonassessable share of AT&amp;T Broadband Surviving Corporation Common Stock.</w:t>
      </w:r>
    </w:p>
    <w:p>
      <w:pPr>
        <w:spacing w:after="0" w:line="194" w:lineRule="exact"/>
        <w:rPr>
          <w:rFonts w:ascii="Courier New" w:cs="Courier New" w:eastAsia="Courier New" w:hAnsi="Courier New"/>
          <w:sz w:val="17"/>
          <w:szCs w:val="17"/>
          <w:color w:val="auto"/>
        </w:rPr>
      </w:pPr>
    </w:p>
    <w:p>
      <w:pPr>
        <w:ind w:left="9" w:right="1839" w:firstLine="515"/>
        <w:spacing w:after="0" w:line="253" w:lineRule="auto"/>
        <w:tabs>
          <w:tab w:leader="none" w:pos="1056" w:val="left"/>
        </w:tabs>
        <w:numPr>
          <w:ilvl w:val="1"/>
          <w:numId w:val="3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195" w:lineRule="exact"/>
        <w:rPr>
          <w:rFonts w:ascii="Courier New" w:cs="Courier New" w:eastAsia="Courier New" w:hAnsi="Courier New"/>
          <w:sz w:val="17"/>
          <w:szCs w:val="17"/>
          <w:color w:val="auto"/>
        </w:rPr>
      </w:pPr>
    </w:p>
    <w:p>
      <w:pPr>
        <w:ind w:left="9" w:right="1839" w:firstLine="515"/>
        <w:spacing w:after="0" w:line="251" w:lineRule="auto"/>
        <w:tabs>
          <w:tab w:leader="none" w:pos="1161" w:val="left"/>
        </w:tabs>
        <w:numPr>
          <w:ilvl w:val="1"/>
          <w:numId w:val="3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Sections 4.02(e), 4.03(b) and 4.04(b), each issued and outstanding share of AT&amp;T Broadband Common Stock that is issued and outstanding immediately prior to the Effective Time (excluding any shares of AT&amp;T Broadband Common Stock canceled pursuant to Section 4.01(c)(ii)) shall be converted into the right to receive the Exchange Ratio of a fully paid and nonassessable share of Parent Class C Common Stock. As of the Effective Time, all such shares of AT&amp;T Broadband Common Stock shall no longer be outstanding and shall automatically be canceled and retired and shall cease to exist, and each owner of any such shares of AT&amp;T Broadband Common Stock shall cease to have any rights with respect thereto, except the right to receive certificates representing the shares of Parent Common Stock, any cash in lieu of fractional shares of Parent Common Stock and any dividends or distributions to the extent provided in Section 4.02(c) to be issued or paid in consideration therefor, without interest.</w:t>
      </w:r>
    </w:p>
    <w:p>
      <w:pPr>
        <w:spacing w:after="0" w:line="201" w:lineRule="exact"/>
        <w:rPr>
          <w:rFonts w:ascii="Courier New" w:cs="Courier New" w:eastAsia="Courier New" w:hAnsi="Courier New"/>
          <w:sz w:val="17"/>
          <w:szCs w:val="17"/>
          <w:color w:val="auto"/>
        </w:rPr>
      </w:pPr>
    </w:p>
    <w:p>
      <w:pPr>
        <w:ind w:left="-531" w:right="2139" w:firstLine="531"/>
        <w:spacing w:after="0" w:line="253" w:lineRule="auto"/>
        <w:tabs>
          <w:tab w:leader="none" w:pos="412" w:val="left"/>
        </w:tabs>
        <w:numPr>
          <w:ilvl w:val="0"/>
          <w:numId w:val="3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 Shareholder Approval shall not have been obtained, at the Effective Time, by virtue of the Comcast Merger and without any action on the part of any of the parties hereto or the holders of any of the following securities:</w:t>
      </w:r>
    </w:p>
    <w:p>
      <w:pPr>
        <w:spacing w:after="0" w:line="195" w:lineRule="exact"/>
        <w:rPr>
          <w:rFonts w:ascii="Courier New" w:cs="Courier New" w:eastAsia="Courier New" w:hAnsi="Courier New"/>
          <w:sz w:val="17"/>
          <w:szCs w:val="17"/>
          <w:color w:val="auto"/>
        </w:rPr>
      </w:pPr>
    </w:p>
    <w:p>
      <w:pPr>
        <w:ind w:left="9" w:right="2139" w:firstLine="515"/>
        <w:spacing w:after="0" w:line="251" w:lineRule="auto"/>
        <w:tabs>
          <w:tab w:leader="none" w:pos="952" w:val="left"/>
        </w:tabs>
        <w:numPr>
          <w:ilvl w:val="1"/>
          <w:numId w:val="3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issued and outstanding share of capital stock of Comcast Merger Sub shall be converted into and become a number of fully paid and nonassessable shares of Comcast Surviving Corporation Common Stock such that all of such shares of Comcast Surviving Corporation Common Stock, together with the shares of Comcast Surviving Corporation Common Stock issuable upon conversion of the shares of Comcast Common Stock held by Comcast Shareholder pursuant to Section 4.01(e), equal 100 shares of Comcast Surviving Corporation Common Stock.</w:t>
      </w:r>
    </w:p>
    <w:p>
      <w:pPr>
        <w:spacing w:after="0" w:line="201"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A-18</w:t>
      </w:r>
    </w:p>
    <w:p>
      <w:pPr>
        <w:sectPr>
          <w:pgSz w:w="11900" w:h="16838" w:orient="portrait"/>
          <w:cols w:equalWidth="0" w:num="1">
            <w:col w:w="9688"/>
          </w:cols>
          <w:pgMar w:left="771" w:top="719" w:right="1440" w:bottom="1062" w:gutter="0" w:footer="0" w:header="0"/>
        </w:sectPr>
      </w:pPr>
    </w:p>
    <w:bookmarkStart w:id="416" w:name="page417"/>
    <w:bookmarkEnd w:id="416"/>
    <w:p>
      <w:pPr>
        <w:ind w:left="540" w:right="2039" w:firstLine="515"/>
        <w:spacing w:after="0" w:line="253" w:lineRule="auto"/>
        <w:tabs>
          <w:tab w:leader="none" w:pos="1587" w:val="left"/>
        </w:tabs>
        <w:numPr>
          <w:ilvl w:val="0"/>
          <w:numId w:val="4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195" w:lineRule="exact"/>
        <w:rPr>
          <w:rFonts w:ascii="Courier New" w:cs="Courier New" w:eastAsia="Courier New" w:hAnsi="Courier New"/>
          <w:sz w:val="17"/>
          <w:szCs w:val="17"/>
          <w:color w:val="auto"/>
        </w:rPr>
      </w:pPr>
    </w:p>
    <w:p>
      <w:pPr>
        <w:ind w:left="540" w:right="1839" w:firstLine="515"/>
        <w:spacing w:after="0" w:line="251" w:lineRule="auto"/>
        <w:tabs>
          <w:tab w:leader="none" w:pos="1692" w:val="left"/>
        </w:tabs>
        <w:numPr>
          <w:ilvl w:val="0"/>
          <w:numId w:val="4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4.01(d)(ii))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 In lieu of receiving the consideration payable pursuant to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4.01(b) or 4.01(d) upon conversion of its shares of Comcast Common Stock in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Merger, Comcast Shareholder (or any successor by merger to Comcast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may elect to merge with Parent immediately prior to the Effective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Time in a transaction in which the members of Comcast Shareholder (or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successor), in exchange for all of their outstanding membership or other equity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interests in Comcast Shareholder (or such successor), would receive in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aggregate the same consideration that Comcast Shareholder (or such successor)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would have received pursuant to Section 4.01(b) or 4.01(d), as the case may be,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upon conversion of its shares of Comcast Common Stock in the Comcast Merger. If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Shareholder (or such successor) elects to effect the foregoing merger,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then at the time of such merger (i) Comcast Shareholder (or such successor)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have no assets other than shares of Comcast Common Stock and no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liabilities other than possible de minimis liabilities, (ii) each issued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share of Comcast Common Stock owned by Comcast Shareholder (or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successor) shall be converted into and become a number of fully paid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nonassessable shares of Comcast Surviving Corporation Common Stock such that all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such shares of Comcast Surviving Corporation Common Stock, together with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of Comcast Surviving Corporation Common Stock issuable upon conversion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shares of Comcast Merger Sub capital stock pursuant to Section 4.01(b)(i)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4.01(d)(i), as the case may be, equal 100 shares of Comcast Surviving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Corporation Common Stock and (iii) Comcast Shareholder shall provide 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indemnity that is reasonably satisfactory to AT&amp;T and Comcast pursuant to which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one or more members of Comcast Shareholder (which shall include at a minimum 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 or members (on a joint and several basis) who acquire the shares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Parent Class B Common Stock pursuant to the merger contemplated by this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4.01(e)) agrees to indemnify Parent in respect of any liabilities (including tax</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liabilities) of Comcast Shareholder or arising in connection with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under this Section 4.01(e).</w:t>
      </w:r>
    </w:p>
    <w:p>
      <w:pPr>
        <w:spacing w:after="0" w:line="210" w:lineRule="exact"/>
        <w:rPr>
          <w:sz w:val="20"/>
          <w:szCs w:val="20"/>
          <w:color w:val="auto"/>
        </w:rPr>
      </w:pPr>
    </w:p>
    <w:p>
      <w:pPr>
        <w:ind w:right="1939" w:firstLine="531"/>
        <w:spacing w:after="0" w:line="251" w:lineRule="auto"/>
        <w:tabs>
          <w:tab w:leader="none" w:pos="943" w:val="left"/>
        </w:tabs>
        <w:numPr>
          <w:ilvl w:val="0"/>
          <w:numId w:val="4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between the date of this Agreement and the Effective Time, the outstanding shares of Comcast Common Stock, AT&amp;T Common Stock or AT&amp;T Broadband Common Stock shall have been changed into a different number of shares, by reason of any stock dividend (other than to create the number of shares of AT&amp;T Broadband Common Stock necessary to effect the Distribution and, if the QUIPS Exchange occurs, the QUIPS Exchange or otherwise as a result of the Separation and Distribution), subdivision, split or combination of shares, the consideration payable pursuant to Section 4.01 will, if appropriate, be correspondingly adjusted to reflect such stock dividend, subdivision, split or combination of shares.</w:t>
      </w:r>
    </w:p>
    <w:p>
      <w:pPr>
        <w:spacing w:after="0" w:line="201" w:lineRule="exact"/>
        <w:rPr>
          <w:rFonts w:ascii="Courier New" w:cs="Courier New" w:eastAsia="Courier New" w:hAnsi="Courier New"/>
          <w:sz w:val="17"/>
          <w:szCs w:val="17"/>
          <w:color w:val="auto"/>
        </w:rPr>
      </w:pPr>
    </w:p>
    <w:p>
      <w:pPr>
        <w:jc w:val="both"/>
        <w:ind w:right="2039" w:firstLine="531"/>
        <w:spacing w:after="0" w:line="253" w:lineRule="auto"/>
        <w:tabs>
          <w:tab w:leader="none" w:pos="943" w:val="left"/>
        </w:tabs>
        <w:numPr>
          <w:ilvl w:val="0"/>
          <w:numId w:val="4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Sections 4.01(a)-(d), (i) any share of Comcast Common Stock held by any Comcast Subsidiary will not be treated as a share of Comcast Common Stock held in the treasury of Comcast and (ii) any share of AT&amp;T Broadband Common Stock held by any AT&amp;T Broadband</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A-19</w:t>
      </w:r>
    </w:p>
    <w:p>
      <w:pPr>
        <w:sectPr>
          <w:pgSz w:w="11900" w:h="16838" w:orient="portrait"/>
          <w:cols w:equalWidth="0" w:num="1">
            <w:col w:w="10219"/>
          </w:cols>
          <w:pgMar w:left="240" w:top="719" w:right="1440" w:bottom="1440" w:gutter="0" w:footer="0" w:header="0"/>
        </w:sectPr>
      </w:pPr>
    </w:p>
    <w:bookmarkStart w:id="417" w:name="page418"/>
    <w:bookmarkEnd w:id="417"/>
    <w:p>
      <w:pPr>
        <w:ind w:right="1839"/>
        <w:spacing w:after="0" w:line="257" w:lineRule="auto"/>
        <w:rPr>
          <w:sz w:val="20"/>
          <w:szCs w:val="20"/>
          <w:color w:val="auto"/>
        </w:rPr>
      </w:pPr>
      <w:r>
        <w:rPr>
          <w:rFonts w:ascii="Courier New" w:cs="Courier New" w:eastAsia="Courier New" w:hAnsi="Courier New"/>
          <w:sz w:val="17"/>
          <w:szCs w:val="17"/>
          <w:color w:val="auto"/>
        </w:rPr>
        <w:t>Subsidiary will not be treated as a share of AT&amp;T Broadband Common Stock held in treasury of AT&amp;T Broadband.</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4.02. Exchange of Certificates. (a) Exchange Agent. At or prior to the Effective Time, Parent shall deposit with a bank or trust company jointly designated by AT&amp;T and Comcast (the "EXCHANGE AGENT"), for the benefit of the holders of shares of AT&amp;T Broadband Common Stock and Comcast Common Stock, for exchange in accordance with this Article 4, through the Exchange Agent, certificates representing the shares of Parent Common Stock (such shares of Parent Common Stock, together with any dividends or other distributions to the extent provided in Section 4.02(c), the "EXCHANGE FUND") issuable pursuant to Section 4.01 in exchange for outstanding shares of AT&amp;T Broadband Common Stock and Comcast Common Stock.</w:t>
      </w:r>
    </w:p>
    <w:p>
      <w:pPr>
        <w:spacing w:after="0" w:line="201" w:lineRule="exact"/>
        <w:rPr>
          <w:sz w:val="20"/>
          <w:szCs w:val="20"/>
          <w:color w:val="auto"/>
        </w:rPr>
      </w:pPr>
    </w:p>
    <w:p>
      <w:pPr>
        <w:ind w:right="1839" w:firstLine="531"/>
        <w:spacing w:after="0" w:line="251" w:lineRule="auto"/>
        <w:tabs>
          <w:tab w:leader="none" w:pos="943" w:val="left"/>
        </w:tabs>
        <w:numPr>
          <w:ilvl w:val="1"/>
          <w:numId w:val="4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Procedures. As soon as reasonably practicable after the Effective Time, the Exchange Agent shall mail to each holder of record of a certificate or certificates that immediately prior to the Effective Time represented outstanding shares of AT&amp;T Broadband Common Stock or Comcast Common Stock (the "CERTIFICATES"), other than shares to be canceled or retired or converted into AT&amp;T Broadband Surviving Corporation Common stock or Comcast Surviving Corporation Common Stock in each case in accordance with Section 4.01,</w:t>
      </w:r>
    </w:p>
    <w:p>
      <w:pPr>
        <w:ind w:right="1839" w:firstLine="7"/>
        <w:spacing w:after="0" w:line="251" w:lineRule="auto"/>
        <w:tabs>
          <w:tab w:leader="none" w:pos="419" w:val="left"/>
        </w:tabs>
        <w:numPr>
          <w:ilvl w:val="0"/>
          <w:numId w:val="4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letter of transmittal (which shall specify that delivery shall be effected, and risk of loss and title to the Certificates shall pass, only upon delivery of the Certificates to the Exchange Agent, and shall be in such form and have such other provisions as Parent may reasonably specify) and (ii) instructions for use in effecting the surrender of the Certificates in exchange for certificates representing shares of Parent Common Stock. Upon surrender of a Certificate for cancellation to the Exchange Agent, together with such letter of transmittal, duly executed, and such other documents as may reasonably be required by the Exchange Agent, the holder of such Certificate shall be entitled to receive in exchange therefor a certificate representing that number of whole shares of Parent Common Stock that such holder has the right to receive pursuant to the provisions of this Article 4, cash in lieu of any fractional shares of Parent Common Stock to the extent provided in Section 4.02(e) and any dividends or distributions to the extent provided in Section 4.02(c), and the Certificate so surrendered shall forthwith be canceled. In the event of a transfer of ownership of AT&amp;T Broadband Common Stock or Comcast Common Stock that is not registered in the transfer records of AT&amp;T Broadband or Comcast, as the case may be, a certificate representing the proper number of shares of Parent Common Stock may be issued to a Person other than the Person in whose name the Certificate so surrendered is registered if such Certificate shall be properly endorsed or otherwise be in proper form for transfer and the Person requesting such payment shall pay any transfer or other taxes required by reason of the issuance of shares of Parent Common Stock to a Person other than the registered holder of such Certificate or establish to the satisfaction of Parent that such tax has been paid or is not applicable. Until surrendered as contemplated by this Section 4.02, each Certificate shall be deemed at any time after the Effective Time to represent only the right to receive upon such surrender the certificate representing the appropriate number of whole shares of Parent Common Stock, cash in lieu of any fractional shares of Parent Common Stock to the extent provided in Section 4.02(e) and any dividends and distributions to the extent provided in Section 4.02(c). No interest will be paid or will accrue on any cash payable in lieu of any fractional shares of Parent Common Stock. Any amounts payable or deliverable pursuant to this Agreement shall be subject to and made net of applicable withholding taxes to the extent such taxes are imposed under applicable law as determined by Parent in its reasonable discretion. To the extent that amounts are so withheld, those amounts shall be treated for all purposes as having been paid to the holders of AT&amp;T Broadband Common Stock or Comcast Common Stock, as the case may be, in respect of which the deduction and withholding was made.</w:t>
      </w:r>
    </w:p>
    <w:p>
      <w:pPr>
        <w:spacing w:after="0" w:line="200" w:lineRule="exact"/>
        <w:rPr>
          <w:rFonts w:ascii="Courier New" w:cs="Courier New" w:eastAsia="Courier New" w:hAnsi="Courier New"/>
          <w:sz w:val="17"/>
          <w:szCs w:val="17"/>
          <w:color w:val="auto"/>
        </w:rPr>
      </w:pPr>
    </w:p>
    <w:p>
      <w:pPr>
        <w:spacing w:after="0" w:line="203"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4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with Respect to Unexchanged Shares. No dividends or other distributions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 4.02(e) until the surrender of such Certificate in accordance with this Article 4. Subject to the effect of applicable law, following surrender of any such Certificate, there shall be paid to the holder of the</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A-20</w:t>
      </w:r>
    </w:p>
    <w:p>
      <w:pPr>
        <w:sectPr>
          <w:pgSz w:w="11900" w:h="16838" w:orient="portrait"/>
          <w:cols w:equalWidth="0" w:num="1">
            <w:col w:w="10219"/>
          </w:cols>
          <w:pgMar w:left="240" w:top="719" w:right="1440" w:bottom="1062" w:gutter="0" w:footer="0" w:header="0"/>
        </w:sectPr>
      </w:pPr>
    </w:p>
    <w:bookmarkStart w:id="418" w:name="page419"/>
    <w:bookmarkEnd w:id="418"/>
    <w:p>
      <w:pPr>
        <w:ind w:right="1839"/>
        <w:spacing w:after="0" w:line="251" w:lineRule="auto"/>
        <w:rPr>
          <w:sz w:val="20"/>
          <w:szCs w:val="20"/>
          <w:color w:val="auto"/>
        </w:rPr>
      </w:pPr>
      <w:r>
        <w:rPr>
          <w:rFonts w:ascii="Courier New" w:cs="Courier New" w:eastAsia="Courier New" w:hAnsi="Courier New"/>
          <w:sz w:val="17"/>
          <w:szCs w:val="17"/>
          <w:color w:val="auto"/>
        </w:rPr>
        <w:t>certificate representing whole shares of Parent Common Stock issued in exchange therefor, without interest, (i) at the time of such surrender, the amount of any cash payable in lieu of a fractional share of Parent Common Stock to which such holder is entitled pursuant to Section 4.02(e)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such surrender and a payment date subsequent to such surrender payable with respect to such whole shares of Parent Common Stock.</w:t>
      </w:r>
    </w:p>
    <w:p>
      <w:pPr>
        <w:spacing w:after="0" w:line="201" w:lineRule="exact"/>
        <w:rPr>
          <w:sz w:val="20"/>
          <w:szCs w:val="20"/>
          <w:color w:val="auto"/>
        </w:rPr>
      </w:pPr>
    </w:p>
    <w:p>
      <w:pPr>
        <w:ind w:right="1839" w:firstLine="531"/>
        <w:spacing w:after="0" w:line="251" w:lineRule="auto"/>
        <w:tabs>
          <w:tab w:leader="none" w:pos="943" w:val="left"/>
        </w:tabs>
        <w:numPr>
          <w:ilvl w:val="0"/>
          <w:numId w:val="4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Further Ownership Rights in AT&amp;T Broadband Common Stock or Comcast Common Stock. All shares of Parent Common Stock issued upon the surrender for exchange of Certificates in accordance with the terms of this Article 4 (including any cash paid pursuant to Section 4.02(c) or 4.02(e)) shall be deemed to have been issued (and paid) in full satisfaction of all rights pertaining to the shares of AT&amp;T Broadband Common Stock or Comcast Common Stock, as the case may be, theretofore represented by such Certificates, and there shall be no further registration of transfers on the stock transfer books of the applicable Surviving Corporation, of the shares of AT&amp;T Broadband Common Stock or Comcast Common Stock, as the case may be, that were outstanding immediately prior to the Effective Time. If, after the Effective Time, Certificates are presented to Parent or the Exchange Agent for any reason, they shall be canceled and exchanged as provided in this Article 4, except as otherwise provided by applicable law. Certificates surrendered for exchange by any Person who is a Rule 145 Affiliate shall not be exchanged until Parent has received written undertakings from such Person in the form attached as Exhibit B.</w:t>
      </w:r>
    </w:p>
    <w:p>
      <w:pPr>
        <w:spacing w:after="0" w:line="201" w:lineRule="exact"/>
        <w:rPr>
          <w:rFonts w:ascii="Courier New" w:cs="Courier New" w:eastAsia="Courier New" w:hAnsi="Courier New"/>
          <w:sz w:val="17"/>
          <w:szCs w:val="17"/>
          <w:color w:val="auto"/>
        </w:rPr>
      </w:pPr>
    </w:p>
    <w:p>
      <w:pPr>
        <w:ind w:right="1939" w:firstLine="531"/>
        <w:spacing w:after="0" w:line="253" w:lineRule="auto"/>
        <w:tabs>
          <w:tab w:leader="none" w:pos="943" w:val="left"/>
        </w:tabs>
        <w:numPr>
          <w:ilvl w:val="0"/>
          <w:numId w:val="4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Fractional Shares. (i) No certificates or scrip representing fractional shares of Parent Common Stock shall be issued upon the surrender for exchange of Certificates, and such fractional share interests shall not entitle the owner thereof to vote or to any rights of a shareholder of Parent.</w:t>
      </w:r>
    </w:p>
    <w:p>
      <w:pPr>
        <w:spacing w:after="0" w:line="195" w:lineRule="exact"/>
        <w:rPr>
          <w:sz w:val="20"/>
          <w:szCs w:val="20"/>
          <w:color w:val="auto"/>
        </w:rPr>
      </w:pPr>
    </w:p>
    <w:p>
      <w:pPr>
        <w:ind w:right="1839" w:firstLine="531"/>
        <w:spacing w:after="0" w:line="251" w:lineRule="auto"/>
        <w:tabs>
          <w:tab w:leader="none" w:pos="1047" w:val="left"/>
        </w:tabs>
        <w:numPr>
          <w:ilvl w:val="1"/>
          <w:numId w:val="4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promptly as practicable following the Effective Time, the Exchange Agent shall determine the excess of (A) the number of shares of Parent Common Stock delivered to the Exchange Agent by Parent pursuant to Section 4.02(a) over</w:t>
      </w:r>
    </w:p>
    <w:p>
      <w:pPr>
        <w:ind w:right="1839" w:firstLine="7"/>
        <w:spacing w:after="0" w:line="252" w:lineRule="auto"/>
        <w:tabs>
          <w:tab w:leader="none" w:pos="419" w:val="left"/>
        </w:tabs>
        <w:numPr>
          <w:ilvl w:val="0"/>
          <w:numId w:val="4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number of whole shares of Parent Common Stock to be distributed to holders of the Certificates pursuant to Section 4.02(b) (such excess, the "EXCESS SHARES"). As soon as practicable after the Effective Time, the Exchange Agent, as agent for the holders of the Certificates, shall sell the Excess Shares at then-prevailing prices on Nasdaq, all in the manner provided in Section 4.02(e)(iii).</w:t>
      </w:r>
    </w:p>
    <w:p>
      <w:pPr>
        <w:spacing w:after="0" w:line="196" w:lineRule="exact"/>
        <w:rPr>
          <w:rFonts w:ascii="Courier New" w:cs="Courier New" w:eastAsia="Courier New" w:hAnsi="Courier New"/>
          <w:sz w:val="17"/>
          <w:szCs w:val="17"/>
          <w:color w:val="auto"/>
        </w:rPr>
      </w:pPr>
    </w:p>
    <w:p>
      <w:pPr>
        <w:ind w:right="1839" w:firstLine="531"/>
        <w:spacing w:after="0" w:line="251" w:lineRule="auto"/>
        <w:tabs>
          <w:tab w:leader="none" w:pos="1152" w:val="left"/>
        </w:tabs>
        <w:numPr>
          <w:ilvl w:val="1"/>
          <w:numId w:val="4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of the Excess Shares by the Exchange Agent shall be executed on Nasdaq, and shall be executed in round lots to the extent practicable. The proceeds from such sale or sales available for distribution to the holders of Certificates shall be reduced by the compensation payable to the Exchange Agent and the expenses incurred by the Exchange Agent, in each case, in connection with such sale or sales of the Excess Shares, including all related commissions, transfer taxes and other out-of-pocket transaction costs. Until the net proceeds of such sale or sales have been distributed to the holders of the Certificates, the Exchange Agent shall hold such proceeds in trust for the holders of the Certificates (the "COMMON STOCK TRUST"). The Exchange Agent shall determine the portion of the Common Stock Trust to which each holder of a Certificate shall be entitled, if any, by multiplying the amount of the aggregate net proceeds comprising the portion of the Common Stock Trust attributable to the relevant class of Parent Common Stock by a fraction, the numerator of which is the amount of the fractional share interest in such class of Parent Common Stock to which such holder of a Certificate is entitled and the denominator of which is the aggregate amount of fractional share interests to which all holders of the Certificates are entitled.</w:t>
      </w:r>
    </w:p>
    <w:p>
      <w:pPr>
        <w:spacing w:after="0" w:line="201" w:lineRule="exact"/>
        <w:rPr>
          <w:rFonts w:ascii="Courier New" w:cs="Courier New" w:eastAsia="Courier New" w:hAnsi="Courier New"/>
          <w:sz w:val="17"/>
          <w:szCs w:val="17"/>
          <w:color w:val="auto"/>
        </w:rPr>
      </w:pPr>
    </w:p>
    <w:p>
      <w:pPr>
        <w:ind w:right="1939" w:firstLine="531"/>
        <w:spacing w:after="0" w:line="252" w:lineRule="auto"/>
        <w:tabs>
          <w:tab w:leader="none" w:pos="1047" w:val="left"/>
        </w:tabs>
        <w:numPr>
          <w:ilvl w:val="1"/>
          <w:numId w:val="4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after the determination of the amount of cash, if any, to be paid to holders of Certificates in lieu of any fractional share interests, the Exchange Agent shall make available such amounts, without interest, to such holders of Certificates that have surrendered their Certificates in accordance with this Article 4.</w:t>
      </w:r>
    </w:p>
    <w:p>
      <w:pPr>
        <w:spacing w:after="0" w:line="197" w:lineRule="exact"/>
        <w:rPr>
          <w:sz w:val="20"/>
          <w:szCs w:val="20"/>
          <w:color w:val="auto"/>
        </w:rPr>
      </w:pPr>
    </w:p>
    <w:p>
      <w:pPr>
        <w:ind w:right="2139" w:firstLine="531"/>
        <w:spacing w:after="0" w:line="254" w:lineRule="auto"/>
        <w:tabs>
          <w:tab w:leader="none" w:pos="943" w:val="left"/>
        </w:tabs>
        <w:numPr>
          <w:ilvl w:val="0"/>
          <w:numId w:val="4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Exchange Fund and Common Stock Trust. Any portion of the Exchange Fund and Common Stock Trust that remains undistributed to the holders of Certificates for one year after the</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A-21</w:t>
      </w:r>
    </w:p>
    <w:p>
      <w:pPr>
        <w:sectPr>
          <w:pgSz w:w="11900" w:h="16838" w:orient="portrait"/>
          <w:cols w:equalWidth="0" w:num="1">
            <w:col w:w="10219"/>
          </w:cols>
          <w:pgMar w:left="240" w:top="719" w:right="1440" w:bottom="861" w:gutter="0" w:footer="0" w:header="0"/>
        </w:sectPr>
      </w:pPr>
    </w:p>
    <w:bookmarkStart w:id="419" w:name="page420"/>
    <w:bookmarkEnd w:id="419"/>
    <w:p>
      <w:pPr>
        <w:ind w:right="2259"/>
        <w:spacing w:after="0" w:line="252" w:lineRule="auto"/>
        <w:rPr>
          <w:sz w:val="20"/>
          <w:szCs w:val="20"/>
          <w:color w:val="auto"/>
        </w:rPr>
      </w:pPr>
      <w:r>
        <w:rPr>
          <w:rFonts w:ascii="Courier New" w:cs="Courier New" w:eastAsia="Courier New" w:hAnsi="Courier New"/>
          <w:sz w:val="17"/>
          <w:szCs w:val="17"/>
          <w:color w:val="auto"/>
        </w:rPr>
        <w:t>Effective Time shall be delivered to Parent, upon demand, and any holders of Certificates who have not theretofore complied with this Article 4 shall thereafter look only to Parent for payment of their claim for Parent Common Stock, any cash in lieu of fractional shares of Parent Common Stock, and any dividends or other distributions with respect to Parent Common Stock.</w:t>
      </w:r>
    </w:p>
    <w:p>
      <w:pPr>
        <w:spacing w:after="0" w:line="197" w:lineRule="exact"/>
        <w:rPr>
          <w:sz w:val="20"/>
          <w:szCs w:val="20"/>
          <w:color w:val="auto"/>
        </w:rPr>
      </w:pPr>
    </w:p>
    <w:p>
      <w:pPr>
        <w:ind w:right="1839" w:firstLine="531"/>
        <w:spacing w:after="0" w:line="251" w:lineRule="auto"/>
        <w:tabs>
          <w:tab w:leader="none" w:pos="943" w:val="left"/>
        </w:tabs>
        <w:numPr>
          <w:ilvl w:val="0"/>
          <w:numId w:val="4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and Other AT&amp;T Equity-Based Awards. (i) At the Effective Time, all options to purchase, and stock appreciation rights with respect to, shares of AT&amp;T Broadband Common Stock ("AT&amp;T STOCK OPTIONS" and "AT&amp;T SARS", respectively) that are outstanding and unexercised as of the Effective Time shall cease to represent rights with respect to shares of AT&amp;T Broadband Common Stock and shall be converted automatically into options to purchase, or stock appreciation rights with respect to, shares of Parent Indexed Stock ("AT&amp;T CONVERTED STOCK OPTIONS" and "AT&amp;T CONVERTED SARS", respectively) and Parent shall assume each such AT&amp;T Converted Stock Option and AT&amp;T Converted SAR, on the same terms and conditions as applied to such AT&amp;T Stock Option or AT&amp;T SAR immediately before the Effective Time (including without limitation any vesting as a result of the consummation of the transactions contemplated hereby); provided, however, that, from and after the Effective Time, (A) the number of shares of Parent Indexed Stock subject to such AT&amp;T Converted Stock Option or AT&amp;T Converted SAR, as applicable, shall be equal to the number of shares, rounded to the nearest whole share, of Parent Indexed Stock whose fair market value, immediately after the Effective Time, is equal to (a) minus (b), where "(a)" is the aggregate fair market value, determined immediately prior to the Distribution using the AT&amp;T Closing Stock Value, of the AT&amp;T Common Stock subject to the original option or stock appreciation right (the "ORIGINAL AWARD") with respect to which such AT&amp;T Stock Option or AT&amp;T SAR was issued pursuant to the Employee Benefits Agreement; and "(b)," in the case of a Broadband Employee, is zero, and in the case of a Former Employee is the aggregate fair market value, determined immediately after the Distribution using the AT&amp;T Opening Stock Value (as such term is defined in the Employee Benefits Agreement), of the AT&amp;T Common Stock subject to the "adjusted AT&amp;T Option" into which the Original Award was partially converted pursuant to Section 5.3(b) of the Employee Benefits Agreement; and (B) the per share exercise price under such AT&amp;T Converted Stock Option or AT&amp;T Converted SAR, as applicable, as of the Effective Time, shall be adjusted by dividing the aggregate exercise price of the Original Award relating to such AT&amp;T Stock Option or AT&amp;T SAR, as applicable (less, in the case of a Former Employee, the aggregate exercise price of the relevant "adjusted AT&amp;T Option" referred to in (A) above), by the number of shares of Parent Indexed Stock to which such AT&amp;T Converted Stock Option or AT&amp;T Converted SAR is subject, rounded to the nearest one-hundredth of a cent. Notwithstanding the foregoing, the number of shares and the per share exercise price of each AT&amp;T Converted Stock Option that is, as of the Effective Time, after giving effect to any vesting as a result of the transactions contemplated hereby, an "incentive stock option" (as defined in Section 422 of the Code) and each related AT&amp;T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 For purposes of this Section 4.02, the fair market value of a share of Parent Indexed Stock shall be determined using the opening per-share price of Parent Indexed Stock as listed on Nasdaq as of the opening of trading on the first Trading Day following the Effective Time; provided, however, that if the Effective Time occurs at a time when Nasdaq is open for trading, fair market value shall be determined using the price at which Parent Indexed Stock trades as of the moment immediately after the Effective Time; provided, further, that if the Effective Time occurs prior to the opening of trading on Nasdaq, the fair market value shall be determined using the price at which the Parent Indexed Stock first trades after the opening of trading on this day.</w:t>
      </w:r>
    </w:p>
    <w:p>
      <w:pPr>
        <w:spacing w:after="0" w:line="200" w:lineRule="exact"/>
        <w:rPr>
          <w:rFonts w:ascii="Courier New" w:cs="Courier New" w:eastAsia="Courier New" w:hAnsi="Courier New"/>
          <w:sz w:val="17"/>
          <w:szCs w:val="17"/>
          <w:color w:val="auto"/>
        </w:rPr>
      </w:pPr>
    </w:p>
    <w:p>
      <w:pPr>
        <w:spacing w:after="0" w:line="203" w:lineRule="exact"/>
        <w:rPr>
          <w:rFonts w:ascii="Courier New" w:cs="Courier New" w:eastAsia="Courier New" w:hAnsi="Courier New"/>
          <w:sz w:val="17"/>
          <w:szCs w:val="17"/>
          <w:color w:val="auto"/>
        </w:rPr>
      </w:pPr>
    </w:p>
    <w:p>
      <w:pPr>
        <w:ind w:left="540" w:right="1839" w:firstLine="515"/>
        <w:spacing w:after="0" w:line="251" w:lineRule="auto"/>
        <w:tabs>
          <w:tab w:leader="none" w:pos="1587" w:val="left"/>
        </w:tabs>
        <w:numPr>
          <w:ilvl w:val="1"/>
          <w:numId w:val="4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all shares of AT&amp;T Broadband restricted stock outstanding as of the Effective Time shall be converted automatically into the right to receive Parent Common Stock on the terms and conditions set forth in the applicable sections of this Article 4 and all other equity based awards based upon shares of AT&amp;T Broadband Common Stock (collectively, the "AT&amp;T EQUITY AWARDS") outstanding as of the Effective Time shall be converted automatically into equivalent awards based upon shares of Parent Indexed Stock (collectively, the "AT&amp;T CONVERTED</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A-22</w:t>
      </w:r>
    </w:p>
    <w:p>
      <w:pPr>
        <w:sectPr>
          <w:pgSz w:w="11900" w:h="16838" w:orient="portrait"/>
          <w:cols w:equalWidth="0" w:num="1">
            <w:col w:w="10219"/>
          </w:cols>
          <w:pgMar w:left="240" w:top="718" w:right="1440" w:bottom="1440" w:gutter="0" w:footer="0" w:header="0"/>
        </w:sectPr>
      </w:pPr>
    </w:p>
    <w:bookmarkStart w:id="420" w:name="page421"/>
    <w:bookmarkEnd w:id="420"/>
    <w:p>
      <w:pPr>
        <w:ind w:left="9" w:right="1939"/>
        <w:spacing w:after="0" w:line="251" w:lineRule="auto"/>
        <w:rPr>
          <w:sz w:val="20"/>
          <w:szCs w:val="20"/>
          <w:color w:val="auto"/>
        </w:rPr>
      </w:pPr>
      <w:r>
        <w:rPr>
          <w:rFonts w:ascii="Courier New" w:cs="Courier New" w:eastAsia="Courier New" w:hAnsi="Courier New"/>
          <w:sz w:val="17"/>
          <w:szCs w:val="17"/>
          <w:color w:val="auto"/>
        </w:rPr>
        <w:t>EQUITY AWARDS"), and on the same terms and conditions as applied to such AT&amp;T Equity Award immediately before the Effective Time (including without limitation any vesting as a result of the consummation of the transactions contemplated hereby); provided, however, that from and after the Effective Time, the number of shares of Parent Indexed Stock subject to such AT&amp;T Converted Equity Award shall be equal to the number of shares of Parent Indexed Stock whose fair market value, immediately after the Effective Time, is equal to the aggregate fair market value, determined immediately prior to the Distribution using the AT&amp;T Closing Stock Value, of the AT&amp;T Common Stock subject to the original equity based award with respect to which such AT&amp;T Equity Award was issued pursuant to the Employee Benefits Agreement.</w:t>
      </w:r>
    </w:p>
    <w:p>
      <w:pPr>
        <w:spacing w:after="0" w:line="201" w:lineRule="exact"/>
        <w:rPr>
          <w:sz w:val="20"/>
          <w:szCs w:val="20"/>
          <w:color w:val="auto"/>
        </w:rPr>
      </w:pPr>
    </w:p>
    <w:p>
      <w:pPr>
        <w:ind w:left="9" w:right="1839" w:firstLine="515"/>
        <w:spacing w:after="0" w:line="251" w:lineRule="auto"/>
        <w:tabs>
          <w:tab w:leader="none" w:pos="1161" w:val="left"/>
        </w:tabs>
        <w:numPr>
          <w:ilvl w:val="1"/>
          <w:numId w:val="4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or prior to the Effective Time, Parent shall reserve for issuance the number of shares of Parent Indexed Stock necessary to satisfy Parent's obligations under this Section 4.02(g). No later than five Business Days after the Effective Time, Parent shall file with the SEC a registration statement on Form S-8 (or other appropriate form) (an "S-8") under the 1933 Act with respect to the shares of Parent Indexed Stock subject to AT&amp;T Converted Stock Options, AT&amp;T Converted SARs and AT&amp;T Converted Equity Awards issued pursuant to this Section 4.02(g), and shall use all reasonable best efforts to maintain the effectiveness of the applicable S-8 and current status of the prospectus related to the applicable S-8, as well as comply with any applicable state securities or "blue sky" laws, for so long as any such AT&amp;T Converted Stock Options, AT&amp;T Converted SARs and/or AT&amp;T Converted Equity Awards remain outstanding.</w:t>
      </w:r>
    </w:p>
    <w:p>
      <w:pPr>
        <w:spacing w:after="0" w:line="201" w:lineRule="exact"/>
        <w:rPr>
          <w:rFonts w:ascii="Courier New" w:cs="Courier New" w:eastAsia="Courier New" w:hAnsi="Courier New"/>
          <w:sz w:val="17"/>
          <w:szCs w:val="17"/>
          <w:color w:val="auto"/>
        </w:rPr>
      </w:pPr>
    </w:p>
    <w:p>
      <w:pPr>
        <w:ind w:left="-531" w:right="1839" w:firstLine="531"/>
        <w:spacing w:after="0" w:line="251" w:lineRule="auto"/>
        <w:tabs>
          <w:tab w:leader="none" w:pos="412" w:val="left"/>
        </w:tabs>
        <w:numPr>
          <w:ilvl w:val="0"/>
          <w:numId w:val="4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Stock Options. (i) At the Effective Time, all options to purchase shares of Comcast Class A Special Common Stock ("COMCAST STOCK OPTIONS") granted by Comcast or any Comcast Subsidiary pursuant to the terms of any stock option or incentive plan and held, as of the Effective Time, by and employee of Comcast of any Comcast Subsidiary (or any beneficiary thereof) shall cease to represent rights to purchase shares of Comcast Class A Special Common Stock and shall be converted automatically into options to purchase ("COMCAST CONVERTED STOCK OPTIONS"), on the same terms and conditions as applied to such Comcast Stock Option immediately prior to the Effective Time, that number of shares of Parent Indexed Stock, rounded to the nearest whole share, whose fair market value, immediately after the Effective Time, is equal to the aggregate fair market value, determined immediately prior to the Effective Time, of the Comcast Class A Special Common Stock subject to such Comcast Stock Option, at a per share exercise price equal to the aggregate exercise price of such Comcast Stock Option divided by the number of shares of Parent Indexed Common Stock to which such Comcast Converted Stock Option is subject. Notwithstanding the foregoing, the number of shares and the per share exercise price of each Comcast Converted Stock Option that is, as of the Effective Time, an "incentive stock option" (as defined in Section 422 of the Code) and each related Comcast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9" w:right="1939" w:firstLine="515"/>
        <w:spacing w:after="0" w:line="251" w:lineRule="auto"/>
        <w:tabs>
          <w:tab w:leader="none" w:pos="1056" w:val="left"/>
        </w:tabs>
        <w:numPr>
          <w:ilvl w:val="1"/>
          <w:numId w:val="4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all shares of Comcast restricted stock outstanding as of the Effective Time shall be converted automatically into the right to receive Parent Common Stock on the terms and conditions set forth in the applicable sections of this Article 4 and all other equity based awards based upon shares of Comcast Class A Special Common Stock (collectively, the "COMCAST EQUITY AWARDS") shall be converted automatically into equivalent awards based upon shares of Parent Indexed Stock (collectively, the "COMCAST CONVERTED EQUITY AWARDS"), and on the same terms and conditions as applied to such Comcast Equity Award immediately prior to the Effective Time. The number of shares of Parent Indexed Stock subject to such Comcast Converted Equity Award shall be the number of shares of Parent Indexed Stock, rounded to the nearest share, whose fair market value, immediately after the Effective Time, is equal to the aggregate fair market value, determined immediately prior to the Effective Time, of the shares of Comcast Common Stock that were subject to such Comcast Equity Award.</w:t>
      </w:r>
    </w:p>
    <w:p>
      <w:pPr>
        <w:spacing w:after="0" w:line="202"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A-23</w:t>
      </w:r>
    </w:p>
    <w:p>
      <w:pPr>
        <w:sectPr>
          <w:pgSz w:w="11900" w:h="16838" w:orient="portrait"/>
          <w:cols w:equalWidth="0" w:num="1">
            <w:col w:w="9688"/>
          </w:cols>
          <w:pgMar w:left="771" w:top="719" w:right="1440" w:bottom="1440" w:gutter="0" w:footer="0" w:header="0"/>
        </w:sectPr>
      </w:pPr>
    </w:p>
    <w:bookmarkStart w:id="421" w:name="page422"/>
    <w:bookmarkEnd w:id="421"/>
    <w:p>
      <w:pPr>
        <w:ind w:left="9" w:right="1839" w:firstLine="515"/>
        <w:spacing w:after="0" w:line="251" w:lineRule="auto"/>
        <w:tabs>
          <w:tab w:leader="none" w:pos="1161" w:val="left"/>
        </w:tabs>
        <w:numPr>
          <w:ilvl w:val="1"/>
          <w:numId w:val="4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or prior to the Effective Time, Parent shall reserve for issuance the number of shares of Parent Indexed Stock necessary to satisfy Parent's obligations under this Section 4.02(h). No later than five Business days after the Effective Time, Parent shall file with the SEC an S-8 under the 1933 Act with respect to the shares of Parent Indexed Stock subject to the Comcast Converted Stock Options and Comcast Converted Equity Awards issued pursuant to this Section 4.02(h), and shall use reasonable best efforts to maintain the effectiveness of the applicable S-8 and current status of the prospectus related to the applicable S-8, as well as comply with any applicable state securities or "blue sky" laws, for so long as any such Comcast Converted Stock Options and/or Comcast Converted Equity Awards remain outstanding.</w:t>
      </w:r>
    </w:p>
    <w:p>
      <w:pPr>
        <w:spacing w:after="0" w:line="201" w:lineRule="exact"/>
        <w:rPr>
          <w:rFonts w:ascii="Courier New" w:cs="Courier New" w:eastAsia="Courier New" w:hAnsi="Courier New"/>
          <w:sz w:val="17"/>
          <w:szCs w:val="17"/>
          <w:color w:val="auto"/>
        </w:rPr>
      </w:pPr>
    </w:p>
    <w:p>
      <w:pPr>
        <w:ind w:left="-531" w:right="1839" w:firstLine="531"/>
        <w:spacing w:after="0" w:line="251" w:lineRule="auto"/>
        <w:tabs>
          <w:tab w:leader="none" w:pos="412" w:val="left"/>
        </w:tabs>
        <w:numPr>
          <w:ilvl w:val="0"/>
          <w:numId w:val="4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Liability. None of the parties hereto or the Exchange Agent shall be liable to any Person in respect of any shares of Parent Common Stock (or dividends or distributions with respect thereto) or cash from the Exchange Fund or the Common Stock Trust delivered to a public official pursuant to any applicable abandoned property, escheat or similar law. If any Certificates shall not have been surrendered prior to any date on which any shares of Parent Common Stock, any cash in lieu of fractional shares of Parent Common Stock or any dividends or other distributions with respect to Parent Common Stock in respect of such Certificate would otherwise escheat to or become the property of any Governmental Authority, any such shares, cash, dividends or other distributions in respect of such Certificate shall, to the extent permitted by applicable law, become the property of Parent, free and clear of all claims or interest of any Person previously entitled thereto.</w:t>
      </w:r>
    </w:p>
    <w:p>
      <w:pPr>
        <w:spacing w:after="0" w:line="201" w:lineRule="exact"/>
        <w:rPr>
          <w:rFonts w:ascii="Courier New" w:cs="Courier New" w:eastAsia="Courier New" w:hAnsi="Courier New"/>
          <w:sz w:val="17"/>
          <w:szCs w:val="17"/>
          <w:color w:val="auto"/>
        </w:rPr>
      </w:pPr>
    </w:p>
    <w:p>
      <w:pPr>
        <w:ind w:left="-531" w:right="1839" w:firstLine="531"/>
        <w:spacing w:after="0" w:line="252" w:lineRule="auto"/>
        <w:tabs>
          <w:tab w:leader="none" w:pos="412" w:val="left"/>
        </w:tabs>
        <w:numPr>
          <w:ilvl w:val="0"/>
          <w:numId w:val="4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of Exchange Fund and Common Stock Trust. The Exchange Agent shall invest any cash included in the Exchange Fund and Common Stock Trust, as directed by Parent, on a daily basis; provided that no such investment or loss thereon shall affect the amounts payable or the timing of the amounts payable to AT&amp;T Broadband or Comcast shareholders pursuant to this Article 4. Any interest and other income resulting from such investments shall be paid to Parent.</w:t>
      </w:r>
    </w:p>
    <w:p>
      <w:pPr>
        <w:spacing w:after="0" w:line="196" w:lineRule="exact"/>
        <w:rPr>
          <w:rFonts w:ascii="Courier New" w:cs="Courier New" w:eastAsia="Courier New" w:hAnsi="Courier New"/>
          <w:sz w:val="17"/>
          <w:szCs w:val="17"/>
          <w:color w:val="auto"/>
        </w:rPr>
      </w:pPr>
    </w:p>
    <w:p>
      <w:pPr>
        <w:ind w:left="-531" w:right="1839" w:firstLine="531"/>
        <w:spacing w:after="0" w:line="251" w:lineRule="auto"/>
        <w:tabs>
          <w:tab w:leader="none" w:pos="412" w:val="left"/>
        </w:tabs>
        <w:numPr>
          <w:ilvl w:val="0"/>
          <w:numId w:val="4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Lost Certificates. If any Certificate is lost, stolen or destroyed, upon the making of an affidavit of that fact by the Person claiming such Certificate to be lost, stolen or destroyed and executing an indemnity reasonably satisfactory to Parent (and, if required by Parent in the case of a Certificate representing more than 1,000 shares, the posting by such Person of a bond, in such reasonable amount as Parent may direct, as indemnity) against any claim that may be made against it with respect to such Certificate, the Exchange Agent will issue, in exchange for such lost, stolen or destroyed Certificate and in respect of the shares of AT&amp;T Broadband Common Stock or Comcast Common Stock, as the case may be, formerly represented by such lost Certificate, a certificate representing that number of whole shares of Parent Common Stock that such holder has the right to receive pursuant to the provisions of this Article 4, cash in lieu of any fractional shares of Parent Common Stock to the extent provided in Section 4.02(e) and any dividends or distributions to the extent provided in Section 4.02(c).</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531" w:right="1839" w:firstLine="531"/>
        <w:spacing w:after="0" w:line="251" w:lineRule="auto"/>
        <w:tabs>
          <w:tab w:leader="none" w:pos="412" w:val="left"/>
        </w:tabs>
        <w:numPr>
          <w:ilvl w:val="0"/>
          <w:numId w:val="4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contained in Section 4.02, Comcast and AT&amp;T shall mutually agree upon an arrangement whereby holders of shares of AT&amp;T Broadband Common Stock shall not be required to deliver Certificates to the Exchange Agent prior to receiving a certificate representing the shares of Parent Common Stock into which their shares of AT&amp;T Broadband Common Stock have been converted in accordance with Section 4.01, any cash in lieu of fractional shares payable to such holder pursuant to Section 4.02(e) or dividends or other distributions on their shares of Parent Common Stock. Under such arrangements, the parties shall instruct the Exchange Agent (i) not to mail to any such holder of AT&amp;T Broadband Common Stock the transmittal materials referred to in Section 4.02(b) and (ii) to deliver the appropriate merger consideration to each such holder of AT&amp;T Broadband Common Stock as soon as reasonably practicable after the Effective Time. The parties shall cooperate to agree upon procedures to effect book entry transfers in respect of the foregoing.</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531" w:right="1839" w:firstLine="531"/>
        <w:spacing w:after="0" w:line="252" w:lineRule="auto"/>
        <w:tabs>
          <w:tab w:leader="none" w:pos="412" w:val="left"/>
        </w:tabs>
        <w:numPr>
          <w:ilvl w:val="0"/>
          <w:numId w:val="4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 any holder of AT&amp;T Common Stock does not receive shares of AT&amp;T Broadband Common Stock in the Distribution in respect of such holder's shares of AT&amp;T Common Stock because such holder has purported to exercise rights pursuant to Section 910 of the NYBCL in respect of such holder's shares of AT&amp;T Common Stock and (ii) such rights are subsequently invalidated or such holder</w:t>
      </w:r>
    </w:p>
    <w:p>
      <w:pPr>
        <w:spacing w:after="0" w:line="197"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A-24</w:t>
      </w:r>
    </w:p>
    <w:p>
      <w:pPr>
        <w:sectPr>
          <w:pgSz w:w="11900" w:h="16838" w:orient="portrait"/>
          <w:cols w:equalWidth="0" w:num="1">
            <w:col w:w="9688"/>
          </w:cols>
          <w:pgMar w:left="771" w:top="719" w:right="1440" w:bottom="860" w:gutter="0" w:footer="0" w:header="0"/>
        </w:sectPr>
      </w:pPr>
    </w:p>
    <w:bookmarkStart w:id="422" w:name="page423"/>
    <w:bookmarkEnd w:id="422"/>
    <w:p>
      <w:pPr>
        <w:ind w:right="1839"/>
        <w:spacing w:after="0" w:line="253" w:lineRule="auto"/>
        <w:rPr>
          <w:sz w:val="20"/>
          <w:szCs w:val="20"/>
          <w:color w:val="auto"/>
        </w:rPr>
      </w:pPr>
      <w:r>
        <w:rPr>
          <w:rFonts w:ascii="Courier New" w:cs="Courier New" w:eastAsia="Courier New" w:hAnsi="Courier New"/>
          <w:sz w:val="17"/>
          <w:szCs w:val="17"/>
          <w:color w:val="auto"/>
        </w:rPr>
        <w:t>subsequently withdraws his purported exercise of such rights, then Parent shall deliver to such holder at such time the merger consideration payable pursuant to this Article 4 in respect of the shares of AT&amp;T Broadband Common Stock issuable in the Distribution in respect such holder's shares of AT&amp;T Common Stock.</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4.03. Section 355(e) Top-up. (a) In the event that the A Shareholder Approval has been obtained and if, but for a disparity in the per share value of the Parent Class A Common Stock and the Parent Class A Special Common Stock, the Qualified Holders would have received a number of shares of Parent Common Stock pursuant to Section 4.01(a)(iii)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 of Parent Common Stock; provided, however, that Parent shall not be obligated to issue additional shares pursuant to this Section 4.03(a) to the extent that AT&amp;T has issued shares in breach of Section 8.01(v) of this Agreement.</w:t>
      </w:r>
    </w:p>
    <w:p>
      <w:pPr>
        <w:spacing w:after="0" w:line="201" w:lineRule="exact"/>
        <w:rPr>
          <w:sz w:val="20"/>
          <w:szCs w:val="20"/>
          <w:color w:val="auto"/>
        </w:rPr>
      </w:pPr>
    </w:p>
    <w:p>
      <w:pPr>
        <w:ind w:right="1939" w:firstLine="531"/>
        <w:spacing w:after="0" w:line="251" w:lineRule="auto"/>
        <w:tabs>
          <w:tab w:leader="none" w:pos="943" w:val="left"/>
        </w:tabs>
        <w:numPr>
          <w:ilvl w:val="0"/>
          <w:numId w:val="4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A Shareholder Approval has not been obtained and if, but for a disparity in the per share value of the Parent Class C Common Stock and the Parent Class A Special Common Stock, the Qualified Holders would have received a number of shares of Parent Common Stock pursuant to Section</w:t>
      </w:r>
    </w:p>
    <w:p>
      <w:pPr>
        <w:ind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4.01(c)(iii)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 of Parent Common Stock; provided, however, that Parent shall not be obligated to issue additional shares pursuant to this Section 4.03(b) to the extent that AT&amp;T has issued shares in breach of Section 8.01(v) of this Agreement.</w:t>
      </w:r>
    </w:p>
    <w:p>
      <w:pPr>
        <w:spacing w:after="0" w:line="201" w:lineRule="exact"/>
        <w:rPr>
          <w:rFonts w:ascii="Courier New" w:cs="Courier New" w:eastAsia="Courier New" w:hAnsi="Courier New"/>
          <w:sz w:val="17"/>
          <w:szCs w:val="17"/>
          <w:color w:val="auto"/>
        </w:rPr>
      </w:pPr>
    </w:p>
    <w:p>
      <w:pPr>
        <w:ind w:right="1939" w:firstLine="531"/>
        <w:spacing w:after="0" w:line="252" w:lineRule="auto"/>
        <w:tabs>
          <w:tab w:leader="none" w:pos="943" w:val="left"/>
        </w:tabs>
        <w:numPr>
          <w:ilvl w:val="0"/>
          <w:numId w:val="4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4.03, (i) "QUALIFIED HOLDERS" shall mean the holders of AT&amp;T Broadband Common Stock other than holders that receive such shares "pursuant to a plan or series of related transactions" with the Distribution (within the meaning of Section 355(e) of the Code) and (ii) the total value of all shares of Parent Common Stock shall be determined in accordance with Section 4.03 of the Comcast Disclosure Schedule.</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4.04. Additional Payment. (a) In the event that the A Shareholder Approval has been obtained and prior to the Effective Time Standard and Poors' has not committed that the Parent Class A Common Stock will be included in the Index immediately after the Effective Time, then in addition to the consideration payable pursuant to Section 4.01(a)(iii), each holder of shares of AT&amp;T Broadband Common Stock shall be entitled to receive, in exchange for each of such holder's shares, a non-transferable security (the "K/A SECURITY") entitling the holder to the rights described in the next sentence. Each holder of a K/A Security shall be entitled to receive from Parent, in exchange for and in full satisfaction of such holder's rights under such K/A Security, a number of shares of Parent Class A Common Stock equal to the product of (i) the Exchange Ratio and (ii) the K/A Price Differential; provided that if the Parent Class A Common Stock is included in the Index at any time prior to the end of the Pricing Period, all rights under the K/A Security shall immediately terminate. The number of shares of Parent Class A Common Stock issuable pursuant to the preceding sentence (if any) in respect of each K/A Security will be reduced by the number of shares of Parent Class A Common Stock previously issued pursuant to Section 4.03(a) (if any) in respect of each share of AT&amp;T Broadband Common Stock.</w:t>
      </w:r>
    </w:p>
    <w:p>
      <w:pPr>
        <w:spacing w:after="0" w:line="200" w:lineRule="exact"/>
        <w:rPr>
          <w:sz w:val="20"/>
          <w:szCs w:val="20"/>
          <w:color w:val="auto"/>
        </w:rPr>
      </w:pPr>
    </w:p>
    <w:p>
      <w:pPr>
        <w:spacing w:after="0" w:line="203" w:lineRule="exact"/>
        <w:rPr>
          <w:sz w:val="20"/>
          <w:szCs w:val="20"/>
          <w:color w:val="auto"/>
        </w:rPr>
      </w:pPr>
    </w:p>
    <w:p>
      <w:pPr>
        <w:ind w:right="1839" w:firstLine="531"/>
        <w:spacing w:after="0" w:line="251" w:lineRule="auto"/>
        <w:tabs>
          <w:tab w:leader="none" w:pos="943" w:val="left"/>
        </w:tabs>
        <w:numPr>
          <w:ilvl w:val="0"/>
          <w:numId w:val="4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A Shareholder Approval has not been obtained and prior to the Effective Time Standard and Poors' has not committed that the Parent Class C Common Stock will be included in the Index immediately after the Effective Time, then in addition to the consideration payable pursuant to Section 4.01(c)(iii), each holder of shares of AT&amp;T Broadband Common Stock shall be entitled to receive, in exchange for each of such holder's shares, a non-transferable security (the "K/C SECURITY") entitling the holder to the rights described in the next sentence. Each holder of a K/C Security shall be entitled to receive from Parent, in exchange for and in full satisfaction of such holder's rights under such</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A-25</w:t>
      </w:r>
    </w:p>
    <w:p>
      <w:pPr>
        <w:sectPr>
          <w:pgSz w:w="11900" w:h="16838" w:orient="portrait"/>
          <w:cols w:equalWidth="0" w:num="1">
            <w:col w:w="10219"/>
          </w:cols>
          <w:pgMar w:left="240" w:top="719" w:right="1440" w:bottom="1440" w:gutter="0" w:footer="0" w:header="0"/>
        </w:sectPr>
      </w:pPr>
    </w:p>
    <w:bookmarkStart w:id="423" w:name="page424"/>
    <w:bookmarkEnd w:id="423"/>
    <w:p>
      <w:pPr>
        <w:ind w:right="1939"/>
        <w:spacing w:after="0" w:line="251" w:lineRule="auto"/>
        <w:rPr>
          <w:sz w:val="20"/>
          <w:szCs w:val="20"/>
          <w:color w:val="auto"/>
        </w:rPr>
      </w:pPr>
      <w:r>
        <w:rPr>
          <w:rFonts w:ascii="Courier New" w:cs="Courier New" w:eastAsia="Courier New" w:hAnsi="Courier New"/>
          <w:sz w:val="17"/>
          <w:szCs w:val="17"/>
          <w:color w:val="auto"/>
        </w:rPr>
        <w:t>K/C Security, a number of shares of Parent Class C Common Stock equal to the product of (i) the Exchange Ratio and (ii) the K/C Price Differential; provided that if the Parent Class C Common Stock is included in the Index at any time prior to the end of the Pricing Period, all rights under the K/C Security shall immediately terminate. The number of shares of Parent Class C Common Stock issuable pursuant to the preceding sentence (if any) in respect of each K/C Security will be reduced by the number of shares of Parent Class C Common Stock previously issued pursuant to Section 4.03(b) (if any) in respect of each share of AT&amp;T Broadband Common Stock.</w:t>
      </w:r>
    </w:p>
    <w:p>
      <w:pPr>
        <w:spacing w:after="0" w:line="201" w:lineRule="exact"/>
        <w:rPr>
          <w:sz w:val="20"/>
          <w:szCs w:val="20"/>
          <w:color w:val="auto"/>
        </w:rPr>
      </w:pPr>
    </w:p>
    <w:p>
      <w:pPr>
        <w:ind w:left="540"/>
        <w:spacing w:after="0"/>
        <w:tabs>
          <w:tab w:leader="none" w:pos="2080" w:val="left"/>
          <w:tab w:leader="none" w:pos="5740" w:val="left"/>
        </w:tabs>
        <w:rPr>
          <w:sz w:val="20"/>
          <w:szCs w:val="20"/>
          <w:color w:val="auto"/>
        </w:rPr>
      </w:pPr>
      <w:r>
        <w:rPr>
          <w:rFonts w:ascii="Courier New" w:cs="Courier New" w:eastAsia="Courier New" w:hAnsi="Courier New"/>
          <w:sz w:val="17"/>
          <w:szCs w:val="17"/>
          <w:color w:val="auto"/>
        </w:rPr>
        <w:t>SECTION 4.05.</w:t>
        <w:tab/>
        <w:t>Additional Exchange Arrangements.</w:t>
        <w:tab/>
        <w:t>In the event that any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40" w:type="dxa"/>
            <w:vAlign w:val="bottom"/>
            <w:gridSpan w:val="2"/>
          </w:tcPr>
          <w:p>
            <w:pPr>
              <w:spacing w:after="0"/>
              <w:rPr>
                <w:sz w:val="20"/>
                <w:szCs w:val="20"/>
                <w:color w:val="auto"/>
              </w:rPr>
            </w:pPr>
            <w:r>
              <w:rPr>
                <w:rFonts w:ascii="Courier New" w:cs="Courier New" w:eastAsia="Courier New" w:hAnsi="Courier New"/>
                <w:sz w:val="17"/>
                <w:szCs w:val="17"/>
                <w:color w:val="auto"/>
              </w:rPr>
              <w:t>additional shares</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59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Parent Common Stock will be issued pursuant to Section</w:t>
            </w:r>
          </w:p>
        </w:tc>
      </w:tr>
      <w:tr>
        <w:trPr>
          <w:trHeight w:val="201"/>
        </w:trPr>
        <w:tc>
          <w:tcPr>
            <w:tcW w:w="1320" w:type="dxa"/>
            <w:vAlign w:val="bottom"/>
          </w:tcPr>
          <w:p>
            <w:pPr>
              <w:spacing w:after="0"/>
              <w:rPr>
                <w:sz w:val="20"/>
                <w:szCs w:val="20"/>
                <w:color w:val="auto"/>
              </w:rPr>
            </w:pPr>
            <w:r>
              <w:rPr>
                <w:rFonts w:ascii="Courier New" w:cs="Courier New" w:eastAsia="Courier New" w:hAnsi="Courier New"/>
                <w:sz w:val="17"/>
                <w:szCs w:val="17"/>
                <w:color w:val="auto"/>
              </w:rPr>
              <w:t>4.03, Parent</w:t>
            </w: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will</w:t>
            </w:r>
          </w:p>
        </w:tc>
        <w:tc>
          <w:tcPr>
            <w:tcW w:w="57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enter into arrangements with the Exchange Agent (which</w:t>
            </w:r>
          </w:p>
        </w:tc>
        <w:tc>
          <w:tcPr>
            <w:tcW w:w="48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Courier New" w:cs="Courier New" w:eastAsia="Courier New" w:hAnsi="Courier New"/>
                <w:sz w:val="17"/>
                <w:szCs w:val="17"/>
                <w:color w:val="auto"/>
              </w:rPr>
              <w:t>arrangements</w:t>
            </w: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will</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be</w:t>
            </w:r>
          </w:p>
        </w:tc>
        <w:tc>
          <w:tcPr>
            <w:tcW w:w="5440" w:type="dxa"/>
            <w:vAlign w:val="bottom"/>
          </w:tcPr>
          <w:p>
            <w:pPr>
              <w:ind w:left="40"/>
              <w:spacing w:after="0"/>
              <w:rPr>
                <w:sz w:val="20"/>
                <w:szCs w:val="20"/>
                <w:color w:val="auto"/>
              </w:rPr>
            </w:pPr>
            <w:r>
              <w:rPr>
                <w:rFonts w:ascii="Courier New" w:cs="Courier New" w:eastAsia="Courier New" w:hAnsi="Courier New"/>
                <w:sz w:val="17"/>
                <w:szCs w:val="17"/>
                <w:color w:val="auto"/>
              </w:rPr>
              <w:t>comparable to the arrangements described in Section</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4.02</w:t>
            </w:r>
          </w:p>
        </w:tc>
      </w:tr>
    </w:tbl>
    <w:p>
      <w:pPr>
        <w:spacing w:after="0" w:line="4"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and will be mutually agreed upon by Comcast and AT&amp;T) providing for the delivery to the applicable holders of shares of Parent Common Stock of such additional shares of Parent Common Stock as soon as reasonably practicable after such additional shares become payable pursuant to Section 4.03. In the event that any K/A Securities or K/C Securities will be issued pursuant to Section 4.04, or any additional shares of Parent Common Stock will be issued in respect of any K/A Securities or K/C Securities pursuant to Section 4.04, Parent will enter into arrangements with the Exchange Agent (which arrangements will be comparable to the arrangements described in Section 4.02 and will be mutually agreed upon by Comcast and AT&amp;T) providing for the delivery to the applicable Persons of such Securities or such additional shares of Parent Common Stock as soon as reasonably practicable after such Securities or additional shares become payable pursuant to Section 4.04.</w:t>
      </w:r>
    </w:p>
    <w:p>
      <w:pPr>
        <w:spacing w:after="0" w:line="201"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5</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REPRESENTATIONS AND WARRANTIES OF COMCAST</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Except as set forth in the Comcast Disclosure Schedule, regardless of whether the relevant Section herein refers to the Comcast Disclosure Schedule, or in the Specified Comcast SEC Documents filed prior to the date hereof, Comcast represents and warrants to AT&amp;T as follows: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5.01. Corporate Existence and Power. Comcast is a corporation duly incorporated, validly existing and in good standing under the laws of the Commonwealth of Pennsylvania and has all corporate powers required to carry on its business as currently conducted. Comcast is duly qualified to do business as a foreign corporation and is in good standing in each jurisdiction where such qualification is necessary, except for those jurisdictions where failure to be so qualified, individually or in the aggregate, has not had and would not reasonably be expected to have a Comcast Material Adverse Effect. Comcast has heretofore delivered or made available to AT&amp;T true and complete copies of the articles of incorporation and bylaws of Comcast as currently in effect.</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5.02. Corporate Authorization. (a) The execution, delivery and performance by Comcast of this Agreement and the consummation by Comcast of the transactions contemplated hereby are within Comcast's corporate powers and, except for the Comcast Shareholders' Approval, have been duly authorized by all necessary corporate action on the part of Comcast. This Agreement constitutes a valid and binding agreement of Comcast, enforceable against Comcast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201" w:lineRule="exact"/>
        <w:rPr>
          <w:sz w:val="20"/>
          <w:szCs w:val="20"/>
          <w:color w:val="auto"/>
        </w:rPr>
      </w:pPr>
    </w:p>
    <w:p>
      <w:pPr>
        <w:ind w:right="1839" w:firstLine="531"/>
        <w:spacing w:after="0" w:line="252" w:lineRule="auto"/>
        <w:tabs>
          <w:tab w:leader="none" w:pos="943" w:val="left"/>
        </w:tabs>
        <w:numPr>
          <w:ilvl w:val="0"/>
          <w:numId w:val="4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 meeting duly called and held, Comcast's Board of Directors has unanimously (i) determined that this Agreement and the transactions contemplated hereby is fair to and in the best interests of Comcast shareholders; (ii) approved and adopted this Agreement and the transactions contemplated hereby; and (iii) resolved to recommend adoption of this Agreement by Comcast shareholders.</w:t>
      </w:r>
    </w:p>
    <w:p>
      <w:pPr>
        <w:spacing w:after="0" w:line="399"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SECTION 5.03. Governmental Authorization. The execution, delivery and performance by Comcast of this Agreement and the consummation by Comcast of the transactions contemplated hereby require no</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A-26</w:t>
      </w:r>
    </w:p>
    <w:p>
      <w:pPr>
        <w:sectPr>
          <w:pgSz w:w="11900" w:h="16838" w:orient="portrait"/>
          <w:cols w:equalWidth="0" w:num="1">
            <w:col w:w="10219"/>
          </w:cols>
          <w:pgMar w:left="240" w:top="719" w:right="1440" w:bottom="1440" w:gutter="0" w:footer="0" w:header="0"/>
        </w:sectPr>
      </w:pPr>
    </w:p>
    <w:bookmarkStart w:id="424" w:name="page425"/>
    <w:bookmarkEnd w:id="424"/>
    <w:p>
      <w:pPr>
        <w:ind w:right="1839"/>
        <w:spacing w:after="0" w:line="251" w:lineRule="auto"/>
        <w:rPr>
          <w:sz w:val="20"/>
          <w:szCs w:val="20"/>
          <w:color w:val="auto"/>
        </w:rPr>
      </w:pPr>
      <w:r>
        <w:rPr>
          <w:rFonts w:ascii="Courier New" w:cs="Courier New" w:eastAsia="Courier New" w:hAnsi="Courier New"/>
          <w:sz w:val="17"/>
          <w:szCs w:val="17"/>
          <w:color w:val="auto"/>
        </w:rPr>
        <w:t>action by or in respect of, or filing with, any United States federal, state or local, foreign or supranational governmental body, agency, official or authority (a "GOVERNMENTAL AUTHORITY"), other than (a) notices to, or consents or waivers from, the relevant Franchising Authorities in respect of the Franchises for the Systems owned and operated by Comcast or the Comcast Subsidiaries (the "COMCAST FRANCHISE CONSENTS"), and the FCC in connection with a change of control and/or assignment of the holder of the FCC licenses of Comcast and the Comcast Subsidiaries ("COMCAST LICENSE CONSENTS"); (b) notices to, consents or waivers from the state public service and public utilities commissions having jurisdiction over the assets of Comcast and the Comcast Subsidiaries ("COMCAST PUC CONSENTS"); (c) the filing of the PA Articles of Merger pursuant to the PBCL and appropriate documents with the relevant authorities of other states in which Comcast is qualified to do business; (d) compliance with any applicable requirements of the HSR Act; (e) compliance with any applicable requirements of the 1933 Act, the 1934 Act, and any other applicable securities laws, whether United States state or foreign; and (f) any actions or filings the absence of which, individually or in the aggregate, would not reasonably be expected to have a Comcast Material Adverse Effect or prohibit or materially impair or delay the ability of Comcast to consummate the transactions contemplated by this Agreement.</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5.04. Non-contravention. The execution, delivery and performance by Comcast of this Agreement and the consummation by Comcast of the transactions contemplated hereby do not and will not (a) contravene, conflict with, or result in any violation or breach of any provision of the articles of incorporation or bylaws of Comcast; (b) assuming compliance with the matters referred to in Section 5.03, contravene, conflict with or result in a violation or breach of any provision of any applicable law, statute, ordinance, rule, regulation, judgment, injunction, order, or decree; (c) 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Comcast or any Comcast Subsidiary is entitled under (i) any provision of any agreement or other instrument binding upon Comcast or any Comcast Subsidiary or any of their respective assets or properties or (ii) any license, franchise, permit, certificate, approval or other similar authorization held by, or affecting, or relating in any way to, the assets, properties or business of, Comcast or any Comcast Subsidiary; or (d) result in the creation or imposition of any Lien on any asset or property of Comcast or any Comcast Subsidiary, other than such exceptions in the case of clauses (b), (c) and (d) above as would not, individually or in the aggregate, reasonably be expected to have a Comcast Material Adverse Effect or prohibit or materially impair or delay the ability of Comcast to consummate the transactions contemplated hereby.</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5.05. Capitalization. (a) The authorized capital stock of Comcast consists of (i) 200,000,000 shares of Comcast Class A Common Stock, (ii) 50,000,000 shares of Comcast Class B Common Stock, (iii) 2,500,000,000 shares of Comcast Class A Special Common Stock and (iv) 20,000,000 shares of preferred stock. As of the close of business on November 30, 2001, there were outstanding</w:t>
      </w:r>
    </w:p>
    <w:p>
      <w:pPr>
        <w:ind w:right="1839" w:firstLine="7"/>
        <w:spacing w:after="0" w:line="251" w:lineRule="auto"/>
        <w:tabs>
          <w:tab w:leader="none" w:pos="419" w:val="left"/>
        </w:tabs>
        <w:numPr>
          <w:ilvl w:val="0"/>
          <w:numId w:val="4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21,829,422 shares of Comcast Class A Common Stock, (2) 9,444,375 shares of Comcast Class B Common Stock, (3) 913,778,527 shares of Comcast Class A Special Common Stock (inclusive of shares issued pursuant to the Comcast ESPP but exclusive of all shares of restricted stock granted under any compensatory plan or arrangements), (4) Comcast Stock Options to purchase an aggregate of 55,853,196 shares of Comcast Class A Special Common Stock (of which options to purchase an aggregate of 16,822,181 shares of Comcast Class A Special Common Stock were exercisable), (5) phantom shares, stock units, stock appreciation rights, other stock-based awards or other deferred stock awards issued under any stock option, compensation or deferred compensation plan or arrangement with respect to an aggregate of 6,808,916 shares of Comcast Class A Special Common Stock and (6) no shares of preferred stock. As of November 30, 2001, no shares of Comcast Common Stock were held in trust or in treasury. All outstanding shares of capital stock of Comcast have been, and all shares that may be issued pursuant to any compensatory plan or arrangement will be, when issued in accordance with the respective terms thereof, duly authorized, validly issued, fully paid and nonassessable.</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A-27</w:t>
      </w:r>
    </w:p>
    <w:p>
      <w:pPr>
        <w:sectPr>
          <w:pgSz w:w="11900" w:h="16838" w:orient="portrait"/>
          <w:cols w:equalWidth="0" w:num="1">
            <w:col w:w="10219"/>
          </w:cols>
          <w:pgMar w:left="240" w:top="719" w:right="1440" w:bottom="1440" w:gutter="0" w:footer="0" w:header="0"/>
        </w:sectPr>
      </w:pPr>
    </w:p>
    <w:bookmarkStart w:id="425" w:name="page426"/>
    <w:bookmarkEnd w:id="425"/>
    <w:p>
      <w:pPr>
        <w:ind w:right="1839" w:firstLine="531"/>
        <w:spacing w:after="0" w:line="251" w:lineRule="auto"/>
        <w:tabs>
          <w:tab w:leader="none" w:pos="943" w:val="left"/>
        </w:tabs>
        <w:numPr>
          <w:ilvl w:val="0"/>
          <w:numId w:val="4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this Section 5.05 and for changes since November 30, 2001 resulting from the exercise of Comcast Stock Options and the vesting of Comcast Equity Awards outstanding on such date, including, for the avoidance of doubt, options to purchase stock under the Comcast ESPP (and the grant or award of Comcast Stock Options and Comcast Equity Awards in the ordinary course of business and the exercise thereof, including, for the avoidance of doubt, options to purchase stock under the Comcast ESPP), there are no outstanding (i) shares of capital stock or voting securities of Comcast, (ii) securities of Comcast or any Comcast Subsidiary convertible into or exchangeable for shares of capital stock or voting securities of Comcast or (iii) options or other rights to acquire from Comcast or any Comcast Subsidiary, or other obligations of Comcast or any Comcast Subsidiary to issue, any capital stock, voting securities or securities convertible into or exchangeable for capital stock or voting securities of Comcast. There are no outstanding obligations of Comcast or any Comcast Subsidiary to repurchase, redeem or otherwise acquire any of the securities referred to in clause (i), (ii) or (iii) above (collectively, the "COMCAST SECURITIES").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5.06. Subsidiaries. (a) Each Comcast Subsidiary is a corporation or other legal entity duly organized, 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 Comcast Material Adverse Effect. Each Comcast Subsidiary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 Comcast Material Adverse Effect. Section</w:t>
      </w:r>
    </w:p>
    <w:p>
      <w:pPr>
        <w:ind w:right="2259"/>
        <w:spacing w:after="0" w:line="257" w:lineRule="auto"/>
        <w:rPr>
          <w:sz w:val="20"/>
          <w:szCs w:val="20"/>
          <w:color w:val="auto"/>
        </w:rPr>
      </w:pPr>
      <w:r>
        <w:rPr>
          <w:rFonts w:ascii="Courier New" w:cs="Courier New" w:eastAsia="Courier New" w:hAnsi="Courier New"/>
          <w:sz w:val="17"/>
          <w:szCs w:val="17"/>
          <w:color w:val="auto"/>
        </w:rPr>
        <w:t>5.06(a) of the Comcast Disclosure Schedule sets forth a list of all Comcast Significant Subsidiaries and their respective jurisdictions of organization.</w:t>
      </w:r>
    </w:p>
    <w:p>
      <w:pPr>
        <w:spacing w:after="0" w:line="192" w:lineRule="exact"/>
        <w:rPr>
          <w:sz w:val="20"/>
          <w:szCs w:val="20"/>
          <w:color w:val="auto"/>
        </w:rPr>
      </w:pPr>
    </w:p>
    <w:p>
      <w:pPr>
        <w:ind w:right="1839" w:firstLine="531"/>
        <w:spacing w:after="0" w:line="251" w:lineRule="auto"/>
        <w:tabs>
          <w:tab w:leader="none" w:pos="943" w:val="left"/>
        </w:tabs>
        <w:numPr>
          <w:ilvl w:val="0"/>
          <w:numId w:val="4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outstanding capital stock of, or other voting securities or ownership interests in, each Comcast Significant Subsidiary is owned by Comcast,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Comcast or any Comcast Subsidiary convertible into or exchangeable for shares of capital stock or other voting securities or ownership interests in any Comcast Significant Subsidiary or (ii) options or other rights to acquire from Comcast or any Comcast Subsidiary, or other obligations of Comcast or any Comcast Subsidiary to issue, any capital stock, or other voting securities or ownership interests in, or any securities convertible into or exchangeable for any capital stock or other voting securities or ownership interests in, any Comcast Significant Subsidiary. There are no outstanding obligations of Comcast or any Comcast Significant Subsidiary to repurchase, redeem or otherwise acquire any of the items referred to in clauses (i) and (ii) above.</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5.07. SEC Filings. (a) Comcast has delivered or made available to AT&amp;T (i) Comcast's annual reports on Form 10-K for its fiscal years ended December 31, 2000, 1999 and 1998, (ii) Comcast's proxy or information statements relating to meetings of, or actions taken without a meeting by, Comcast shareholders held since December 31, 1998, and (iii) all of Comcast's other reports, statements, schedules and registration statements filed with the SEC since December 31, 1998 (the documents referred to in clauses (i), (ii) and</w:t>
      </w:r>
    </w:p>
    <w:p>
      <w:pPr>
        <w:ind w:left="640" w:hanging="633"/>
        <w:spacing w:after="0"/>
        <w:tabs>
          <w:tab w:leader="none" w:pos="640" w:val="left"/>
        </w:tabs>
        <w:numPr>
          <w:ilvl w:val="0"/>
          <w:numId w:val="4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collectively, the "COMCAST SEC DOCUMENTS").</w:t>
      </w:r>
    </w:p>
    <w:p>
      <w:pPr>
        <w:spacing w:after="0" w:line="210" w:lineRule="exact"/>
        <w:rPr>
          <w:rFonts w:ascii="Courier New" w:cs="Courier New" w:eastAsia="Courier New" w:hAnsi="Courier New"/>
          <w:sz w:val="17"/>
          <w:szCs w:val="17"/>
          <w:color w:val="auto"/>
        </w:rPr>
      </w:pPr>
    </w:p>
    <w:p>
      <w:pPr>
        <w:ind w:right="1939" w:firstLine="531"/>
        <w:spacing w:after="0" w:line="252" w:lineRule="auto"/>
        <w:tabs>
          <w:tab w:leader="none" w:pos="943" w:val="left"/>
        </w:tabs>
        <w:numPr>
          <w:ilvl w:val="1"/>
          <w:numId w:val="4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its filing date (and, if amended or superceded by a filing prior to the date of this Agreement or the Effective Time, then on the date of such filing), each Comcast SEC Document complied as to form in all material respects with the applicable requirements of the 1933 Act and the 1934 Act, as the case may be.</w:t>
      </w:r>
    </w:p>
    <w:p>
      <w:pPr>
        <w:spacing w:after="0" w:line="197"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1"/>
          <w:numId w:val="4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its filing date (and, if amended or superceded by a filing prior to the date of this Agreement or the Effective Time, then on the date of such filing), each Comcast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A-28</w:t>
      </w:r>
    </w:p>
    <w:p>
      <w:pPr>
        <w:sectPr>
          <w:pgSz w:w="11900" w:h="16838" w:orient="portrait"/>
          <w:cols w:equalWidth="0" w:num="1">
            <w:col w:w="10219"/>
          </w:cols>
          <w:pgMar w:left="240" w:top="719" w:right="1440" w:bottom="1062" w:gutter="0" w:footer="0" w:header="0"/>
        </w:sectPr>
      </w:pPr>
    </w:p>
    <w:bookmarkStart w:id="426" w:name="page427"/>
    <w:bookmarkEnd w:id="426"/>
    <w:p>
      <w:pPr>
        <w:ind w:right="1839" w:firstLine="531"/>
        <w:spacing w:after="0" w:line="252" w:lineRule="auto"/>
        <w:tabs>
          <w:tab w:leader="none" w:pos="943" w:val="left"/>
        </w:tabs>
        <w:numPr>
          <w:ilvl w:val="0"/>
          <w:numId w:val="4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Comcast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5.08. Financial Statements. The audited consolidated financial statements and unaudited consolidated interim financial statements of Comcast included in the Comcast SEC Documents fairly present, in all material respects, in conformity with United States generally accepted accounting principles ("GAAP") applied on a consistent basis (except as may be indicated in the notes thereto), the consolidated financial position of Comcast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5.09. Information Supplied. The information supplied by Comcast for inclusion or incorporation in the registration statement on Form S-4 or any amendment or supplement thereto pursuant to which shares of Parent Common Stock (and any K/A Securities or K/C Securities) issuable in the Mergers will be registered with the SEC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Comcast for inclusion in the joint proxy statement/prospectus or any amendment or supplement thereto (the "JOINT PROXY STATEMENT") to be sent to Comcast shareholders in connection with their meeting to consider this Agreement and the Comcast Merger (the "COMCAST SHAREHOLDERS' MEETING") and to be sent to AT&amp;T shareholders in connection with their meeting to consider this Agreement and the AT&amp;T Broadband Merger (the "AT&amp;T SHAREHOLDERS' MEETING")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5.10. Absence of Certain Changes. Since the Comcast Balance Sheet Date, the business of Comcast and the Comcast Subsidiaries has been conducted in the ordinary course of business consistent with past practices, and there has not been (i) any event, occurrence or development of a state of circumstances or facts that, individually or in the aggregate, has had or would reasonably be expected to have a Comcast Material Adverse Effect or (ii) any action, event, occurrence or transaction that would have been prohibited by clause (iii), (iv), (vii), (viii) or (ix) of Section 7.01 if this Agreement had been in effect at the time thereof or any agreement, arrangement or commitment in respect of any action, event, occurrence or transaction that would have been prohibited by the foregoing clauses of Section 7.01 if this Agreement had been in effect at the time thereof.</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5.11. No Undisclosed Material Liabilities. There are no liabilities or obligations of Comcast or any Comcast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399" w:lineRule="exact"/>
        <w:rPr>
          <w:sz w:val="20"/>
          <w:szCs w:val="20"/>
          <w:color w:val="auto"/>
        </w:rPr>
      </w:pPr>
    </w:p>
    <w:p>
      <w:pPr>
        <w:ind w:left="540" w:right="2459" w:firstLine="515"/>
        <w:spacing w:after="0" w:line="257" w:lineRule="auto"/>
        <w:tabs>
          <w:tab w:leader="none" w:pos="1483" w:val="left"/>
        </w:tabs>
        <w:numPr>
          <w:ilvl w:val="0"/>
          <w:numId w:val="4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disclosed and provided for in the Comcast Balance Sheet or in the notes thereto;</w:t>
      </w:r>
    </w:p>
    <w:p>
      <w:pPr>
        <w:spacing w:after="0" w:line="191" w:lineRule="exact"/>
        <w:rPr>
          <w:rFonts w:ascii="Courier New" w:cs="Courier New" w:eastAsia="Courier New" w:hAnsi="Courier New"/>
          <w:sz w:val="17"/>
          <w:szCs w:val="17"/>
          <w:color w:val="auto"/>
        </w:rPr>
      </w:pPr>
    </w:p>
    <w:p>
      <w:pPr>
        <w:ind w:left="540" w:right="2359" w:firstLine="515"/>
        <w:spacing w:after="0" w:line="254" w:lineRule="auto"/>
        <w:tabs>
          <w:tab w:leader="none" w:pos="1483" w:val="left"/>
        </w:tabs>
        <w:numPr>
          <w:ilvl w:val="0"/>
          <w:numId w:val="4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incurred since the Comcast Balance Sheet Date in the ordinary course of business of the Comcast Group consistent with past practice;</w:t>
      </w:r>
    </w:p>
    <w:p>
      <w:pPr>
        <w:spacing w:after="0" w:line="194" w:lineRule="exact"/>
        <w:rPr>
          <w:rFonts w:ascii="Courier New" w:cs="Courier New" w:eastAsia="Courier New" w:hAnsi="Courier New"/>
          <w:sz w:val="17"/>
          <w:szCs w:val="17"/>
          <w:color w:val="auto"/>
        </w:rPr>
      </w:pPr>
    </w:p>
    <w:p>
      <w:pPr>
        <w:ind w:left="540" w:right="2259" w:firstLine="515"/>
        <w:spacing w:after="0" w:line="254" w:lineRule="auto"/>
        <w:tabs>
          <w:tab w:leader="none" w:pos="1483" w:val="left"/>
        </w:tabs>
        <w:numPr>
          <w:ilvl w:val="0"/>
          <w:numId w:val="4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under commercial transactions and agreements in accordance with their terms or arising in compliance with applicable laws, statutes, ordinances, rules or regulations; or</w:t>
      </w:r>
    </w:p>
    <w:p>
      <w:pPr>
        <w:spacing w:after="0" w:line="194" w:lineRule="exact"/>
        <w:rPr>
          <w:rFonts w:ascii="Courier New" w:cs="Courier New" w:eastAsia="Courier New" w:hAnsi="Courier New"/>
          <w:sz w:val="17"/>
          <w:szCs w:val="17"/>
          <w:color w:val="auto"/>
        </w:rPr>
      </w:pPr>
    </w:p>
    <w:p>
      <w:pPr>
        <w:ind w:left="540" w:right="1839" w:firstLine="515"/>
        <w:spacing w:after="0" w:line="254" w:lineRule="auto"/>
        <w:tabs>
          <w:tab w:leader="none" w:pos="1483" w:val="left"/>
        </w:tabs>
        <w:numPr>
          <w:ilvl w:val="0"/>
          <w:numId w:val="4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that, individually or in the aggregate, have not had and would not reasonably be expected to have a Comcast Material Adverse Effect.</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A-29</w:t>
      </w:r>
    </w:p>
    <w:p>
      <w:pPr>
        <w:sectPr>
          <w:pgSz w:w="11900" w:h="16838" w:orient="portrait"/>
          <w:cols w:equalWidth="0" w:num="1">
            <w:col w:w="10219"/>
          </w:cols>
          <w:pgMar w:left="240" w:top="719" w:right="1440" w:bottom="658" w:gutter="0" w:footer="0" w:header="0"/>
        </w:sectPr>
      </w:pPr>
    </w:p>
    <w:bookmarkStart w:id="427" w:name="page428"/>
    <w:bookmarkEnd w:id="427"/>
    <w:p>
      <w:pPr>
        <w:ind w:right="1839" w:firstLine="524"/>
        <w:spacing w:after="0" w:line="251" w:lineRule="auto"/>
        <w:rPr>
          <w:sz w:val="20"/>
          <w:szCs w:val="20"/>
          <w:color w:val="auto"/>
        </w:rPr>
      </w:pPr>
      <w:r>
        <w:rPr>
          <w:rFonts w:ascii="Courier New" w:cs="Courier New" w:eastAsia="Courier New" w:hAnsi="Courier New"/>
          <w:sz w:val="17"/>
          <w:szCs w:val="17"/>
          <w:color w:val="auto"/>
        </w:rPr>
        <w:t>SECTION 5.12. Compliance with Laws and Court Orders. Comcast and the Comcast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 Comcast Material Adverse Effect. Comcast and each of the Comcast Subsidiaries are, and have been in compliance with, and to the knowledge of Comcast,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 Comcast Material Adverse Effect.</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5.13. Litigation. There is no action, suit, investigation or proceeding (or any basis therefor) pending against, or, to the knowledge of Comcast, threatened against or affecting, Comcast, any Comcast Subsidiary or any of their respective assets or properties before any court or arbitrator or before or by any other Governmental Authority, that, individually or in the aggregate, would reasonably be expected to have a Comcast Material Adverse Effect.</w:t>
      </w:r>
    </w:p>
    <w:p>
      <w:pPr>
        <w:spacing w:after="0" w:line="398"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5.14. Finders' Fees. Except for Morgan Stanley &amp; Co. Incorporated, J.P. Morgan Securities Inc., Merrill Lynch, Pierce, Fenner &amp; Smith Incorporated and Quadrangle Group, whose fees will be paid by Comcast, there is no investment banker, broker, finder or other intermediary that has been retained by or is authorized to act on behalf of Comcast or any Comcast Subsidiary who might be entitled to any fee or commission in connection with the transactions contemplated by this Agreement and the other Transaction Agreements. A copy of Comcast's engagement agreement with each of Morgan Stanley &amp; Co. Incorporated, J.P. Morgan Securities Inc., Merrill Lynch, Pierce, Fenner &amp; Smith Incorporated and Quadrangle Group has been provided to AT&amp;T.</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5.15. Opinion of Financial Advisor. Comcast has received an opinion of each of Morgan Stanley &amp; Co. Incorporated, J.P. Morgan Securities Inc., Merrill Lynch, Pierce, Fenner &amp; Smith Incorporated, financial advisors to Comcast, to the effect that, as of the date hereof, the conversion ratios in the Comcast Merger applicable to the holders of Comcast Common Stock, in the aggregate, are fair, from a financial point of view, to the Comcast shareholders, taken together.</w:t>
      </w:r>
    </w:p>
    <w:p>
      <w:pPr>
        <w:spacing w:after="0" w:line="398"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5.16. Taxes. Except as would not, individually or in the aggregate, reasonably be expected to have a Comcast Material Adverse Effect, (a) all Comcast and Comcast Subsidiary Tax Returns required to be filed on or before the Effective Time with any taxing authority by, or with respect to, Comcast and the Comcast Subsidiaries have been or will be timely filed (taking into account extensions) and are or will be correct in all respects (other than with respect to Taxes for which adequate reserves are reflected on the Comcast Balance Sheet); (b) Comcast and the Comcast Subsidiaries have timely paid or will timely pay all Taxes shown as due and payable on the Comcast Tax Returns that have been or will be so filed, and, as of the time of filing, the Comcast Tax Returns correctly reflected the facts regarding the income, business, assets, operations, activities and the status of Comcast and the Comcast Subsidiaries (other than with respect to Taxes for which adequate reserves are reflected on the Comcast Balance Sheet); (c) Comcast and the Comcast Subsidiaries have made provision for all Taxes payable by Comcast and the Comcast Subsidiaries for which no Comcast Tax Return has yet been filed; (d) there is no action, suit, proceeding, audit or claim currently proposed or pending against or with respect to Comcast or any Comcast Subsidiary in respect of any Tax where there is a reasonable possibility of an adverse determination; (e) the United States federal income Tax Returns of Comcast and the Comcast Subsidiaries have been examined and settled with the IRS (or the applicable statutes of limitation for the assessment of United States federal income Taxes for such periods have expired) for all years through 1993; (f) no extension of the statute of limitations on the assessment of any Taxes has been granted by Comcast or any Comcast Subsidiary and is currently in effect; (g) except for complete and accurate copies of Tax sharing agreements and amendments thereto made available to AT&amp;T prior to the execution of this Agreement and listed in Section 5.16 of the Comcast Disclosure Schedule, no agreements relating to the allocation or sharing of Taxes exist between Comcast and/or any of the Comcast Subsidiaries, 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A-30</w:t>
      </w:r>
    </w:p>
    <w:p>
      <w:pPr>
        <w:sectPr>
          <w:pgSz w:w="11900" w:h="16838" w:orient="portrait"/>
          <w:cols w:equalWidth="0" w:num="1">
            <w:col w:w="10219"/>
          </w:cols>
          <w:pgMar w:left="240" w:top="719" w:right="1440" w:bottom="659" w:gutter="0" w:footer="0" w:header="0"/>
        </w:sectPr>
      </w:pPr>
    </w:p>
    <w:bookmarkStart w:id="428" w:name="page429"/>
    <w:bookmarkEnd w:id="428"/>
    <w:p>
      <w:pPr>
        <w:ind w:right="1839"/>
        <w:spacing w:after="0" w:line="251" w:lineRule="auto"/>
        <w:rPr>
          <w:sz w:val="20"/>
          <w:szCs w:val="20"/>
          <w:color w:val="auto"/>
        </w:rPr>
      </w:pPr>
      <w:r>
        <w:rPr>
          <w:rFonts w:ascii="Courier New" w:cs="Courier New" w:eastAsia="Courier New" w:hAnsi="Courier New"/>
          <w:sz w:val="17"/>
          <w:szCs w:val="17"/>
          <w:color w:val="auto"/>
        </w:rPr>
        <w:t>the one hand, and a third party, on the other hand; and (h) there are no Liens for Taxes on any of the assets of Comcast or any Comcast Subsidiary except Liens for current Taxes not yet due and payable. "TAXES" means (i) any and all taxes, charges, fees, levies or other assessments, including all net income, gross income, gross receipts, excise, stamp, real or personal property, ad valorem, withholding, social security (or similar), unemployment, occupation, use, service, service use, license, net worth, payroll, franchise, severance, transfer, recording, employment, premium, windfall profits, environmental, customs duties, capital stock, profits, disability, sales, registration, value added, alternative or add-on minimum, estimated or other taxes, assessments or charges imposed by any Governmental Authority and any interest, penalties, or additions to tax attributable thereto, (ii) liability for the payment of any amount imposed on any Person of the type described in clause (i) as a result of being or having been before the Effective Time a member of an affiliated, consolidated, combined or unitary group and (iii) any liability for the payment of any amount imposed on any Person of the type described in (i) as a result of any existing express or implied indemnification agreement or arrangement. "TAX RETURNS" means any return, report, form or similar statement required to be filed with respect to any Tax (including any attached schedules), including any information return, claim for refund, amended return or declaration of estimated Tax.</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SECTION 5.17. Tax Opinions. Neither Comcast nor any Comcast Subsidiary has taken any action or knows of any facts or circumstances relating to Comcast or any Comcast Subsidiary that would prevent (i) the ruling or opinion referred to in Section 10.01(j) from being obtained or (ii) Davis Polk &amp; Wardwell from delivering the opinion referred to in Section 10.03(b) as of the date hereof.</w:t>
      </w:r>
    </w:p>
    <w:p>
      <w:pPr>
        <w:spacing w:after="0" w:line="197"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SECTION 5.18. Employee Benefit Plans and Labor Matters. Except as have not had and would not reasonably be expected to have, individually or in the aggregate, a Comcast Material Adverse Effect:</w:t>
      </w:r>
    </w:p>
    <w:p>
      <w:pPr>
        <w:spacing w:after="0" w:line="194" w:lineRule="exact"/>
        <w:rPr>
          <w:sz w:val="20"/>
          <w:szCs w:val="20"/>
          <w:color w:val="auto"/>
        </w:rPr>
      </w:pPr>
    </w:p>
    <w:p>
      <w:pPr>
        <w:ind w:left="540" w:right="1839" w:firstLine="515"/>
        <w:spacing w:after="0" w:line="251" w:lineRule="auto"/>
        <w:tabs>
          <w:tab w:leader="none" w:pos="1483" w:val="left"/>
        </w:tabs>
        <w:numPr>
          <w:ilvl w:val="0"/>
          <w:numId w:val="4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5.18(a) of the Comcast Disclosure Schedule contains a true and complete list, as of the date hereof, of all Comcast Employee Plans and all Comcast Benefit Arrangements. Copies of each Comcast Employee Plan and each Comcast Benefit Arrangement (and, if applicable, related trust agreements) and all amendments thereto have been made available to AT&amp;T as of the date hereof, together with the three most recent annual reports (Form 5500, including, if applicable, Schedule B thereto) and the most recent actuarial valuation report prepared in connection with any Comcast Employee Plan.</w:t>
      </w:r>
    </w:p>
    <w:p>
      <w:pPr>
        <w:spacing w:after="0" w:line="201" w:lineRule="exact"/>
        <w:rPr>
          <w:rFonts w:ascii="Courier New" w:cs="Courier New" w:eastAsia="Courier New" w:hAnsi="Courier New"/>
          <w:sz w:val="17"/>
          <w:szCs w:val="17"/>
          <w:color w:val="auto"/>
        </w:rPr>
      </w:pPr>
    </w:p>
    <w:p>
      <w:pPr>
        <w:ind w:left="540" w:right="2039" w:firstLine="515"/>
        <w:spacing w:after="0" w:line="253" w:lineRule="auto"/>
        <w:tabs>
          <w:tab w:leader="none" w:pos="1483" w:val="left"/>
        </w:tabs>
        <w:numPr>
          <w:ilvl w:val="0"/>
          <w:numId w:val="4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Comcast nor any ERISA Affiliate nor any predecessor thereof sponsors, maintains or contributes to any Comcast Employee Plan subject to Title IV of ERISA. Neither Comcast nor any ERISA Affiliate has any liability under Title IV of ERISA.</w:t>
      </w:r>
    </w:p>
    <w:p>
      <w:pPr>
        <w:spacing w:after="0" w:line="195" w:lineRule="exact"/>
        <w:rPr>
          <w:rFonts w:ascii="Courier New" w:cs="Courier New" w:eastAsia="Courier New" w:hAnsi="Courier New"/>
          <w:sz w:val="17"/>
          <w:szCs w:val="17"/>
          <w:color w:val="auto"/>
        </w:rPr>
      </w:pPr>
    </w:p>
    <w:p>
      <w:pPr>
        <w:ind w:left="540" w:right="2039" w:firstLine="515"/>
        <w:spacing w:after="0" w:line="252" w:lineRule="auto"/>
        <w:tabs>
          <w:tab w:leader="none" w:pos="1483" w:val="left"/>
        </w:tabs>
        <w:numPr>
          <w:ilvl w:val="0"/>
          <w:numId w:val="4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September 30, 2001, the aggregate unfunded liability of Comcast and any Comcast Subsidiary in respect of all Comcast Deferred Compensation Plans, computed using reasonable actuarial assumptions and determined as if all benefits under such plans were vested and payable as of such date, did not exceed $180 million.</w:t>
      </w:r>
    </w:p>
    <w:p>
      <w:pPr>
        <w:spacing w:after="0" w:line="197" w:lineRule="exact"/>
        <w:rPr>
          <w:rFonts w:ascii="Courier New" w:cs="Courier New" w:eastAsia="Courier New" w:hAnsi="Courier New"/>
          <w:sz w:val="17"/>
          <w:szCs w:val="17"/>
          <w:color w:val="auto"/>
        </w:rPr>
      </w:pPr>
    </w:p>
    <w:p>
      <w:pPr>
        <w:jc w:val="both"/>
        <w:ind w:left="540" w:right="1839" w:firstLine="515"/>
        <w:spacing w:after="0" w:line="253" w:lineRule="auto"/>
        <w:tabs>
          <w:tab w:leader="none" w:pos="1483" w:val="left"/>
        </w:tabs>
        <w:numPr>
          <w:ilvl w:val="0"/>
          <w:numId w:val="4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Comcast or any Comcast Subsidiary has any liability with respect of post-retirement health, medical or life insurance benefits for retired, former or current employees of Comcast or the Comcast Subsidiaries except as required to avoid excise tax under Section 4980B of the Code.</w:t>
      </w:r>
    </w:p>
    <w:p>
      <w:pPr>
        <w:spacing w:after="0" w:line="195"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4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Comcast Employee Plan that is intended to be qualified under Section 401(a) of the Code is so qualified and a favorable determination letter is currently in effect for each such Comcast Employee Plan. To the knowledge of Comcast, no fact or circumstance exists giving rise to a material likelihood that such Comcast Employee Plan would not be treated as qualified by the Internal Revenue Service.</w:t>
      </w:r>
    </w:p>
    <w:p>
      <w:pPr>
        <w:spacing w:after="0" w:line="196"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4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contract, plan or arrangement (written or otherwise) covering any employee or former employee of Comcast or any Comcast Subsidiary that, individually or in the aggregate, could give rise to the payment of any amount by Comcast or any Comcast Subsidiary that would not be deductible pursuant to the terms of Sections 162(m) or 280G of the Code.</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A-31</w:t>
      </w:r>
    </w:p>
    <w:p>
      <w:pPr>
        <w:sectPr>
          <w:pgSz w:w="11900" w:h="16838" w:orient="portrait"/>
          <w:cols w:equalWidth="0" w:num="1">
            <w:col w:w="10219"/>
          </w:cols>
          <w:pgMar w:left="240" w:top="719" w:right="1440" w:bottom="1061" w:gutter="0" w:footer="0" w:header="0"/>
        </w:sectPr>
      </w:pPr>
    </w:p>
    <w:bookmarkStart w:id="429" w:name="page430"/>
    <w:bookmarkEnd w:id="429"/>
    <w:p>
      <w:pPr>
        <w:ind w:left="540" w:right="1839" w:firstLine="515"/>
        <w:spacing w:after="0" w:line="251" w:lineRule="auto"/>
        <w:tabs>
          <w:tab w:leader="none" w:pos="1483" w:val="left"/>
        </w:tabs>
        <w:numPr>
          <w:ilvl w:val="0"/>
          <w:numId w:val="4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has made available to AT&amp;T, as of the date hereof, a true and complete list and copies of each material Comcast International Plan, other than plans mandated by applicable law. According to the actuarial assumptions and valuations most recently used for the purpose of funding each Comcast International Plan (or, if the same has no such assumptions and valuations or is unfunded, according to actuarial assumptions and valuations in use by the PBGC on the date hereof), as of December 31, 2000, the total amount or value of the funds available under such Comcast International Plan to pay benefits accrued thereunder or segregated in respect of such accrued benefits, together with any reserve or accrual with respect thereto, exceeded the present value of all benefits (actual or contingent) accrued as of such date of all participants and past participants therein in respect of which Comcast or any Comcast Subsidiary has or would have after the Effective Time any obligation.</w:t>
      </w:r>
    </w:p>
    <w:p>
      <w:pPr>
        <w:spacing w:after="0" w:line="201"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4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Comcast Employee Plan, Comcast Benefit Arrangement and Comcast International Plan has been maintained in compliance with its terms and with the requirements prescribed by all applicable laws, statutes, orders, rules and regulations (including any special provisions relating to registration or qualification where such plan was intended to be so registered or qualified) and has been maintained in good standing with applicable Governmental Authorities.</w:t>
      </w:r>
    </w:p>
    <w:p>
      <w:pPr>
        <w:spacing w:after="0" w:line="195" w:lineRule="exact"/>
        <w:rPr>
          <w:rFonts w:ascii="Courier New" w:cs="Courier New" w:eastAsia="Courier New" w:hAnsi="Courier New"/>
          <w:sz w:val="17"/>
          <w:szCs w:val="17"/>
          <w:color w:val="auto"/>
        </w:rPr>
      </w:pPr>
    </w:p>
    <w:p>
      <w:pPr>
        <w:ind w:left="540" w:right="1939" w:firstLine="515"/>
        <w:spacing w:after="0" w:line="252" w:lineRule="auto"/>
        <w:tabs>
          <w:tab w:leader="none" w:pos="1483" w:val="left"/>
        </w:tabs>
        <w:numPr>
          <w:ilvl w:val="0"/>
          <w:numId w:val="4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has been no amendment to, written interpretation or announcement (whether or not written) by Comcast or any of its Affiliates relating to, or change in employee participation coverage under, a Comcast Employee Plan, Comcast Benefit Arrangement or Comcast International Plan which would increase materially the expense of maintaining such plan above the level of expense incurred in respect thereof for the fiscal year ended December 31, 2000.</w:t>
      </w:r>
    </w:p>
    <w:p>
      <w:pPr>
        <w:spacing w:after="0" w:line="195"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4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employee or former employee or independent contractor of Comcast or any Comcast Subsidiary will become entitled to any bonus, retirement, severance, job security or similar benefit or enhanced or increased such benefit (including acceleration of vesting or exercise of an incentive award) as a result of the transactions contemplated hereby (either alone or together with any other event).</w:t>
      </w:r>
    </w:p>
    <w:p>
      <w:pPr>
        <w:spacing w:after="0" w:line="196" w:lineRule="exact"/>
        <w:rPr>
          <w:rFonts w:ascii="Courier New" w:cs="Courier New" w:eastAsia="Courier New" w:hAnsi="Courier New"/>
          <w:sz w:val="17"/>
          <w:szCs w:val="17"/>
          <w:color w:val="auto"/>
        </w:rPr>
      </w:pPr>
    </w:p>
    <w:p>
      <w:pPr>
        <w:ind w:left="540" w:right="1839" w:firstLine="515"/>
        <w:spacing w:after="0" w:line="251" w:lineRule="auto"/>
        <w:tabs>
          <w:tab w:leader="none" w:pos="1483" w:val="left"/>
        </w:tabs>
        <w:numPr>
          <w:ilvl w:val="0"/>
          <w:numId w:val="4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5.18(k) of the Comcast Disclosure Schedule sets forth a list of all collective bargaining agreements to which Comcast or any of the Comcast Subsidiaries is a party. Neither Comcast nor any of the Comcast Subsidiaries is involved in or, to the knowledge of Comcast, threatened with any labor dispute, work stoppage, labor strike, slowdown or grievance. To the knowledge of Comcast, there is no organizing effort or representation question at issue with respect to any collective bargaining unit of Comcast or any of the Comcast Subsidiaries, or any employee of Comcast or any of the Comcast Subsidiaries.</w:t>
      </w:r>
    </w:p>
    <w:p>
      <w:pPr>
        <w:spacing w:after="0" w:line="201" w:lineRule="exact"/>
        <w:rPr>
          <w:rFonts w:ascii="Courier New" w:cs="Courier New" w:eastAsia="Courier New" w:hAnsi="Courier New"/>
          <w:sz w:val="17"/>
          <w:szCs w:val="17"/>
          <w:color w:val="auto"/>
        </w:rPr>
      </w:pPr>
    </w:p>
    <w:p>
      <w:pPr>
        <w:ind w:left="540" w:right="1839" w:firstLine="515"/>
        <w:spacing w:after="0" w:line="251" w:lineRule="auto"/>
        <w:tabs>
          <w:tab w:leader="none" w:pos="1483" w:val="left"/>
        </w:tabs>
        <w:numPr>
          <w:ilvl w:val="0"/>
          <w:numId w:val="4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pending or threatened claims (other than claims for benefits in the ordinary course), lawsuits or arbitrations that have been asserted or instituted, and, to the knowledge of Comcast, no set of circumstances exists that may reasonably give rise to a claim or lawsuit, against any of the Comcast Benefit Arrangements, the Comcast Employee Plans and the Comcast International Plans, any fiduciaries thereof with respect to their duties thereto or the assets of any of the trusts thereunder, that could reasonably be expected to result in any material liability of Comcast or any of the Comcast Subsidiaries to the PBGC, the United States Department of Treasury, the United States Department of Labor, any foreign governmental authority, any Multiemployer Plan, any of the Comcast Benefit Arrangements, the Comcast Employee Plans and the Comcast International Plans, any participant therein, or any other Person.</w:t>
      </w:r>
    </w:p>
    <w:p>
      <w:pPr>
        <w:spacing w:after="0" w:line="201"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SECTION 5.19. Environmental Matters. (a) Except as have not had and would not reasonably be expected to have, individually or in the aggregate, a Comcast Material Adverse Effect:</w:t>
      </w:r>
    </w:p>
    <w:p>
      <w:pPr>
        <w:spacing w:after="0" w:line="194" w:lineRule="exact"/>
        <w:rPr>
          <w:sz w:val="20"/>
          <w:szCs w:val="20"/>
          <w:color w:val="auto"/>
        </w:rPr>
      </w:pPr>
    </w:p>
    <w:p>
      <w:pPr>
        <w:ind w:left="540" w:right="1839" w:firstLine="515"/>
        <w:spacing w:after="0" w:line="252" w:lineRule="auto"/>
        <w:tabs>
          <w:tab w:leader="none" w:pos="1483" w:val="left"/>
        </w:tabs>
        <w:numPr>
          <w:ilvl w:val="0"/>
          <w:numId w:val="4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notice, notification, demand, request for information, citation, summons or order has been received, no complaint has been filed, no penalty has been assessed, and no investigation, action, claim, suit, proceeding or review is pending or, to the knowledge of Comcast, threatened by any Governmental Authority or other Person relating to or arising out of any Environmental Law;</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A-32</w:t>
      </w:r>
    </w:p>
    <w:p>
      <w:pPr>
        <w:sectPr>
          <w:pgSz w:w="11900" w:h="16838" w:orient="portrait"/>
          <w:cols w:equalWidth="0" w:num="1">
            <w:col w:w="10219"/>
          </w:cols>
          <w:pgMar w:left="240" w:top="719" w:right="1440" w:bottom="659" w:gutter="0" w:footer="0" w:header="0"/>
        </w:sectPr>
      </w:pPr>
    </w:p>
    <w:bookmarkStart w:id="430" w:name="page431"/>
    <w:bookmarkEnd w:id="430"/>
    <w:p>
      <w:pPr>
        <w:ind w:left="540" w:right="1839" w:firstLine="515"/>
        <w:spacing w:after="0" w:line="257" w:lineRule="auto"/>
        <w:tabs>
          <w:tab w:leader="none" w:pos="1587" w:val="left"/>
        </w:tabs>
        <w:numPr>
          <w:ilvl w:val="1"/>
          <w:numId w:val="4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is and has been in compliance with all Environmental Laws and all Environmental Permits; and</w:t>
      </w:r>
    </w:p>
    <w:p>
      <w:pPr>
        <w:spacing w:after="0" w:line="191" w:lineRule="exact"/>
        <w:rPr>
          <w:rFonts w:ascii="Courier New" w:cs="Courier New" w:eastAsia="Courier New" w:hAnsi="Courier New"/>
          <w:sz w:val="17"/>
          <w:szCs w:val="17"/>
          <w:color w:val="auto"/>
        </w:rPr>
      </w:pPr>
    </w:p>
    <w:p>
      <w:pPr>
        <w:ind w:left="540" w:right="1839" w:firstLine="515"/>
        <w:spacing w:after="0" w:line="252" w:lineRule="auto"/>
        <w:tabs>
          <w:tab w:leader="none" w:pos="1692" w:val="left"/>
        </w:tabs>
        <w:numPr>
          <w:ilvl w:val="1"/>
          <w:numId w:val="4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liabilities of Comcast or any Comcast Subsidiary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196" w:lineRule="exact"/>
        <w:rPr>
          <w:rFonts w:ascii="Courier New" w:cs="Courier New" w:eastAsia="Courier New" w:hAnsi="Courier New"/>
          <w:sz w:val="17"/>
          <w:szCs w:val="17"/>
          <w:color w:val="auto"/>
        </w:rPr>
      </w:pPr>
    </w:p>
    <w:p>
      <w:pPr>
        <w:ind w:right="1939" w:firstLine="531"/>
        <w:spacing w:after="0" w:line="252" w:lineRule="auto"/>
        <w:tabs>
          <w:tab w:leader="none" w:pos="943" w:val="left"/>
        </w:tabs>
        <w:numPr>
          <w:ilvl w:val="0"/>
          <w:numId w:val="4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have been no environmental investigations, studies, audits, tests, reviews or other analyses conducted of which Comcast has knowledge in relation to the current or prior business of Comcast or any Comcast Subsidiary or any property or facility now or previously owned or leased by Comcast or any Comcast Subsidiary that reveal matters that, individually or in the aggregate, have had, or would reasonably be expected to have, a Comcast Material Adverse Effect.</w:t>
      </w:r>
    </w:p>
    <w:p>
      <w:pPr>
        <w:spacing w:after="0" w:line="195" w:lineRule="exact"/>
        <w:rPr>
          <w:rFonts w:ascii="Courier New" w:cs="Courier New" w:eastAsia="Courier New" w:hAnsi="Courier New"/>
          <w:sz w:val="17"/>
          <w:szCs w:val="17"/>
          <w:color w:val="auto"/>
        </w:rPr>
      </w:pPr>
    </w:p>
    <w:p>
      <w:pPr>
        <w:ind w:right="1839" w:firstLine="531"/>
        <w:spacing w:after="0" w:line="254" w:lineRule="auto"/>
        <w:tabs>
          <w:tab w:leader="none" w:pos="943" w:val="left"/>
        </w:tabs>
        <w:numPr>
          <w:ilvl w:val="0"/>
          <w:numId w:val="4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5.19, the terms "Comcast" and "Comcast Subsidiary" shall include any entity that is, in whole or in part, a predecessor of Comcast or any Comcast Subsidiary.</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5.20. Intellectual Property. With such exceptions as, individually or in the aggregate, have not had, and would not reasonably be expected to have, a Comcast Material Adverse Effect, each of Comcast and the Comcast Subsidiaries owns or has a valid license or other right to use each trademark, service mark, trade name, invention, patent, trade secret, copyright, know-how (including any registrations or applications for registration of any of the foregoing) or any other similar type of proprietary intellectual property right (collectively, the "COMCAST INTELLECTUAL PROPERTY") necessary to carry on its business substantially as currently conducted. Neither Comcast nor any Comcast Subsidiary has received any notice of infringement of or conflict with, and, to Comcast's knowledge, there are no infringements of or conflicts with, the rights of any Person with respect to the use of any Comcast Intellectual Property in the conduct of Comcast's business that, in either such case, individually or in the aggregate, have had or would reasonably be expected to have, a Comcast Material Adverse Effect.</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5.21. Contracts. Neither Comcast nor any of the Comcast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 or (b) any non-competition agreement or any other agreement or obligation that materially limits or will materially limit Comcast or any of the Comcast Subsidiaries (or, after the Mergers, Parent, AT&amp;T Broadband or any of the AT&amp;T Broadband Subsidiaries) from engaging in the business of providing telephony, data transmission services, cable television or programming content. With such exceptions as, individually or in the aggregate, have not had, and would not reasonably be expected to have, a Comcast Material Adverse Effect, (i) each of the contracts, agreements and commitments of Comcast and the Comcast Subsidiaries is valid and in full force and effect and (ii) neither Comcast nor any of the Comcast Subsidiaries has violated any provision of, or committed or failed to perform any act that, with or without notice, lapse of time, or both, would constitute a default under the provisions of any such contract, agreement or commitment. To the knowledge of Comcast,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and would not reasonably be expected to have, a Comcast Material Adverse Effect. Neither Comcast nor any Comcast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Comcast Subsidiary. Neither Comcast nor any Comcast Subsidiary is a party to any joint venture or partnership agreement pursuant to which it is obligated to make capital contributions in excess of (x) $25,000,000 during the current or any succeeding calendar year or (y) $100,000,000 during the remaining term of such agreement. Subject to applicable confidentiality restrictions, Comcast has provided or made available to AT&amp;T prior to the date hereof a</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A-33</w:t>
      </w:r>
    </w:p>
    <w:p>
      <w:pPr>
        <w:sectPr>
          <w:pgSz w:w="11900" w:h="16838" w:orient="portrait"/>
          <w:cols w:equalWidth="0" w:num="1">
            <w:col w:w="10219"/>
          </w:cols>
          <w:pgMar w:left="240" w:top="719" w:right="1440" w:bottom="457" w:gutter="0" w:footer="0" w:header="0"/>
        </w:sectPr>
      </w:pPr>
    </w:p>
    <w:bookmarkStart w:id="431" w:name="page432"/>
    <w:bookmarkEnd w:id="431"/>
    <w:p>
      <w:pPr>
        <w:ind w:right="2039"/>
        <w:spacing w:after="0" w:line="254" w:lineRule="auto"/>
        <w:rPr>
          <w:sz w:val="20"/>
          <w:szCs w:val="20"/>
          <w:color w:val="auto"/>
        </w:rPr>
      </w:pPr>
      <w:r>
        <w:rPr>
          <w:rFonts w:ascii="Courier New" w:cs="Courier New" w:eastAsia="Courier New" w:hAnsi="Courier New"/>
          <w:sz w:val="17"/>
          <w:szCs w:val="17"/>
          <w:color w:val="auto"/>
        </w:rPr>
        <w:t>copy of each agreement of the type described in clause (a) or (b) in the first sentence of this Section 5.21, in clause (i) or (ii) of the second preceding sentence of this Section 5.21 or in the immediately preceding sentence.</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5.22. Vote Required. (a) The only vote of the holders of any class or series of capital stock of Comcast necessary to approve and adopt this Agreement and the transactions contemplated hereby is the affirmative vote of the holders of shares of Comcast Common Stock representing a majority of the votes cast by such holders ("COMCAST SHAREHOLDERS' APPROVAL"), except that the A Shareholder Approval is required in order to effect the provisions hereof that are expressly subject to obtaining the A Shareholder Approval. Assuming Comcast Shareholder (or its successor) votes to approve and adopt this Agreement and the transactions contemplated hereby in accordance with the terms of the Support Agreement, no vote or consent of any other holder of any class or series of capital stock of Comcast will be required to approve and adopt this Agreement and the transactions contemplated hereby, except that the A Shareholder Approval is required in order to effect the provisions hereof that are expressly subject to obtaining the A Shareholder Approval.</w:t>
      </w:r>
    </w:p>
    <w:p>
      <w:pPr>
        <w:spacing w:after="0" w:line="20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5.23. Antitakeover Statutes; Charter and Bylaw Provisions. (a) Comcast has taken all action necessary to exempt the Comcast Merger and this Agreement and the transactions contemplated hereby from the restrictions of Section 2555 of the PBCL or otherwise to make such provisions inapplicable to this Agreement and the transactions contemplated hereby, and, accordingly, neither of Section 2555 of the PBCL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201"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SECTION 5.24. AT&amp;T Securities. Neither Comcast nor any Comcast Subsidiary owns any AT&amp;T Securities.</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5.25. Transactions with Affiliates. Except as set forth in Section 5.25 of the Comcast Disclosure Schedule, none of Comcast or any Comcast Subsidiary is a party (and since December 31, 2000 none of Comcast or any Comcast Subsidiary has been a party) to any material business arrangement or business relationship with any Comcast Affiliate (other than another member of the Comcast Group), and no Comcast Affiliate (other than another member of the Comcast Group) owns (or has owned since such date) any material property or right, tangible or intangible, that is used in the business of any member of the Comcast Group.</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5.26. Investments. Section 5.26 of the Comcast Disclosure Schedule sets forth a list of each material investment of Comcast or any Comcast Subsidiary in any Person (other than a Subsidiary). Neither Comcast nor any Comcast Subsidiary has any material liability in respect of any such investment.</w:t>
      </w:r>
    </w:p>
    <w:p>
      <w:pPr>
        <w:spacing w:after="0" w:line="195"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SECTION 5.27. No Approval Rights. Comcast has not granted any third party any right to approve any waiver that Comcast may elect to grant to AT&amp;T under Section 8.01(xiii).</w:t>
      </w:r>
    </w:p>
    <w:p>
      <w:pPr>
        <w:spacing w:after="0" w:line="19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6</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REPRESENTATIONS AND WARRANTIES OF AT&amp;T</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Except as set forth (i) in the AT&amp;T Disclosure Schedule, regardless of whether the relevant Section herein refers to the AT&amp;T Disclosure Schedule, or</w:t>
      </w:r>
    </w:p>
    <w:p>
      <w:pPr>
        <w:ind w:right="2039" w:firstLine="7"/>
        <w:spacing w:after="0" w:line="252" w:lineRule="auto"/>
        <w:tabs>
          <w:tab w:leader="none" w:pos="524" w:val="left"/>
        </w:tabs>
        <w:numPr>
          <w:ilvl w:val="0"/>
          <w:numId w:val="4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with respect to Sections 6.08(c), 6.26, 6.27 and 6.28) in the Specified AT&amp;T SEC Documents filed prior to the date hereof (to the extent the relevance of any disclosure in any of such Specified AT&amp;T SEC Documents to the AT&amp;T Broadband Group is reasonably apparent on the face of such disclosure), AT&amp;T represents and warrants to Comcast as follows: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6.01. Corporate Existence and Power. Each of AT&amp;T and the AT&amp;T Subsidiaries that is or will be a party to a Transaction Agreement is a corporation or other entity duly incorporated or formed, validly existing and in good standing under the laws of the state of its incorporation or formation and has</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A-34</w:t>
      </w:r>
    </w:p>
    <w:p>
      <w:pPr>
        <w:sectPr>
          <w:pgSz w:w="11900" w:h="16838" w:orient="portrait"/>
          <w:cols w:equalWidth="0" w:num="1">
            <w:col w:w="10219"/>
          </w:cols>
          <w:pgMar w:left="240" w:top="719" w:right="1440" w:bottom="1061" w:gutter="0" w:footer="0" w:header="0"/>
        </w:sectPr>
      </w:pPr>
    </w:p>
    <w:bookmarkStart w:id="432" w:name="page433"/>
    <w:bookmarkEnd w:id="432"/>
    <w:p>
      <w:pPr>
        <w:ind w:right="1839"/>
        <w:spacing w:after="0" w:line="251" w:lineRule="auto"/>
        <w:rPr>
          <w:sz w:val="20"/>
          <w:szCs w:val="20"/>
          <w:color w:val="auto"/>
        </w:rPr>
      </w:pPr>
      <w:r>
        <w:rPr>
          <w:rFonts w:ascii="Courier New" w:cs="Courier New" w:eastAsia="Courier New" w:hAnsi="Courier New"/>
          <w:sz w:val="17"/>
          <w:szCs w:val="17"/>
          <w:color w:val="auto"/>
        </w:rPr>
        <w:t>all corporate or other powers required to carry on its business as currently conducted. Each of AT&amp;T and the AT&amp;T Subsidiaries that is or will be a party to a Transaction Agreement is duly qualified to do business and is in good standing in each jurisdiction where such qualification is necessary, except for those jurisdictions where failure to be so qualified, individually or in the aggregate, has not had and would not reasonably be expected to have an AT&amp;T Broadband Material Adverse Effect. AT&amp;T has heretofore delivered or made available to Comcast true and complete copies of the certificate of incorporation, bylaws or other organizational document of AT&amp;T and each AT&amp;T Subsidiary that is or will be a party to a Transaction Agreement, as currently in effect.</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6.02. Corporate Authorization. (a) The execution, delivery and performance by AT&amp;T and the AT&amp;T Subsidiaries of the Transaction Agreements to which they are or will be party and the consummation by AT&amp;T and the AT&amp;T Subsidiaries of the transactions contemplated hereby and thereby are within AT&amp;T's and the AT&amp;T Subsidiaries' corporate or other powers and, except for the AT&amp;T Shareholders' Approval, have been duly authorized by all necessary corporate action on the part of AT&amp;T and the AT&amp;T Subsidiaries. Each Transaction Agreement to which AT&amp;T or any AT&amp;T Subsidiary is or will be a party constitutes or will when executed constitute a valid and binding agreement of AT&amp;T and each AT&amp;T Subsidiary that is a party thereto, enforceable against AT&amp;T and each such AT&amp;T Subsidiary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202" w:lineRule="exact"/>
        <w:rPr>
          <w:sz w:val="20"/>
          <w:szCs w:val="20"/>
          <w:color w:val="auto"/>
        </w:rPr>
      </w:pPr>
    </w:p>
    <w:p>
      <w:pPr>
        <w:ind w:right="1939" w:firstLine="531"/>
        <w:spacing w:after="0" w:line="252" w:lineRule="auto"/>
        <w:tabs>
          <w:tab w:leader="none" w:pos="943" w:val="left"/>
        </w:tabs>
        <w:numPr>
          <w:ilvl w:val="0"/>
          <w:numId w:val="4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meetings duly called and held, AT&amp;T's Board of Directors and AT&amp;T Broadband's Board of Directors unanimously (i) determined that this Agreement and the transactions contemplated hereby are fair to and in the best interests of AT&amp;T shareholders and AT&amp;T Broadband shareholders, respectively; (ii) approved and adopted this Agreement and the transactions contemplated hereby; and (iii) resolved to recommend adoption of this Agreement by AT&amp;T shareholders (subject to Section 8.02(b)) and AT&amp;T Broadband shareholders, respectively.</w:t>
      </w:r>
    </w:p>
    <w:p>
      <w:pPr>
        <w:spacing w:after="0" w:line="195" w:lineRule="exact"/>
        <w:rPr>
          <w:rFonts w:ascii="Courier New" w:cs="Courier New" w:eastAsia="Courier New" w:hAnsi="Courier New"/>
          <w:sz w:val="17"/>
          <w:szCs w:val="17"/>
          <w:color w:val="auto"/>
        </w:rPr>
      </w:pPr>
    </w:p>
    <w:p>
      <w:pPr>
        <w:ind w:right="1839" w:firstLine="531"/>
        <w:spacing w:after="0" w:line="253" w:lineRule="auto"/>
        <w:tabs>
          <w:tab w:leader="none" w:pos="943" w:val="left"/>
        </w:tabs>
        <w:numPr>
          <w:ilvl w:val="0"/>
          <w:numId w:val="4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meetings duly called and held, each of AT&amp;T's Board of Directors and AT&amp;T Broadband's Board of Directors unanimously approved the Separation and the Distribution pursuant to the Separation and Distribution Agreement. AT&amp;T and AT&amp;T Broadband have entered into the Separation and Distribution Agreement.</w:t>
      </w:r>
    </w:p>
    <w:p>
      <w:pPr>
        <w:spacing w:after="0" w:line="195" w:lineRule="exact"/>
        <w:rPr>
          <w:rFonts w:ascii="Courier New" w:cs="Courier New" w:eastAsia="Courier New" w:hAnsi="Courier New"/>
          <w:sz w:val="17"/>
          <w:szCs w:val="17"/>
          <w:color w:val="auto"/>
        </w:rPr>
      </w:pPr>
    </w:p>
    <w:p>
      <w:pPr>
        <w:ind w:right="1939" w:firstLine="531"/>
        <w:spacing w:after="0" w:line="254" w:lineRule="auto"/>
        <w:tabs>
          <w:tab w:leader="none" w:pos="943" w:val="left"/>
        </w:tabs>
        <w:numPr>
          <w:ilvl w:val="0"/>
          <w:numId w:val="4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as sole shareholder of AT&amp;T Broadband as of the date hereof, has adopted this Agreement and the transactions contemplated hereby, including the AT&amp;T Broadband Merger.</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6.03. Governmental Authorization. The execution, delivery and performance by AT&amp;T and the AT&amp;T Subsidiaries of the Transaction Agreements to which they are or will be party and the consummation by AT&amp;T and the AT&amp;T Subsidiaries of the transactions contemplated hereby and thereby require no action by or in respect of, or filing with, any Governmental Authority, other than (a) notices to, consents or waivers from, the relevant Franchising Authorities in respect of the Franchises for the Systems owned and operated by AT&amp;T or the AT&amp;T Subsidiaries (the "AT&amp;T FRANCHISE CONSENTS" and, together with the Comcast Franchise Consents, the "FRANCHISE CONSENTS")), and the FCC in connection with a change of control and/or assignment of the holder of the FCC licenses and social contracts of AT&amp;T or the AT&amp;T Subsidiaries (the "AT&amp;T LICENSE CONSENTS" and, together with the Comcast License Consents, the "LICENSE CONSENTS"); (b) notices to, consents or waivers from the state public service and public utilities commissions having jurisdiction over the assets of AT&amp;T and the AT&amp;T Subsidiaries (the "AT&amp;T PUC CONSENTS" and, together with the Comcast PUC Consents, the "PUC CONSENTS"); (c) the filing of the DE Certificate of Merger pursuant to the DGCL and appropriate documents with the relevant authorities of other states in which AT&amp;T is qualified to do business; (d) compliance with any applicable requirements of the HSR Act; (e) compliance with any applicable requirements of the 1933 Act, the 1934 Act and any other applicable securities laws, whether United States state or foreign; (f) notices, consents, waivers, approvals and filings necessary in connection with the Separation and set forth on Section 6.03 of the AT&amp;T Disclosure Schedule; and</w:t>
      </w:r>
    </w:p>
    <w:p>
      <w:pPr>
        <w:ind w:right="2039" w:firstLine="7"/>
        <w:spacing w:after="0" w:line="254" w:lineRule="auto"/>
        <w:tabs>
          <w:tab w:leader="none" w:pos="419" w:val="left"/>
        </w:tabs>
        <w:numPr>
          <w:ilvl w:val="0"/>
          <w:numId w:val="4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actions or filings the absence of which, individually or in the aggregate, would not reasonably be expected to have an AT&amp;T Broadband Material Adverse Effect or</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A-35</w:t>
      </w:r>
    </w:p>
    <w:p>
      <w:pPr>
        <w:sectPr>
          <w:pgSz w:w="11900" w:h="16838" w:orient="portrait"/>
          <w:cols w:equalWidth="0" w:num="1">
            <w:col w:w="10219"/>
          </w:cols>
          <w:pgMar w:left="240" w:top="719" w:right="1440" w:bottom="1062" w:gutter="0" w:footer="0" w:header="0"/>
        </w:sectPr>
      </w:pPr>
    </w:p>
    <w:bookmarkStart w:id="433" w:name="page434"/>
    <w:bookmarkEnd w:id="433"/>
    <w:p>
      <w:pPr>
        <w:ind w:right="2039"/>
        <w:spacing w:after="0" w:line="254" w:lineRule="auto"/>
        <w:rPr>
          <w:sz w:val="20"/>
          <w:szCs w:val="20"/>
          <w:color w:val="auto"/>
        </w:rPr>
      </w:pPr>
      <w:r>
        <w:rPr>
          <w:rFonts w:ascii="Courier New" w:cs="Courier New" w:eastAsia="Courier New" w:hAnsi="Courier New"/>
          <w:sz w:val="17"/>
          <w:szCs w:val="17"/>
          <w:color w:val="auto"/>
        </w:rPr>
        <w:t>prohibit or materially impair or delay the ability of AT&amp;T and the AT&amp;T Subsidiaries to consummate the transactions contemplated by this Agreement and the other Transaction Agreements.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6.04. Non-contravention. The execution, delivery and performance by AT&amp;T and the AT&amp;T Subsidiaries of the Transaction Agreements to which they are or will be party and the consummation by AT&amp;T and the AT&amp;T Subsidiaries of the transactions contemplated hereby and thereby do not and will not (a) contravene, conflict with, or result in any violation or breach of any provision of the certificate of incorporation, bylaws or other organizational document of AT&amp;T or any AT&amp;T Subsidiary; (b) assuming compliance with the matters referred to in Section 6.03, contravene, conflict with or result in a violation or breach of any provision of any applicable law, statute, ordinance, rule, regulation, judgment, injunction, order or decree; (c) assuming compliance with the matters referred to in Section 6.03,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AT&amp;T or any AT&amp;T Subsidiary is entitled under (i) any provision of any agreement or other instrument binding upon AT&amp;T or any AT&amp;T Subsidiary or any of their respective assets or properties or (ii) any license, franchise, permit, certificate, approval or other similar authorization held by, or affecting, or relating in any way to, the assets, properties or business of AT&amp;T or any AT&amp;T Subsidiary; or (d) result in the creation or imposition of any Lien on any asset or property of AT&amp;T or any AT&amp;T Subsidiary, other than such exceptions in the case of clauses (b), (c) and (d) above as would not, individually or in the aggregate, reasonably be expected to have an AT&amp;T Broadband Material Adverse Effect or prohibit or materially impair or delay the ability of AT&amp;T or any AT&amp;T Subsidiary to consummate the transactions contemplated by any of the Transaction Agreements.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6.05. Capitalization. (a) The authorized capital stock of AT&amp;T consists of (i) 16,400,000,000 shares of Common Stock, of which (A) 6,000,000,000 shares have been designated AT&amp;T Common Stock, (B) 4,000,000,000 shares have been designated Class A Liberty Media Group Common Stock, (C) 400,000,000 shares have been designated Class B Liberty Media Group Common Stock and (D) 6,000,000,000 shares have been designated Wireless Group Common Stock, and (ii) 100,000,000 shares of preferred stock, $1.00 par value per share, of which (A) 1,500,000 shares have been designated Wireless Group Preferred Tracking Stock ("WIRELESS PREFERRED STOCK"), (B) 1,000,000 shares have been designated Series E Convertible Preferred Stock ("SERIES E PREFERRED STOCK") and</w:t>
      </w:r>
    </w:p>
    <w:p>
      <w:pPr>
        <w:ind w:right="2039" w:firstLine="7"/>
        <w:spacing w:after="0" w:line="251" w:lineRule="auto"/>
        <w:tabs>
          <w:tab w:leader="none" w:pos="419" w:val="left"/>
        </w:tabs>
        <w:numPr>
          <w:ilvl w:val="0"/>
          <w:numId w:val="4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2,000,000 shares have been designated Subsidiary Exchangeable Preferred Stock ("AT&amp;T SUBSIDIARY PREFERRED STOCK"). As of the close of business on November 30, 2001, there were outstanding (1) 3,540,410,643 shares of AT&amp;T Common Stock (exclusive of all shares of restricted stock granted under any compensatory plans or arrangements), (2) no shares of Class A Liberty Media Group Common Stock, (3) no shares of Class B Liberty Media Group Common Stock,</w:t>
      </w:r>
    </w:p>
    <w:p>
      <w:pPr>
        <w:ind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no shares of Wireless Group Common Stock, (5) AT&amp;T Stock Options to purchase an aggregate of 313,598,348 shares of AT&amp;T Common Stock (of which options to purchase an aggregate of approximately 170,242,786 shares of AT&amp;T Common Stock were exercisable), (6) phantom shares, stock units, stock appreciation rights or other stock-based awards issued under any stock option, compensation or deferred compensation plan or arrangement with respect to an aggregate of 12,492,305 shares of AT&amp;T Common Stock, (7) 52,808,000 shares of AT&amp;T Common Stock reserved for issuance under the Warrants issued pursuant to the Warrant Agreement dated as of June 16, 1999 between AT&amp;T and The Bank of New York, as Warrant Agent (the "WARRANTS"), (8) 88,015,773 shares of AT&amp;T Common Stock issuable upon conversion of the QUIPS, (9) 52,347,844 shares of AT&amp;T Common Stock reserved for issuance upon exchange (and shares of AT&amp;T Common Stock issuable upon redemption in accordance with the terms thereof) of the Class A Senior Cumulative Exchangeable Preferred Stock of TCI Pacific Communications, Inc. (the "TCI PACIFIC PREFERRED STOCK"), (10) no shares of Wireless Preferred Stock, (11) no shares of Series E Preferred Stock, (12) 759,792 shares of AT&amp;T Subsidiary Preferred Stock held by AT&amp;T Broadband Subsidiaries that are directly or indirectly wholly owned Subsidiaries of AT&amp;T and (13) 94,163 shares of AT&amp;T Subsidiary Preferred Stock held by T-Holdings and/or one of its Subsidiaries. As of November 30, 2001, 851,782,532 shares of AT&amp;T Common Stock were held in treasury. No shares of AT&amp;T Common Stock are held by any Subsidiary of AT&amp;T. All outstanding shares of capital stock of AT&amp;T have been, and all</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A-36</w:t>
      </w:r>
    </w:p>
    <w:p>
      <w:pPr>
        <w:sectPr>
          <w:pgSz w:w="11900" w:h="16838" w:orient="portrait"/>
          <w:cols w:equalWidth="0" w:num="1">
            <w:col w:w="10219"/>
          </w:cols>
          <w:pgMar w:left="240" w:top="719" w:right="1440" w:bottom="1440" w:gutter="0" w:footer="0" w:header="0"/>
        </w:sectPr>
      </w:pPr>
    </w:p>
    <w:bookmarkStart w:id="434" w:name="page435"/>
    <w:bookmarkEnd w:id="434"/>
    <w:p>
      <w:pPr>
        <w:ind w:right="1939"/>
        <w:spacing w:after="0" w:line="254" w:lineRule="auto"/>
        <w:rPr>
          <w:sz w:val="20"/>
          <w:szCs w:val="20"/>
          <w:color w:val="auto"/>
        </w:rPr>
      </w:pPr>
      <w:r>
        <w:rPr>
          <w:rFonts w:ascii="Courier New" w:cs="Courier New" w:eastAsia="Courier New" w:hAnsi="Courier New"/>
          <w:sz w:val="17"/>
          <w:szCs w:val="17"/>
          <w:color w:val="auto"/>
        </w:rPr>
        <w:t>shares that may be issued pursuant to any compensatory plan or arrangement will be, when issued in accordance with the respective terms thereof, duly authorized, validly issued, fully paid and nonassessable.</w:t>
      </w:r>
    </w:p>
    <w:p>
      <w:pPr>
        <w:spacing w:after="0" w:line="194" w:lineRule="exact"/>
        <w:rPr>
          <w:sz w:val="20"/>
          <w:szCs w:val="20"/>
          <w:color w:val="auto"/>
        </w:rPr>
      </w:pPr>
    </w:p>
    <w:p>
      <w:pPr>
        <w:ind w:right="1839" w:firstLine="531"/>
        <w:spacing w:after="0" w:line="251" w:lineRule="auto"/>
        <w:tabs>
          <w:tab w:leader="none" w:pos="943" w:val="left"/>
        </w:tabs>
        <w:numPr>
          <w:ilvl w:val="0"/>
          <w:numId w:val="4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this Section 6.05 and for changes since November 30, 2001 resulting from the exercise of AT&amp;T Stock Options, AT&amp;T SARs and AT&amp;T Equity Awards outstanding on such date, including, for the avoidance of doubt, options to purchase stock under the AT&amp;T ESPP (and the grant or award of AT&amp;T Stock Options, AT&amp;T SARs and AT&amp;T Equity Awards in the ordinary course of business and the exercise thereof, including, for the avoidance of doubt, options to purchase stock under the AT&amp;T ESPP) or resulting from the exercise or conversion of the Warrants or the QUIPS, or the exchange or redemption of the TCI Pacific Preferred Stock, or as otherwise expressly contemplated hereby or by the Transaction Agreements, there are no outstanding (i) shares of capital stock or voting securities of AT&amp;T, (ii) securities of AT&amp;T or any AT&amp;T Subsidiary convertible into or exchangeable for shares of capital stock or voting securities of AT&amp;T or (iii) options or other rights to acquire from AT&amp;T or any AT&amp;T Subsidiary, or other obligations of AT&amp;T or any AT&amp;T Subsidiary to issue, any capital stock, voting securities or securities convertible into or exchangeable for capital stock or voting securities of AT&amp;T. There are no outstanding obligations of AT&amp;T or any AT&amp;T Subsidiary to repurchase, redeem or otherwise acquire any of the securities referred to in clause (i), (ii) or (iii) above (collectively, the "AT&amp;T SECURITIES").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6.06. AT&amp;T Broadband and AT&amp;T Broadband Subsidiaries. (a) Each of AT&amp;T Broadband and the AT&amp;T Broadband Subsidiaries is a corporation or other legal entity duly organized, 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an AT&amp;T Broadband Material Adverse Effect. Each of AT&amp;T Broadband and the AT&amp;T Broadband Subsidiaries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an AT&amp;T Broadband Material Adverse Effect. Section 6.06(a) of the AT&amp;T Disclosure Schedule sets forth a list of all AT&amp;T Significant Broadband Subsidiaries and their respective jurisdictions of organization.</w:t>
      </w:r>
    </w:p>
    <w:p>
      <w:pPr>
        <w:spacing w:after="0" w:line="200" w:lineRule="exact"/>
        <w:rPr>
          <w:sz w:val="20"/>
          <w:szCs w:val="20"/>
          <w:color w:val="auto"/>
        </w:rPr>
      </w:pPr>
    </w:p>
    <w:p>
      <w:pPr>
        <w:spacing w:after="0" w:line="203" w:lineRule="exact"/>
        <w:rPr>
          <w:sz w:val="20"/>
          <w:szCs w:val="20"/>
          <w:color w:val="auto"/>
        </w:rPr>
      </w:pPr>
    </w:p>
    <w:p>
      <w:pPr>
        <w:ind w:right="1839" w:firstLine="531"/>
        <w:spacing w:after="0" w:line="251" w:lineRule="auto"/>
        <w:tabs>
          <w:tab w:leader="none" w:pos="943" w:val="left"/>
        </w:tabs>
        <w:numPr>
          <w:ilvl w:val="1"/>
          <w:numId w:val="4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outstanding capital stock of, or other voting securities or ownership interests in, AT&amp;T Broadband is (as of the date hereof) and will be (immediately prior to the Distribution) directly owned by AT&amp;T, free and clear of any Lien and free of any other limitation or restriction (including any restriction on the right to vote, sell or otherwise dispose of such capital stock or other voting securities or ownership interests). All of the outstanding capital stock of, or other voting securities or ownership interests in, each AT&amp;T Significant Broadband Subsidiary is, as of the date hereof, owned by AT&amp;T and will, at the Effective Time, be owned by AT&amp;T Broadband,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AT&amp;T or any AT&amp;T Subsidiary convertible into or exchangeable for shares of capital stock or other voting securities or ownership interests in AT&amp;T Broadband or any AT&amp;T Significant Broadband Subsidiary or (ii) options or other rights to acquire from AT&amp;T or any AT&amp;T Subsidiary, or other obligations of AT&amp;T or any AT&amp;T Subsidiary to issue, any capital stock or other voting securities or ownership interests in, or any securities convertible into or exchangeable for any capital stock or other voting securities or ownership interests in, AT&amp;T Broadband or any AT&amp;T Significant Broadband Subsidiary. Except for the TCI Pacific Preferred Stock, there are no outstanding obligations of AT&amp;T or any AT&amp;T Subsidiary to repurchase, redeem or otherwise acquire any of the items referred to in clauses</w:t>
      </w:r>
    </w:p>
    <w:p>
      <w:pPr>
        <w:ind w:left="420" w:hanging="413"/>
        <w:spacing w:after="0"/>
        <w:tabs>
          <w:tab w:leader="none" w:pos="420" w:val="left"/>
        </w:tabs>
        <w:numPr>
          <w:ilvl w:val="0"/>
          <w:numId w:val="4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(ii) above.</w:t>
      </w:r>
    </w:p>
    <w:p>
      <w:pPr>
        <w:spacing w:after="0" w:line="210"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1"/>
          <w:numId w:val="4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time of the Distribution, subject to Section 4.01 of the Separation and Distribution Agreement, the issued and outstanding capital stock of AT&amp;T Broadband will consist of a number of shares of AT&amp;T Broadband Common Stock equal to the number of then outstanding shares of AT&amp;T Common Stock. In the Distribution, subject to Section 4.01 of the Separation and Distribution Agreement, AT&amp;T will distribute to each holder of AT&amp;T Common Stock one share of AT&amp;T Broadband Common</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A-37</w:t>
      </w:r>
    </w:p>
    <w:p>
      <w:pPr>
        <w:sectPr>
          <w:pgSz w:w="11900" w:h="16838" w:orient="portrait"/>
          <w:cols w:equalWidth="0" w:num="1">
            <w:col w:w="10219"/>
          </w:cols>
          <w:pgMar w:left="240" w:top="719" w:right="1440" w:bottom="659" w:gutter="0" w:footer="0" w:header="0"/>
        </w:sectPr>
      </w:pPr>
    </w:p>
    <w:bookmarkStart w:id="435" w:name="page436"/>
    <w:bookmarkEnd w:id="435"/>
    <w:p>
      <w:pPr>
        <w:ind w:right="1839"/>
        <w:spacing w:after="0" w:line="252" w:lineRule="auto"/>
        <w:rPr>
          <w:sz w:val="20"/>
          <w:szCs w:val="20"/>
          <w:color w:val="auto"/>
        </w:rPr>
      </w:pPr>
      <w:r>
        <w:rPr>
          <w:rFonts w:ascii="Courier New" w:cs="Courier New" w:eastAsia="Courier New" w:hAnsi="Courier New"/>
          <w:sz w:val="17"/>
          <w:szCs w:val="17"/>
          <w:color w:val="auto"/>
        </w:rPr>
        <w:t>Stock per share of AT&amp;T Common Stock. All of the shares of AT&amp;T Broadband Common Stock have been or will be prior to the Effective Time duly authorized and validly issued and fully paid and nonassessable. After giving effect to the Distribution, subject to Section 4.01 of the Separation and Distribution Agreement, neither AT&amp;T nor any AT&amp;T Subsidiary will own any shares of AT&amp;T Broadband Common Stock or any other capital stock or other equity interest in AT&amp;T Broadband.</w:t>
      </w:r>
    </w:p>
    <w:p>
      <w:pPr>
        <w:spacing w:after="0" w:line="398" w:lineRule="exact"/>
        <w:rPr>
          <w:sz w:val="20"/>
          <w:szCs w:val="20"/>
          <w:color w:val="auto"/>
        </w:rPr>
      </w:pPr>
    </w:p>
    <w:p>
      <w:pPr>
        <w:ind w:right="2139" w:firstLine="524"/>
        <w:spacing w:after="0" w:line="251" w:lineRule="auto"/>
        <w:rPr>
          <w:sz w:val="20"/>
          <w:szCs w:val="20"/>
          <w:color w:val="auto"/>
        </w:rPr>
      </w:pPr>
      <w:r>
        <w:rPr>
          <w:rFonts w:ascii="Courier New" w:cs="Courier New" w:eastAsia="Courier New" w:hAnsi="Courier New"/>
          <w:sz w:val="17"/>
          <w:szCs w:val="17"/>
          <w:color w:val="auto"/>
        </w:rPr>
        <w:t>SECTION 6.07. SEC Filings. (a) AT&amp;T has delivered or made available to Comcast (i) AT&amp;T's annual reports on Form 10-K for its fiscal years ended December 31, 2000, 1999 and 1998, (ii) AT&amp;T's proxy or information statements relating to meetings of, or actions taken without a meeting by, AT&amp;T shareholders held since December 31, 1998, and (iii) all of AT&amp;T's other reports, statements, schedules and registration statements filed with the SEC since December 31, 1998 (the documents referred to in clauses (i), (ii) and</w:t>
      </w:r>
    </w:p>
    <w:p>
      <w:pPr>
        <w:ind w:left="640" w:hanging="633"/>
        <w:spacing w:after="0"/>
        <w:tabs>
          <w:tab w:leader="none" w:pos="640" w:val="left"/>
        </w:tabs>
        <w:numPr>
          <w:ilvl w:val="0"/>
          <w:numId w:val="4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collectively, the "AT&amp;T SEC DOCUMENTS").</w:t>
      </w:r>
    </w:p>
    <w:p>
      <w:pPr>
        <w:spacing w:after="0" w:line="210" w:lineRule="exact"/>
        <w:rPr>
          <w:rFonts w:ascii="Courier New" w:cs="Courier New" w:eastAsia="Courier New" w:hAnsi="Courier New"/>
          <w:sz w:val="17"/>
          <w:szCs w:val="17"/>
          <w:color w:val="auto"/>
        </w:rPr>
      </w:pPr>
    </w:p>
    <w:p>
      <w:pPr>
        <w:ind w:right="1939" w:firstLine="531"/>
        <w:spacing w:after="0" w:line="253" w:lineRule="auto"/>
        <w:tabs>
          <w:tab w:leader="none" w:pos="943" w:val="left"/>
        </w:tabs>
        <w:numPr>
          <w:ilvl w:val="1"/>
          <w:numId w:val="4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its filing date (and, if amended or superceded by a filing prior to the date of this Agreement or the Effective Time, then on the date of such filing), each AT&amp;T SEC Document complied as to form in all material respects with the applicable requirements of the 1933 Act and the 1934 Act, as the case may be.</w:t>
      </w:r>
    </w:p>
    <w:p>
      <w:pPr>
        <w:spacing w:after="0" w:line="396" w:lineRule="exact"/>
        <w:rPr>
          <w:rFonts w:ascii="Courier New" w:cs="Courier New" w:eastAsia="Courier New" w:hAnsi="Courier New"/>
          <w:sz w:val="17"/>
          <w:szCs w:val="17"/>
          <w:color w:val="auto"/>
        </w:rPr>
      </w:pPr>
    </w:p>
    <w:p>
      <w:pPr>
        <w:ind w:right="1939" w:firstLine="531"/>
        <w:spacing w:after="0" w:line="252" w:lineRule="auto"/>
        <w:tabs>
          <w:tab w:leader="none" w:pos="943" w:val="left"/>
        </w:tabs>
        <w:numPr>
          <w:ilvl w:val="1"/>
          <w:numId w:val="4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its filing date (and, if amended or superceded by a filing prior to the date of this Agreement or the Effective Time, then on the date of such filing), each AT&amp;T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196"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1"/>
          <w:numId w:val="4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AT&amp;T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6.08. Financial Statements. (a) The audited consolidated financial statements and unaudited consolidated interim financial statements of AT&amp;T included in the AT&amp;T SEC Documents fairly present, in all material respects, in conformity with GAAP applied on a consistent basis (except as may be indicated in the notes thereto), the consolidated financial position of AT&amp;T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201" w:lineRule="exact"/>
        <w:rPr>
          <w:sz w:val="20"/>
          <w:szCs w:val="20"/>
          <w:color w:val="auto"/>
        </w:rPr>
      </w:pPr>
    </w:p>
    <w:p>
      <w:pPr>
        <w:ind w:right="1839" w:firstLine="531"/>
        <w:spacing w:after="0" w:line="251" w:lineRule="auto"/>
        <w:tabs>
          <w:tab w:leader="none" w:pos="943" w:val="left"/>
        </w:tabs>
        <w:numPr>
          <w:ilvl w:val="0"/>
          <w:numId w:val="4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unaudited combined financial statements and unaudited combined interim financial statements of the AT&amp;T Broadband Group are attached as Exhibit E, and subject to and reflecting the assumptions set forth in the notes thereto, fairly present, in all material respects, in conformity with GAAP applied on a consistent basis (except as may be indicated in the notes thereto), the combined financial position of the AT&amp;T Broadband Group as of the respective dates thereof and its combined results of operations and cash flows for the periods then ended (subject to normal year-end adjustments in the case of any unaudited interim financial statements).</w:t>
      </w:r>
    </w:p>
    <w:p>
      <w:pPr>
        <w:spacing w:after="0" w:line="201"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4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6.08(c) of the AT&amp;T Disclosure Schedule, the financial statements as of and for the period ending September 30, 2001 attached as Exhibit E reflect in all material respects the transactions contemplated by the Ancillary Agreements as if such agreements had been in effect during the nine month period covered by such financial statements. Section 6.08(c) of the AT&amp;T Disclosure Schedule describes all material allocations and charges relating to affiliated and intercompany transactions used in connection with the preparation of the financial statements attached as Exhibit 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6.09. Information Supplied. The information supplied by AT&amp;T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AT&amp;T for</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A-38</w:t>
      </w:r>
    </w:p>
    <w:p>
      <w:pPr>
        <w:sectPr>
          <w:pgSz w:w="11900" w:h="16838" w:orient="portrait"/>
          <w:cols w:equalWidth="0" w:num="1">
            <w:col w:w="10219"/>
          </w:cols>
          <w:pgMar w:left="240" w:top="719" w:right="1440" w:bottom="457" w:gutter="0" w:footer="0" w:header="0"/>
        </w:sectPr>
      </w:pPr>
    </w:p>
    <w:bookmarkStart w:id="436" w:name="page437"/>
    <w:bookmarkEnd w:id="436"/>
    <w:p>
      <w:pPr>
        <w:ind w:right="1839"/>
        <w:spacing w:after="0" w:line="252" w:lineRule="auto"/>
        <w:rPr>
          <w:sz w:val="20"/>
          <w:szCs w:val="20"/>
          <w:color w:val="auto"/>
        </w:rPr>
      </w:pPr>
      <w:r>
        <w:rPr>
          <w:rFonts w:ascii="Courier New" w:cs="Courier New" w:eastAsia="Courier New" w:hAnsi="Courier New"/>
          <w:sz w:val="17"/>
          <w:szCs w:val="17"/>
          <w:color w:val="auto"/>
        </w:rPr>
        <w:t>inclusion in the Joint Proxy Statement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6.10. Absence of Certain Changes. Since the AT&amp;T Broadband Balance Sheet Date, and except as expressly contemplated hereby or by the Transaction Agreements, the business of the AT&amp;T Broadband Group, AT&amp;T (to the extent relating to the AT&amp;T Broadband Group), AT&amp;T Broadband and the AT&amp;T Broadband Subsidiaries has been conducted for the benefit of the AT&amp;T Broadband Group (it being understood that since the AT&amp;T Broadband Balance Sheet Date the AT&amp;T Communications Group has been conducted for the benefit of the AT&amp;T Communications Group and that the interests of the AT&amp;T Broadband Group and the AT&amp;T Communications Group may not have coincided) and in the ordinary course of business consistent with past practices, and there has not been (i) any event, occurrence or development of a state of circumstances or facts that, individually or in the aggregate, has had or would reasonably be expected to have an AT&amp;T Broadband Material Adverse Effect or (ii) any action, event, occurrence or transaction that would have been prohibited by clause (iii), (iv), (vii), (viii), (ix) or (xviii) of Section 8.01 if this Agreement had been in effect at the time thereof or any agreement, arrangement or commitment in respect of any action, event, occurrence or transaction that would have been prohibited by the foregoing clauses of Section 8.01 if this Agreement had been in effect at the time thereof.</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6.11. No Undisclosed Material Liabilities. There are no liabilities or obligations of the AT&amp;T Broadband Group, AT&amp;T (to the extent relating to the AT&amp;T Broadband Group), AT&amp;T Broadband or any AT&amp;T Broadband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196" w:lineRule="exact"/>
        <w:rPr>
          <w:sz w:val="20"/>
          <w:szCs w:val="20"/>
          <w:color w:val="auto"/>
        </w:rPr>
      </w:pPr>
    </w:p>
    <w:p>
      <w:pPr>
        <w:ind w:left="540" w:right="1939" w:firstLine="515"/>
        <w:spacing w:after="0" w:line="257" w:lineRule="auto"/>
        <w:tabs>
          <w:tab w:leader="none" w:pos="1483" w:val="left"/>
        </w:tabs>
        <w:numPr>
          <w:ilvl w:val="0"/>
          <w:numId w:val="4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disclosed and provided for in the AT&amp;T Broadband Balance Sheet or in the notes thereto;</w:t>
      </w:r>
    </w:p>
    <w:p>
      <w:pPr>
        <w:spacing w:after="0" w:line="191" w:lineRule="exact"/>
        <w:rPr>
          <w:rFonts w:ascii="Courier New" w:cs="Courier New" w:eastAsia="Courier New" w:hAnsi="Courier New"/>
          <w:sz w:val="17"/>
          <w:szCs w:val="17"/>
          <w:color w:val="auto"/>
        </w:rPr>
      </w:pPr>
    </w:p>
    <w:p>
      <w:pPr>
        <w:ind w:left="540" w:right="1839" w:firstLine="515"/>
        <w:spacing w:after="0" w:line="254" w:lineRule="auto"/>
        <w:tabs>
          <w:tab w:leader="none" w:pos="1483" w:val="left"/>
        </w:tabs>
        <w:numPr>
          <w:ilvl w:val="0"/>
          <w:numId w:val="4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incurred since the AT&amp;T Broadband Balance Sheet Date in the ordinary course of business of the AT&amp;T Broadband Group consistent with past practice;</w:t>
      </w:r>
    </w:p>
    <w:p>
      <w:pPr>
        <w:spacing w:after="0" w:line="194" w:lineRule="exact"/>
        <w:rPr>
          <w:rFonts w:ascii="Courier New" w:cs="Courier New" w:eastAsia="Courier New" w:hAnsi="Courier New"/>
          <w:sz w:val="17"/>
          <w:szCs w:val="17"/>
          <w:color w:val="auto"/>
        </w:rPr>
      </w:pPr>
    </w:p>
    <w:p>
      <w:pPr>
        <w:ind w:left="540" w:right="2259" w:firstLine="515"/>
        <w:spacing w:after="0" w:line="254" w:lineRule="auto"/>
        <w:tabs>
          <w:tab w:leader="none" w:pos="1483" w:val="left"/>
        </w:tabs>
        <w:numPr>
          <w:ilvl w:val="0"/>
          <w:numId w:val="4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under commercial transactions and agreements in accordance with their terms or arising in compliance with applicable laws, statutes, ordinances, rules or regulations; or</w:t>
      </w:r>
    </w:p>
    <w:p>
      <w:pPr>
        <w:spacing w:after="0" w:line="194" w:lineRule="exact"/>
        <w:rPr>
          <w:rFonts w:ascii="Courier New" w:cs="Courier New" w:eastAsia="Courier New" w:hAnsi="Courier New"/>
          <w:sz w:val="17"/>
          <w:szCs w:val="17"/>
          <w:color w:val="auto"/>
        </w:rPr>
      </w:pPr>
    </w:p>
    <w:p>
      <w:pPr>
        <w:jc w:val="both"/>
        <w:ind w:left="540" w:right="1839" w:firstLine="515"/>
        <w:spacing w:after="0" w:line="254" w:lineRule="auto"/>
        <w:tabs>
          <w:tab w:leader="none" w:pos="1483" w:val="left"/>
        </w:tabs>
        <w:numPr>
          <w:ilvl w:val="0"/>
          <w:numId w:val="4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that, individually or in the aggregate, have not had and would not reasonably be expected to have an AT&amp;T Broadband Material Adverse Effect.</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6.12. Compliance with Laws and Court Orders. Except as set forth in Section 6.12 of the AT&amp;T Disclosure Schedule, AT&amp;T (to the extent relating to the AT&amp;T Broadband Group), AT&amp;T Broadband and the AT&amp;T Broadband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an AT&amp;T Broadband Material Adverse Effect. AT&amp;T (to the extent relating to the AT&amp;T Broadband Group), AT&amp;T Broadband and each of the AT&amp;T Broadband Subsidiaries are, and have been in compliance with, and to the knowledge of AT&amp;T,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an AT&amp;T Broadband Material Adverse Effect.</w:t>
      </w:r>
    </w:p>
    <w:p>
      <w:pPr>
        <w:spacing w:after="0" w:line="20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6.13. Litigation. There is no action, suit, investigation or proceeding (or any basis therefor) pending against, or, to the knowledge of AT&amp;T, threatened against or affecting AT&amp;T, the AT&amp;T Broadband Group or any AT&amp;T Subsidiary, or any of their respective assets or properties before</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A-39</w:t>
      </w:r>
    </w:p>
    <w:p>
      <w:pPr>
        <w:sectPr>
          <w:pgSz w:w="11900" w:h="16838" w:orient="portrait"/>
          <w:cols w:equalWidth="0" w:num="1">
            <w:col w:w="10219"/>
          </w:cols>
          <w:pgMar w:left="240" w:top="719" w:right="1440" w:bottom="458" w:gutter="0" w:footer="0" w:header="0"/>
        </w:sectPr>
      </w:pPr>
    </w:p>
    <w:bookmarkStart w:id="437" w:name="page438"/>
    <w:bookmarkEnd w:id="437"/>
    <w:p>
      <w:pPr>
        <w:jc w:val="both"/>
        <w:ind w:right="1939"/>
        <w:spacing w:after="0" w:line="254" w:lineRule="auto"/>
        <w:rPr>
          <w:sz w:val="20"/>
          <w:szCs w:val="20"/>
          <w:color w:val="auto"/>
        </w:rPr>
      </w:pPr>
      <w:r>
        <w:rPr>
          <w:rFonts w:ascii="Courier New" w:cs="Courier New" w:eastAsia="Courier New" w:hAnsi="Courier New"/>
          <w:sz w:val="17"/>
          <w:szCs w:val="17"/>
          <w:color w:val="auto"/>
        </w:rPr>
        <w:t>any court or arbitrator or before or by any other Governmental Authority, that, individually or in the aggregate, would reasonably be expected to have an AT&amp;T Broadband Material Adverse Effect.</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6.14. Finders' Fees. Except for Credit Suisse First Boston and Goldman Sachs &amp; Co., whose fees, subject to Section 11.03(a), will be paid by AT&amp;T Broadband, there is no investment banker, broker, finder or other intermediary that has been retained by or is authorized to act on behalf of AT&amp;T or any AT&amp;T Subsidiary who might be entitled to any fee or commission in connection with the transactions contemplated by this Agreement and the other Transaction Agreements. A copy of AT&amp;T's engagement agreement with each of Goldman Sachs &amp; Co. and Credit Suisse First Boston have been provided to Comcast.</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SECTION 6.15. Opinion of Financial Advisor. AT&amp;T has received an opinion of each of Credit Suisse First Boston and Goldman, Sachs &amp; Co., financial advisors to AT&amp;T, to the effect that, as of the date hereof, the exchange ratio in the AT&amp;T Broadband Merger is fair, from a financial point of view, to the shareholders of AT&amp;T who will become shareholders of AT&amp;T Broadband pursuant to the Separation and Distribution Agreement (other than Comcast and its Affiliates).</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6.16. Taxes. Except as would not, individually or in the aggregate, reasonably be expected to have an AT&amp;T Broadband Material Adverse Effect, (a) all AT&amp;T and AT&amp;T Subsidiary Tax Returns required to be filed on or before the Effective Time with any taxing authority by, or with respect to, AT&amp;T and the AT&amp;T Subsidiaries have been or will be timely filed (taking into account extensions) and are or will be correct in all respects (other than with respect to Taxes for which adequate reserves are reflected on the AT&amp;T Balance Sheet and, to the extent related to the AT&amp;T Broadband Group, AT&amp;T Broadband or an AT&amp;T Broadband Subsidiary, on the AT&amp;T Broadband Balance Sheet); (b) AT&amp;T and the AT&amp;T Subsidiaries have timely paid or will timely pay all Taxes shown as due and payable on the AT&amp;T Tax Returns that have been or will be so filed, and, as of the time of filing, the AT&amp;T Tax Returns correctly reflected the facts regarding the income, business, assets, operations, activities and the status of AT&amp;T and the AT&amp;T Subsidiaries (other than with respect to Taxes for which adequate reserves are reflected on the AT&amp;T Balance Sheet and, to the extent related to the AT&amp;T Broadband Group, AT&amp;T Broadband or an AT&amp;T Broadband Subsidiary, on the AT&amp;T Broadband Balance Sheet); (c) AT&amp;T and the AT&amp;T Subsidiaries have made provision for all Taxes payable by AT&amp;T and the AT&amp;T Subsidiaries for which no AT&amp;T Tax Return has yet been filed; (d) there is no action, suit, proceeding, audit or claim currently proposed or pending against or with respect to AT&amp;T or any AT&amp;T Subsidiary in respect of any Tax where there is a reasonable possibility of an adverse determination; (e) the United States federal income Tax Returns of AT&amp;T and the AT&amp;T Subsidiaries have been examined and settled with the IRS (or the applicable statutes of limitation for the assessment of United States federal income Taxes for such periods have expired) for all years through 1992; (f) no extension of the statute of limitations on the assessment of any Taxes has been granted by AT&amp;T or any AT&amp;T Subsidiary and is currently in effect; (g) except for complete and accurate copies of Tax sharing agreements and amendments thereto made available to Comcast prior to the execution of this Agreement and listed in Section 6.16 of the AT&amp;T Disclosure Schedule, no agreements relating to the allocation or sharing of Taxes exist between AT&amp;T and/or any of the AT&amp;T Subsidiaries, on the one hand, and a third party, on the other hand; and (h) there are no Liens for Taxes on any of the assets of AT&amp;T or any AT&amp;T Subsidiary except Liens for current Taxes not yet due and payable.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6.17. Tax Opinions. Neither AT&amp;T nor any AT&amp;T Subsidiary has taken any action or knows of any facts or circumstances relating to AT&amp;T or any AT&amp;T Subsidiary that would prevent (i) the ruling or opinion referred to in Section 10.01(j) from being obtained or (ii) Wachtell, Lipton, Rosen &amp; Katz from delivering the opinion referred to in Section 10.02(b) as of the date hereof.</w:t>
      </w:r>
    </w:p>
    <w:p>
      <w:pPr>
        <w:spacing w:after="0" w:line="197"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SECTION 6.18. Employee Benefit Plans and Labor Matters. Except as have not had and would not reasonably be expected to have, individually or in the aggregate, an AT&amp;T Broadband Material Adverse Effect:</w:t>
      </w:r>
    </w:p>
    <w:p>
      <w:pPr>
        <w:spacing w:after="0" w:line="194" w:lineRule="exact"/>
        <w:rPr>
          <w:sz w:val="20"/>
          <w:szCs w:val="20"/>
          <w:color w:val="auto"/>
        </w:rPr>
      </w:pPr>
    </w:p>
    <w:p>
      <w:pPr>
        <w:ind w:left="540" w:right="2039" w:firstLine="515"/>
        <w:spacing w:after="0" w:line="254" w:lineRule="auto"/>
        <w:tabs>
          <w:tab w:leader="none" w:pos="1483" w:val="left"/>
        </w:tabs>
        <w:numPr>
          <w:ilvl w:val="0"/>
          <w:numId w:val="4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6.18(a) of the AT&amp;T Disclosure Schedule contains a true and complete list, as of the date hereof, of all Broadband Employee Plans and all Broadband Benefit Arrangements. Copies of</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A-40</w:t>
      </w:r>
    </w:p>
    <w:p>
      <w:pPr>
        <w:sectPr>
          <w:pgSz w:w="11900" w:h="16838" w:orient="portrait"/>
          <w:cols w:equalWidth="0" w:num="1">
            <w:col w:w="10219"/>
          </w:cols>
          <w:pgMar w:left="240" w:top="719" w:right="1440" w:bottom="860" w:gutter="0" w:footer="0" w:header="0"/>
        </w:sectPr>
      </w:pPr>
    </w:p>
    <w:bookmarkStart w:id="438" w:name="page439"/>
    <w:bookmarkEnd w:id="438"/>
    <w:p>
      <w:pPr>
        <w:ind w:left="9" w:right="1939"/>
        <w:spacing w:after="0" w:line="252" w:lineRule="auto"/>
        <w:rPr>
          <w:sz w:val="20"/>
          <w:szCs w:val="20"/>
          <w:color w:val="auto"/>
        </w:rPr>
      </w:pPr>
      <w:r>
        <w:rPr>
          <w:rFonts w:ascii="Courier New" w:cs="Courier New" w:eastAsia="Courier New" w:hAnsi="Courier New"/>
          <w:sz w:val="17"/>
          <w:szCs w:val="17"/>
          <w:color w:val="auto"/>
        </w:rPr>
        <w:t>each Broadband Employee Plan and Broadband Benefit Arrangement (and, if applicable, related trust agreements) and all amendments thereto have been made available to Comcast as of the date hereof, together with the three most recent annual reports (Form 5500 including, if applicable, Schedule B thereto) and the most recent actuarial valuation report prepared in connection with any Broadband Employee Plan.</w:t>
      </w:r>
    </w:p>
    <w:p>
      <w:pPr>
        <w:spacing w:after="0" w:line="197" w:lineRule="exact"/>
        <w:rPr>
          <w:sz w:val="20"/>
          <w:szCs w:val="20"/>
          <w:color w:val="auto"/>
        </w:rPr>
      </w:pPr>
    </w:p>
    <w:p>
      <w:pPr>
        <w:ind w:left="9" w:right="1839" w:firstLine="515"/>
        <w:spacing w:after="0" w:line="251" w:lineRule="auto"/>
        <w:tabs>
          <w:tab w:leader="none" w:pos="1056" w:val="left"/>
        </w:tabs>
        <w:numPr>
          <w:ilvl w:val="1"/>
          <w:numId w:val="4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"accumulated funding deficiency" (as defined in Section 412 of the Code) has been incurred with respect to any Broadband Employee Plan subject to such Section 412 of the Code, whether or not waived. No "reportable event" (within the meaning of Section 4043 of ERISA) for which the 30-day notice period has not been waived, and no event described in Section 4062 or 4063 of ERISA, has occurred in connection with any Broadband Employee Plan. Neither AT&amp;T nor any ERISA Affiliate of AT&amp;T has</w:t>
      </w:r>
    </w:p>
    <w:p>
      <w:pPr>
        <w:ind w:left="9" w:right="1939" w:hanging="9"/>
        <w:spacing w:after="0" w:line="251" w:lineRule="auto"/>
        <w:tabs>
          <w:tab w:leader="none" w:pos="428" w:val="left"/>
        </w:tabs>
        <w:numPr>
          <w:ilvl w:val="0"/>
          <w:numId w:val="4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engaged in, or is a successor or parent corporation to an entity that has engaged in, a transaction described in Sections 4069 or 4212(c) of ERISA or (ii) incurred, or reasonably expects to incur prior to the Effective Time, (A) any liability under Title IV of ERISA arising in connection with the termination of, or a complete or partial withdrawal from, any plan covered or previously covered by Title IV of ERISA or (B) any liability under Section 4971 of the Code that in either case could become a liability of Parent, AT&amp;T Broadband, any AT&amp;T Broadband Subsidiary, Comcast, any Comcast Subsidiary, or any of their respective ERISA Affiliates after the Effective Time. No Broadband Employee Plan is a Multiemployer Plan.</w:t>
      </w:r>
    </w:p>
    <w:p>
      <w:pPr>
        <w:spacing w:after="0" w:line="201" w:lineRule="exact"/>
        <w:rPr>
          <w:rFonts w:ascii="Courier New" w:cs="Courier New" w:eastAsia="Courier New" w:hAnsi="Courier New"/>
          <w:sz w:val="17"/>
          <w:szCs w:val="17"/>
          <w:color w:val="auto"/>
        </w:rPr>
      </w:pPr>
    </w:p>
    <w:p>
      <w:pPr>
        <w:ind w:left="9" w:right="1839" w:firstLine="515"/>
        <w:spacing w:after="0" w:line="251" w:lineRule="auto"/>
        <w:tabs>
          <w:tab w:leader="none" w:pos="952" w:val="left"/>
        </w:tabs>
        <w:numPr>
          <w:ilvl w:val="1"/>
          <w:numId w:val="4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June 30, 2001, the fair market value of the assets of each Broadband Pension Plan (excluding for these purposes any accrued but unpaid contributions) exceeded the present value of the pension benefit obligations accrued under such Broadband Pension Plan calculated pursuant to SFAS No. 87, "Employers' Accounting for Pensions". As of September 30, 2001, the aggregate unfunded liability of AT&amp;T and any AT&amp;T Subsidiary in respect of all Broadband Deferred Compensation Plans, computed using reasonable actuarial assumptions and determined as if all benefits under such plans were vested and payable as of such date, did not exceed $132 million.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9" w:right="1839" w:firstLine="515"/>
        <w:spacing w:after="0" w:line="253" w:lineRule="auto"/>
        <w:tabs>
          <w:tab w:leader="none" w:pos="952" w:val="left"/>
        </w:tabs>
        <w:numPr>
          <w:ilvl w:val="1"/>
          <w:numId w:val="4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AT&amp;T, AT&amp;T Broadband nor any AT&amp;T Broadband Subsidiary has any liability with respect of post-retirement health, medical or life insurance benefits for retired, former or current Broadband Employees except as to required to avoid excise tax under Section 4980B of the Code.</w:t>
      </w:r>
    </w:p>
    <w:p>
      <w:pPr>
        <w:spacing w:after="0" w:line="195" w:lineRule="exact"/>
        <w:rPr>
          <w:rFonts w:ascii="Courier New" w:cs="Courier New" w:eastAsia="Courier New" w:hAnsi="Courier New"/>
          <w:sz w:val="17"/>
          <w:szCs w:val="17"/>
          <w:color w:val="auto"/>
        </w:rPr>
      </w:pPr>
    </w:p>
    <w:p>
      <w:pPr>
        <w:ind w:left="9" w:right="2259" w:firstLine="515"/>
        <w:spacing w:after="0" w:line="252" w:lineRule="auto"/>
        <w:tabs>
          <w:tab w:leader="none" w:pos="952" w:val="left"/>
        </w:tabs>
        <w:numPr>
          <w:ilvl w:val="1"/>
          <w:numId w:val="4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Broadband Employee Plan that is intended to be qualified under Section 401(a) of the Code is so qualified and a favorable determination letter is currently in effect for each such Broadband Employee Plan. To the knowledge of AT&amp;T, no fact or circumstance exists giving rise to a material likelihood that such Broadband Employee Plan would not be treated as qualified by the Internal Revenue Service.</w:t>
      </w:r>
    </w:p>
    <w:p>
      <w:pPr>
        <w:spacing w:after="0" w:line="196" w:lineRule="exact"/>
        <w:rPr>
          <w:rFonts w:ascii="Courier New" w:cs="Courier New" w:eastAsia="Courier New" w:hAnsi="Courier New"/>
          <w:sz w:val="17"/>
          <w:szCs w:val="17"/>
          <w:color w:val="auto"/>
        </w:rPr>
      </w:pPr>
    </w:p>
    <w:p>
      <w:pPr>
        <w:ind w:left="9" w:right="2039" w:firstLine="515"/>
        <w:spacing w:after="0" w:line="252" w:lineRule="auto"/>
        <w:tabs>
          <w:tab w:leader="none" w:pos="952" w:val="left"/>
        </w:tabs>
        <w:numPr>
          <w:ilvl w:val="1"/>
          <w:numId w:val="4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contract, plan or arrangement (written or otherwise) covering any Broadband Employee that, individually or in the aggregate, could give rise to the payment of any amount by AT&amp;T Broadband or any of the AT&amp;T Broadband Subsidiaries that would not be deductible pursuant to the terms of Sections 162(m) or 280G of the Code.</w:t>
      </w:r>
    </w:p>
    <w:p>
      <w:pPr>
        <w:spacing w:after="0" w:line="197" w:lineRule="exact"/>
        <w:rPr>
          <w:rFonts w:ascii="Courier New" w:cs="Courier New" w:eastAsia="Courier New" w:hAnsi="Courier New"/>
          <w:sz w:val="17"/>
          <w:szCs w:val="17"/>
          <w:color w:val="auto"/>
        </w:rPr>
      </w:pPr>
    </w:p>
    <w:p>
      <w:pPr>
        <w:ind w:left="9" w:right="1839" w:firstLine="515"/>
        <w:spacing w:after="0" w:line="254" w:lineRule="auto"/>
        <w:tabs>
          <w:tab w:leader="none" w:pos="952" w:val="left"/>
        </w:tabs>
        <w:numPr>
          <w:ilvl w:val="1"/>
          <w:numId w:val="4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has made available to Comcast, as of the date hereof, a true and complete list and copies of each material Broadband International Plan, other than plans mandated by applicable law.</w:t>
      </w:r>
    </w:p>
    <w:p>
      <w:pPr>
        <w:spacing w:after="0" w:line="194" w:lineRule="exact"/>
        <w:rPr>
          <w:rFonts w:ascii="Courier New" w:cs="Courier New" w:eastAsia="Courier New" w:hAnsi="Courier New"/>
          <w:sz w:val="17"/>
          <w:szCs w:val="17"/>
          <w:color w:val="auto"/>
        </w:rPr>
      </w:pPr>
    </w:p>
    <w:p>
      <w:pPr>
        <w:ind w:left="9" w:right="2039" w:firstLine="515"/>
        <w:spacing w:after="0" w:line="252" w:lineRule="auto"/>
        <w:tabs>
          <w:tab w:leader="none" w:pos="952" w:val="left"/>
        </w:tabs>
        <w:numPr>
          <w:ilvl w:val="1"/>
          <w:numId w:val="4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Broadband Employee Plan, Broadband Benefit Arrangement and Broadband International Plan has been maintained in compliance with its terms and with the requirements prescribed by all applicable laws, statutes, orders, rules and regulations (including any special provisions relating to registration or qualification where such plan was intended to be so registered or qualified) and has been maintained in good standing with applicable Governmental Authorities.</w:t>
      </w:r>
    </w:p>
    <w:p>
      <w:pPr>
        <w:spacing w:after="0" w:line="195" w:lineRule="exact"/>
        <w:rPr>
          <w:rFonts w:ascii="Courier New" w:cs="Courier New" w:eastAsia="Courier New" w:hAnsi="Courier New"/>
          <w:sz w:val="17"/>
          <w:szCs w:val="17"/>
          <w:color w:val="auto"/>
        </w:rPr>
      </w:pPr>
    </w:p>
    <w:p>
      <w:pPr>
        <w:ind w:left="9" w:right="2359" w:firstLine="515"/>
        <w:spacing w:after="0" w:line="252" w:lineRule="auto"/>
        <w:tabs>
          <w:tab w:leader="none" w:pos="952" w:val="left"/>
        </w:tabs>
        <w:numPr>
          <w:ilvl w:val="1"/>
          <w:numId w:val="4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has been no amendment to, written interpretation or announcement (whether or not written) by AT&amp;T or any of its Affiliates relating to, or change in employee participation coverage under, a Broadband Employee Plan, Broadband Benefit Arrangement or Broadband International Plan which would increase materially the expense of maintaining such plan above the level of expense incurred in respect thereof for the fiscal year ended December 31, 2000.</w:t>
      </w:r>
    </w:p>
    <w:p>
      <w:pPr>
        <w:spacing w:after="0" w:line="196"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A-41</w:t>
      </w:r>
    </w:p>
    <w:p>
      <w:pPr>
        <w:sectPr>
          <w:pgSz w:w="11900" w:h="16838" w:orient="portrait"/>
          <w:cols w:equalWidth="0" w:num="1">
            <w:col w:w="9688"/>
          </w:cols>
          <w:pgMar w:left="771" w:top="719" w:right="1440" w:bottom="256" w:gutter="0" w:footer="0" w:header="0"/>
        </w:sectPr>
      </w:pPr>
    </w:p>
    <w:bookmarkStart w:id="439" w:name="page440"/>
    <w:bookmarkEnd w:id="439"/>
    <w:p>
      <w:pPr>
        <w:ind w:left="540" w:right="1839" w:firstLine="515"/>
        <w:spacing w:after="0" w:line="252" w:lineRule="auto"/>
        <w:tabs>
          <w:tab w:leader="none" w:pos="1483" w:val="left"/>
        </w:tabs>
        <w:numPr>
          <w:ilvl w:val="0"/>
          <w:numId w:val="4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Broadband Employee, former Broadband Employee or independent contractor of AT&amp;T Broadband or any of the AT&amp;T Broadband Subsidiaries, will become entitled to any bonus, retirement, severance, job security or similar benefit or enhanced such benefit (including acceleration of vesting or exercise of an incentive award) as a result of the transactions contemplated hereby (either alone or together with any other event).</w:t>
      </w:r>
    </w:p>
    <w:p>
      <w:pPr>
        <w:spacing w:after="0" w:line="196" w:lineRule="exact"/>
        <w:rPr>
          <w:rFonts w:ascii="Courier New" w:cs="Courier New" w:eastAsia="Courier New" w:hAnsi="Courier New"/>
          <w:sz w:val="17"/>
          <w:szCs w:val="17"/>
          <w:color w:val="auto"/>
        </w:rPr>
      </w:pPr>
    </w:p>
    <w:p>
      <w:pPr>
        <w:ind w:left="540" w:right="1839" w:firstLine="515"/>
        <w:spacing w:after="0" w:line="251" w:lineRule="auto"/>
        <w:tabs>
          <w:tab w:leader="none" w:pos="1483" w:val="left"/>
        </w:tabs>
        <w:numPr>
          <w:ilvl w:val="0"/>
          <w:numId w:val="4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6.18(k) of the AT&amp;T Disclosure Schedule sets forth a list of all collective bargaining agreements to which AT&amp;T Broadband or any of the AT&amp;T Broadband Subsidiaries is a party or otherwise covering any employee of AT&amp;T Broadband or any of the AT&amp;T Broadband Subsidiaries. None of AT&amp;T, AT&amp;T Broadband nor any of the AT&amp;T Broadband Subsidiaries is involved in, or to the knowledge of AT&amp;T, threatened with any labor dispute, work stoppage, labor strike, slowdown or grievance relating to the AT&amp;T Broadband Group. To the knowledge of AT&amp;T, there is no organizing effort or representation question at issue with respect to any collective bargaining unit of AT&amp;T Broadband or any of the AT&amp;T Broadband Subsidiaries or any employee of AT&amp;T Broadband or any of the AT&amp;T Broadband Subsidiaries.</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540" w:right="2039" w:firstLine="515"/>
        <w:spacing w:after="0" w:line="251" w:lineRule="auto"/>
        <w:tabs>
          <w:tab w:leader="none" w:pos="1483" w:val="left"/>
        </w:tabs>
        <w:numPr>
          <w:ilvl w:val="0"/>
          <w:numId w:val="4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pending or threatened claims (other than claims for benefits in the ordinary course), lawsuits or arbitrations that have been asserted or instituted, and, to the knowledge of AT&amp;T, no set of circumstances exists that may reasonably give rise to a claim or lawsuit, against any of the Broadband Benefit Arrangements, the Broadband Employee Plans and the Broadband International Plans, any fiduciaries thereof with respect to their duties thereto or the assets of any of the trusts thereunder, that could reasonably be expected to result in any material liability of AT&amp;T or any of the AT&amp;T Subsidiaries to the PBGC, the United States Department of Treasury, the United States Department of Labor, any foreign governmental authority, any Multiemployer Plan, any of the Broadband Benefit Arrangements, the Broadband Employee Plans and the Broadband International Plans, any participant therein, or any other Person.</w:t>
      </w:r>
    </w:p>
    <w:p>
      <w:pPr>
        <w:spacing w:after="0" w:line="202"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SECTION 6.19. Environmental Matters. (a) Except as have not had and would not reasonably be expected to have, individually or in the aggregate, an AT&amp;T Broadband Material Adverse Effect:</w:t>
      </w:r>
    </w:p>
    <w:p>
      <w:pPr>
        <w:spacing w:after="0" w:line="194" w:lineRule="exact"/>
        <w:rPr>
          <w:sz w:val="20"/>
          <w:szCs w:val="20"/>
          <w:color w:val="auto"/>
        </w:rPr>
      </w:pPr>
    </w:p>
    <w:p>
      <w:pPr>
        <w:ind w:left="540" w:right="1839" w:firstLine="515"/>
        <w:spacing w:after="0" w:line="251" w:lineRule="auto"/>
        <w:tabs>
          <w:tab w:leader="none" w:pos="1483" w:val="left"/>
        </w:tabs>
        <w:numPr>
          <w:ilvl w:val="1"/>
          <w:numId w:val="4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notice, notification, demand, request for information, citation, summons or order has been received, no complaint has been filed, no penalty has been assessed, and no investigation, action, claim, suit, proceeding or review is pending or, to the knowledge of AT&amp;T, threatened by any Governmental Authority or other Person with respect to AT&amp;T (to the extent relating to the AT&amp;T Broadband Group), AT&amp;T Broadband, any AT&amp;T Broadband Subsidiary or the AT&amp;T Broadband Group relating to or arising out of any Environmental Law;</w:t>
      </w:r>
    </w:p>
    <w:p>
      <w:pPr>
        <w:spacing w:after="0" w:line="201" w:lineRule="exact"/>
        <w:rPr>
          <w:rFonts w:ascii="Courier New" w:cs="Courier New" w:eastAsia="Courier New" w:hAnsi="Courier New"/>
          <w:sz w:val="17"/>
          <w:szCs w:val="17"/>
          <w:color w:val="auto"/>
        </w:rPr>
      </w:pPr>
    </w:p>
    <w:p>
      <w:pPr>
        <w:ind w:left="540" w:right="1839" w:firstLine="515"/>
        <w:spacing w:after="0" w:line="253" w:lineRule="auto"/>
        <w:tabs>
          <w:tab w:leader="none" w:pos="1587" w:val="left"/>
        </w:tabs>
        <w:numPr>
          <w:ilvl w:val="1"/>
          <w:numId w:val="4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member of AT&amp;T (to the extent relating to the AT&amp;T Broadband Group), AT&amp;T Broadband, the AT&amp;T Broadband Subsidiaries and the AT&amp;T Broadband Group is and has been in compliance with all Environmental Laws and all Environmental Permits; and</w:t>
      </w:r>
    </w:p>
    <w:p>
      <w:pPr>
        <w:spacing w:after="0" w:line="195" w:lineRule="exact"/>
        <w:rPr>
          <w:rFonts w:ascii="Courier New" w:cs="Courier New" w:eastAsia="Courier New" w:hAnsi="Courier New"/>
          <w:sz w:val="17"/>
          <w:szCs w:val="17"/>
          <w:color w:val="auto"/>
        </w:rPr>
      </w:pPr>
    </w:p>
    <w:p>
      <w:pPr>
        <w:ind w:left="540" w:right="1939" w:firstLine="515"/>
        <w:spacing w:after="0" w:line="252" w:lineRule="auto"/>
        <w:tabs>
          <w:tab w:leader="none" w:pos="1692" w:val="left"/>
        </w:tabs>
        <w:numPr>
          <w:ilvl w:val="1"/>
          <w:numId w:val="4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liabilities of AT&amp;T (to the extent relating to the AT&amp;T Broadband Group), AT&amp;T Broadband, the AT&amp;T Broadband Subsidiaries or the AT&amp;T Broadband Group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195"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4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have been no environmental investigations, studies, audits, tests, reviews or other analyses conducted of which AT&amp;T has knowledge in relation to the current or prior business of the AT&amp;T Broadband Group, AT&amp;T (to the extent relating to the AT&amp;T Broadband Group), AT&amp;T Broadband or any AT&amp;T Broadband Subsidiary or any property or facility now or previously owned or leased by the AT&amp;T Broadband Group, AT&amp;T (to the extent relating to the AT&amp;T Broadband Group), AT&amp;T Broadband or any AT&amp;T Broadband Subsidiary that reveal matters that, individually or in the aggregate, have had, or would reasonably be expected to have, an AT&amp;T Broadband Material Adverse Effect.</w:t>
      </w:r>
    </w:p>
    <w:p>
      <w:pPr>
        <w:spacing w:after="0" w:line="201" w:lineRule="exact"/>
        <w:rPr>
          <w:rFonts w:ascii="Courier New" w:cs="Courier New" w:eastAsia="Courier New" w:hAnsi="Courier New"/>
          <w:sz w:val="17"/>
          <w:szCs w:val="17"/>
          <w:color w:val="auto"/>
        </w:rPr>
      </w:pPr>
    </w:p>
    <w:p>
      <w:pPr>
        <w:jc w:val="both"/>
        <w:ind w:right="2139" w:firstLine="531"/>
        <w:spacing w:after="0" w:line="254" w:lineRule="auto"/>
        <w:tabs>
          <w:tab w:leader="none" w:pos="943" w:val="left"/>
        </w:tabs>
        <w:numPr>
          <w:ilvl w:val="0"/>
          <w:numId w:val="4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6.19, the terms "AT&amp;T Broadband Group", "AT&amp;T (to the extent relating to the AT&amp;T Broadband Group)", "AT&amp;T Broadband" and "AT&amp;T Broadband Subsidiary" shall</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A-42</w:t>
      </w:r>
    </w:p>
    <w:p>
      <w:pPr>
        <w:sectPr>
          <w:pgSz w:w="11900" w:h="16838" w:orient="portrait"/>
          <w:cols w:equalWidth="0" w:num="1">
            <w:col w:w="10219"/>
          </w:cols>
          <w:pgMar w:left="240" w:top="719" w:right="1440" w:bottom="256" w:gutter="0" w:footer="0" w:header="0"/>
        </w:sectPr>
      </w:pPr>
    </w:p>
    <w:bookmarkStart w:id="440" w:name="page441"/>
    <w:bookmarkEnd w:id="440"/>
    <w:p>
      <w:pPr>
        <w:ind w:right="1839"/>
        <w:spacing w:after="0" w:line="254" w:lineRule="auto"/>
        <w:rPr>
          <w:sz w:val="20"/>
          <w:szCs w:val="20"/>
          <w:color w:val="auto"/>
        </w:rPr>
      </w:pPr>
      <w:r>
        <w:rPr>
          <w:rFonts w:ascii="Courier New" w:cs="Courier New" w:eastAsia="Courier New" w:hAnsi="Courier New"/>
          <w:sz w:val="17"/>
          <w:szCs w:val="17"/>
          <w:color w:val="auto"/>
        </w:rPr>
        <w:t>include any entity that is, in whole or in part, a predecessor of the AT&amp;T Broadband Group, AT&amp;T (to the extent relating to the AT&amp;T Broadband Group), AT&amp;T Broadband or any AT&amp;T Broadband Subsidiary.</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6.20. Intellectual Property. The Transaction Agreements, taken as a whole, including the Separation and Distribution Agreement and the assets transferred thereby, the Intellectual Property Agreement (as defined in the Separation and Distribution Agreement) and the intellectual property licenses granted thereby and the other Ancillary Agreements and all services furnished thereby provide sufficient rights in or access to intellectual property owned by AT&amp;T to enable the AT&amp;T Broadband Group, without violating such AT&amp;T intellectual property, to conduct its business immediately after the Effective Time in all material respects as that business was conducted by the AT&amp;T Broadband Group immediately prior to the Effective Time. Neither AT&amp;T nor any AT&amp;T Subsidiary has received any notice of infringement of or conflict with, and, to AT&amp;T's knowledge, there are no infringements of or conflicts with, the rights of any Person with respect to the use of any trademark, service mark, trade name, invention, patent, trade secret, copyright, know-how (including any registrations or applications for registration of any of the foregoing) or any other similar type of proprietary intellectual property right that, in either such case, individually or in the aggregate, have had or would reasonably be expected to have, an AT&amp;T Broadband Material Adverse Effect.</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6.21. Contracts. Except as set forth in Section 6.21 of the AT&amp;T Disclosure Schedule and except as may relate to TWE or At Home, neither AT&amp;T (to the extent relating to the AT&amp;T Broadband Group), AT&amp;T Broadband nor any of the AT&amp;T Broadband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w:t>
      </w:r>
    </w:p>
    <w:p>
      <w:pPr>
        <w:ind w:right="1839" w:firstLine="7"/>
        <w:spacing w:after="0" w:line="251" w:lineRule="auto"/>
        <w:tabs>
          <w:tab w:leader="none" w:pos="419" w:val="left"/>
        </w:tabs>
        <w:numPr>
          <w:ilvl w:val="0"/>
          <w:numId w:val="4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non-competition agreement or any other agreement or obligation that materially limits or will materially limit AT&amp;T Broadband, the AT&amp;T Broadband Group or the AT&amp;T Broadband Subsidiaries (or, after the Mergers, Parent, Comcast or any of the Comcast Subsidiaries) from engaging in the business of providing telephony, data transmission services, cable television or programming content, or (c) any agreement, contract or commitment to which Liberty Media Corporation, AT&amp;T Wireless or any of their respective Subsidiaries is a party that is material to or not in the ordinary course of business of the AT&amp;T Broadband Group. With such exceptions as, individually or in the aggregate, have not had, and would not reasonably be expected to have, an AT&amp;T Broadband Material Adverse Effect and except as may relate to TWE or At Home, (i) each of the contracts, agreements and commitments of the AT&amp;T Broadband Group, AT&amp;T (to the extent relating to the AT&amp;T Broadband Group), AT&amp;T Broadband and the AT&amp;T Broadband Subsidiaries is valid and in full force and effect and (ii) neither the AT&amp;T Broadband Group, AT&amp;T (to the extent relating to the AT&amp;T Broadband Group), AT&amp;T Broadband nor any of the AT&amp;T Broadband Subsidiaries has violated any provision of, or committed or failed to perform any act that, with or without notice, lapse of time, or both, would constitute a default under the provisions of, any such contract, agreement or commitment. To the knowledge of AT&amp;T,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or would not reasonably be expected to have, an AT&amp;T Broadband Material Adverse Effect. Except as set forth in Section 6.21 of the AT&amp;T Disclosure Schedule and except as may relate to TWE or At Home, neither AT&amp;T (to the extent relating to the AT&amp;T Broadband Group), the AT&amp;T Broadband Group, AT&amp;T Broadband nor any AT&amp;T Broadband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AT&amp;T Broadband Subsidiary. Except as set forth in Section 6.21 of the AT&amp;T Disclosure Schedule and except as may relate to TWE or At Home, neither AT&amp;T (to the extent relating to the AT&amp;T Broadband Group), the AT&amp;T Broadband Group, AT&amp;T Broadband nor any AT&amp;T Broadband Subsidiary is a party to any joint venture or partnership agreement pursuant to which it is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A-43</w:t>
      </w:r>
    </w:p>
    <w:p>
      <w:pPr>
        <w:sectPr>
          <w:pgSz w:w="11900" w:h="16838" w:orient="portrait"/>
          <w:cols w:equalWidth="0" w:num="1">
            <w:col w:w="10219"/>
          </w:cols>
          <w:pgMar w:left="240" w:top="719" w:right="1440" w:bottom="1440" w:gutter="0" w:footer="0" w:header="0"/>
        </w:sectPr>
      </w:pPr>
    </w:p>
    <w:bookmarkStart w:id="441" w:name="page442"/>
    <w:bookmarkEnd w:id="441"/>
    <w:p>
      <w:pPr>
        <w:ind w:right="1839"/>
        <w:spacing w:after="0" w:line="252" w:lineRule="auto"/>
        <w:rPr>
          <w:sz w:val="20"/>
          <w:szCs w:val="20"/>
          <w:color w:val="auto"/>
        </w:rPr>
      </w:pPr>
      <w:r>
        <w:rPr>
          <w:rFonts w:ascii="Courier New" w:cs="Courier New" w:eastAsia="Courier New" w:hAnsi="Courier New"/>
          <w:sz w:val="17"/>
          <w:szCs w:val="17"/>
          <w:color w:val="auto"/>
        </w:rPr>
        <w:t>obligated to make capital contributions in excess of (x) $25,000,000 during the current or any succeeding calendar year or (y) $100,000,000 during the remaining term of such agreement. Subject to applicable confidentiality restrictions, AT&amp;T has provided or made available to Comcast prior to the date hereof a copy of each agreement of the type described in clause (a), (b) or (c) of the first sentence of this Section 6.21, in clause (i) or (ii) of the second preceding sentence of this Section 6.21 or in the immediately preceding sentence.</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6.22. AT&amp;T Shareholder Vote. Assuming the receipt of the affirmative vote of the holders of a majority of the outstanding shares of AT&amp;T Common Stock (the "AT&amp;T SHAREHOLDERS' APPROVAL"), which the parties acknowledge is a condition to the obligations of the parties to effect the Separation, Distribution and Mergers, no other vote of the holders of any class or series of capital stock of AT&amp;T will be necessary to approve and adopt this Agreement and the transactions contemplated hereby, including the Distribution. The only vote of the holders of any class or series of capital stock of any AT&amp;T Subsidiary necessary to approve and adopt this Agreement and the transactions contemplated hereby, including the AT&amp;T Broadband Merger, is the affirmative vote of the holders of a majority of the outstanding shares of AT&amp;T Broadband Common Stock, which vote has previously been obtained.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6.23. Antitakeover Statutes. AT&amp;T Broadband has taken all action necessary to exempt the AT&amp;T Broadband Merger and this Agreement and the transactions contemplated hereby from the restrictions of Section 203 of the DGCL or otherwise to make such provisions inapplicable to this Agreement and the transactions contemplated hereby, and, accordingly, neither Section 203 of the DGCL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201" w:lineRule="exact"/>
        <w:rPr>
          <w:sz w:val="20"/>
          <w:szCs w:val="20"/>
          <w:color w:val="auto"/>
        </w:rPr>
      </w:pPr>
    </w:p>
    <w:p>
      <w:pPr>
        <w:ind w:right="2559" w:firstLine="524"/>
        <w:spacing w:after="0" w:line="257" w:lineRule="auto"/>
        <w:rPr>
          <w:sz w:val="20"/>
          <w:szCs w:val="20"/>
          <w:color w:val="auto"/>
        </w:rPr>
      </w:pPr>
      <w:r>
        <w:rPr>
          <w:rFonts w:ascii="Courier New" w:cs="Courier New" w:eastAsia="Courier New" w:hAnsi="Courier New"/>
          <w:sz w:val="17"/>
          <w:szCs w:val="17"/>
          <w:color w:val="auto"/>
        </w:rPr>
        <w:t>SECTION 6.24. Comcast Securities. Neither AT&amp;T nor any of the AT&amp;T Subsidiaries owns any Comcast Securities.</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6.25. TWE; At Home. (a) Section 6.25(a) of the AT&amp;T Disclosure Schedule sets forth a list of each material agreement, contract or commitment to which AT&amp;T or any AT&amp;T Subsidiary of AT&amp;T is a party that amends the TWE Partnership Agreement or any related agreement or that materially affects the rights or obligations of AT&amp;T (to the extent relating to the AT&amp;T Broadband Group), AT&amp;T Broadband, the AT&amp;T Broadband Group or the AT&amp;T Broadband Subsidiaries with respect to TWE or any TWE Subsidiary or that was entered into in connection with or relates to AT&amp;T's TWE interest (the "TWE CONTRACTS"). None of AT&amp;T (to the extent relating to the AT&amp;T Broadband Group), AT&amp;T Broadband or any of the AT&amp;T Broadband Subsidiaries has violated any material provision of, or committed or failed to perform any act that, with or without notice, lapse of time, or both, would constitute a default under any material provision of, any such material contract, agreement or commitment or the TWE Partnership Agreement, except for defaults or breaches that, individually or in the aggregate, have not had, or would not reasonably be expected to have, an AT&amp;T Broadband Material Adverse Effect. The AT&amp;T Broadband Group owns a Class A Partnership Interest consisting of (x) a Common Sub-Account, entitling the AT&amp;T Broadband Group to a Participating Percentage Share of 25.51% and (y) an A Sub-Account, each as described in Article VII of the TWE Partnership Agreement and as adjusted pursuant to Article VIII of the TWE Partnership Agreement (capitalized terms used in this sentence and not defined have the meanings set forth in the TWE Partnership Agreement). The registration rights provisions of Article 13 of the TWE Partnership Agreement are enforceable in accordance with their terms and subject to the conditions thereof, except (i) as the same may be limited by applicable bankruptcy, insolvency, moratorium or similar laws of general application relating to or affecting creditors' rights and (ii) for the limitations imposed by general principles of equity. AT&amp;T has provided or made available to Comcast prior to the date hereof a copy of each TWE Contract.</w:t>
      </w:r>
    </w:p>
    <w:p>
      <w:pPr>
        <w:spacing w:after="0" w:line="202" w:lineRule="exact"/>
        <w:rPr>
          <w:sz w:val="20"/>
          <w:szCs w:val="20"/>
          <w:color w:val="auto"/>
        </w:rPr>
      </w:pPr>
    </w:p>
    <w:p>
      <w:pPr>
        <w:ind w:right="2139" w:firstLine="531"/>
        <w:spacing w:after="0" w:line="253" w:lineRule="auto"/>
        <w:tabs>
          <w:tab w:leader="none" w:pos="943" w:val="left"/>
        </w:tabs>
        <w:numPr>
          <w:ilvl w:val="0"/>
          <w:numId w:val="4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6.25(b) of the AT&amp;T Disclosure Schedule sets forth a list of each material agreement, contract or commitment between At Home and its Subsidiaries, on the one hand, and AT&amp;T (to the extent relating to the AT&amp;T Broadband Group other than At Home and its Subsidiaries), the AT&amp;T</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A-44</w:t>
      </w:r>
    </w:p>
    <w:p>
      <w:pPr>
        <w:sectPr>
          <w:pgSz w:w="11900" w:h="16838" w:orient="portrait"/>
          <w:cols w:equalWidth="0" w:num="1">
            <w:col w:w="10219"/>
          </w:cols>
          <w:pgMar w:left="240" w:top="719" w:right="1440" w:bottom="1440" w:gutter="0" w:footer="0" w:header="0"/>
        </w:sectPr>
      </w:pPr>
    </w:p>
    <w:bookmarkStart w:id="442" w:name="page443"/>
    <w:bookmarkEnd w:id="442"/>
    <w:p>
      <w:pPr>
        <w:ind w:right="1839"/>
        <w:spacing w:after="0" w:line="251" w:lineRule="auto"/>
        <w:rPr>
          <w:sz w:val="20"/>
          <w:szCs w:val="20"/>
          <w:color w:val="auto"/>
        </w:rPr>
      </w:pPr>
      <w:r>
        <w:rPr>
          <w:rFonts w:ascii="Courier New" w:cs="Courier New" w:eastAsia="Courier New" w:hAnsi="Courier New"/>
          <w:sz w:val="17"/>
          <w:szCs w:val="17"/>
          <w:color w:val="auto"/>
        </w:rPr>
        <w:t>Broadband Group (other than At Home and its Subsidiaries), AT&amp;T Broadband or any of the AT&amp;T Broadband Subsidiaries (other than At Home and its Subsidiaries), on the other hand, that is not described by any of the following: (i) it has been rejected in bankruptcy proceedings, (ii) it has been filed with the SEC by At Home, AT&amp;T or AT&amp;T Broadband, LLC (or its predecessor) or (iii) Comcast or any of its Subsidiaries is a party thereto or to a comparable agreement, contract or commitment. None of AT&amp;T or any of its Subsidiaries (other than At Home and its Subsidiaries) has violated any provision of, or committed or failed to perform any act that, with or without notice, lapse of time or both, would constitute a default under any provision of, any such material contract, agreement or commitment, except for defaults or breaches that, individually or in the aggregate, have not had, or would not reasonably be expected to have, an AT&amp;T Broadband Material Adverse Effect. AT&amp;T has provided or made available to Comcast prior to the date hereof a copy of each agreement of the type described in the first sentence of this Section 6.25(b).</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6.26. Intercompany Transactions. (a) Except as described in Section 6.26(a) of the AT&amp;T Disclosure Schedule, since December 31, 1999 through the date hereof there have been no material transactions (including allocations) between the AT&amp;T Broadband Group, on the one hand, and the AT&amp;T Communications Group, on the other hand.</w:t>
      </w:r>
    </w:p>
    <w:p>
      <w:pPr>
        <w:spacing w:after="0" w:line="197" w:lineRule="exact"/>
        <w:rPr>
          <w:sz w:val="20"/>
          <w:szCs w:val="20"/>
          <w:color w:val="auto"/>
        </w:rPr>
      </w:pPr>
    </w:p>
    <w:p>
      <w:pPr>
        <w:ind w:right="1839" w:firstLine="531"/>
        <w:spacing w:after="0" w:line="252" w:lineRule="auto"/>
        <w:tabs>
          <w:tab w:leader="none" w:pos="943" w:val="left"/>
        </w:tabs>
        <w:numPr>
          <w:ilvl w:val="0"/>
          <w:numId w:val="4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described in Section 6.26(b) of the AT&amp;T Disclosure Schedule, since the AT&amp;T Broadband Balance Sheet Date through the date hereof there have been no material transactions (including allocations) between any AT&amp;T Broadband Entity, on the one hand, and any member of the AT&amp;T Communications Group, on the other hand.</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6.27. Sufficiency of Transferred Assets. (a) Except as set forth in Section 6.27(a) of the AT&amp;T Disclosure Schedule (and other than the Delayed Transfer Assets (as defined in the Separation and Distribution Agreement) that are AT&amp;T Broadband Assets), as of the Effective Time, no material AT&amp;T Broadband Assets will be owned or held by AT&amp;T or any AT&amp;T Subsidiary. Assuming consummation of the transactions contemplated by the Separation and Distribution Agreement and assuming the availability of any assets and services contemplated to be made available to the AT&amp;T Broadband Group pursuant to the terms of the Ancillary Agreements, (i) the assets reflected on the unaudited combined balance sheet of the AT&amp;T Broadband Group as of December 31, 2000 attached as Exhibit E were sufficient in all material respects to conduct the business of the AT&amp;T Broadband Group in the manner reflected in the AT&amp;T Broadband Financial Statements and (ii) at the Effective Time, the AT&amp;T Broadband Assets will be sufficient for the conduct of the business of the AT&amp;T Broadband Group as it is being operated immediately prior to the Separation. Assuming the condition set forth in Section 10.01(l) is satisfied with respect to all outstanding Indebtedness issued under the Notes Indenture, neither Parent, nor AT&amp;T Broadband nor any AT&amp;T Broadband Subsidiary will be required to guarantee or otherwise become liable for any material Indebtedness or liability of AT&amp;T (to the extent not relating to the AT&amp;T Broadband Group) or any AT&amp;T Subsidiary (other than AT&amp;T Broadband or any AT&amp;T Broadband Subsidiary) as a result of the Separation or Distribution.</w:t>
      </w:r>
    </w:p>
    <w:p>
      <w:pPr>
        <w:spacing w:after="0" w:line="200" w:lineRule="exact"/>
        <w:rPr>
          <w:sz w:val="20"/>
          <w:szCs w:val="20"/>
          <w:color w:val="auto"/>
        </w:rPr>
      </w:pPr>
    </w:p>
    <w:p>
      <w:pPr>
        <w:spacing w:after="0" w:line="203" w:lineRule="exact"/>
        <w:rPr>
          <w:sz w:val="20"/>
          <w:szCs w:val="20"/>
          <w:color w:val="auto"/>
        </w:rPr>
      </w:pPr>
    </w:p>
    <w:p>
      <w:pPr>
        <w:ind w:right="1839" w:firstLine="531"/>
        <w:spacing w:after="0" w:line="251" w:lineRule="auto"/>
        <w:tabs>
          <w:tab w:leader="none" w:pos="943" w:val="left"/>
        </w:tabs>
        <w:numPr>
          <w:ilvl w:val="0"/>
          <w:numId w:val="4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December 31, 2000, (i) no material assets have been transferred from AT&amp;T (to the extent relating to the AT&amp;T Broadband Group), AT&amp;T Broadband, any AT&amp;T Broadband Subsidiary or the AT&amp;T Broadband Group to AT&amp;T (to the extent not relating to the AT&amp;T Broadband Group) or any AT&amp;T Subsidiary other than AT&amp;T Broadband or any AT&amp;T Broadband Subsidiary, other than the assets set forth in Section 6.27(b) of the AT&amp;T Disclosure Schedule and (ii) no material liabilities have been assumed by AT&amp;T (to the extent relating to the AT&amp;T Broadband Group), AT&amp;T Broadband, any AT&amp;T Broadband Subsidiary or the AT&amp;T Broadband Group from AT&amp;T (to the extent not relating to the AT&amp;T Broadband Group) or any AT&amp;T Subsidiary other than AT&amp;T Broadband or any AT&amp;T Broadband Subsidiary, other than the liabilities set forth in Section 6.27 of the AT&amp;T Disclosure Schedule.</w:t>
      </w:r>
    </w:p>
    <w:p>
      <w:pPr>
        <w:spacing w:after="0" w:line="201" w:lineRule="exact"/>
        <w:rPr>
          <w:rFonts w:ascii="Courier New" w:cs="Courier New" w:eastAsia="Courier New" w:hAnsi="Courier New"/>
          <w:sz w:val="17"/>
          <w:szCs w:val="17"/>
          <w:color w:val="auto"/>
        </w:rPr>
      </w:pPr>
    </w:p>
    <w:p>
      <w:pPr>
        <w:ind w:right="1839" w:firstLine="531"/>
        <w:spacing w:after="0" w:line="254" w:lineRule="auto"/>
        <w:tabs>
          <w:tab w:leader="none" w:pos="943" w:val="left"/>
        </w:tabs>
        <w:numPr>
          <w:ilvl w:val="0"/>
          <w:numId w:val="4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investments set forth in Section 6.27(c) of the AT&amp;T Disclosure Schedule (or the net proceeds therefrom) constitute assets of one or more of the AT&amp;T Broadband Subsidiaries.</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A-45</w:t>
      </w:r>
    </w:p>
    <w:p>
      <w:pPr>
        <w:sectPr>
          <w:pgSz w:w="11900" w:h="16838" w:orient="portrait"/>
          <w:cols w:equalWidth="0" w:num="1">
            <w:col w:w="10219"/>
          </w:cols>
          <w:pgMar w:left="240" w:top="719" w:right="1440" w:bottom="1440" w:gutter="0" w:footer="0" w:header="0"/>
        </w:sectPr>
      </w:pPr>
    </w:p>
    <w:bookmarkStart w:id="443" w:name="page444"/>
    <w:bookmarkEnd w:id="443"/>
    <w:p>
      <w:pPr>
        <w:ind w:right="1839" w:firstLine="524"/>
        <w:spacing w:after="0" w:line="252" w:lineRule="auto"/>
        <w:rPr>
          <w:sz w:val="20"/>
          <w:szCs w:val="20"/>
          <w:color w:val="auto"/>
        </w:rPr>
      </w:pPr>
      <w:r>
        <w:rPr>
          <w:rFonts w:ascii="Courier New" w:cs="Courier New" w:eastAsia="Courier New" w:hAnsi="Courier New"/>
          <w:sz w:val="17"/>
          <w:szCs w:val="17"/>
          <w:color w:val="auto"/>
        </w:rPr>
        <w:t>SECTION 6.28. Investments. Section 6.28 of the AT&amp;T Disclosure Schedule sets forth a list of each material investment of AT&amp;T (to the extent relating to the AT&amp;T Broadband Group), the AT&amp;T Broadband Group, AT&amp;T Broadband or any AT&amp;T Broadband Subsidiary. Neither AT&amp;T nor any AT&amp;T Subsidiary has any material liability in respect of any such investment.</w:t>
      </w:r>
    </w:p>
    <w:p>
      <w:pPr>
        <w:spacing w:after="0" w:line="19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7</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COVENANTS OF COMCAST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7.01. Comcast Interim Operations. Except as set forth in the Comcast Disclosure Schedule, or as otherwise expressly contemplated hereby, from the date hereof until the Effective Time, Comcast shall, and shall cause each of the Comcast Subsidiaries to, conduct its business in all material respects in the ordinary course of business consistent with past practice and use all reasonable efforts to: (a) preserve intact its present business organization;</w:t>
      </w:r>
    </w:p>
    <w:p>
      <w:pPr>
        <w:ind w:right="1839" w:firstLine="7"/>
        <w:spacing w:after="0" w:line="251" w:lineRule="auto"/>
        <w:tabs>
          <w:tab w:leader="none" w:pos="419" w:val="left"/>
        </w:tabs>
        <w:numPr>
          <w:ilvl w:val="0"/>
          <w:numId w:val="4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keep available the services of its key officers and key employees; (c) maintain in effect all material foreign and United States federal, state and local licenses, approvals and authorizations, including all material licenses and permits that are required for Comcast or any Comcast Subsidiary to carry on its business; and (d) preserve existing relationships with its material lenders, suppliers and others having material business relationships with it so that the business of Comcast and the Comcast Subsidiaries shall not be impaired in any material respect at the Effective Time. Without limiting the generality of the foregoing, except as set forth in the Comcast Disclosure Schedule or as otherwise expressly contemplated hereby and except as prohibited by law, from the date hereof until the Effective Time, without the prior written consent of AT&amp;T, such consent not to be unreasonably withheld, Comcast shall not, nor shall it permit any Comcast Subsidiary to:</w:t>
      </w:r>
    </w:p>
    <w:p>
      <w:pPr>
        <w:spacing w:after="0" w:line="201" w:lineRule="exact"/>
        <w:rPr>
          <w:rFonts w:ascii="Courier New" w:cs="Courier New" w:eastAsia="Courier New" w:hAnsi="Courier New"/>
          <w:sz w:val="17"/>
          <w:szCs w:val="17"/>
          <w:color w:val="auto"/>
        </w:rPr>
      </w:pPr>
    </w:p>
    <w:p>
      <w:pPr>
        <w:ind w:left="540" w:right="1939" w:firstLine="515"/>
        <w:spacing w:after="0" w:line="257" w:lineRule="auto"/>
        <w:tabs>
          <w:tab w:leader="none" w:pos="1483" w:val="left"/>
        </w:tabs>
        <w:numPr>
          <w:ilvl w:val="1"/>
          <w:numId w:val="4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its articles of incorporation or bylaws or other applicable governing instruments;</w:t>
      </w:r>
    </w:p>
    <w:p>
      <w:pPr>
        <w:spacing w:after="0" w:line="191" w:lineRule="exact"/>
        <w:rPr>
          <w:rFonts w:ascii="Courier New" w:cs="Courier New" w:eastAsia="Courier New" w:hAnsi="Courier New"/>
          <w:sz w:val="17"/>
          <w:szCs w:val="17"/>
          <w:color w:val="auto"/>
        </w:rPr>
      </w:pPr>
    </w:p>
    <w:p>
      <w:pPr>
        <w:ind w:left="1580" w:hanging="525"/>
        <w:spacing w:after="0"/>
        <w:tabs>
          <w:tab w:leader="none" w:pos="1580" w:val="left"/>
        </w:tabs>
        <w:numPr>
          <w:ilvl w:val="1"/>
          <w:numId w:val="4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any material term of any of its outstanding securities;</w:t>
      </w:r>
    </w:p>
    <w:p>
      <w:pPr>
        <w:spacing w:after="0" w:line="210" w:lineRule="exact"/>
        <w:rPr>
          <w:rFonts w:ascii="Courier New" w:cs="Courier New" w:eastAsia="Courier New" w:hAnsi="Courier New"/>
          <w:sz w:val="17"/>
          <w:szCs w:val="17"/>
          <w:color w:val="auto"/>
        </w:rPr>
      </w:pPr>
    </w:p>
    <w:p>
      <w:pPr>
        <w:ind w:left="540" w:right="1839" w:firstLine="515"/>
        <w:spacing w:after="0" w:line="252" w:lineRule="auto"/>
        <w:tabs>
          <w:tab w:leader="none" w:pos="1692" w:val="left"/>
        </w:tabs>
        <w:numPr>
          <w:ilvl w:val="1"/>
          <w:numId w:val="4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except for cash dividends paid by any Comcast Subsidiary to Comcast or any wholly owned Comcast Subsidiary;</w:t>
      </w:r>
    </w:p>
    <w:p>
      <w:pPr>
        <w:spacing w:after="0" w:line="195" w:lineRule="exact"/>
        <w:rPr>
          <w:rFonts w:ascii="Courier New" w:cs="Courier New" w:eastAsia="Courier New" w:hAnsi="Courier New"/>
          <w:sz w:val="17"/>
          <w:szCs w:val="17"/>
          <w:color w:val="auto"/>
        </w:rPr>
      </w:pPr>
    </w:p>
    <w:p>
      <w:pPr>
        <w:ind w:left="540" w:right="1839" w:firstLine="515"/>
        <w:spacing w:after="0" w:line="253" w:lineRule="auto"/>
        <w:tabs>
          <w:tab w:leader="none" w:pos="1587" w:val="left"/>
        </w:tabs>
        <w:numPr>
          <w:ilvl w:val="1"/>
          <w:numId w:val="4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a plan or agreement of complete or partial liquidation, dissolution, merger, consolidation, restructuring, recapitalization or other material reorganization (other than a merger or consolidation between wholly owned Comcast Subsidiaries);</w:t>
      </w:r>
    </w:p>
    <w:p>
      <w:pPr>
        <w:spacing w:after="0" w:line="195" w:lineRule="exact"/>
        <w:rPr>
          <w:rFonts w:ascii="Courier New" w:cs="Courier New" w:eastAsia="Courier New" w:hAnsi="Courier New"/>
          <w:sz w:val="17"/>
          <w:szCs w:val="17"/>
          <w:color w:val="auto"/>
        </w:rPr>
      </w:pPr>
    </w:p>
    <w:p>
      <w:pPr>
        <w:ind w:left="540" w:right="1839" w:firstLine="515"/>
        <w:spacing w:after="0" w:line="251" w:lineRule="auto"/>
        <w:tabs>
          <w:tab w:leader="none" w:pos="1483" w:val="left"/>
        </w:tabs>
        <w:numPr>
          <w:ilvl w:val="1"/>
          <w:numId w:val="4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capital stock or other equity interests (or derivative securities therefor) by a Comcast Subsidiary that is not a Comcast Significant Subsidiary, (B) the issuance of shares of Comcast Common Stock upon the exercise of Comcast Stock Options or options to purchase Comcast Common Stock under the Comcast ESPP or upon the settlement of Comcast Equity Awards outstanding as of the date hereof in accordance with their current terms or (C) the granting of Comcast Stock Options, Comcast Equity Awards and options to purchase Comcast Common Stock under the Comcast ESPP in the ordinary course of business and consistent with past practices and the issuance of shares of Comcast Common Stock upon the exercise or settlement thereof;</w:t>
      </w:r>
    </w:p>
    <w:p>
      <w:pPr>
        <w:spacing w:after="0" w:line="201" w:lineRule="exact"/>
        <w:rPr>
          <w:rFonts w:ascii="Courier New" w:cs="Courier New" w:eastAsia="Courier New" w:hAnsi="Courier New"/>
          <w:sz w:val="17"/>
          <w:szCs w:val="17"/>
          <w:color w:val="auto"/>
        </w:rPr>
      </w:pPr>
    </w:p>
    <w:p>
      <w:pPr>
        <w:ind w:left="540" w:right="2559" w:firstLine="515"/>
        <w:spacing w:after="0" w:line="257" w:lineRule="auto"/>
        <w:tabs>
          <w:tab w:leader="none" w:pos="1587" w:val="left"/>
        </w:tabs>
        <w:numPr>
          <w:ilvl w:val="1"/>
          <w:numId w:val="4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 any capital expenditures, except as set forth in the Comcast Disclosure Schedule;</w:t>
      </w:r>
    </w:p>
    <w:p>
      <w:pPr>
        <w:spacing w:after="0" w:line="191" w:lineRule="exact"/>
        <w:rPr>
          <w:rFonts w:ascii="Courier New" w:cs="Courier New" w:eastAsia="Courier New" w:hAnsi="Courier New"/>
          <w:sz w:val="17"/>
          <w:szCs w:val="17"/>
          <w:color w:val="auto"/>
        </w:rPr>
      </w:pPr>
    </w:p>
    <w:p>
      <w:pPr>
        <w:ind w:left="540" w:right="1839" w:firstLine="515"/>
        <w:spacing w:after="0" w:line="252" w:lineRule="auto"/>
        <w:tabs>
          <w:tab w:leader="none" w:pos="1692" w:val="left"/>
        </w:tabs>
        <w:numPr>
          <w:ilvl w:val="1"/>
          <w:numId w:val="4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capital expenditures, which shall be governed by Section 7.01(vi), acquire (by merger, consolidation, acquisition of stock or assets or otherwise), directly or indirectly, any assets, other than (A) pursuant to agreements in effect as of the date hereof, (B) assets used in the ordinary course of business of Comcast and the Comcast Subsidiaries, in a manner that is consistent with past practice, (C) assets having a fair market value not exceeding $100,000,000 in any one transaction or</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A-46</w:t>
      </w:r>
    </w:p>
    <w:p>
      <w:pPr>
        <w:sectPr>
          <w:pgSz w:w="11900" w:h="16838" w:orient="portrait"/>
          <w:cols w:equalWidth="0" w:num="1">
            <w:col w:w="10219"/>
          </w:cols>
          <w:pgMar w:left="240" w:top="719" w:right="1440" w:bottom="256" w:gutter="0" w:footer="0" w:header="0"/>
        </w:sectPr>
      </w:pPr>
    </w:p>
    <w:bookmarkStart w:id="444" w:name="page445"/>
    <w:bookmarkEnd w:id="444"/>
    <w:p>
      <w:pPr>
        <w:ind w:right="1839"/>
        <w:spacing w:after="0" w:line="252" w:lineRule="auto"/>
        <w:rPr>
          <w:sz w:val="20"/>
          <w:szCs w:val="20"/>
          <w:color w:val="auto"/>
        </w:rPr>
      </w:pPr>
      <w:r>
        <w:rPr>
          <w:rFonts w:ascii="Courier New" w:cs="Courier New" w:eastAsia="Courier New" w:hAnsi="Courier New"/>
          <w:sz w:val="17"/>
          <w:szCs w:val="17"/>
          <w:color w:val="auto"/>
        </w:rPr>
        <w:t>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197" w:lineRule="exact"/>
        <w:rPr>
          <w:sz w:val="20"/>
          <w:szCs w:val="20"/>
          <w:color w:val="auto"/>
        </w:rPr>
      </w:pPr>
    </w:p>
    <w:p>
      <w:pPr>
        <w:ind w:right="1839" w:firstLine="515"/>
        <w:spacing w:after="0" w:line="251" w:lineRule="auto"/>
        <w:tabs>
          <w:tab w:leader="none" w:pos="1257" w:val="left"/>
        </w:tabs>
        <w:numPr>
          <w:ilvl w:val="0"/>
          <w:numId w:val="4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2139" w:firstLine="515"/>
        <w:spacing w:after="0" w:line="257" w:lineRule="auto"/>
        <w:tabs>
          <w:tab w:leader="none" w:pos="1047" w:val="left"/>
        </w:tabs>
        <w:numPr>
          <w:ilvl w:val="0"/>
          <w:numId w:val="4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 assume or guarantee any Indebtedness, other than in the ordinary course of business;</w:t>
      </w:r>
    </w:p>
    <w:p>
      <w:pPr>
        <w:spacing w:after="0" w:line="191" w:lineRule="exact"/>
        <w:rPr>
          <w:rFonts w:ascii="Courier New" w:cs="Courier New" w:eastAsia="Courier New" w:hAnsi="Courier New"/>
          <w:sz w:val="17"/>
          <w:szCs w:val="17"/>
          <w:color w:val="auto"/>
        </w:rPr>
      </w:pPr>
    </w:p>
    <w:p>
      <w:pPr>
        <w:ind w:right="1839" w:firstLine="515"/>
        <w:spacing w:after="0" w:line="251" w:lineRule="auto"/>
        <w:tabs>
          <w:tab w:leader="none" w:pos="943" w:val="left"/>
        </w:tabs>
        <w:numPr>
          <w:ilvl w:val="0"/>
          <w:numId w:val="4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loan, advance or capital contributions to or investment in any Person other than (A) loans, advances or capital contributions to or investments in any wholly owned Comcast Subsidiary, (B) pursuant to agreements in effect as of the date hereof or (C) loans, advances or capital contributions to joint ventures or Affiliates of Comcast or the Comcast Subsidiaries pursuant to Schedule 7.01(x) of the Comcast Disclosure Schedules or as required by agreements currently in effect relating to such joint ventures or Affiliates;</w:t>
      </w:r>
    </w:p>
    <w:p>
      <w:pPr>
        <w:spacing w:after="0" w:line="201" w:lineRule="exact"/>
        <w:rPr>
          <w:rFonts w:ascii="Courier New" w:cs="Courier New" w:eastAsia="Courier New" w:hAnsi="Courier New"/>
          <w:sz w:val="17"/>
          <w:szCs w:val="17"/>
          <w:color w:val="auto"/>
        </w:rPr>
      </w:pPr>
    </w:p>
    <w:p>
      <w:pPr>
        <w:ind w:right="1839" w:firstLine="515"/>
        <w:spacing w:after="0" w:line="251" w:lineRule="auto"/>
        <w:tabs>
          <w:tab w:leader="none" w:pos="1047" w:val="left"/>
        </w:tabs>
        <w:numPr>
          <w:ilvl w:val="0"/>
          <w:numId w:val="4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capital expenditures, which shall be governed by Section 7.01(vi), engage in or enter into any transaction or commitment, enter into any contract or agreement, or relinquish or amend in any material respect any contract or other right,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Comcast or any of the Comcast Subsidiaries or any agreement providing for access to, or the right to use, the facilities of one or more of the Systems of Comcast or any of the Comcast Subsidiaries) that is (A) material to Comcast and the Comcast Subsidiaries, taken as a whole, or (B) that provides for payments in excess of $50,000,000 per agreement (or $100,000,000 for all agreements for similar goods or services);</w:t>
      </w:r>
    </w:p>
    <w:p>
      <w:pPr>
        <w:spacing w:after="0" w:line="201" w:lineRule="exact"/>
        <w:rPr>
          <w:rFonts w:ascii="Courier New" w:cs="Courier New" w:eastAsia="Courier New" w:hAnsi="Courier New"/>
          <w:sz w:val="17"/>
          <w:szCs w:val="17"/>
          <w:color w:val="auto"/>
        </w:rPr>
      </w:pPr>
    </w:p>
    <w:p>
      <w:pPr>
        <w:ind w:right="2039" w:firstLine="515"/>
        <w:spacing w:after="0" w:line="254" w:lineRule="auto"/>
        <w:tabs>
          <w:tab w:leader="none" w:pos="1152" w:val="left"/>
        </w:tabs>
        <w:numPr>
          <w:ilvl w:val="0"/>
          <w:numId w:val="4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or amend in any material respect any joint venture, partnership or other similar venture that is material to Comcast and the Comcast Subsidiaries, taken as a whole;</w:t>
      </w:r>
    </w:p>
    <w:p>
      <w:pPr>
        <w:spacing w:after="0" w:line="194" w:lineRule="exact"/>
        <w:rPr>
          <w:rFonts w:ascii="Courier New" w:cs="Courier New" w:eastAsia="Courier New" w:hAnsi="Courier New"/>
          <w:sz w:val="17"/>
          <w:szCs w:val="17"/>
          <w:color w:val="auto"/>
        </w:rPr>
      </w:pPr>
    </w:p>
    <w:p>
      <w:pPr>
        <w:ind w:right="1839" w:firstLine="515"/>
        <w:spacing w:after="0" w:line="252" w:lineRule="auto"/>
        <w:tabs>
          <w:tab w:leader="none" w:pos="1257" w:val="left"/>
        </w:tabs>
        <w:numPr>
          <w:ilvl w:val="0"/>
          <w:numId w:val="4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agreement or arrangement that materially limits or otherwise materially restricts Comcast, any Comcast Subsidiary or any of their respective Affiliates or any successor thereto, or that could, after the Effective Time, materially limit or restrict Parent, AT&amp;T, any AT&amp;T Subsidiary or any of their Affiliates, from engaging in any material business;</w:t>
      </w:r>
    </w:p>
    <w:p>
      <w:pPr>
        <w:spacing w:after="0" w:line="196" w:lineRule="exact"/>
        <w:rPr>
          <w:rFonts w:ascii="Courier New" w:cs="Courier New" w:eastAsia="Courier New" w:hAnsi="Courier New"/>
          <w:sz w:val="17"/>
          <w:szCs w:val="17"/>
          <w:color w:val="auto"/>
        </w:rPr>
      </w:pPr>
    </w:p>
    <w:p>
      <w:pPr>
        <w:ind w:right="1839" w:firstLine="515"/>
        <w:spacing w:after="0" w:line="251" w:lineRule="auto"/>
        <w:tabs>
          <w:tab w:leader="none" w:pos="1152" w:val="left"/>
        </w:tabs>
        <w:numPr>
          <w:ilvl w:val="0"/>
          <w:numId w:val="4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required pursuant to existing written, binding agreements or as otherwise required by law, (A) enter into any commitment to provide any severance or termination pay to (or amend any existing arrangement with) any director, officer or employee of Comcast or any Comcast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Comcast or any Comcast Subsidiary, (D) establish, adopt or amend (except as required by applicable law) any collective bargaining (except to the extent it would contain economic terms that are not materially less favorable to Comcast or any Comcast Subsidiary than the terms of existing arrangements), bonus, profit-sharing, thrift, pension, retirement, deferred compensation, compensation, stock option, restricted stock or other benefit plan or arrangement covering any director, officer or employee of Comcast or any Comcast Subsidiary, except that Comcast and the Comcast Subsidiaries may amend any such existing agreement or plan or adopt a successor plan or arrangement to the extent mandated by applicable law</w:t>
      </w:r>
    </w:p>
    <w:p>
      <w:pPr>
        <w:spacing w:after="0" w:line="200" w:lineRule="exact"/>
        <w:rPr>
          <w:sz w:val="20"/>
          <w:szCs w:val="20"/>
          <w:color w:val="auto"/>
        </w:rPr>
      </w:pPr>
    </w:p>
    <w:p>
      <w:pPr>
        <w:spacing w:after="0" w:line="203"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A-47</w:t>
      </w:r>
    </w:p>
    <w:p>
      <w:pPr>
        <w:sectPr>
          <w:pgSz w:w="11900" w:h="16838" w:orient="portrait"/>
          <w:cols w:equalWidth="0" w:num="1">
            <w:col w:w="9679"/>
          </w:cols>
          <w:pgMar w:left="780" w:top="719" w:right="1440" w:bottom="0" w:gutter="0" w:footer="0" w:header="0"/>
        </w:sectPr>
      </w:pPr>
    </w:p>
    <w:bookmarkStart w:id="445" w:name="page446"/>
    <w:bookmarkEnd w:id="445"/>
    <w:p>
      <w:pPr>
        <w:ind w:left="540" w:right="1939"/>
        <w:spacing w:after="0" w:line="251" w:lineRule="auto"/>
        <w:rPr>
          <w:sz w:val="20"/>
          <w:szCs w:val="20"/>
          <w:color w:val="auto"/>
        </w:rPr>
      </w:pPr>
      <w:r>
        <w:rPr>
          <w:rFonts w:ascii="Courier New" w:cs="Courier New" w:eastAsia="Courier New" w:hAnsi="Courier New"/>
          <w:sz w:val="17"/>
          <w:szCs w:val="17"/>
          <w:color w:val="auto"/>
        </w:rPr>
        <w:t>or to the extent that such amendment would not result in a more than a de minimis increase in the costs or liabilities under such agreement or plan,</w:t>
      </w:r>
    </w:p>
    <w:p>
      <w:pPr>
        <w:ind w:left="960" w:hanging="429"/>
        <w:spacing w:after="0"/>
        <w:tabs>
          <w:tab w:leader="none" w:pos="960" w:val="left"/>
        </w:tabs>
        <w:numPr>
          <w:ilvl w:val="0"/>
          <w:numId w:val="4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in the ordinary course of business consistent with past</w:t>
      </w:r>
    </w:p>
    <w:p>
      <w:pPr>
        <w:spacing w:after="0" w:line="8" w:lineRule="exact"/>
        <w:rPr>
          <w:rFonts w:ascii="Courier New" w:cs="Courier New" w:eastAsia="Courier New" w:hAnsi="Courier New"/>
          <w:sz w:val="17"/>
          <w:szCs w:val="17"/>
          <w:color w:val="auto"/>
        </w:rPr>
      </w:pPr>
    </w:p>
    <w:p>
      <w:pPr>
        <w:ind w:left="54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practice, or as required by any agreement in effect as of the date hereof, increase the compensation, bonus or other benefits payable to any director, officer or employee of Comcast or any Comcast Subsidiary or (F) amend the terms of any outstanding Comcast Stock Option, Comcast SAR or Comcast Equity Award; provided that the foregoing shall not in any way restrict Comcast or any of its Subsidiaries from taking any action (including granting any stay bonuses and paying or providing other compensation pursuant to retention plans or similar arrangements) on reasonable commercial terms that Comcast determines is reasonably necessary or desirable in order to retain or attract any officers or employees to the extent that the aggregate cost of such actions, grants or payments does not exceed the amount set forth in Section 7.01(xiv) of the Comcast Disclosure Schedule;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540" w:right="2039" w:firstLine="515"/>
        <w:spacing w:after="0" w:line="254" w:lineRule="auto"/>
        <w:tabs>
          <w:tab w:leader="none" w:pos="1587" w:val="left"/>
        </w:tabs>
        <w:numPr>
          <w:ilvl w:val="1"/>
          <w:numId w:val="4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launch any new channels, except as necessary to comply with any requirement of any Governmental Authority and except pursuant to pending agreements in effect as of the date hereof;</w:t>
      </w:r>
    </w:p>
    <w:p>
      <w:pPr>
        <w:spacing w:after="0" w:line="194" w:lineRule="exact"/>
        <w:rPr>
          <w:rFonts w:ascii="Courier New" w:cs="Courier New" w:eastAsia="Courier New" w:hAnsi="Courier New"/>
          <w:sz w:val="17"/>
          <w:szCs w:val="17"/>
          <w:color w:val="auto"/>
        </w:rPr>
      </w:pPr>
    </w:p>
    <w:p>
      <w:pPr>
        <w:ind w:left="540" w:right="1939" w:firstLine="515"/>
        <w:spacing w:after="0" w:line="251" w:lineRule="auto"/>
        <w:tabs>
          <w:tab w:leader="none" w:pos="1692" w:val="left"/>
        </w:tabs>
        <w:numPr>
          <w:ilvl w:val="1"/>
          <w:numId w:val="4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(A) its methods of accounting or accounting practices in any material respect, except as required by changes in GAAP or by law, or</w:t>
      </w:r>
    </w:p>
    <w:p>
      <w:pPr>
        <w:ind w:left="960" w:hanging="429"/>
        <w:spacing w:after="0"/>
        <w:tabs>
          <w:tab w:leader="none" w:pos="960" w:val="left"/>
        </w:tabs>
        <w:numPr>
          <w:ilvl w:val="0"/>
          <w:numId w:val="4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fiscal year;</w:t>
      </w:r>
    </w:p>
    <w:p>
      <w:pPr>
        <w:spacing w:after="0" w:line="210" w:lineRule="exact"/>
        <w:rPr>
          <w:rFonts w:ascii="Courier New" w:cs="Courier New" w:eastAsia="Courier New" w:hAnsi="Courier New"/>
          <w:sz w:val="17"/>
          <w:szCs w:val="17"/>
          <w:color w:val="auto"/>
        </w:rPr>
      </w:pPr>
    </w:p>
    <w:p>
      <w:pPr>
        <w:ind w:left="540" w:right="2039" w:firstLine="515"/>
        <w:spacing w:after="0" w:line="253" w:lineRule="auto"/>
        <w:tabs>
          <w:tab w:leader="none" w:pos="1797" w:val="left"/>
        </w:tabs>
        <w:numPr>
          <w:ilvl w:val="1"/>
          <w:numId w:val="4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settle any litigation, investigation, arbitration, proceeding or other claim if Comcast or any of the Comcast Subsidiaries would be required to pay in excess of $25,000,000 or if such settlement would otherwise be material to the Comcast Group taken as a whole;</w:t>
      </w:r>
    </w:p>
    <w:p>
      <w:pPr>
        <w:spacing w:after="0" w:line="195" w:lineRule="exact"/>
        <w:rPr>
          <w:rFonts w:ascii="Courier New" w:cs="Courier New" w:eastAsia="Courier New" w:hAnsi="Courier New"/>
          <w:sz w:val="17"/>
          <w:szCs w:val="17"/>
          <w:color w:val="auto"/>
        </w:rPr>
      </w:pPr>
    </w:p>
    <w:p>
      <w:pPr>
        <w:ind w:left="540" w:right="2039" w:firstLine="515"/>
        <w:spacing w:after="0" w:line="254" w:lineRule="auto"/>
        <w:tabs>
          <w:tab w:leader="none" w:pos="1902" w:val="left"/>
        </w:tabs>
        <w:numPr>
          <w:ilvl w:val="1"/>
          <w:numId w:val="4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in the ordinary course of business and consistent with past practice, make any material Tax election or enter into any settlement or compromise of any material Tax liability;</w:t>
      </w:r>
    </w:p>
    <w:p>
      <w:pPr>
        <w:spacing w:after="0" w:line="194" w:lineRule="exact"/>
        <w:rPr>
          <w:rFonts w:ascii="Courier New" w:cs="Courier New" w:eastAsia="Courier New" w:hAnsi="Courier New"/>
          <w:sz w:val="17"/>
          <w:szCs w:val="17"/>
          <w:color w:val="auto"/>
        </w:rPr>
      </w:pPr>
    </w:p>
    <w:p>
      <w:pPr>
        <w:ind w:left="540" w:right="1839" w:firstLine="515"/>
        <w:spacing w:after="0" w:line="252" w:lineRule="auto"/>
        <w:tabs>
          <w:tab w:leader="none" w:pos="1692" w:val="left"/>
        </w:tabs>
        <w:numPr>
          <w:ilvl w:val="1"/>
          <w:numId w:val="4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fail to comply with its obligations under the Exchange Agreement and the Set-Top Box Commitment (as defined in the Exchange Agreement) or (B) amend or waive any provision of the Exchange Agreement except for such amendments or waivers as would not adversely affect AT&amp;T or delay or adversely affect consummation of the transactions contemplated hereby;</w:t>
      </w:r>
    </w:p>
    <w:p>
      <w:pPr>
        <w:spacing w:after="0" w:line="196" w:lineRule="exact"/>
        <w:rPr>
          <w:rFonts w:ascii="Courier New" w:cs="Courier New" w:eastAsia="Courier New" w:hAnsi="Courier New"/>
          <w:sz w:val="17"/>
          <w:szCs w:val="17"/>
          <w:color w:val="auto"/>
        </w:rPr>
      </w:pPr>
    </w:p>
    <w:p>
      <w:pPr>
        <w:ind w:left="540" w:right="1939" w:firstLine="515"/>
        <w:spacing w:after="0" w:line="253" w:lineRule="auto"/>
        <w:tabs>
          <w:tab w:leader="none" w:pos="1587" w:val="left"/>
        </w:tabs>
        <w:numPr>
          <w:ilvl w:val="1"/>
          <w:numId w:val="4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engage in any transaction of a type described in Section 5.25 or take any action that would reasonably be expected to make any representation or warranty of Comcast hereunder inaccurate in any material respect at the Effective Time;</w:t>
      </w:r>
    </w:p>
    <w:p>
      <w:pPr>
        <w:spacing w:after="0" w:line="195" w:lineRule="exact"/>
        <w:rPr>
          <w:rFonts w:ascii="Courier New" w:cs="Courier New" w:eastAsia="Courier New" w:hAnsi="Courier New"/>
          <w:sz w:val="17"/>
          <w:szCs w:val="17"/>
          <w:color w:val="auto"/>
        </w:rPr>
      </w:pPr>
    </w:p>
    <w:p>
      <w:pPr>
        <w:ind w:left="540" w:right="1939" w:firstLine="515"/>
        <w:spacing w:after="0" w:line="253" w:lineRule="auto"/>
        <w:tabs>
          <w:tab w:leader="none" w:pos="1692" w:val="left"/>
        </w:tabs>
        <w:numPr>
          <w:ilvl w:val="1"/>
          <w:numId w:val="4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195" w:lineRule="exact"/>
        <w:rPr>
          <w:rFonts w:ascii="Courier New" w:cs="Courier New" w:eastAsia="Courier New" w:hAnsi="Courier New"/>
          <w:sz w:val="17"/>
          <w:szCs w:val="17"/>
          <w:color w:val="auto"/>
        </w:rPr>
      </w:pPr>
    </w:p>
    <w:p>
      <w:pPr>
        <w:ind w:left="540" w:right="1839" w:firstLine="515"/>
        <w:spacing w:after="0" w:line="253" w:lineRule="auto"/>
        <w:tabs>
          <w:tab w:leader="none" w:pos="1797" w:val="left"/>
        </w:tabs>
        <w:numPr>
          <w:ilvl w:val="1"/>
          <w:numId w:val="4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 or commit to do any of the foregoing; provided that the limitations set forth in Sections 7.01(i) through 7.01(xix) shall not apply to any transaction between Comcast and any wholly owned Comcast Subsidiary or between any wholly owned Comcast Subsidiaries.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7.02. Comcast Shareholders' Meeting; Proxy Material. (a) Comcast shall cause the Comcast Shareholders' Meeting to be duly called and held as soon as reasonably practicable (taking into consideration all relevant factors, including delays due to complications of preparing required pro forma and other financial statements) for the purpose of voting on the approval and adoption of this Agreement and the transactions contemplated by this Agreement, including the Comcast Merger. In connection with the Comcast Shareholders' Meeting, Comcast will (i) use its reasonable best efforts to obtain the Comcast Shareholders' Approval and the A Shareholder Approval and (ii) otherwise comply with all legal requirements applicable to the Comcast Shareholders' Meeting.</w:t>
      </w:r>
    </w:p>
    <w:p>
      <w:pPr>
        <w:spacing w:after="0" w:line="201" w:lineRule="exact"/>
        <w:rPr>
          <w:sz w:val="20"/>
          <w:szCs w:val="20"/>
          <w:color w:val="auto"/>
        </w:rPr>
      </w:pPr>
    </w:p>
    <w:p>
      <w:pPr>
        <w:ind w:right="2039" w:firstLine="531"/>
        <w:spacing w:after="0" w:line="254" w:lineRule="auto"/>
        <w:tabs>
          <w:tab w:leader="none" w:pos="943" w:val="left"/>
        </w:tabs>
        <w:numPr>
          <w:ilvl w:val="0"/>
          <w:numId w:val="4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Comcast's Board of Directors shall recommend approval and adoption of this Agreement and the transactions contemplated by this Agreement, including the Comcast Merger, by Comcast shareholders.</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SECTION 7.03. Voting Agreement. Comcast agrees to vote, and to cause each of the Comcast Subsidiaries to vote, any shares of AT&amp;T Common Stock with respect to which Comcast or such Comcast</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A-48</w:t>
      </w:r>
    </w:p>
    <w:p>
      <w:pPr>
        <w:sectPr>
          <w:pgSz w:w="11900" w:h="16838" w:orient="portrait"/>
          <w:cols w:equalWidth="0" w:num="1">
            <w:col w:w="10219"/>
          </w:cols>
          <w:pgMar w:left="240" w:top="719" w:right="1440" w:bottom="256" w:gutter="0" w:footer="0" w:header="0"/>
        </w:sectPr>
      </w:pPr>
    </w:p>
    <w:bookmarkStart w:id="446" w:name="page447"/>
    <w:bookmarkEnd w:id="446"/>
    <w:p>
      <w:pPr>
        <w:ind w:right="2139"/>
        <w:spacing w:after="0" w:line="257" w:lineRule="auto"/>
        <w:rPr>
          <w:sz w:val="20"/>
          <w:szCs w:val="20"/>
          <w:color w:val="auto"/>
        </w:rPr>
      </w:pPr>
      <w:r>
        <w:rPr>
          <w:rFonts w:ascii="Courier New" w:cs="Courier New" w:eastAsia="Courier New" w:hAnsi="Courier New"/>
          <w:sz w:val="17"/>
          <w:szCs w:val="17"/>
          <w:color w:val="auto"/>
        </w:rPr>
        <w:t>Subsidiary may have any voting power in favor of the Mergers, the Separation, the Distribution and the other transactions contemplated hereby.</w:t>
      </w:r>
    </w:p>
    <w:p>
      <w:pPr>
        <w:spacing w:after="0" w:line="192"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8</w:t>
      </w: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COVENANTS OF AT&amp;T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8.01. AT&amp;T Broadband Interim Operations. Except as set forth in the AT&amp;T Disclosure Schedule or as otherwise expressly contemplated hereby or by any of the Ancillary Agreements, from the date hereof until the Effective Time, AT&amp;T shall, to the extent relating to the AT&amp;T Broadband Group, and shall cause each of the AT&amp;T Broadband Group, AT&amp;T Broadband and the AT&amp;T Broadband Subsidiaries to, conduct its business in all material respects for the benefit of the AT&amp;T Broadband Group (it being understood that the AT&amp;T Communications Group will be conducted for the benefit of the AT&amp;T Communications Group and that the interests of the AT&amp;T Broadband Group and the AT&amp;T Communications Group may not coincide) and in the ordinary course of business consistent with past practice and use all reasonable efforts to: (a) preserve intact its present business organization; (b) keep available the services of its key officers and key employees; (c) maintain in effect all material foreign and United States federal, state and local licenses, approvals and authorizations, including all material licenses and permits that are required for the AT&amp;T Broadband Group, AT&amp;T (to the extent relating to the AT&amp;T Broadband Group), AT&amp;T Broadband or any AT&amp;T Broadband Subsidiary to carry on its business; and (d) preserve existing relationships with its material lenders, suppliers and others having material business relationships with it so that the business of the AT&amp;T Broadband Group, AT&amp;T (to the extent relating to the AT&amp;T Broadband Group), AT&amp;T Broadband and the AT&amp;T Broadband Subsidiaries shall not be impaired in any material respect at the Effective Time. Without limiting the generality of the foregoing, except as set forth in the AT&amp;T Disclosure Schedule or as otherwise expressly contemplated hereby or by any of the Ancillary Agreements and except as prohibited by law, from the date hereof until the Effective Time, without the prior written consent of Comcast, such consent not to be unreasonably withheld, AT&amp;T shall not, nor shall it permit the AT&amp;T Broadband Group, AT&amp;T Broadband or any AT&amp;T Broadband Subsidiary to:</w:t>
      </w:r>
    </w:p>
    <w:p>
      <w:pPr>
        <w:spacing w:after="0" w:line="200" w:lineRule="exact"/>
        <w:rPr>
          <w:sz w:val="20"/>
          <w:szCs w:val="20"/>
          <w:color w:val="auto"/>
        </w:rPr>
      </w:pPr>
    </w:p>
    <w:p>
      <w:pPr>
        <w:spacing w:after="0" w:line="203" w:lineRule="exact"/>
        <w:rPr>
          <w:sz w:val="20"/>
          <w:szCs w:val="20"/>
          <w:color w:val="auto"/>
        </w:rPr>
      </w:pPr>
    </w:p>
    <w:p>
      <w:pPr>
        <w:ind w:left="540" w:right="2779" w:firstLine="515"/>
        <w:spacing w:after="0" w:line="257" w:lineRule="auto"/>
        <w:tabs>
          <w:tab w:leader="none" w:pos="1483" w:val="left"/>
        </w:tabs>
        <w:numPr>
          <w:ilvl w:val="0"/>
          <w:numId w:val="4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its certificate of incorporation or bylaws or other applicable governing instruments;</w:t>
      </w:r>
    </w:p>
    <w:p>
      <w:pPr>
        <w:spacing w:after="0" w:line="191" w:lineRule="exact"/>
        <w:rPr>
          <w:rFonts w:ascii="Courier New" w:cs="Courier New" w:eastAsia="Courier New" w:hAnsi="Courier New"/>
          <w:sz w:val="17"/>
          <w:szCs w:val="17"/>
          <w:color w:val="auto"/>
        </w:rPr>
      </w:pPr>
    </w:p>
    <w:p>
      <w:pPr>
        <w:ind w:left="540" w:right="2139" w:firstLine="515"/>
        <w:spacing w:after="0" w:line="254" w:lineRule="auto"/>
        <w:tabs>
          <w:tab w:leader="none" w:pos="1587" w:val="left"/>
        </w:tabs>
        <w:numPr>
          <w:ilvl w:val="0"/>
          <w:numId w:val="4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any material term of any of its outstanding securities (other than debt securities of AT&amp;T except to the extent relating to the AT&amp;T Broadband Group);</w:t>
      </w:r>
    </w:p>
    <w:p>
      <w:pPr>
        <w:spacing w:after="0" w:line="194" w:lineRule="exact"/>
        <w:rPr>
          <w:rFonts w:ascii="Courier New" w:cs="Courier New" w:eastAsia="Courier New" w:hAnsi="Courier New"/>
          <w:sz w:val="17"/>
          <w:szCs w:val="17"/>
          <w:color w:val="auto"/>
        </w:rPr>
      </w:pPr>
    </w:p>
    <w:p>
      <w:pPr>
        <w:ind w:left="540" w:right="1839" w:firstLine="515"/>
        <w:spacing w:after="0" w:line="251" w:lineRule="auto"/>
        <w:tabs>
          <w:tab w:leader="none" w:pos="1692" w:val="left"/>
        </w:tabs>
        <w:numPr>
          <w:ilvl w:val="0"/>
          <w:numId w:val="4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or any securities of AT&amp;T Broadband or any AT&amp;T Broadband Subsidiary, except for (A) the regular quarterly dividend of AT&amp;T and other dividends or distributions thereon not involving the assets or securities of the AT&amp;T Broadband Group, AT&amp;T Broadband or any of the AT&amp;T Broadband Subsidiaries, (B) cash dividends paid by any AT&amp;T Broadband Subsidiary to AT&amp;T Broadband or another AT&amp;T Broadband Subsidiary, (C) the exchange or redemption of the TCI Pacific Preferred Stock in accordance with the terms thereof, (D) repurchases or other acquisitions of any shares of capital stock of AT&amp;T; provided that none of the assets used to pay for such repurchases or other acquisitions are assets of the AT&amp;T Broadband Group; or (E) the creation and issuance of any class of tracking stock of AT&amp;T that is designed to reflect the financial performance of any of AT&amp;T's businesses other than the AT&amp;T Broadband Group;</w:t>
      </w:r>
    </w:p>
    <w:p>
      <w:pPr>
        <w:spacing w:after="0" w:line="201" w:lineRule="exact"/>
        <w:rPr>
          <w:rFonts w:ascii="Courier New" w:cs="Courier New" w:eastAsia="Courier New" w:hAnsi="Courier New"/>
          <w:sz w:val="17"/>
          <w:szCs w:val="17"/>
          <w:color w:val="auto"/>
        </w:rPr>
      </w:pPr>
    </w:p>
    <w:p>
      <w:pPr>
        <w:ind w:left="540" w:right="1839" w:firstLine="515"/>
        <w:spacing w:after="0" w:line="252" w:lineRule="auto"/>
        <w:tabs>
          <w:tab w:leader="none" w:pos="1587" w:val="left"/>
        </w:tabs>
        <w:numPr>
          <w:ilvl w:val="0"/>
          <w:numId w:val="4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a plan or agreement of complete or partial liquidation, dissolution, merger, consolidation, restructuring, recapitalization or other material reorganization (other than a merger or consolidation between wholly owned AT&amp;T Broadband Subsidiaries) other than in connection with any Excepted Transaction;</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A-49</w:t>
      </w:r>
    </w:p>
    <w:p>
      <w:pPr>
        <w:sectPr>
          <w:pgSz w:w="11900" w:h="16838" w:orient="portrait"/>
          <w:cols w:equalWidth="0" w:num="1">
            <w:col w:w="10219"/>
          </w:cols>
          <w:pgMar w:left="240" w:top="719" w:right="1440" w:bottom="1440" w:gutter="0" w:footer="0" w:header="0"/>
        </w:sectPr>
      </w:pPr>
    </w:p>
    <w:bookmarkStart w:id="447" w:name="page448"/>
    <w:bookmarkEnd w:id="447"/>
    <w:p>
      <w:pPr>
        <w:ind w:left="9" w:right="1839" w:firstLine="515"/>
        <w:spacing w:after="0" w:line="251" w:lineRule="auto"/>
        <w:tabs>
          <w:tab w:leader="none" w:pos="952" w:val="left"/>
        </w:tabs>
        <w:numPr>
          <w:ilvl w:val="1"/>
          <w:numId w:val="4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AT&amp;T Common Stock upon the exercise of AT&amp;T Stock Options, AT&amp;T SARs or options to purchase AT&amp;T Common Stock under the AT&amp;T ESPP or upon the settlement of AT&amp;T Equity Awards outstanding as of the date hereof in accordance with their current terms, (B) the granting of AT&amp;T Stock Options, AT&amp;T SARs, AT&amp;T Equity Awards and options to purchase AT&amp;T Common Stock under the AT&amp;T ESPP in the ordinary course of business and consistent with past practice and the issuance of shares of AT&amp;T Common Stock upon the exercise or settlement thereof, (C) the granting of AT&amp;T Stock Options and AT&amp;T Equity Awards that are not exercisable prior to the Distribution and that will become options or equity awards, as applicable, solely with respect to AT&amp;T Common Stock following the Distribution, (D) the issuance of shares of AT&amp;T Common Stock pursuant to any instruments, agreements or other arrangements contemplated by Section 6.05 or the Schedules thereto and outstanding as of the date hereof or (E) 275 million shares of AT&amp;T Common Stock as set forth in Section 6.05(b) of the AT&amp;T Disclosure Schedule in accordance with Section 8.01(v) of the AT&amp;T Disclosure Schedule;</w:t>
      </w:r>
    </w:p>
    <w:p>
      <w:pPr>
        <w:spacing w:after="0" w:line="201" w:lineRule="exact"/>
        <w:rPr>
          <w:rFonts w:ascii="Courier New" w:cs="Courier New" w:eastAsia="Courier New" w:hAnsi="Courier New"/>
          <w:sz w:val="17"/>
          <w:szCs w:val="17"/>
          <w:color w:val="auto"/>
        </w:rPr>
      </w:pPr>
    </w:p>
    <w:p>
      <w:pPr>
        <w:ind w:left="9" w:right="2039" w:firstLine="515"/>
        <w:spacing w:after="0" w:line="257" w:lineRule="auto"/>
        <w:tabs>
          <w:tab w:leader="none" w:pos="1056" w:val="left"/>
        </w:tabs>
        <w:numPr>
          <w:ilvl w:val="1"/>
          <w:numId w:val="4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 any capital expenditures in respect of the AT&amp;T Broadband Group, except as set forth in the AT&amp;T Disclosure Schedule;</w:t>
      </w:r>
    </w:p>
    <w:p>
      <w:pPr>
        <w:spacing w:after="0" w:line="191" w:lineRule="exact"/>
        <w:rPr>
          <w:rFonts w:ascii="Courier New" w:cs="Courier New" w:eastAsia="Courier New" w:hAnsi="Courier New"/>
          <w:sz w:val="17"/>
          <w:szCs w:val="17"/>
          <w:color w:val="auto"/>
        </w:rPr>
      </w:pPr>
    </w:p>
    <w:p>
      <w:pPr>
        <w:ind w:left="9" w:right="1839" w:firstLine="515"/>
        <w:spacing w:after="0" w:line="251" w:lineRule="auto"/>
        <w:tabs>
          <w:tab w:leader="none" w:pos="1161" w:val="left"/>
        </w:tabs>
        <w:numPr>
          <w:ilvl w:val="1"/>
          <w:numId w:val="4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capital expenditures in respect of the AT&amp;T Broadband Group, which shall be governed by Section 8.01(vi), acquire (by merger, consolidation, acquisition of stock or assets or otherwise), directly or indirectly, any assets in respect of the AT&amp;T Broadband Group, other than</w:t>
      </w:r>
    </w:p>
    <w:p>
      <w:pPr>
        <w:ind w:left="9" w:right="1839" w:hanging="9"/>
        <w:spacing w:after="0" w:line="251" w:lineRule="auto"/>
        <w:tabs>
          <w:tab w:leader="none" w:pos="428" w:val="left"/>
        </w:tabs>
        <w:numPr>
          <w:ilvl w:val="0"/>
          <w:numId w:val="4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agreements in effect as of the date hereof, (B) assets used in the ordinary course of business of the AT&amp;T Broadband Group, AT&amp;T (to the extent relating to the AT&amp;T Broadband Group), AT&amp;T Broadband and the AT&amp;T Broadband Subsidiaries, in a manner 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201" w:lineRule="exact"/>
        <w:rPr>
          <w:rFonts w:ascii="Courier New" w:cs="Courier New" w:eastAsia="Courier New" w:hAnsi="Courier New"/>
          <w:sz w:val="17"/>
          <w:szCs w:val="17"/>
          <w:color w:val="auto"/>
        </w:rPr>
      </w:pPr>
    </w:p>
    <w:p>
      <w:pPr>
        <w:ind w:left="9" w:right="1839" w:firstLine="515"/>
        <w:spacing w:after="0" w:line="251" w:lineRule="auto"/>
        <w:tabs>
          <w:tab w:leader="none" w:pos="1266" w:val="left"/>
        </w:tabs>
        <w:numPr>
          <w:ilvl w:val="1"/>
          <w:numId w:val="4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the sale of the interest in TWE, which shall be governed by Section 8.01(xiii), and 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201" w:lineRule="exact"/>
        <w:rPr>
          <w:rFonts w:ascii="Courier New" w:cs="Courier New" w:eastAsia="Courier New" w:hAnsi="Courier New"/>
          <w:sz w:val="17"/>
          <w:szCs w:val="17"/>
          <w:color w:val="auto"/>
        </w:rPr>
      </w:pPr>
    </w:p>
    <w:p>
      <w:pPr>
        <w:ind w:left="9" w:right="1839" w:firstLine="515"/>
        <w:spacing w:after="0" w:line="251" w:lineRule="auto"/>
        <w:tabs>
          <w:tab w:leader="none" w:pos="1056" w:val="left"/>
        </w:tabs>
        <w:numPr>
          <w:ilvl w:val="1"/>
          <w:numId w:val="4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 assume or guarantee any Indebtedness, other than (A) borrowings from AT&amp;T or any AT&amp;T Subsidiary on the terms set forth in Schedule 8.01(ix) either in the ordinary course of business or to refinance Indebtedness at maturity, (B) any transactions by AT&amp;T and its wholly owned Subsidiaries that do not involve the AT&amp;T Broadband Group, AT&amp;T Broadband or any of the AT&amp;T Broadband Subsidiaries, (C) Indebtedness incurred as contemplated by Section 9.18 or (D) as approved by the Interim Finance Committee;</w:t>
      </w:r>
    </w:p>
    <w:p>
      <w:pPr>
        <w:spacing w:after="0" w:line="201" w:lineRule="exact"/>
        <w:rPr>
          <w:rFonts w:ascii="Courier New" w:cs="Courier New" w:eastAsia="Courier New" w:hAnsi="Courier New"/>
          <w:sz w:val="17"/>
          <w:szCs w:val="17"/>
          <w:color w:val="auto"/>
        </w:rPr>
      </w:pPr>
    </w:p>
    <w:p>
      <w:pPr>
        <w:ind w:left="9" w:right="1839" w:firstLine="515"/>
        <w:spacing w:after="0" w:line="251" w:lineRule="auto"/>
        <w:tabs>
          <w:tab w:leader="none" w:pos="952" w:val="left"/>
        </w:tabs>
        <w:numPr>
          <w:ilvl w:val="1"/>
          <w:numId w:val="4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loan, advance or capital contributions to or investment in any Person other than (A) loans, advances or capital contributions to or investments in AT&amp;T Broadband or any wholly owned AT&amp;T Broadband Subsidiary on terms set forth in Section 6.27(b) of the AT&amp;T Disclosure Schedule, (B) loans or advances to AT&amp;T or any AT&amp;T Subsidiary on terms set forth in Section 6.27(b) of the AT&amp;T Disclosure Schedule, (C) pursuant to agreements in effect as of the date hereof, (D) any transactions by AT&amp;T and its wholly owned Subsidiaries that do not involve the AT&amp;T Broadband Group, AT&amp;T Broadband and the AT&amp;T Broadband Subsidiaries, or (E) loans,</w:t>
      </w:r>
    </w:p>
    <w:p>
      <w:pPr>
        <w:spacing w:after="0" w:line="201"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A-50</w:t>
      </w:r>
    </w:p>
    <w:p>
      <w:pPr>
        <w:sectPr>
          <w:pgSz w:w="11900" w:h="16838" w:orient="portrait"/>
          <w:cols w:equalWidth="0" w:num="1">
            <w:col w:w="9688"/>
          </w:cols>
          <w:pgMar w:left="771" w:top="719" w:right="1440" w:bottom="861" w:gutter="0" w:footer="0" w:header="0"/>
        </w:sectPr>
      </w:pPr>
    </w:p>
    <w:bookmarkStart w:id="448" w:name="page449"/>
    <w:bookmarkEnd w:id="448"/>
    <w:p>
      <w:pPr>
        <w:ind w:left="9" w:right="1839"/>
        <w:spacing w:after="0" w:line="254" w:lineRule="auto"/>
        <w:rPr>
          <w:sz w:val="20"/>
          <w:szCs w:val="20"/>
          <w:color w:val="auto"/>
        </w:rPr>
      </w:pPr>
      <w:r>
        <w:rPr>
          <w:rFonts w:ascii="Courier New" w:cs="Courier New" w:eastAsia="Courier New" w:hAnsi="Courier New"/>
          <w:sz w:val="17"/>
          <w:szCs w:val="17"/>
          <w:color w:val="auto"/>
        </w:rPr>
        <w:t>advances or capital contributions to joint ventures or Affiliates of the AT&amp;T Broadband Group as required by agreements currently in effect relating to such joint ventures or Affiliates or as contemplated by Schedule 8.01(x);</w:t>
      </w:r>
    </w:p>
    <w:p>
      <w:pPr>
        <w:spacing w:after="0" w:line="396" w:lineRule="exact"/>
        <w:rPr>
          <w:sz w:val="20"/>
          <w:szCs w:val="20"/>
          <w:color w:val="auto"/>
        </w:rPr>
      </w:pPr>
    </w:p>
    <w:p>
      <w:pPr>
        <w:ind w:left="9" w:right="1839" w:firstLine="515"/>
        <w:spacing w:after="0" w:line="251" w:lineRule="auto"/>
        <w:tabs>
          <w:tab w:leader="none" w:pos="1056" w:val="left"/>
        </w:tabs>
        <w:numPr>
          <w:ilvl w:val="1"/>
          <w:numId w:val="4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capital expenditures in respect of the AT&amp;T Broadband Group, which shall be governed by Section 8.01(vi), engage in or enter into any transaction or commitment, enter into any contract or agreement, or relinquish or amend in any material respect any contract or other right, in each case in respect of the AT&amp;T Broadband Group,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AT&amp;T or any of the AT&amp;T Subsidiaries or any agreement providing for access to, or the right to use, the facilities of one or more of the Systems of AT&amp;T or any of the AT&amp;T Subsidiaries) that is (A) material to the AT&amp;T Broadband Group, taken as a whole, or (B) that provides for payments in excess of $50,000,000 per agreement (or $100,000,000 for all agreements for similar goods or services);</w:t>
      </w:r>
    </w:p>
    <w:p>
      <w:pPr>
        <w:spacing w:after="0" w:line="201" w:lineRule="exact"/>
        <w:rPr>
          <w:rFonts w:ascii="Courier New" w:cs="Courier New" w:eastAsia="Courier New" w:hAnsi="Courier New"/>
          <w:sz w:val="17"/>
          <w:szCs w:val="17"/>
          <w:color w:val="auto"/>
        </w:rPr>
      </w:pPr>
    </w:p>
    <w:p>
      <w:pPr>
        <w:ind w:left="9" w:right="1839" w:firstLine="515"/>
        <w:spacing w:after="0" w:line="254" w:lineRule="auto"/>
        <w:tabs>
          <w:tab w:leader="none" w:pos="1161" w:val="left"/>
        </w:tabs>
        <w:numPr>
          <w:ilvl w:val="1"/>
          <w:numId w:val="4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or amend in any material respect any joint venture, partnership or other similar venture that is material to the AT&amp;T Broadband Group, taken as a whole;</w:t>
      </w:r>
    </w:p>
    <w:p>
      <w:pPr>
        <w:spacing w:after="0" w:line="194" w:lineRule="exact"/>
        <w:rPr>
          <w:rFonts w:ascii="Courier New" w:cs="Courier New" w:eastAsia="Courier New" w:hAnsi="Courier New"/>
          <w:sz w:val="17"/>
          <w:szCs w:val="17"/>
          <w:color w:val="auto"/>
        </w:rPr>
      </w:pPr>
    </w:p>
    <w:p>
      <w:pPr>
        <w:ind w:left="9" w:right="1939" w:firstLine="515"/>
        <w:spacing w:after="0" w:line="251" w:lineRule="auto"/>
        <w:tabs>
          <w:tab w:leader="none" w:pos="1266" w:val="left"/>
        </w:tabs>
        <w:numPr>
          <w:ilvl w:val="1"/>
          <w:numId w:val="4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enter into any material agreement or arrangement in connection with or relating to its interest in TWE or amend or modify in any material respect any of the TWE Contracts (other than incidental agreements necessary to implement the transactions contemplated by clauses</w:t>
      </w:r>
    </w:p>
    <w:p>
      <w:pPr>
        <w:ind w:left="9" w:right="1839" w:hanging="9"/>
        <w:spacing w:after="0" w:line="251" w:lineRule="auto"/>
        <w:tabs>
          <w:tab w:leader="none" w:pos="428" w:val="left"/>
        </w:tabs>
        <w:numPr>
          <w:ilvl w:val="0"/>
          <w:numId w:val="4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(C) below of this Section 8.01(xiii) such as underwriting agreements, engagement letters and similar agreements), (B) exercise (other than on a cashless basis) the TWE Option under the TWE Option Agreement or</w:t>
      </w:r>
    </w:p>
    <w:p>
      <w:pPr>
        <w:ind w:left="9" w:right="2139" w:hanging="9"/>
        <w:spacing w:after="0" w:line="253" w:lineRule="auto"/>
        <w:tabs>
          <w:tab w:leader="none" w:pos="428" w:val="left"/>
        </w:tabs>
        <w:numPr>
          <w:ilvl w:val="0"/>
          <w:numId w:val="4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all or part of its interest in TWE except solely for cash or pursuant to Section 13.1 of the TWE Partnership Agreement; provided that AT&amp;T has kept Comcast reasonably apprised of the status of the related process;</w:t>
      </w:r>
    </w:p>
    <w:p>
      <w:pPr>
        <w:spacing w:after="0" w:line="195" w:lineRule="exact"/>
        <w:rPr>
          <w:rFonts w:ascii="Courier New" w:cs="Courier New" w:eastAsia="Courier New" w:hAnsi="Courier New"/>
          <w:sz w:val="17"/>
          <w:szCs w:val="17"/>
          <w:color w:val="auto"/>
        </w:rPr>
      </w:pPr>
    </w:p>
    <w:p>
      <w:pPr>
        <w:ind w:left="9" w:right="1839" w:firstLine="515"/>
        <w:spacing w:after="0" w:line="251" w:lineRule="auto"/>
        <w:tabs>
          <w:tab w:leader="none" w:pos="1161" w:val="left"/>
        </w:tabs>
        <w:numPr>
          <w:ilvl w:val="1"/>
          <w:numId w:val="4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agreement or arrangement that materially limits or otherwise materially restricts the AT&amp;T Broadband Group, AT&amp;T (to the extent relating to the AT&amp;T Broadband Group), AT&amp;T Broadband, any AT&amp;T Broadband Subsidiary or any of their respective Affiliates (other than AT&amp;T (to the extent not relating to the AT&amp;T Broadband Group) and the AT&amp;T Subsidiaries other than AT&amp;T Broadband and the AT&amp;T Broadband Subsidiaries) or any successor thereto, or that could, after the Effective Time, materially limit or restrict Parent, Comcast, any Comcast Subsidiary or any of their Affiliates, from engaging in any material business;</w:t>
      </w:r>
    </w:p>
    <w:p>
      <w:pPr>
        <w:spacing w:after="0" w:line="201" w:lineRule="exact"/>
        <w:rPr>
          <w:rFonts w:ascii="Courier New" w:cs="Courier New" w:eastAsia="Courier New" w:hAnsi="Courier New"/>
          <w:sz w:val="17"/>
          <w:szCs w:val="17"/>
          <w:color w:val="auto"/>
        </w:rPr>
      </w:pPr>
    </w:p>
    <w:p>
      <w:pPr>
        <w:ind w:left="9" w:right="1839" w:firstLine="515"/>
        <w:spacing w:after="0" w:line="251" w:lineRule="auto"/>
        <w:tabs>
          <w:tab w:leader="none" w:pos="1056" w:val="left"/>
        </w:tabs>
        <w:numPr>
          <w:ilvl w:val="1"/>
          <w:numId w:val="4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required pursuant to existing written, binding agreements, as otherwise required by law or as expressly provided in the Employee Benefits Agreement, (A) enter into any commitment to provide any severance or termination pay to (or amend any existing arrangement with) any director, officer or employee of AT&amp;T, AT&amp;T Broadband or any AT&amp;T Broadband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AT&amp;T, AT&amp;T Broadband or any AT&amp;T Broadband Subsidiary, (D) establish, adopt or amend (except as required by applicable law) any collective bargaining (except to the extent it would contain economic terms that are not materially less favorable to AT&amp;T, AT&amp;T Broadband or any AT&amp;T Broadband Subsidiary than the terms of existing arrangements), bonus, profit-sharing, thrift, pension, retirement, deferred compensation, compensation, stock option, restricted stock or other benefit plan or arrangement covering any director, officer or employee of AT&amp;T, AT&amp;T Broadband or any AT&amp;T Broadband Subsidiary, except that AT&amp;T, AT&amp;T Broadband and the AT&amp;T Broadband Subsidiaries may amend any such existing agreement or plan or adopt a successor plan or arrangement to the extent mandated by applicable law or to the extent that such amendment would not result in more than a de minimis increase in the costs or liabilities under such agreement or plan, (E) other than in the ordinary course</w:t>
      </w:r>
    </w:p>
    <w:p>
      <w:pPr>
        <w:spacing w:after="0" w:line="202"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A-51</w:t>
      </w:r>
    </w:p>
    <w:p>
      <w:pPr>
        <w:sectPr>
          <w:pgSz w:w="11900" w:h="16838" w:orient="portrait"/>
          <w:cols w:equalWidth="0" w:num="1">
            <w:col w:w="9688"/>
          </w:cols>
          <w:pgMar w:left="771" w:top="719" w:right="1440" w:bottom="659" w:gutter="0" w:footer="0" w:header="0"/>
        </w:sectPr>
      </w:pPr>
    </w:p>
    <w:bookmarkStart w:id="449" w:name="page450"/>
    <w:bookmarkEnd w:id="449"/>
    <w:p>
      <w:pPr>
        <w:ind w:left="9" w:right="1839"/>
        <w:spacing w:after="0" w:line="251" w:lineRule="auto"/>
        <w:rPr>
          <w:sz w:val="20"/>
          <w:szCs w:val="20"/>
          <w:color w:val="auto"/>
        </w:rPr>
      </w:pPr>
      <w:r>
        <w:rPr>
          <w:rFonts w:ascii="Courier New" w:cs="Courier New" w:eastAsia="Courier New" w:hAnsi="Courier New"/>
          <w:sz w:val="17"/>
          <w:szCs w:val="17"/>
          <w:color w:val="auto"/>
        </w:rPr>
        <w:t>of business consistent with past practice or as required by any agreement in effect as of the date hereof, increase the compensation, bonus or other benefits payable to any director, officer or employee of AT&amp;T, AT&amp;T Broadband or any AT&amp;T Broadband Subsidiary or (F) amend the terms of any outstanding AT&amp;T Stock Option, AT&amp;T SAR or AT&amp;T Equity Award; provided that the foregoing shall not in any way restrict AT&amp;T or any of its wholly owned Subsidiaries from entering into or amending commitments, contracts, plans or other arrangements of the types referred to in clauses (A) through (F) above to the extent that AT&amp;T Broadband and the AT&amp;T Broadband Subsidiaries are not bound thereby and the AT&amp;T Broadband Group is not affected thereby and provided further that the foregoing shall not in any way restrict AT&amp;T or any of its Subsidiaries from taking any action (including granting any stay bonuses and paying or providing other compensation pursuant to retention plans or similar arrangements) on reasonable commercial terms that AT&amp;T determines is reasonably necessary or desirable in order to retain or attract any officers or employees as set forth in Schedule</w:t>
      </w:r>
    </w:p>
    <w:p>
      <w:pPr>
        <w:ind w:left="9" w:right="2039"/>
        <w:spacing w:after="0" w:line="254" w:lineRule="auto"/>
        <w:rPr>
          <w:sz w:val="20"/>
          <w:szCs w:val="20"/>
          <w:color w:val="auto"/>
        </w:rPr>
      </w:pPr>
      <w:r>
        <w:rPr>
          <w:rFonts w:ascii="Courier New" w:cs="Courier New" w:eastAsia="Courier New" w:hAnsi="Courier New"/>
          <w:sz w:val="17"/>
          <w:szCs w:val="17"/>
          <w:color w:val="auto"/>
        </w:rPr>
        <w:t>8.01(xv) to the extent that the aggregate cost of such actions, grants or payments does not exceed the amount set forth in Section 8.01(xv) of the AT&amp;T Disclosure Schedule;</w:t>
      </w:r>
    </w:p>
    <w:p>
      <w:pPr>
        <w:spacing w:after="0" w:line="194" w:lineRule="exact"/>
        <w:rPr>
          <w:sz w:val="20"/>
          <w:szCs w:val="20"/>
          <w:color w:val="auto"/>
        </w:rPr>
      </w:pPr>
    </w:p>
    <w:p>
      <w:pPr>
        <w:ind w:left="9" w:right="1939" w:firstLine="515"/>
        <w:spacing w:after="0" w:line="254" w:lineRule="auto"/>
        <w:tabs>
          <w:tab w:leader="none" w:pos="1161" w:val="left"/>
        </w:tabs>
        <w:numPr>
          <w:ilvl w:val="1"/>
          <w:numId w:val="4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launch any new channels, except as necessary to comply with any requirement of any Governmental Authority and except pursuant to pending agreements in effect as of the date hereof;</w:t>
      </w:r>
    </w:p>
    <w:p>
      <w:pPr>
        <w:spacing w:after="0" w:line="194" w:lineRule="exact"/>
        <w:rPr>
          <w:rFonts w:ascii="Courier New" w:cs="Courier New" w:eastAsia="Courier New" w:hAnsi="Courier New"/>
          <w:sz w:val="17"/>
          <w:szCs w:val="17"/>
          <w:color w:val="auto"/>
        </w:rPr>
      </w:pPr>
    </w:p>
    <w:p>
      <w:pPr>
        <w:ind w:left="9" w:right="1839" w:firstLine="515"/>
        <w:spacing w:after="0" w:line="251" w:lineRule="auto"/>
        <w:tabs>
          <w:tab w:leader="none" w:pos="1266" w:val="left"/>
        </w:tabs>
        <w:numPr>
          <w:ilvl w:val="1"/>
          <w:numId w:val="4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(A) its methods of accounting or accounting practices in any material respect, except as required by changes in GAAP or by law, or</w:t>
      </w:r>
    </w:p>
    <w:p>
      <w:pPr>
        <w:ind w:left="429" w:hanging="429"/>
        <w:spacing w:after="0"/>
        <w:tabs>
          <w:tab w:leader="none" w:pos="429" w:val="left"/>
        </w:tabs>
        <w:numPr>
          <w:ilvl w:val="0"/>
          <w:numId w:val="4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fiscal year;</w:t>
      </w:r>
    </w:p>
    <w:p>
      <w:pPr>
        <w:spacing w:after="0" w:line="210" w:lineRule="exact"/>
        <w:rPr>
          <w:rFonts w:ascii="Courier New" w:cs="Courier New" w:eastAsia="Courier New" w:hAnsi="Courier New"/>
          <w:sz w:val="17"/>
          <w:szCs w:val="17"/>
          <w:color w:val="auto"/>
        </w:rPr>
      </w:pPr>
    </w:p>
    <w:p>
      <w:pPr>
        <w:ind w:left="9" w:right="1839" w:firstLine="515"/>
        <w:spacing w:after="0" w:line="252" w:lineRule="auto"/>
        <w:tabs>
          <w:tab w:leader="none" w:pos="1371" w:val="left"/>
        </w:tabs>
        <w:numPr>
          <w:ilvl w:val="1"/>
          <w:numId w:val="4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Section 8.01(xviii) of the AT&amp;T Disclosure Schedule, enter into or engage in any transaction with, or transfer any assets to, or assume any liabilities of, AT&amp;T (in its capacity other than as part of the AT&amp;T Broadband Group) or any of the AT&amp;T Subsidiaries (other than AT&amp;T Broadband or any of the AT&amp;T Broadband Subsidiaries) other than non-material transactions on arm's-length terms in the ordinary course of business;</w:t>
      </w:r>
    </w:p>
    <w:p>
      <w:pPr>
        <w:spacing w:after="0" w:line="195" w:lineRule="exact"/>
        <w:rPr>
          <w:rFonts w:ascii="Courier New" w:cs="Courier New" w:eastAsia="Courier New" w:hAnsi="Courier New"/>
          <w:sz w:val="17"/>
          <w:szCs w:val="17"/>
          <w:color w:val="auto"/>
        </w:rPr>
      </w:pPr>
    </w:p>
    <w:p>
      <w:pPr>
        <w:ind w:left="9" w:right="1939" w:firstLine="515"/>
        <w:spacing w:after="0" w:line="252" w:lineRule="auto"/>
        <w:tabs>
          <w:tab w:leader="none" w:pos="1161" w:val="left"/>
        </w:tabs>
        <w:numPr>
          <w:ilvl w:val="1"/>
          <w:numId w:val="4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Section 8.01(xix) of the AT&amp;T Disclosure Schedule, settle any litigation, investigation, arbitration, proceeding or other claim if the AT&amp;T Broadband Group would be required to pay in excess of $25,000,000 or such settlement would otherwise be material to the AT&amp;T Broadband Group;</w:t>
      </w:r>
    </w:p>
    <w:p>
      <w:pPr>
        <w:spacing w:after="0" w:line="197" w:lineRule="exact"/>
        <w:rPr>
          <w:rFonts w:ascii="Courier New" w:cs="Courier New" w:eastAsia="Courier New" w:hAnsi="Courier New"/>
          <w:sz w:val="17"/>
          <w:szCs w:val="17"/>
          <w:color w:val="auto"/>
        </w:rPr>
      </w:pPr>
    </w:p>
    <w:p>
      <w:pPr>
        <w:ind w:left="9" w:right="1839" w:firstLine="515"/>
        <w:spacing w:after="0" w:line="254" w:lineRule="auto"/>
        <w:tabs>
          <w:tab w:leader="none" w:pos="1056" w:val="left"/>
        </w:tabs>
        <w:numPr>
          <w:ilvl w:val="1"/>
          <w:numId w:val="4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in the ordinary course of business and consistent with past practice, make any material Tax election or enter into any settlement or compromise of any material Tax liability;</w:t>
      </w:r>
    </w:p>
    <w:p>
      <w:pPr>
        <w:spacing w:after="0" w:line="194" w:lineRule="exact"/>
        <w:rPr>
          <w:rFonts w:ascii="Courier New" w:cs="Courier New" w:eastAsia="Courier New" w:hAnsi="Courier New"/>
          <w:sz w:val="17"/>
          <w:szCs w:val="17"/>
          <w:color w:val="auto"/>
        </w:rPr>
      </w:pPr>
    </w:p>
    <w:p>
      <w:pPr>
        <w:ind w:left="1149" w:hanging="625"/>
        <w:spacing w:after="0"/>
        <w:tabs>
          <w:tab w:leader="none" w:pos="1149" w:val="left"/>
        </w:tabs>
        <w:numPr>
          <w:ilvl w:val="1"/>
          <w:numId w:val="4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 to comply with its obligations under the Exchange</w:t>
      </w:r>
    </w:p>
    <w:p>
      <w:pPr>
        <w:spacing w:after="0" w:line="8" w:lineRule="exact"/>
        <w:rPr>
          <w:rFonts w:ascii="Courier New" w:cs="Courier New" w:eastAsia="Courier New" w:hAnsi="Courier New"/>
          <w:sz w:val="17"/>
          <w:szCs w:val="17"/>
          <w:color w:val="auto"/>
        </w:rPr>
      </w:pPr>
    </w:p>
    <w:p>
      <w:pPr>
        <w:ind w:left="9"/>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w:t>
      </w:r>
    </w:p>
    <w:p>
      <w:pPr>
        <w:spacing w:after="0" w:line="210" w:lineRule="exact"/>
        <w:rPr>
          <w:rFonts w:ascii="Courier New" w:cs="Courier New" w:eastAsia="Courier New" w:hAnsi="Courier New"/>
          <w:sz w:val="17"/>
          <w:szCs w:val="17"/>
          <w:color w:val="auto"/>
        </w:rPr>
      </w:pPr>
    </w:p>
    <w:p>
      <w:pPr>
        <w:ind w:left="9" w:right="1839" w:firstLine="515"/>
        <w:spacing w:after="0" w:line="252" w:lineRule="auto"/>
        <w:tabs>
          <w:tab w:leader="none" w:pos="1266" w:val="left"/>
        </w:tabs>
        <w:numPr>
          <w:ilvl w:val="1"/>
          <w:numId w:val="4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or waive any provision of any of the PrISMs Contracts or SAILS Contracts, make any payment in settlement of any of such contracts or terminate any of such contracts; provided that immediately prior to the Effective Time each of such contracts will be amended as set forth in Section 8.01(xxi) of the AT&amp;T Disclosure Schedule if the counterparty to such contract consents to such amendment;</w:t>
      </w:r>
    </w:p>
    <w:p>
      <w:pPr>
        <w:spacing w:after="0" w:line="196" w:lineRule="exact"/>
        <w:rPr>
          <w:rFonts w:ascii="Courier New" w:cs="Courier New" w:eastAsia="Courier New" w:hAnsi="Courier New"/>
          <w:sz w:val="17"/>
          <w:szCs w:val="17"/>
          <w:color w:val="auto"/>
        </w:rPr>
      </w:pPr>
    </w:p>
    <w:p>
      <w:pPr>
        <w:ind w:left="9" w:right="1839" w:firstLine="515"/>
        <w:spacing w:after="0" w:line="252" w:lineRule="auto"/>
        <w:tabs>
          <w:tab w:leader="none" w:pos="1371" w:val="left"/>
        </w:tabs>
        <w:numPr>
          <w:ilvl w:val="1"/>
          <w:numId w:val="4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permit T-Holdings or any of its Subsidiaries to incur any liabilities or (B) take any action that would reasonably be expected to make any representation or warranty of AT&amp;T hereunder or of AT&amp;T or any AT&amp;T Subsidiary under any of the other Transaction Agreements inaccurate in any material respect at the Effective Time;</w:t>
      </w:r>
    </w:p>
    <w:p>
      <w:pPr>
        <w:spacing w:after="0" w:line="197" w:lineRule="exact"/>
        <w:rPr>
          <w:rFonts w:ascii="Courier New" w:cs="Courier New" w:eastAsia="Courier New" w:hAnsi="Courier New"/>
          <w:sz w:val="17"/>
          <w:szCs w:val="17"/>
          <w:color w:val="auto"/>
        </w:rPr>
      </w:pPr>
    </w:p>
    <w:p>
      <w:pPr>
        <w:ind w:left="9" w:right="1839" w:firstLine="515"/>
        <w:spacing w:after="0" w:line="253" w:lineRule="auto"/>
        <w:tabs>
          <w:tab w:leader="none" w:pos="1266" w:val="left"/>
        </w:tabs>
        <w:numPr>
          <w:ilvl w:val="1"/>
          <w:numId w:val="4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195" w:lineRule="exact"/>
        <w:rPr>
          <w:rFonts w:ascii="Courier New" w:cs="Courier New" w:eastAsia="Courier New" w:hAnsi="Courier New"/>
          <w:sz w:val="17"/>
          <w:szCs w:val="17"/>
          <w:color w:val="auto"/>
        </w:rPr>
      </w:pPr>
    </w:p>
    <w:p>
      <w:pPr>
        <w:ind w:left="9" w:right="1939" w:firstLine="515"/>
        <w:spacing w:after="0" w:line="252" w:lineRule="auto"/>
        <w:tabs>
          <w:tab w:leader="none" w:pos="1161" w:val="left"/>
        </w:tabs>
        <w:numPr>
          <w:ilvl w:val="1"/>
          <w:numId w:val="4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 or commit to do any of the foregoing; provided that the limitations set forth in Sections 8.01(i) through 8.01(xxii) shall not apply to any transaction between AT&amp;T Broadband and any wholly owned AT&amp;T Broadband Subsidiary or between AT&amp;T (to the extent not relating to the AT&amp;T Broadband Group) and any wholly owned AT&amp;T Subsidiaries (other than AT&amp;T Broadband and any AT&amp;T Broadband Subsidiaries) and provided, further, that the limitations set forth in</w:t>
      </w:r>
    </w:p>
    <w:p>
      <w:pPr>
        <w:spacing w:after="0" w:line="196"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A-52</w:t>
      </w:r>
    </w:p>
    <w:p>
      <w:pPr>
        <w:sectPr>
          <w:pgSz w:w="11900" w:h="16838" w:orient="portrait"/>
          <w:cols w:equalWidth="0" w:num="1">
            <w:col w:w="9688"/>
          </w:cols>
          <w:pgMar w:left="771" w:top="719" w:right="1440" w:bottom="256" w:gutter="0" w:footer="0" w:header="0"/>
        </w:sectPr>
      </w:pPr>
    </w:p>
    <w:bookmarkStart w:id="450" w:name="page451"/>
    <w:bookmarkEnd w:id="450"/>
    <w:p>
      <w:pPr>
        <w:ind w:left="540" w:right="1839"/>
        <w:spacing w:after="0" w:line="251" w:lineRule="auto"/>
        <w:rPr>
          <w:sz w:val="20"/>
          <w:szCs w:val="20"/>
          <w:color w:val="auto"/>
        </w:rPr>
      </w:pPr>
      <w:r>
        <w:rPr>
          <w:rFonts w:ascii="Courier New" w:cs="Courier New" w:eastAsia="Courier New" w:hAnsi="Courier New"/>
          <w:sz w:val="17"/>
          <w:szCs w:val="17"/>
          <w:color w:val="auto"/>
        </w:rPr>
        <w:t>Sections 8.01(i) through 8.01(xxii) shall not be deemed to in any way apply to or prohibit any Excepted Transaction or any transaction by or involving AT&amp;T and its wholly owned Subsidiaries if AT&amp;T (to the extent relating to the AT&amp;T Broadband Group), the AT&amp;T Broadband Group, AT&amp;T Broadband and the AT&amp;T Broadband Subsidiaries are not bound thereby, such transaction does not involve AT&amp;T (to the extent relating to the AT&amp;T Broadband Group), the AT&amp;T Broadband Group, AT&amp;T Broadband or any of the AT&amp;T Broadband Subsidiaries and such transaction would not otherwise adversely affect the transactions contemplated hereby in any material respect. In no event will AT&amp;T enter into, or permit the AT&amp;T Broadband Group, AT&amp;T Broadband or any AT&amp;T Broadband Subsidiary to enter into, any agreement or contract that would bind or purport to bind, Parent or any of its Affiliates (other than AT&amp;T Broadband and the AT&amp;T Broadband Subsidiaries) after the Effective Time.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8.02. AT&amp;T Shareholders' Meeting; Proxy Material. (a) Subject to applicable law, AT&amp;T shall cause the AT&amp;T Shareholders' Meeting to be duly called and held as soon as reasonably practicable (taking into consideration all relevant factors, including delays due to complications of preparing required pro forma and other financial statements) for the purpose of voting on the approval and adoption of this Agreement and the transactions contemplated by this Agreement; provided, however, that if within five days of the time the parties are notified by the SEC that it is willing to declare the Registration Statement effective any conditions shall exist (such conditions, the "MANDATORY RESIDUAL CONDITIONS") such that, as a result of the AT&amp;T Shareholders' Approval being obtained, the holders of the Senior Notes would be entitled to require AT&amp;T or any of its Affiliates to repurchase all or any portion of the Senior Notes, then AT&amp;T shall be entitled to delay the calling of the AT&amp;T Shareholders' Meeting until such time as the Mandatory Residual Conditions no longer exist. In connection with the AT&amp;T Shareholders' Meeting, AT&amp;T will (i) subject to Section 8.02(b), use its reasonable best efforts to obtain the AT&amp;T Shareholders' Approval and (ii) otherwise comply with all legal requirements applicable to AT&amp;T Shareholders' Meeting.</w:t>
      </w:r>
    </w:p>
    <w:p>
      <w:pPr>
        <w:spacing w:after="0" w:line="202" w:lineRule="exact"/>
        <w:rPr>
          <w:sz w:val="20"/>
          <w:szCs w:val="20"/>
          <w:color w:val="auto"/>
        </w:rPr>
      </w:pPr>
    </w:p>
    <w:p>
      <w:pPr>
        <w:ind w:right="1839" w:firstLine="531"/>
        <w:spacing w:after="0" w:line="251" w:lineRule="auto"/>
        <w:tabs>
          <w:tab w:leader="none" w:pos="943" w:val="left"/>
        </w:tabs>
        <w:numPr>
          <w:ilvl w:val="1"/>
          <w:numId w:val="4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below, AT&amp;T's Board of Directors shall recommend approval and adoption of this Agreement and the transactions contemplated by this Agreement by AT&amp;T shareholders. AT&amp;T's Board of Directors shall be permitted to withdraw, or modify in a manner adverse to Comcast, its recommendation to AT&amp;T shareholders only if (i) AT&amp;T has complied with the terms of Section 8.03, including the requirement in Section 8.03(d) that it notify Comcast promptly after its receipt of any AT&amp;T Broadband Acquisition Proposal;</w:t>
      </w:r>
    </w:p>
    <w:p>
      <w:pPr>
        <w:ind w:right="1839" w:firstLine="7"/>
        <w:spacing w:after="0" w:line="251" w:lineRule="auto"/>
        <w:tabs>
          <w:tab w:leader="none" w:pos="524" w:val="left"/>
        </w:tabs>
        <w:numPr>
          <w:ilvl w:val="0"/>
          <w:numId w:val="4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Board of Directors determines in good faith by a majority vote, after consulting with AT&amp;T's outside counsel, that it must take such action to comply with its fiduciary duties under applicable law; and (iii) AT&amp;T shall have delivered to Comcast a prior written notice advising Comcast that it intends to take such action and describing its reasons for taking such action (such notice to be delivered not less than two Business Days prior to the time such action is taken). Unless this Agreement shall have been terminated in accordance with its terms, subject to applicable law, AT&amp;T shall submit this Agreement to AT&amp;T shareholders at the AT&amp;T Shareholders' Meeting even if AT&amp;T's Board of Directors determines at any time after the date hereof that it is no longer advisable or recommends that AT&amp;T shareholders reject it.</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8.03. No Solicitation. (a) From the date hereof until the termination hereof, AT&amp;T will not, and will cause the AT&amp;T Subsidiaries and the officers, directors, employees, investment bankers, attorneys, accountants, consultants or other agents, representatives or advisors of AT&amp;T and the AT&amp;T Subsidiaries not to, directly or indirectly (i) take any action to solicit, initiate, facilitate or encourage the submission of any AT&amp;T Broadband Acquisition Proposal; (ii) subject to Section 8.03(e), engage in any discussions or negotiations with, or disclose any non-public information relating to AT&amp;T (to the extent relating to the AT&amp;T Broadband Group), the AT&amp;T Broadband Group, AT&amp;T Broadband or any AT&amp;T Broadband Subsidiary or afford access to the properties, books or records of AT&amp;T (to the extent relating to the AT&amp;T Broadband Group), the AT&amp;T Broadband Group, AT&amp;T Broadband or any AT&amp;T Broadband Subsidiary to, any Person who is known by AT&amp;T to be considering making, or has made, an AT&amp;T Broadband Acquisition Proposal; (iii)(A) amend or grant any waiver or release under any standstill agreement, agreement restricting a party from engaging in negotiations or discussions with other parties or</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A-53</w:t>
      </w:r>
    </w:p>
    <w:p>
      <w:pPr>
        <w:sectPr>
          <w:pgSz w:w="11900" w:h="16838" w:orient="portrait"/>
          <w:cols w:equalWidth="0" w:num="1">
            <w:col w:w="10219"/>
          </w:cols>
          <w:pgMar w:left="240" w:top="719" w:right="1440" w:bottom="1440" w:gutter="0" w:footer="0" w:header="0"/>
        </w:sectPr>
      </w:pPr>
    </w:p>
    <w:bookmarkStart w:id="451" w:name="page452"/>
    <w:bookmarkEnd w:id="451"/>
    <w:p>
      <w:pPr>
        <w:ind w:right="1839"/>
        <w:spacing w:after="0" w:line="252" w:lineRule="auto"/>
        <w:rPr>
          <w:sz w:val="20"/>
          <w:szCs w:val="20"/>
          <w:color w:val="auto"/>
        </w:rPr>
      </w:pPr>
      <w:r>
        <w:rPr>
          <w:rFonts w:ascii="Courier New" w:cs="Courier New" w:eastAsia="Courier New" w:hAnsi="Courier New"/>
          <w:sz w:val="17"/>
          <w:szCs w:val="17"/>
          <w:color w:val="auto"/>
        </w:rPr>
        <w:t>any similar agreement with respect to any class of equity securities of AT&amp;T (other than in connection with an Excepted Transaction) or with respect to the AT&amp;T Broadband Group or any of its material assets or (B) approve any transaction, or approve of any Person becoming an "Interested Shareholder", under Section 912 of the NYBCL or Section 203 of the DGCL; or (iv) enter into any agreement with respect to an AT&amp;T Broadband Acquisition Proposal (other than a confidentiality agreement as described below).</w:t>
      </w:r>
    </w:p>
    <w:p>
      <w:pPr>
        <w:spacing w:after="0" w:line="196" w:lineRule="exact"/>
        <w:rPr>
          <w:sz w:val="20"/>
          <w:szCs w:val="20"/>
          <w:color w:val="auto"/>
        </w:rPr>
      </w:pPr>
    </w:p>
    <w:p>
      <w:pPr>
        <w:ind w:right="1839" w:firstLine="531"/>
        <w:spacing w:after="0" w:line="251" w:lineRule="auto"/>
        <w:tabs>
          <w:tab w:leader="none" w:pos="943" w:val="left"/>
        </w:tabs>
        <w:numPr>
          <w:ilvl w:val="0"/>
          <w:numId w:val="4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provisions of Section 8.03(a) or any other provision of this Agreement, prior to the AT&amp;T Shareholders' Meeting, AT&amp;T may, in response to an unsolicited bona fide AT&amp;T Broadband Acquisition Proposal that AT&amp;T's Board of Directors determines in good faith, by majority vote, after consultation with its financial advisors and outside legal counsel, would reasonably be expected to lead to an AT&amp;T Superior Proposal, furnish confidential or nonpublic information and access to, and engage in discussions and negotiate with, such Person making such proposal; provided that prior to taking any of such actions, (i) AT&amp;T has complied with the terms of this Section 8.03, including the requirement in Section 8.03(d) that it notify Comcast promptly after its receipt of any AT&amp;T Broadband Acquisition Proposal, (ii) the AT&amp;T Board of Directors determines in good faith, by majority vote, after consultation with AT&amp;T's outside legal counsel that it must take such action to comply with its fiduciary duties under applicable law and (iii) such Person making such proposal executes a confidentiality agreement with terms no less favorable in the aggregate to AT&amp;T than those contained in the AT&amp;T Confidentiality Agreement. "AT&amp;T SUPERIOR PROPOSAL" means an unsolicited, bona fide AT&amp;T Broadband Acquisition Proposal that AT&amp;T's Board of Directors determines in good faith, after consultation with its financial advisors and outside legal counsel and taking into account all the terms and conditions of the AT&amp;T Broadband Acquisition Proposal, including the likelihood and timing of consummation of the AT&amp;T Broadband Acquisition Proposal (including, without limitation, the likelihood of obtaining financing and receiving necessary regulatory approvals), would be more favorable to the holders of AT&amp;T Common Stock than the transactions provided for in this Agreement.</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531"/>
        <w:spacing w:after="0" w:line="251" w:lineRule="auto"/>
        <w:tabs>
          <w:tab w:leader="none" w:pos="943" w:val="left"/>
        </w:tabs>
        <w:numPr>
          <w:ilvl w:val="0"/>
          <w:numId w:val="4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contained in this Agreement shall prevent AT&amp;T's Board of Directors from complying with Rule 14e-2 and Rule 14d-9 under the 1934 Act with regard to an AT&amp;T Broadband Acquisition Proposal; provided that AT&amp;T's Board of Directors shall not recommend that AT&amp;T shareholders tender their shares in connection with a tender offer, except to the extent AT&amp;T's Board of Directors by a majority vote determines in its good faith judgment that such a recommendation is required to comply with the fiduciary duties of AT&amp;T's Board of Directors under applicable law, after consulting with outside legal counsel.</w:t>
      </w:r>
    </w:p>
    <w:p>
      <w:pPr>
        <w:spacing w:after="0" w:line="201"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4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 notify Comcast promptly (but in no event later than 24 hours) after receipt by AT&amp;T (or any of its advisors) of any AT&amp;T Broadband Acquisition Proposal, or of any request for non-public information relating to AT&amp;T (to the extent relating to the AT&amp;T Broadband Group), the AT&amp;T Broadband Group, AT&amp;T Broadband or any AT&amp;T Broadband Subsidiary or for access to the properties, books or records of AT&amp;T (to the extent relating to the AT&amp;T Broadband Group), the AT&amp;T Broadband Group, AT&amp;T Broadband or any AT&amp;T Broadband Subsidiary by any Person who is known to be considering making, or has made, an AT&amp;T Broadband Acquisition Proposal. AT&amp;T shall provide such notice orally and in writing and shall identify the Person making, and the terms and conditions of, any such AT&amp;T Broadband Acquisition Proposal, indication or request. AT&amp;T shall keep Comcast fully informed, on a prompt basis (but in any event no later than 24 hours), of the status and details of any such AT&amp;T Broadband Acquisition Proposal, indication or request. AT&amp;T shall, and shall cause the AT&amp;T Subsidiaries and the directors, employees and other agents of AT&amp;T and the AT&amp;T Subsidiaries to, cease immediately and cause to be terminated all activities, discussions or negotiations, if any, with any Persons conducted prior to the date hereof with respect to any AT&amp;T Broadband Acquisition Proposal. This Section 8.03(d) shall not apply with respect to any Excepted Transaction; provided that if an agreement is entered into with respect to an Excepted Transaction that would reasonably be expected to delay the transactions contemplated hereby, AT&amp;T shall promptly thereafter notify Comcast of such agreement and provide Comcast with information it may reasonably request relating to such Excepted Transaction to the extent it is relevant to the transactions contemplated hereby.</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A-54</w:t>
      </w:r>
    </w:p>
    <w:p>
      <w:pPr>
        <w:sectPr>
          <w:pgSz w:w="11900" w:h="16838" w:orient="portrait"/>
          <w:cols w:equalWidth="0" w:num="1">
            <w:col w:w="10219"/>
          </w:cols>
          <w:pgMar w:left="240" w:top="719" w:right="1440" w:bottom="1440" w:gutter="0" w:footer="0" w:header="0"/>
        </w:sectPr>
      </w:pPr>
    </w:p>
    <w:bookmarkStart w:id="452" w:name="page453"/>
    <w:bookmarkEnd w:id="452"/>
    <w:p>
      <w:pPr>
        <w:ind w:right="1839" w:firstLine="531"/>
        <w:spacing w:after="0" w:line="251" w:lineRule="auto"/>
        <w:tabs>
          <w:tab w:leader="none" w:pos="943" w:val="left"/>
        </w:tabs>
        <w:numPr>
          <w:ilvl w:val="1"/>
          <w:numId w:val="4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in Section 8.03 to the contrary, in connection with discussions or negotiations relating to a proposed Excepted Transaction, AT&amp;T may (i) disclose non-public information relating to AT&amp;T (to the extent relating to the AT&amp;T Broadband Group), the AT&amp;T Broadband Group, AT&amp;T Broadband or any AT&amp;T Broadband Subsidiary and (ii) afford access to the properties, books or records of AT&amp;T (to the extent relating to the AT&amp;T Broadband Group), the AT&amp;T Broadband Group, AT&amp;T Broadband or any AT&amp;T Broadband Subsidiary, in the case of (i) and (ii), to the Person or Persons with whom AT&amp;T is engaged in such discussions or negotiations relating to such proposed transaction; provided that</w:t>
      </w:r>
    </w:p>
    <w:p>
      <w:pPr>
        <w:ind w:right="1839" w:firstLine="7"/>
        <w:spacing w:after="0" w:line="251" w:lineRule="auto"/>
        <w:tabs>
          <w:tab w:leader="none" w:pos="419" w:val="left"/>
        </w:tabs>
        <w:numPr>
          <w:ilvl w:val="0"/>
          <w:numId w:val="4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Person or Persons (A) are not known by AT&amp;T to be considering making, or to have made, an AT&amp;T Broadband Acquisition Proposal and (B) execute a confidentiality agreement with AT&amp;T Broadband with confidentiality terms no less favorable than those in the AT&amp;T Confidentiality Agreement pursuant to which such Person or Persons agree to hold any information relating to AT&amp;T (to the extent relating to the AT&amp;T Broadband Group), the AT&amp;T Broadband Group, AT&amp;T Broadband and any AT&amp;T Broadband Subsidiary confidential and (y) such disclosure and such access are limited to that reasonably necessary in connection with such proposed transaction.</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8.04. Ancillary Agreements. Subject to the terms and conditions of this Agreement, the Separation and Distribution Agreement and the other Ancillary Agreements, AT&amp;T shall, and shall cause each of its Subsidiaries (which, after the Effective Time, shall not include any of the AT&amp;T Broadband Entities) to, comply with its respective obligations under the Separation and Distribution Agreement and the other Ancillary Agreements pursuant to and in accordance with the terms thereof. No provision of the Separation and Distribution Agreement or any of the other Ancillary Agreements may be amended or waived prior to the Effective Time without the prior written consent of Comcast, except that the Primary Commercial Agreements and the Additional Commercial Agreements may be amended or waived in the ordinary course of business without the prior written consent of Comcast if such amendment or waiver would not be adverse in any material respect to AT&amp;T (to the extent relating to the AT&amp;T Broadband Group), the AT&amp;T Broadband Group, AT&amp;T Broadband or any of the AT&amp;T Broadband Subsidiaries. None of the Separation and Distribution Agreement and the other Ancillary Agreements may be terminated prior to the Effective Time without the prior written consent of Comcast. The AT&amp;T Broadband Group shall not grant any consent or approval under the Separation and Distribution Agreement or any of the other Ancillary Agreements prior to the Effective Time without the prior written concurrence of Comcast, except that the AT&amp;T Broadband Group may grant a consent or approval under any Primary Commercial Agreement or Additional Commercial Agreement in the ordinary course of business if such consent or approval would not be adverse in any material respect to AT&amp;T (to the extent relating to the AT&amp;T Broadband Group), the AT&amp;T Broadband Group, AT&amp;T Broadband or any of the AT&amp;T Broadband Subsidiaries. Any agreements entered into or documents executed pursuant to the Primary Transaction Agreements shall be reasonably acceptable to Comcast. Prior to the Effective Time, all determinations by the AT&amp;T Broadband Group under the Separation and Distribution Agreement or any of the other Ancillary Agreements will be made for the benefit of the AT&amp;T Broadband Group and, in the event of any discretion as to terms, such terms shall be no less favorable to the AT&amp;T Broadband Group than arm's-length terms.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8.05. Neutrality Agreement. Notwithstanding any other provision of this Agreement, AT&amp;T shall not renew, extend or modify the Neutrality and Consent Election Agreement (the "NEUTRALITY AGREEMENT") among AT&amp;T, the Communications Workers of America and the International Brotherhood of Electrical Workers, such that such agreement, as so renewed, extended or modified, will apply to or otherwise bind or purport to apply to or otherwise bind, after the Effective Time, AT&amp;T Broadband, any of the AT&amp;T Broadband Subsidiaries, Parent, Comcast or any of the Comcast Subsidiaries, either as a matter of contract or term or condition of employment. AT&amp;T shall not enter into any other agreement or arrangement with respect to the same or similar matters as the matters covered by the Neutrality Agreement if such agreement or arrangement would apply to or otherwise bind or purport to apply to or otherwise bind, after the Effective Time, AT&amp;T Broadband, any of the AT&amp;T Broadband Subsidiaries, Parent, Comcast or any of the Comcast Subsidiaries, either as a matter of contract or term or condition of employment.</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A-55</w:t>
      </w:r>
    </w:p>
    <w:p>
      <w:pPr>
        <w:sectPr>
          <w:pgSz w:w="11900" w:h="16838" w:orient="portrait"/>
          <w:cols w:equalWidth="0" w:num="1">
            <w:col w:w="10219"/>
          </w:cols>
          <w:pgMar w:left="240" w:top="719" w:right="1440" w:bottom="1440" w:gutter="0" w:footer="0" w:header="0"/>
        </w:sectPr>
      </w:pPr>
    </w:p>
    <w:bookmarkStart w:id="453" w:name="page454"/>
    <w:bookmarkEnd w:id="453"/>
    <w:p>
      <w:pPr>
        <w:ind w:right="1839" w:firstLine="524"/>
        <w:spacing w:after="0" w:line="251" w:lineRule="auto"/>
        <w:rPr>
          <w:sz w:val="20"/>
          <w:szCs w:val="20"/>
          <w:color w:val="auto"/>
        </w:rPr>
      </w:pPr>
      <w:r>
        <w:rPr>
          <w:rFonts w:ascii="Courier New" w:cs="Courier New" w:eastAsia="Courier New" w:hAnsi="Courier New"/>
          <w:sz w:val="17"/>
          <w:szCs w:val="17"/>
          <w:color w:val="auto"/>
        </w:rPr>
        <w:t>SECTION 8.06. Broadband Employees. Prior to the Effective Time, AT&amp;T shall, and shall cause each of its Subsidiaries to, use reasonable best efforts so that, immediately prior to the Effective Time, (i) all individuals (other than Broadband Transferees) who are then primarily employed (whether actively or then on an approved leave of absence) in connection with the AT&amp;T Broadband Business will be employed, as of the Effective Time, by the AT&amp;T Broadband Group and (ii) the AT&amp;T Broadband Group will employ no individuals other than those referred to in clause (i) of this Section 8.06 and the Broadband Transferees; provided that no transfers required to implement this Section 8.06 shall result in any severance liabilities to AT&amp;T Broadband.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8.07. AT&amp;T Post-Signing Equity Awards. With respect to any options to purchase shares of AT&amp;T Common Stock and any other equity-based awards based upon shares of AT&amp;T Common Stock granted by AT&amp;T or any of its Subsidiaries from the date hereof until the Effective Time, AT&amp;T shall provide in the agreements evidencing such awards that the transactions contemplated by this Agreement or any of the other Transaction Agreements shall not constitute a "Change in Control" for purposes of triggering accelerated vesting of the awards; provided that if any employee who receives such an award is terminated after the Effective Time under conditions entitling him to receive "Change in Control Severance Benefits" under Appendix 2 of the AT&amp;T Broadband Severance Plan, the equity awards held by such employee shall become immediately vested upon termination of employment and, if subject to exercise, shall remain exercisable for the full extent of the original term of the award.</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8.08. Redemption of TCI Pacific Preferred Stock. Prior to the Effective Time, AT&amp;T shall cause TCI Pacific Communications, Inc. (i) to call for redemption all of the outstanding shares of TCI Pacific Preferred Stock and</w:t>
      </w:r>
    </w:p>
    <w:p>
      <w:pPr>
        <w:ind w:right="1839" w:firstLine="7"/>
        <w:spacing w:after="0" w:line="251" w:lineRule="auto"/>
        <w:tabs>
          <w:tab w:leader="none" w:pos="524" w:val="left"/>
        </w:tabs>
        <w:numPr>
          <w:ilvl w:val="0"/>
          <w:numId w:val="4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any of such shares are not exchanged for shares of AT&amp;T Common Stock prior to the applicable redemption date, to redeem all of such shares remaining outstanding in exchange for shares of AT&amp;T Common Stock, in the case of each of (i) and (ii), in accordance with the terms of the certificate of designation for the TCI Pacific Preferred Stock. The shares of AT&amp;T Common Stock used to effect the foregoing redemption or exchange shall be provided by AT&amp;T to TCI Pacific Communications, Inc. without payment of any consideration or charge by TCI Pacific Communications, Inc. or the AT&amp;T Broadband Group.</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8.09. Note Consent Process. AT&amp;T will consult with Comcast in connection with actions taken by AT&amp;T in furtherance of satisfaction of the condition specified in Section 10.01(l). AT&amp;T will conduct such actions in a manner reasonably designed to minimize the cost and expenses incurred in connection with satisfaction of such condition. The parties agree that AT&amp;T may obtain Note Consents or otherwise satisfy the condition set forth in Section 10.01(l) by a one-time cash payment of a consent fee, through a coupon increase or a combination thereof and that any costs and expenses incurred in connection therewith (as calculated pursuant to Section 11.03) shall be shared pursuant to Section 11.03(a)(iv). AT&amp;T shall not be required to take any action other than those referred to in the preceding sentence in order to satisfy the condition set forth in Section 10.01(l) unless Comcast agrees that the costs and expenses incurred in connection therewith shall be shared on the basis set forth in Section 11.03(a)(iv).</w:t>
      </w:r>
    </w:p>
    <w:p>
      <w:pPr>
        <w:spacing w:after="0" w:line="202"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9</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COVENANTS OF AT&amp;T, COMCAST AND PARENT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9.01. Best Efforts. (a) Subject to the terms and conditions of this Agreement, each of the parties hereto will use its best efforts to promptly</w:t>
      </w:r>
    </w:p>
    <w:p>
      <w:pPr>
        <w:ind w:right="1839" w:firstLine="7"/>
        <w:spacing w:after="0" w:line="251" w:lineRule="auto"/>
        <w:tabs>
          <w:tab w:leader="none" w:pos="419" w:val="left"/>
        </w:tabs>
        <w:numPr>
          <w:ilvl w:val="0"/>
          <w:numId w:val="4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or cause to be taken, all actions and to do, or cause to be done, all things necessary, proper or advisable under applicable laws and regulations to consummate the Mergers and the other transactions contemplated hereby as soon as practicable, including preparing and filing as promptly as practicable all documentation to effect all necessary filings, notices, petitions, statements, registrations, submissions of information, applications and other documents and</w:t>
      </w:r>
    </w:p>
    <w:p>
      <w:pPr>
        <w:ind w:right="1839" w:firstLine="7"/>
        <w:spacing w:after="0" w:line="253" w:lineRule="auto"/>
        <w:tabs>
          <w:tab w:leader="none" w:pos="524" w:val="left"/>
        </w:tabs>
        <w:numPr>
          <w:ilvl w:val="0"/>
          <w:numId w:val="4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and maintain all approvals, consents, registrations, permits, authorizations and other confirmations required to be obtained from any third Person that are necessary, proper or advisable to consummate the Mergers and the other transactions contemplated hereby; provided, that the parties'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A-56</w:t>
      </w:r>
    </w:p>
    <w:p>
      <w:pPr>
        <w:sectPr>
          <w:pgSz w:w="11900" w:h="16838" w:orient="portrait"/>
          <w:cols w:equalWidth="0" w:num="1">
            <w:col w:w="10219"/>
          </w:cols>
          <w:pgMar w:left="240" w:top="719" w:right="1440" w:bottom="1440" w:gutter="0" w:footer="0" w:header="0"/>
        </w:sectPr>
      </w:pPr>
    </w:p>
    <w:bookmarkStart w:id="454" w:name="page455"/>
    <w:bookmarkEnd w:id="454"/>
    <w:p>
      <w:pPr>
        <w:ind w:right="1839"/>
        <w:spacing w:after="0" w:line="251" w:lineRule="auto"/>
        <w:rPr>
          <w:sz w:val="20"/>
          <w:szCs w:val="20"/>
          <w:color w:val="auto"/>
        </w:rPr>
      </w:pPr>
      <w:r>
        <w:rPr>
          <w:rFonts w:ascii="Courier New" w:cs="Courier New" w:eastAsia="Courier New" w:hAnsi="Courier New"/>
          <w:sz w:val="17"/>
          <w:szCs w:val="17"/>
          <w:color w:val="auto"/>
        </w:rPr>
        <w:t>obligations to obtain the License Consents and the expiration (without either the Department of Justice or the Federal Trade Commission obtaining any injunction or other relief that prevents the consummation of the transactions contemplated hereby) or termination of the applicable waiting periods under the HSR Act shall be unconditional and shall not be qualified by best efforts. Consistent with its obligations under the preceding sentence, Comcast and AT&amp;T will commit to and implement divestitures, hold separate or similar transactions or actions with respect to assets or businesses of the Comcast Group and the AT&amp;T Broadband Group, which commitments and implementations may, at Comcast's or AT&amp;T's option, be conditioned upon and effective as of the Effective Time. No party hereto shall, directly or indirectly, extend any waiting period under the HSR Act or enter into any agreement with a Governmental Authority to delay or to not consummate the Mergers or the other transactions contemplated by this Agreement, except with the prior written consent of the other parties. The parties' actions with respect to this paragraph shall be reasonable and reasonably calculated to facilitate consummation of the Mergers by the End Date. Subject to applicable law relating to the exchange of information, Comcast and AT&amp;T shall have the right to review in advance, and to the extent practicable each will consult the other on, all the information relating to Comcast and the Comcast Subsidiaries or AT&amp;T and the AT&amp;T Broadband Subsidiaries, as the case may be, that appears in any filing made with, or written materials submitted to, any third party and/or any Governmental Authority in connection with the Mergers and the other transactions contemplated hereby. Prior to the date hereof, each of Comcast and AT&amp;T has provided to the other a list of all material Franchise Consents of such party, all material License Consents of such party, all material PUC Consents of such party and all rights that any Person may have under the terms of such party's material Franchises to purchase all or any portion of a System owned and operated by such party as a result of the transactions contemplated hereby ("PURCHASE RIGHTS"). Within 45 calendar days of the date of this Agreement, each of Comcast and AT&amp;T shall provide to the other a supplemental list of all of such party's other Franchise Consents, License Consents, PUC Consents and Purchase Rights.</w:t>
      </w:r>
    </w:p>
    <w:p>
      <w:pPr>
        <w:spacing w:after="0" w:line="200" w:lineRule="exact"/>
        <w:rPr>
          <w:sz w:val="20"/>
          <w:szCs w:val="20"/>
          <w:color w:val="auto"/>
        </w:rPr>
      </w:pPr>
    </w:p>
    <w:p>
      <w:pPr>
        <w:spacing w:after="0" w:line="203" w:lineRule="exact"/>
        <w:rPr>
          <w:sz w:val="20"/>
          <w:szCs w:val="20"/>
          <w:color w:val="auto"/>
        </w:rPr>
      </w:pPr>
    </w:p>
    <w:p>
      <w:pPr>
        <w:ind w:right="1839" w:firstLine="531"/>
        <w:spacing w:after="0" w:line="251" w:lineRule="auto"/>
        <w:tabs>
          <w:tab w:leader="none" w:pos="943" w:val="left"/>
        </w:tabs>
        <w:numPr>
          <w:ilvl w:val="0"/>
          <w:numId w:val="4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furtherance and not in limitation of the foregoing, each of AT&amp;T and Comcast agrees to (i) make an appropriate filing of a Notification and Report Form pursuant to the HSR Act with respect to the Mergers and the other transactions contemplated hereby as promptly as practicable (and, in any event, within 45 calendar days of the date of this Agreement), (ii) supply as promptly as practicable any additional information and documentary material that may be requested pursuant to the HSR Act and (iii) complete the review process under the HSR Act to permit the consummation of the Mergers and the other transactions contemplated hereby, including causing the expiration or termination of the applicable waiting periods under the HSR Act as soon as practicable.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9.02. Joint Proxy Statement; Registration Statement. (a) As promptly as practicable after the date hereof (and, in any event, within 60 calendar days of the date of this Agreement) the parties hereto shall prepare and file the Joint Proxy Statement and the Registration Statement (in which the Joint Proxy Statement will be included) with the SEC. AT&amp;T and Comcast shall use their reasonable best efforts to cause the Registration Statement to become effective under the 1933 Act as soon after such filing as practicable and to keep the Registration Statement effective as long as is necessary to consummate the Mergers. The Joint Proxy Statement shall include the recommendation of each of the Board of Directors of Comcast and AT&amp;T in favor of approval and adoption of this Agreement and the applicable Merger, except to the extent the Board of Directors of AT&amp;T shall have withdrawn or modified its approval or recommendation of this Agreement as permitted by Section 8.02(b). Comcast and AT&amp;T each shall use its reasonable best efforts to cause the Joint Proxy Statement to be mailed to its respective shareholders as promptly as practicable after the Registration Statement becomes effective. Each of Comcast and AT&amp;T shall promptly provide copies, consult with each other and prepare written responses with respect to any written comments received from the SEC with respect to the Joint Proxy Statement and the Registration Statement and advise one another of any oral comments received from the SEC. The Registration Statement and the Joint Proxy Statement shall comply as to form in all material respects with the rules and regulations promulgated by the SEC under the 1933 Act and the 1934 Act, respectively.</w:t>
      </w:r>
    </w:p>
    <w:p>
      <w:pPr>
        <w:spacing w:after="0" w:line="200" w:lineRule="exact"/>
        <w:rPr>
          <w:sz w:val="20"/>
          <w:szCs w:val="20"/>
          <w:color w:val="auto"/>
        </w:rPr>
      </w:pPr>
    </w:p>
    <w:p>
      <w:pPr>
        <w:spacing w:after="0" w:line="203" w:lineRule="exact"/>
        <w:rPr>
          <w:sz w:val="20"/>
          <w:szCs w:val="20"/>
          <w:color w:val="auto"/>
        </w:rPr>
      </w:pPr>
    </w:p>
    <w:p>
      <w:pPr>
        <w:ind w:right="1839" w:firstLine="531"/>
        <w:spacing w:after="0" w:line="254" w:lineRule="auto"/>
        <w:tabs>
          <w:tab w:leader="none" w:pos="943" w:val="left"/>
        </w:tabs>
        <w:numPr>
          <w:ilvl w:val="0"/>
          <w:numId w:val="4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and Comcast shall make all necessary filings with respect to the Mergers and the transactions contemplated hereby under the 1933 Act and the 1934 Act and applicable state "blue sky"</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A-57</w:t>
      </w:r>
    </w:p>
    <w:p>
      <w:pPr>
        <w:sectPr>
          <w:pgSz w:w="11900" w:h="16838" w:orient="portrait"/>
          <w:cols w:equalWidth="0" w:num="1">
            <w:col w:w="10219"/>
          </w:cols>
          <w:pgMar w:left="240" w:top="719" w:right="1440" w:bottom="861" w:gutter="0" w:footer="0" w:header="0"/>
        </w:sectPr>
      </w:pPr>
    </w:p>
    <w:bookmarkStart w:id="455" w:name="page456"/>
    <w:bookmarkEnd w:id="455"/>
    <w:p>
      <w:pPr>
        <w:ind w:right="1839"/>
        <w:spacing w:after="0" w:line="251" w:lineRule="auto"/>
        <w:rPr>
          <w:sz w:val="20"/>
          <w:szCs w:val="20"/>
          <w:color w:val="auto"/>
        </w:rPr>
      </w:pPr>
      <w:r>
        <w:rPr>
          <w:rFonts w:ascii="Courier New" w:cs="Courier New" w:eastAsia="Courier New" w:hAnsi="Courier New"/>
          <w:sz w:val="17"/>
          <w:szCs w:val="17"/>
          <w:color w:val="auto"/>
        </w:rPr>
        <w:t>laws and the rules and regulations thereunder. Each party hereto will advise the other parties,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Mergers for offering or sale in any jurisdiction, or any request by the SEC for amendment of the Joint Proxy Statement or the Registration Statement or comments thereon and responses thereto or requests by the SEC for additional information. No amendment or supplement to the Joint Proxy Statement or the Registration Statement shall be filed without the approval of both AT&amp;T and Comcast, which approval shall not be unreasonably withheld or delayed. If, at any time prior to the Effective Time, any information relating to AT&amp;T or Comcast, or any of their respective Affiliates, officers or directors should be discovered by AT&amp;T or Comcast that should be set forth in an amendment or supplement to the Registration Statement or the Joint Proxy Statement so that such documents would not include any misstatement of a material fact or omit to state any material fact necessary to make the statements therein, in light of the circumstances under which they were made, not misleading, the party hereto that discovers such information shall promptly notify the other parties hereto and an appropriate amendment or supplement describing such information shall be promptly filed with the SEC and, to the extent required by law, disseminated to the shareholders of AT&amp;T and Comcast.</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9.03. Public Announcements. So long as this Agreement is in effect, Comcast and AT&amp;T will consult with each other before issuing any press release or making any public statement with respect to this Agreement or the transactions contemplated hereby and, except as may be required by applicable law or any listing agreement with any national securities exchange or quotation system, will not issue any such press release or make any such public statement without the prior consent of the other, which consent shall not be unreasonably withheld. Notwithstanding the foregoing, any such press release or public statement that may be required by applicable law or any listing agreement with any national securities exchange or quotation system may be issued without such consent, if the party hereto making such release or statement has used its reasonable best efforts to consult with the other parties.</w:t>
      </w:r>
    </w:p>
    <w:p>
      <w:pPr>
        <w:spacing w:after="0" w:line="201"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SECTION 9.04. Further Assurances. At and after the Effective Time, the officers and directors of the applicable Surviving Corporation will be authorized to execute and deliver, in the name and on behalf of AT&amp;T Broadband or Comcast, as the case may be, any deeds, bills of sale, assignments or assurances and to take and do, in the name and on behalf of AT&amp;T Broadband or Comcast, as the case may be, any other actions and things to vest, perfect or confirm of record in such Surviving Corporation, any and all right, title and interest in, to and under any of the rights, properties or assets of AT&amp;T Broadband or Comcast, as the case may be, acquired or to be acquired by such Surviving Corporation, as a result of or in connection with the applicable Merger.</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9.05. Access to Information. From the date hereof until the Effective Time or earlier termination of this Agreement and subject to applicable law and the Confidentiality Agreements, each of Comcast and AT&amp;T shall (a) give to the other and the other's legal counsel, financial advisors, auditors and other authorized representatives reasonable access during normal business hours to the offices, properties, books and records of such party and its Subsidiaries, (b) furnish to the other and the other's counsel, financial advisors, auditors and other authorized representatives such financial and operating data and other information as such Persons may reasonably request and</w:t>
      </w:r>
    </w:p>
    <w:p>
      <w:pPr>
        <w:ind w:right="1839" w:firstLine="7"/>
        <w:spacing w:after="0" w:line="251" w:lineRule="auto"/>
        <w:tabs>
          <w:tab w:leader="none" w:pos="419" w:val="left"/>
        </w:tabs>
        <w:numPr>
          <w:ilvl w:val="0"/>
          <w:numId w:val="4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instruct its employees, legal counsel, financial advisors, auditors and other authorized representatives to cooperate with the other in such other party's investigation. Any investigation pursuant to this Section 9.05 shall be conducted in a manner as not to interfere unreasonably with the conduct of the business of the party being investigated. No information or knowledge obtained in any investigation pursuant to this Section 9.05 shall affect or be deemed to modify any representation or warranty made by any party hereunder. Each party hereto will hold such information that is non-public in confidence in accordance with the provisions of the applicable Confidentiality Agreement.</w:t>
      </w:r>
    </w:p>
    <w:p>
      <w:pPr>
        <w:spacing w:after="0" w:line="201"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SECTION 9.06. Tax-free Transactions. (a) Prior to the Effective Time, each party hereto shall use its best efforts to cause the Mergers to qualify as tax-free exchanges described in Section 351 of the Code</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A-58</w:t>
      </w:r>
    </w:p>
    <w:p>
      <w:pPr>
        <w:sectPr>
          <w:pgSz w:w="11900" w:h="16838" w:orient="portrait"/>
          <w:cols w:equalWidth="0" w:num="1">
            <w:col w:w="10219"/>
          </w:cols>
          <w:pgMar w:left="240" w:top="719" w:right="1440" w:bottom="1062" w:gutter="0" w:footer="0" w:header="0"/>
        </w:sectPr>
      </w:pPr>
    </w:p>
    <w:bookmarkStart w:id="456" w:name="page457"/>
    <w:bookmarkEnd w:id="456"/>
    <w:p>
      <w:pPr>
        <w:ind w:right="2139"/>
        <w:spacing w:after="0" w:line="257" w:lineRule="auto"/>
        <w:rPr>
          <w:sz w:val="20"/>
          <w:szCs w:val="20"/>
          <w:color w:val="auto"/>
        </w:rPr>
      </w:pPr>
      <w:r>
        <w:rPr>
          <w:rFonts w:ascii="Courier New" w:cs="Courier New" w:eastAsia="Courier New" w:hAnsi="Courier New"/>
          <w:sz w:val="17"/>
          <w:szCs w:val="17"/>
          <w:color w:val="auto"/>
        </w:rPr>
        <w:t>("351 TRANSACTIONS"), and will not take any action reasonably likely to cause the Mergers not to so qualify.</w:t>
      </w:r>
    </w:p>
    <w:p>
      <w:pPr>
        <w:spacing w:after="0" w:line="192" w:lineRule="exact"/>
        <w:rPr>
          <w:sz w:val="20"/>
          <w:szCs w:val="20"/>
          <w:color w:val="auto"/>
        </w:rPr>
      </w:pPr>
    </w:p>
    <w:p>
      <w:pPr>
        <w:ind w:right="1939" w:firstLine="531"/>
        <w:spacing w:after="0" w:line="252" w:lineRule="auto"/>
        <w:tabs>
          <w:tab w:leader="none" w:pos="943" w:val="left"/>
        </w:tabs>
        <w:numPr>
          <w:ilvl w:val="0"/>
          <w:numId w:val="4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Effective Time, each party hereto shall use its best efforts to (i) cause the Separation and Distribution to qualify as tax-free transactions pursuant to Sections 355 and 368(a) of the Code, and will not take any action reasonably likely to cause the Separation and Distribution not to so qualify and (ii) ensure that the Mergers will not cause the Separation and Distribution to fail to be qualified as tax-free transactions pursuant to Sections 355 and 368(a) of the Code.</w:t>
      </w:r>
    </w:p>
    <w:p>
      <w:pPr>
        <w:spacing w:after="0" w:line="195" w:lineRule="exact"/>
        <w:rPr>
          <w:rFonts w:ascii="Courier New" w:cs="Courier New" w:eastAsia="Courier New" w:hAnsi="Courier New"/>
          <w:sz w:val="17"/>
          <w:szCs w:val="17"/>
          <w:color w:val="auto"/>
        </w:rPr>
      </w:pPr>
    </w:p>
    <w:p>
      <w:pPr>
        <w:ind w:right="1939" w:firstLine="531"/>
        <w:spacing w:after="0" w:line="254" w:lineRule="auto"/>
        <w:tabs>
          <w:tab w:leader="none" w:pos="943" w:val="left"/>
        </w:tabs>
        <w:numPr>
          <w:ilvl w:val="0"/>
          <w:numId w:val="4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party hereto shall use its best efforts to obtain (i) the ruling or opinion referred to in Section 10.01(j) and (ii) the opinions referred to in Sections 10.02(b) and 10.03(b).</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SECTION 9.07. Affiliates. (a) Within 30 days following the date of this Agreement, AT&amp;T shall deliver to Comcast a letter identifying all known Persons who may be deemed affiliates of AT&amp;T Broadband under Rule 145 of the 1933 Act (an "AT&amp;T RULE 145 AFFILIATE"). AT&amp;T shall use its reasonable best efforts to obtain and deliver to Comcast a written agreement from each AT&amp;T Broadband Rule 145 Affiliate as soon as practicable and, in any event, at least 30 days prior to the Effective Time, substantially in the form attached as Exhibit B.</w:t>
      </w:r>
    </w:p>
    <w:p>
      <w:pPr>
        <w:spacing w:after="0" w:line="196" w:lineRule="exact"/>
        <w:rPr>
          <w:sz w:val="20"/>
          <w:szCs w:val="20"/>
          <w:color w:val="auto"/>
        </w:rPr>
      </w:pPr>
    </w:p>
    <w:p>
      <w:pPr>
        <w:ind w:right="1839" w:firstLine="531"/>
        <w:spacing w:after="0" w:line="252" w:lineRule="auto"/>
        <w:tabs>
          <w:tab w:leader="none" w:pos="943" w:val="left"/>
        </w:tabs>
        <w:numPr>
          <w:ilvl w:val="0"/>
          <w:numId w:val="4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30 days following the date of this Agreement, Comcast shall deliver to AT&amp;T a letter identifying all known Persons who may be deemed affiliates of Comcast under Rule 145 of the 1933 Act (an "COMCAST RULE 145 AFFILIATE"). Comcast shall use its reasonable best efforts to obtain and deliver to AT&amp;T a written agreement from each Comcast Rule 145 Affiliate as soon as practicable and, in any event, at least 30 days prior to the Effective Time, substantially in the form attached as Exhibit B.</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9.08. Governance and Other Matters. Parent shall take all actions necessary so that at the Effective Time the Parent Board of Directors shall consist of 12 directors, five (5) of whom shall be existing Comcast directors designated by Comcast, five (5) of whom shall be existing AT&amp;T directors designated by AT&amp;T and two (2) of whom shall be Independent Persons jointly designated by Comcast and AT&amp;T. Except as set forth on the Comcast Disclosure Schedule or the AT&amp;T Disclosure Schedule, the individuals designated to be members of the Parent Board of Directors shall be mutually agreed by Comcast and AT&amp;T. The senior officers of Parent at the Effective Time shall be designated by the chief executive officer of Comcast in consultation with the chief executive officer of AT&amp;T. Until Parent's 2005 annual meeting of shareholders, Parent shall maintain an executive office in the New York City metropolitan area. The headquarters for Parent shall initially be in Philadelphia, Pennsylvania.</w:t>
      </w:r>
    </w:p>
    <w:p>
      <w:pPr>
        <w:spacing w:after="0" w:line="201"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SECTION 9.09. Notices of Certain Events. Each of Comcast and AT&amp;T shall promptly notify the other of:</w:t>
      </w:r>
    </w:p>
    <w:p>
      <w:pPr>
        <w:spacing w:after="0" w:line="192" w:lineRule="exact"/>
        <w:rPr>
          <w:sz w:val="20"/>
          <w:szCs w:val="20"/>
          <w:color w:val="auto"/>
        </w:rPr>
      </w:pPr>
    </w:p>
    <w:p>
      <w:pPr>
        <w:ind w:left="540" w:right="2139" w:firstLine="515"/>
        <w:spacing w:after="0" w:line="254" w:lineRule="auto"/>
        <w:tabs>
          <w:tab w:leader="none" w:pos="1483" w:val="left"/>
        </w:tabs>
        <w:numPr>
          <w:ilvl w:val="0"/>
          <w:numId w:val="4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 or other communication from any Person alleging that the consent of such Person is or may be required in connection with the transactions contemplated hereby;</w:t>
      </w:r>
    </w:p>
    <w:p>
      <w:pPr>
        <w:spacing w:after="0" w:line="194" w:lineRule="exact"/>
        <w:rPr>
          <w:rFonts w:ascii="Courier New" w:cs="Courier New" w:eastAsia="Courier New" w:hAnsi="Courier New"/>
          <w:sz w:val="17"/>
          <w:szCs w:val="17"/>
          <w:color w:val="auto"/>
        </w:rPr>
      </w:pPr>
    </w:p>
    <w:p>
      <w:pPr>
        <w:ind w:left="540" w:right="1939" w:firstLine="515"/>
        <w:spacing w:after="0" w:line="257" w:lineRule="auto"/>
        <w:tabs>
          <w:tab w:leader="none" w:pos="1483" w:val="left"/>
        </w:tabs>
        <w:numPr>
          <w:ilvl w:val="0"/>
          <w:numId w:val="4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 or other communication from any Governmental Authority in connection with the transactions contemplated hereby;</w:t>
      </w:r>
    </w:p>
    <w:p>
      <w:pPr>
        <w:spacing w:after="0" w:line="191" w:lineRule="exact"/>
        <w:rPr>
          <w:rFonts w:ascii="Courier New" w:cs="Courier New" w:eastAsia="Courier New" w:hAnsi="Courier New"/>
          <w:sz w:val="17"/>
          <w:szCs w:val="17"/>
          <w:color w:val="auto"/>
        </w:rPr>
      </w:pPr>
    </w:p>
    <w:p>
      <w:pPr>
        <w:ind w:left="540" w:right="1939" w:firstLine="515"/>
        <w:spacing w:after="0" w:line="252" w:lineRule="auto"/>
        <w:tabs>
          <w:tab w:leader="none" w:pos="1483" w:val="left"/>
        </w:tabs>
        <w:numPr>
          <w:ilvl w:val="0"/>
          <w:numId w:val="4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occurrence, or nonoccurrence, of any event the occurrence, or nonoccurrence, of which would reasonably be expected to cause any representation or warranty contained herein to be untrue or inaccurate in any material respect at any time during the period commencing on the date hereof and ending at the Effective Time; and</w:t>
      </w:r>
    </w:p>
    <w:p>
      <w:pPr>
        <w:spacing w:after="0" w:line="197"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4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of such party to comply with or satisfy any covenant, condition or agreement to be complied with or satisfied by it hereunder; provided, however, that the delivery of any notice pursuant to this Section 9.09 shall not limit or otherwise affect the remedies available hereunder to the party receiving such notice.</w:t>
      </w:r>
    </w:p>
    <w:p>
      <w:pPr>
        <w:spacing w:after="0" w:line="19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SECTION 9.10. Section 16 Matters. Prior to the Effective Time, Comcast, AT&amp;T and AT&amp;T Broadband shall take all such actions as may be required to cause any (i) dispositions of AT&amp;T Common Stock or AT&amp;T Broadband Common Stock (including derivative securities with respect to AT&amp;T</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A-59</w:t>
      </w:r>
    </w:p>
    <w:p>
      <w:pPr>
        <w:sectPr>
          <w:pgSz w:w="11900" w:h="16838" w:orient="portrait"/>
          <w:cols w:equalWidth="0" w:num="1">
            <w:col w:w="10219"/>
          </w:cols>
          <w:pgMar w:left="240" w:top="719" w:right="1440" w:bottom="861" w:gutter="0" w:footer="0" w:header="0"/>
        </w:sectPr>
      </w:pPr>
    </w:p>
    <w:bookmarkStart w:id="457" w:name="page458"/>
    <w:bookmarkEnd w:id="457"/>
    <w:p>
      <w:pPr>
        <w:ind w:right="1839"/>
        <w:spacing w:after="0" w:line="251" w:lineRule="auto"/>
        <w:rPr>
          <w:sz w:val="20"/>
          <w:szCs w:val="20"/>
          <w:color w:val="auto"/>
        </w:rPr>
      </w:pPr>
      <w:r>
        <w:rPr>
          <w:rFonts w:ascii="Courier New" w:cs="Courier New" w:eastAsia="Courier New" w:hAnsi="Courier New"/>
          <w:sz w:val="17"/>
          <w:szCs w:val="17"/>
          <w:color w:val="auto"/>
        </w:rPr>
        <w:t>Common Stock or AT&amp;T Broadband Common Stock) or Comcast Common Stock (including derivative securities with respect to Comcast Common Stock) or (ii) acquisitions of Parent Common Stock (including derivative securities with respect to Parent Common Stock) resulting from the transactions contemplated by this Agreement by each individual who is subject to the reporting requirements of Section 16(a) of the 1934 Act with respect to AT&amp;T, AT&amp;T Broadband or Comcast, or will become subject to such reporting requirements with respect to Parent, to be exempt under Rule 16b-3 promulgated under the 1934 Act.</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9.11. Director and Officer Liability. (a) Parent shall indemnify and hold harmless and advance expenses to the present and former officers and directors of AT&amp;T, the AT&amp;T Subsidiaries, AT&amp;T Broadband, the AT&amp;T Broadband Subsidiaries, Comcast and the Comcast Subsidiaries, and each individual who prior to the Effective Time becomes an officer or director of AT&amp;T, an AT&amp;T Subsidiary, AT&amp;T Broadband, an AT&amp;T Broadband Subsidiary, Comcast or a Comcast Subsidiary (each an "INDEMNIFIED PERSON"), in respect of acts or omissions by them in their capacities as such occurring at or prior to the Effective Time (including for acts or omissions occurring in connection with this Agreement and the consummation of the transactions contemplated hereby) to the maximum extent permitted by law ("INDEMNIFIED LOSSES"); provided that notwithstanding the foregoing Parent shall have no obligation to indemnify and hold harmless and advance expenses to any Indemnified Person in respect of acts or omissions of such Indemnified Person that occurred while such Indemnified Person was acting in a capacity for AT&amp;T and its Subsidiaries other than in connection with either the AT&amp;T Broadband Group or this Agreement and the transactions contemplated hereby; provided, further, that AT&amp;T shall indemnify and hold harmless Parent for 50% of any Indemnified Losses arising out of acts or omissions of the AT&amp;T officers and directors in connection with this Agreement and the consummation of the transactions contemplated hereby. Without limiting the generality of the foregoing, the Indemnified Losses shall include reasonable costs of prosecuting a claim under this Section 9.11(a). Parent shall periodically advance or reimburse each Indemnified Person for all reasonable fees and expenses of counsel constituting Indemnified Losses as such fees and expenses are incurred; provided that such Indemnified Person shall agree to promptly repay to Parent the amount of any such reimbursement if it shall be judicially determined by judgment or order not subject to further appeal or discretionary review that such Indemnified Person is not entitled to be indemnified by Parent in connection with such matter. In the event that Parent sells, transfers or leases all or substantially all of its assets or is not a surviving corporation in any merger, consolidation or other business combination in which it may enter with any Person, Parent shall, as a condition of any such transaction, cause such purchaser or such surviving corporation, as the case may be, to assume Parent's obligations under this Section 9.11 upon the consummation of any such transaction.</w:t>
      </w:r>
    </w:p>
    <w:p>
      <w:pPr>
        <w:spacing w:after="0" w:line="200" w:lineRule="exact"/>
        <w:rPr>
          <w:sz w:val="20"/>
          <w:szCs w:val="20"/>
          <w:color w:val="auto"/>
        </w:rPr>
      </w:pPr>
    </w:p>
    <w:p>
      <w:pPr>
        <w:spacing w:after="0" w:line="203" w:lineRule="exact"/>
        <w:rPr>
          <w:sz w:val="20"/>
          <w:szCs w:val="20"/>
          <w:color w:val="auto"/>
        </w:rPr>
      </w:pPr>
    </w:p>
    <w:p>
      <w:pPr>
        <w:ind w:right="1839" w:firstLine="531"/>
        <w:spacing w:after="0" w:line="251" w:lineRule="auto"/>
        <w:tabs>
          <w:tab w:leader="none" w:pos="943" w:val="left"/>
        </w:tabs>
        <w:numPr>
          <w:ilvl w:val="0"/>
          <w:numId w:val="4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six years after the Effective time, Parent shall provide or shall cause each of the Surviving Corporations to provide officers' and directors' liability insurance in respect of acts or omissions occurring prior to the Effective Time (including for acts or omissions occurring in connection with this Agreement and the consummation of the transactions contemplated hereby), covering each such Indemnified Person (but, in the case of officers and directors of AT&amp;T and its Subsidiaries, only in respect of acts or omissions of such person acting in connection with the AT&amp;T Broadband Group or this Agreement and the transactions contemplated hereby) currently covered by the officers' and directors' liability insurance policy of AT&amp;T or Comcast, as the case may be, on terms with respect to coverage and amount (including with respect to the payment of attorneys' fees) no less favorable than those of such policy in effect on the date hereof; provided that, if the aggregate annual premiums for such insurance during such period shall exceed 300% of the per annum rate of premium paid by either AT&amp;T or Comcast as of the date hereof for such insurance, then Parent shall provide or cause to be provided a policy for the applicable individuals with the best coverage as shall then be available at 300% of such rate (it being agreed that in the event that Parent or its Affiliate shall pay premiums in excess of such rate in order to cover directors or officers of one such entity, it shall pay premiums at such higher rate to cover directors or officers of the other such entity).</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A-60</w:t>
      </w:r>
    </w:p>
    <w:p>
      <w:pPr>
        <w:sectPr>
          <w:pgSz w:w="11900" w:h="16838" w:orient="portrait"/>
          <w:cols w:equalWidth="0" w:num="1">
            <w:col w:w="10219"/>
          </w:cols>
          <w:pgMar w:left="240" w:top="719" w:right="1440" w:bottom="1440" w:gutter="0" w:footer="0" w:header="0"/>
        </w:sectPr>
      </w:pPr>
    </w:p>
    <w:bookmarkStart w:id="458" w:name="page459"/>
    <w:bookmarkEnd w:id="458"/>
    <w:p>
      <w:pPr>
        <w:ind w:right="1839" w:firstLine="531"/>
        <w:spacing w:after="0" w:line="252" w:lineRule="auto"/>
        <w:tabs>
          <w:tab w:leader="none" w:pos="943" w:val="left"/>
        </w:tabs>
        <w:numPr>
          <w:ilvl w:val="0"/>
          <w:numId w:val="4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of each Indemnified Person and his or her heirs and legal representatives under this Section 9.11 shall be in addition to any rights such Indemnified Person may have under the certificate of incorporation or bylaws of AT&amp;T, any AT&amp;T Subsidiary, AT&amp;T Broadband, any AT&amp;T Broadband Subsidiary, Comcast or any Comcast Subsidiary, or under the PBCL, the NYBCL, the DGCL or any other applicable law.</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SECTION 9.12. Listing of Stock. Comcast and Parent shall use their respective reasonable best efforts to cause the shares of Parent Class A Common Stock and the Parent Class A Special Common Stock (and, if applicable, Parent Class C Common Stock) to be issued in connection with the Mergers and reserved for issuance in connection with the AT&amp;T Stock Options, the AT&amp;T Equity Awards, the Comcast Options and the Comcast Equity Awards to be approved for listing on Nasdaq subject to official notice of issuance.</w:t>
      </w:r>
    </w:p>
    <w:p>
      <w:pPr>
        <w:spacing w:after="0" w:line="196"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SECTION 9.13. Employee Matters. (a) Parent shall and shall cause its Subsidiaries (including the AT&amp;T Broadband Surviving Corporation and the Comcast Surviving Corporation) to:</w:t>
      </w:r>
    </w:p>
    <w:p>
      <w:pPr>
        <w:spacing w:after="0" w:line="194" w:lineRule="exact"/>
        <w:rPr>
          <w:sz w:val="20"/>
          <w:szCs w:val="20"/>
          <w:color w:val="auto"/>
        </w:rPr>
      </w:pPr>
    </w:p>
    <w:p>
      <w:pPr>
        <w:ind w:left="540" w:right="2039" w:firstLine="515"/>
        <w:spacing w:after="0" w:line="252" w:lineRule="auto"/>
        <w:tabs>
          <w:tab w:leader="none" w:pos="1483" w:val="left"/>
        </w:tabs>
        <w:numPr>
          <w:ilvl w:val="1"/>
          <w:numId w:val="4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honor the terms of all Broadband Employee Plans and Broadband Benefit Arrangements, and to pay or provide, or cause its Subsidiaries to pay or provide, the benefits required thereunder, recognizing that the consummation of the transactions contemplated hereby will constitute a "change in control" for purposes of the Broadband Employee Plans and Broadband Benefit Arrangements that include a provision for modifications to benefits in the event of a "change in control";</w:t>
      </w:r>
    </w:p>
    <w:p>
      <w:pPr>
        <w:spacing w:after="0" w:line="195" w:lineRule="exact"/>
        <w:rPr>
          <w:rFonts w:ascii="Courier New" w:cs="Courier New" w:eastAsia="Courier New" w:hAnsi="Courier New"/>
          <w:sz w:val="17"/>
          <w:szCs w:val="17"/>
          <w:color w:val="auto"/>
        </w:rPr>
      </w:pPr>
    </w:p>
    <w:p>
      <w:pPr>
        <w:ind w:left="540" w:right="1839" w:firstLine="515"/>
        <w:spacing w:after="0" w:line="251" w:lineRule="auto"/>
        <w:tabs>
          <w:tab w:leader="none" w:pos="1587" w:val="left"/>
        </w:tabs>
        <w:numPr>
          <w:ilvl w:val="1"/>
          <w:numId w:val="4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until December 31, 2003 (the "BENEFITS MAINTENANCE PERIOD"), with respect to Broadband Employees (other than those subject to collective bargaining obligations or agreements), provide a level of aggregate employee benefits and compensation, taking into account all Employee Plans and Benefit Arrangements and other programs sponsored or maintained by AT&amp;T and the AT&amp;T Subsidiaries listed in Section 6.18(a) of the AT&amp;T Disclosure Schedule to the extent they remain in effect, but excluding any severance, separation, or similar plan, program, policy or arrangement ("SEVERANCE PLANS") that is substantially comparable in the aggregate to the aggregate employee benefits and compensation provided, with respect to service to AT&amp;T Broadband or any of the AT&amp;T Broadband Subsidiaries, to the Broadband Employees immediately prior to the Effective Time (excluding benefits provided under any Severance Plans); and</w:t>
      </w:r>
    </w:p>
    <w:p>
      <w:pPr>
        <w:spacing w:after="0" w:line="201" w:lineRule="exact"/>
        <w:rPr>
          <w:rFonts w:ascii="Courier New" w:cs="Courier New" w:eastAsia="Courier New" w:hAnsi="Courier New"/>
          <w:sz w:val="17"/>
          <w:szCs w:val="17"/>
          <w:color w:val="auto"/>
        </w:rPr>
      </w:pPr>
    </w:p>
    <w:p>
      <w:pPr>
        <w:ind w:left="540" w:right="1839" w:firstLine="515"/>
        <w:spacing w:after="0" w:line="254" w:lineRule="auto"/>
        <w:tabs>
          <w:tab w:leader="none" w:pos="1692" w:val="left"/>
        </w:tabs>
        <w:numPr>
          <w:ilvl w:val="1"/>
          <w:numId w:val="4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until December 31, 2003, continue, without any change adverse to Broadband Employees, each severance plan identified in Section 6.18(a) of the AT&amp;T Disclosure Schedule (the "AT&amp;T SEVERANCE PLANS").</w:t>
      </w:r>
    </w:p>
    <w:p>
      <w:pPr>
        <w:spacing w:after="0" w:line="194"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4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Broadband Employees are included in any Employee Plan, Benefit Arrangement or International Plan sponsored or maintained by Parent or any of its Subsidiaries following the Effective Time, the Broadband Employees shall receive credit for service with AT&amp;T and the AT&amp;T Subsidiaries and their predecessors prior to the Effective Time to the same extent and for the same purposes thereunder as such service was counted under similar predecessor Employee Plans and Benefit Arrangements for all purposes (except that, with respect to benefit accrual, such service shall not be counted to the extent that it would result in a duplication of benefits and shall not be counted for purposes of benefit accrual under any defined benefit plan); provided, however, that service with respect to Broadband Employees subject to collective bargaining agreements or obligations shall be determined under such collective bargaining agreements or obligations. Notwithstanding the foregoing, as soon as practicable after the Benefits Maintenance Period, Broadband Employees who satisfy eligibility requirements shall be allowed to participate in any retirement medical or life insurance benefit plan then sponsored or maintained by Parent or any of its Subsidiaries. If Broadband Employees or their dependents are included in any medical, dental or health plan (a "SUCCESSOR PLAN") other than the plan or plans in which they participated immediately prior to the Effective Time (a "PRIOR PLAN"), any such Successor Plan shall not include any restrictions or limitations with respect to pre-existing condition exclusions or any actively-at-work requirements (except to the extent such exclusions were applicable under any similar Prior Plan at the Effective Time) and any eligible expenses incurred by any Broadband Employee and his or her covered dependents during the portion of the plan year of such Prior Plan ending on the date such</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A-61</w:t>
      </w:r>
    </w:p>
    <w:p>
      <w:pPr>
        <w:sectPr>
          <w:pgSz w:w="11900" w:h="16838" w:orient="portrait"/>
          <w:cols w:equalWidth="0" w:num="1">
            <w:col w:w="10219"/>
          </w:cols>
          <w:pgMar w:left="240" w:top="719" w:right="1440" w:bottom="1062" w:gutter="0" w:footer="0" w:header="0"/>
        </w:sectPr>
      </w:pPr>
    </w:p>
    <w:bookmarkStart w:id="459" w:name="page460"/>
    <w:bookmarkEnd w:id="459"/>
    <w:p>
      <w:pPr>
        <w:ind w:right="1839"/>
        <w:spacing w:after="0" w:line="251" w:lineRule="auto"/>
        <w:rPr>
          <w:sz w:val="20"/>
          <w:szCs w:val="20"/>
          <w:color w:val="auto"/>
        </w:rPr>
      </w:pPr>
      <w:r>
        <w:rPr>
          <w:rFonts w:ascii="Courier New" w:cs="Courier New" w:eastAsia="Courier New" w:hAnsi="Courier New"/>
          <w:sz w:val="17"/>
          <w:szCs w:val="17"/>
          <w:color w:val="auto"/>
        </w:rPr>
        <w:t>employee's participation in such Successor Plan begins shall be taken into account under such Successor Plan for purposes of satisfying all deductible, coinsurance and maximum out-of-pocket requirements applicable to such Broadband Employee and his or her covered dependents for the applicable plan year as if such amounts had been paid in accordance with such Successor Plan. Without limiting the generality of the foregoing, for purposes of determining severance pay and benefits under any applicable Broadband Severance Plan or other Severance Plan covering a Broadband Employee at or after the Effective Time, each Broadband Employee shall receive credit for service prior to the Effective Time with AT&amp;T and the AT&amp;T Subsidiaries and their predecessors to the same extent and for the same purposes as such service was counted under the applicable Broadband Severance Plans as in effect before the Effective Time, as well as for service from and after the Effective Time with Parent and any of its Subsidiaries (including the AT&amp;T Broadband Surviving Corporation and the Comcast Surviving Corporation).</w:t>
      </w:r>
    </w:p>
    <w:p>
      <w:pPr>
        <w:spacing w:after="0" w:line="200" w:lineRule="exact"/>
        <w:rPr>
          <w:sz w:val="20"/>
          <w:szCs w:val="20"/>
          <w:color w:val="auto"/>
        </w:rPr>
      </w:pPr>
    </w:p>
    <w:p>
      <w:pPr>
        <w:spacing w:after="0" w:line="203" w:lineRule="exact"/>
        <w:rPr>
          <w:sz w:val="20"/>
          <w:szCs w:val="20"/>
          <w:color w:val="auto"/>
        </w:rPr>
      </w:pPr>
    </w:p>
    <w:p>
      <w:pPr>
        <w:ind w:right="1939" w:firstLine="531"/>
        <w:spacing w:after="0" w:line="252" w:lineRule="auto"/>
        <w:tabs>
          <w:tab w:leader="none" w:pos="943" w:val="left"/>
        </w:tabs>
        <w:numPr>
          <w:ilvl w:val="0"/>
          <w:numId w:val="4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after the Effective Time, Parent shall offer a one-time grant of options to purchase a number of shares of Parent Common Stock equal to 300 multiplied by the Exchange Ratio to each full-time employee of Parent or any of its Subsidiaries (including, for the avoidance of doubt, each Broadband Employee).</w:t>
      </w:r>
    </w:p>
    <w:p>
      <w:pPr>
        <w:spacing w:after="0" w:line="197" w:lineRule="exact"/>
        <w:rPr>
          <w:rFonts w:ascii="Courier New" w:cs="Courier New" w:eastAsia="Courier New" w:hAnsi="Courier New"/>
          <w:sz w:val="17"/>
          <w:szCs w:val="17"/>
          <w:color w:val="auto"/>
        </w:rPr>
      </w:pPr>
    </w:p>
    <w:p>
      <w:pPr>
        <w:ind w:right="1939" w:firstLine="531"/>
        <w:spacing w:after="0" w:line="252" w:lineRule="auto"/>
        <w:tabs>
          <w:tab w:leader="none" w:pos="943" w:val="left"/>
        </w:tabs>
        <w:numPr>
          <w:ilvl w:val="0"/>
          <w:numId w:val="4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specifically set forth above, nothing contained herein shall be construed as requiring Parent or any of its Subsidiaries to continue any specific Employee Plan or Benefit Arrangement, or to continue the employment of any specific person; provided, however, that any changes that Parent or any of its Subsidiaries may make to any such Employee Plan or Benefit Arrangement are permitted by the terms of the applicable Employee Plan or Benefit Arrangement and under any applicable law.</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9.14. Employment Agreements. Parent shall offer to enter into an employment agreement, effective as of the Effective Time, with each of Mr. Brian L. Roberts, Mr. Ralph J. Roberts and Mr. C. Michael Armstrong, in each case on substantially the same terms as his existing employment agreement with Comcast or AT&amp;T, as the case may be, except that (a) "Parent" shall be substituted for "Comcast" or "AT&amp;T", as the case may be, wherever such term appears in his existing employment agreement, (b) such additional concomitant adjustments as may be necessary to reflect the foregoing shall be made, (c) such additional changes to reflect the provisions with respect to governance set forth in the Parent Charter shall be made and (d) the term of the employment agreement shall be extended to terminate no earlier than the date of the annual meeting of shareholders of Parent in 2005.</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9.15. Interim Finance Committee. (a) The parties agree promptly to establish an Interim Finance Committee, comprised of Lawrence S. Smith (or if he is unavailable to serve, another senior officer of Comcast appointed by Comcast) and Charles Noski (or if he is unavailable to serve, another senior officer of AT&amp;T Broadband appointed by AT&amp;T) for the purpose of engaging in financial planning for AT&amp;T Broadband. The Interim Finance Committee will seek to arrange financing (the "FINANCING") in an amount sufficient to (a) pay to AT&amp;T at the Effective Time an amount equal to any Indebtedness owed by any AT&amp;T Broadband Entity to AT&amp;T or any of its Subsidiaries (other than any AT&amp;T Broadband Entity) at such time (including, if applicable, the intercompany Indebtedness referred to in Section 9.18), (b) refinance any of the TOPRS that will be called for redemption at the Effective Time or shortly thereafter and</w:t>
      </w:r>
    </w:p>
    <w:p>
      <w:pPr>
        <w:ind w:right="1939" w:firstLine="7"/>
        <w:spacing w:after="0" w:line="251" w:lineRule="auto"/>
        <w:tabs>
          <w:tab w:leader="none" w:pos="419" w:val="left"/>
        </w:tabs>
        <w:numPr>
          <w:ilvl w:val="0"/>
          <w:numId w:val="4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appropriate cash reserves to fund the operations of AT&amp;T Broadband after the Effective Time, including the costs and expenses of AT&amp;T Broadband under Section 11.03(a). In the event the Interim Finance Committee agrees upon the Financing, Comcast shall use its reasonable best efforts to arrange for the Financing on the terms agreed by the Interim Finance Committee. In the event Comcast is unable to obtain the Financing so agreed upon by the Interim Finance Committee or the Interim Finance Committee does not agree upon the Financing, Comcast shall arrange for a senior credit facility with a term not exceeding five years to provide the Financing. The Interim Finance Committee may consult with financial advisors to the extent it deems necessary or advisable.</w:t>
      </w:r>
    </w:p>
    <w:p>
      <w:pPr>
        <w:spacing w:after="0" w:line="201"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1"/>
          <w:numId w:val="4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Interim Finance Committee shall also have responsibility for monitoring AT&amp;T's progress in obtaining the Note Consents and in taking other actions in furtherance of the satisfaction of the condition specified in Section 10.01(l). At the request of AT&amp;T, the Interim Finance Committee shall give due consideration to any request made by AT&amp;T that Comcast share in costs and expenses incurred by AT&amp;T</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A-62</w:t>
      </w:r>
    </w:p>
    <w:p>
      <w:pPr>
        <w:sectPr>
          <w:pgSz w:w="11900" w:h="16838" w:orient="portrait"/>
          <w:cols w:equalWidth="0" w:num="1">
            <w:col w:w="10219"/>
          </w:cols>
          <w:pgMar w:left="240" w:top="719" w:right="1440" w:bottom="659" w:gutter="0" w:footer="0" w:header="0"/>
        </w:sectPr>
      </w:pPr>
    </w:p>
    <w:bookmarkStart w:id="460" w:name="page461"/>
    <w:bookmarkEnd w:id="460"/>
    <w:p>
      <w:pPr>
        <w:ind w:right="1839"/>
        <w:spacing w:after="0" w:line="251" w:lineRule="auto"/>
        <w:rPr>
          <w:sz w:val="20"/>
          <w:szCs w:val="20"/>
          <w:color w:val="auto"/>
        </w:rPr>
      </w:pPr>
      <w:r>
        <w:rPr>
          <w:rFonts w:ascii="Courier New" w:cs="Courier New" w:eastAsia="Courier New" w:hAnsi="Courier New"/>
          <w:sz w:val="17"/>
          <w:szCs w:val="17"/>
          <w:color w:val="auto"/>
        </w:rPr>
        <w:t>in connection with an exchange offer, a tender offer, a defeasance or other action proposed by AT&amp;T in furtherance of satisfaction of the condition specified in Section 10.01(l). After such consideration, the Interim Finance Committee shall deliver a recommendation to Comcast of the portion (if any) of the costs and expenses that the Interim Finance Committee reasonably believes represents Comcast's equitable share of the costs and expenses that would be incurred in connection with such action. Comcast shall give due consideration to the recommendation of the Interim Finance Committee but shall have no obligation to pay AT&amp;T for any of such costs and expenses unless Comcast expressly consents thereto in writing. Any expenses that Comcast so expressly consents to pay shall, to the extent incurred, be treated as costs of obtaining Note Consents for purposes of this Section 9.15(b) and Section 11.03(a). The costs and expenses of obtaining the Note Consents shall be paid for by AT&amp;T except as provided in Section 11.03(a).</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9.16. TOPRS. (a) Subject to Section 9.16(d), at the Effective Time, Parent shall (i) call for redemption each series of TOPRS that is redeemable in accordance with its terms at the Effective Time and as to which AT&amp;T has guaranteed the obligations of the applicable Subsidiary Trust, issuer or other obligor, (ii) cause AT&amp;T to be released from any such guarantee of the obligations of the applicable Subsidiary Trust, issuer or other obligor in respect of such series or (iii) comply with Section 9.16(d) with respect to such series.</w:t>
      </w:r>
    </w:p>
    <w:p>
      <w:pPr>
        <w:spacing w:after="0" w:line="397" w:lineRule="exact"/>
        <w:rPr>
          <w:sz w:val="20"/>
          <w:szCs w:val="20"/>
          <w:color w:val="auto"/>
        </w:rPr>
      </w:pPr>
    </w:p>
    <w:p>
      <w:pPr>
        <w:ind w:right="1839" w:firstLine="531"/>
        <w:spacing w:after="0" w:line="251" w:lineRule="auto"/>
        <w:tabs>
          <w:tab w:leader="none" w:pos="943" w:val="left"/>
        </w:tabs>
        <w:numPr>
          <w:ilvl w:val="0"/>
          <w:numId w:val="4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9.16(d), with respect to any series of TOPRS that is not redeemable in accordance with its terms at the Effective Time and as to which AT&amp;T has guaranteed the obligations of the applicable Subsidiary Trust, issuer or other obligor, Parent shall (i) redeem, or cause to be redeemed, such series of TOPRS on the earliest date on which such TOPRS may be redeemed in accordance with their terms, (ii) cause AT&amp;T to be released from any such guarantee of the obligations of the applicable Subsidiary Trust, issuer or other obligor on such date in respect of such series or (iii) comply with Section 9.16(d) with respect to such series on such date.</w:t>
      </w:r>
    </w:p>
    <w:p>
      <w:pPr>
        <w:spacing w:after="0" w:line="201" w:lineRule="exact"/>
        <w:rPr>
          <w:rFonts w:ascii="Courier New" w:cs="Courier New" w:eastAsia="Courier New" w:hAnsi="Courier New"/>
          <w:sz w:val="17"/>
          <w:szCs w:val="17"/>
          <w:color w:val="auto"/>
        </w:rPr>
      </w:pPr>
    </w:p>
    <w:p>
      <w:pPr>
        <w:ind w:right="2039" w:firstLine="531"/>
        <w:spacing w:after="0" w:line="257" w:lineRule="auto"/>
        <w:tabs>
          <w:tab w:leader="none" w:pos="943" w:val="left"/>
        </w:tabs>
        <w:numPr>
          <w:ilvl w:val="0"/>
          <w:numId w:val="4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shall reasonably cooperate prior to the Effective Time in connection with the transactions contemplated by this Section 9.16.</w:t>
      </w:r>
    </w:p>
    <w:p>
      <w:pPr>
        <w:spacing w:after="0" w:line="191"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4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Parent does not comply with its obligations under Section 9.16(a)(i) or (ii) or Section 9.16(b)(i) or (ii), then with respect to each series as to which it has failed to so comply, it will post, or cause to be posted at the applicable time set forth above, a letter of credit from a United States financial institution reasonably acceptable to AT&amp;T containing the terms contemplated hereby and otherwise in form and substance reasonably acceptable to AT&amp;T (including any renewals thereof, the "LETTER OF CREDIT"). The term of the initial Letter of Credit shall be no less than one year. Prior to the 60 days prior to the expiration of any Letter of Credit, Parent shall renew or extend, or cause to be renewed or extended, the Letter of Credit for at least one additional year. AT&amp;T shall be entitled to draw under any Letter of Credit if AT&amp;T makes any payment in respect of its guarantees relating to the TOPRS or if any Letter of Credit is not renewed at least 60 days prior to the expiration thereof on the terms contemplated by this Section. The face amount of each Letter of Credit shall at all times be no less than the combined monetary liabilities under guarantees with respect to the principal amount of notes held by the applicable trust of all series of TOPRS as to which Parent has not complied with Section 9.16(a)(i) or (ii) or Section 9.16(b)(i) or (ii) above and as to which AT&amp;T has guaranteed (A) the obligations of the applicable Subsidiary Trust, issuer or other obligor with respect to such unredeemed TOPRS and (B) the obligations of AT&amp;T Broadband, LLC or MediaOne Group, Inc., as applicable, as "Sponsor" pursuant to the declaration of trust applicable to the issuing Subsidiary Trust. The obligation of Parent to post, or cause to be posted, the Letter of Credit shall terminate with respect to any portion of the TOPRS with respect to which any guarantee of AT&amp;T is fully, irrevocably and unconditionally released and discharged, whether as a result of refinancing or otherwise. Upon the posting, if any, of the Letter of Credit, Parent shall provide AT&amp;T with copies of all documentation relating to such Letter of Credit and all such documentation shall be in form and substance reasonably satisfactory to AT&amp;T.</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SECTION 9.17. Consideration. AT&amp;T and Comcast acknowledge and agree that the grant by AT&amp;T Broadband of the rights pursuant to Section 2.11 of the Separation and Distribution Agreement</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A-63</w:t>
      </w:r>
    </w:p>
    <w:p>
      <w:pPr>
        <w:sectPr>
          <w:pgSz w:w="11900" w:h="16838" w:orient="portrait"/>
          <w:cols w:equalWidth="0" w:num="1">
            <w:col w:w="10219"/>
          </w:cols>
          <w:pgMar w:left="240" w:top="719" w:right="1440" w:bottom="1062" w:gutter="0" w:footer="0" w:header="0"/>
        </w:sectPr>
      </w:pPr>
    </w:p>
    <w:bookmarkStart w:id="461" w:name="page462"/>
    <w:bookmarkEnd w:id="461"/>
    <w:p>
      <w:pPr>
        <w:ind w:right="1939"/>
        <w:spacing w:after="0" w:line="254" w:lineRule="auto"/>
        <w:rPr>
          <w:sz w:val="20"/>
          <w:szCs w:val="20"/>
          <w:color w:val="auto"/>
        </w:rPr>
      </w:pPr>
      <w:r>
        <w:rPr>
          <w:rFonts w:ascii="Courier New" w:cs="Courier New" w:eastAsia="Courier New" w:hAnsi="Courier New"/>
          <w:sz w:val="17"/>
          <w:szCs w:val="17"/>
          <w:color w:val="auto"/>
        </w:rPr>
        <w:t>and the assumption by AT&amp;T Broadband of the deferred tax liability pursuant to Section 3.7(f) of the Tax Sharing Agreement constitute a portion of the consideration payable in respect of the AT&amp;T Broadband Group's interest in TWE.</w:t>
      </w:r>
    </w:p>
    <w:p>
      <w:pPr>
        <w:spacing w:after="0" w:line="194"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9.18. QUIPS. (a) If on the date that would otherwise be the Closing Date the QUIPS Exchange does not occur (such date, the "QUIPS FAILURE DATE"), then subject to Section 9.18(c), the Closing Date shall be delayed as provided in this Section 9.18. Following the QUIPS Failure Date, AT&amp;T and Comcast will use their commercially reasonable efforts to consummate the QUIPS Exchange. If Microsoft thereafter agrees to consummate the QUIPS Exchange, then subject to the QUIPS Exchange occurring on the Closing Date, the Closing Date shall occur on the earliest date practicable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unless this Agreement is previously terminated in accordance with its terms.</w:t>
      </w:r>
    </w:p>
    <w:p>
      <w:pPr>
        <w:spacing w:after="0" w:line="201" w:lineRule="exact"/>
        <w:rPr>
          <w:sz w:val="20"/>
          <w:szCs w:val="20"/>
          <w:color w:val="auto"/>
        </w:rPr>
      </w:pPr>
    </w:p>
    <w:p>
      <w:pPr>
        <w:ind w:right="1839" w:firstLine="531"/>
        <w:spacing w:after="0" w:line="251" w:lineRule="auto"/>
        <w:tabs>
          <w:tab w:leader="none" w:pos="943" w:val="left"/>
        </w:tabs>
        <w:numPr>
          <w:ilvl w:val="1"/>
          <w:numId w:val="4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Closing Date does not occur within thirty (30) days of the QUIPS Failure Date, AT&amp;T may for a period of fifteen (15) calendar days commencing on such 30th day elect to terminate this Agreement by giving two Business Days' written notice to Comcast of its intent to terminate this Agreement pursuant to this Section 9.18(b). Notwithstanding the foregoing, AT&amp;T's notice to terminate this Agreement pursuant to this Section 9.18(b) shall not be effective if, prior to the expiration of such two Business Day period, Comcast delivers a written notice pursuant to and in accordance with the second sentence of Section 9.18(c) (which notice complies with the proviso thereof), unless Comcast fails to close within 60 days of the QUIPS Failure Date, in which event AT&amp;T shall be entitled to terminate this Agreement.</w:t>
      </w:r>
    </w:p>
    <w:p>
      <w:pPr>
        <w:spacing w:after="0" w:line="201"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4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Closing Date has not occurred pursuant to Section 9.18(a) and AT&amp;T has not effectively terminated this Agreement pursuant to Section 9.18(b), Comcast shall have the right to delay the consummation of the Mergers and the other transactions contemplated by this Agreement until the date that is one hundred eighty (180) calendar days after the QUIPS Failure Date. At any time prior to the expiration of the 180 calendar day period referred to in the preceding sentence, Comcast may elect to consummate the Mergers and the other transactions contemplated by this Agreement on ten (10) Business Days' written notice to AT&amp;T in which event the Closing Date shall occur on the date specified by Comcast in its notice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provided that if Comcast delivers a notice pursuant to this Section 9.18(c) prior to the second Business Day occurring after the forty-fifth calendar day after the QUIPS Failure Date, Comcast must specify a date in its notice that is no later than the sixtieth day after the QUIPS Failure Date. Notwithstanding the foregoing, the Closing Date shall occur no later than the date that is one hundred eighty</w:t>
      </w:r>
    </w:p>
    <w:p>
      <w:pPr>
        <w:ind w:right="1839" w:firstLine="7"/>
        <w:spacing w:after="0" w:line="252" w:lineRule="auto"/>
        <w:tabs>
          <w:tab w:leader="none" w:pos="628" w:val="left"/>
        </w:tabs>
        <w:numPr>
          <w:ilvl w:val="0"/>
          <w:numId w:val="4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calendar days after the QUIPS Failure Date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w:t>
      </w:r>
    </w:p>
    <w:p>
      <w:pPr>
        <w:spacing w:after="0" w:line="197"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4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during the 180 calendar day period specified above, it appears reasonably unlikely that the QUIPS Exchange shall occur, AT&amp;T and Comcast will use their commercially reasonable efforts to obtain, on terms reasonably acceptable to Comcast and AT&amp;T, the consent of Microsoft to the QUIPS Transfer. If Microsoft consents to the QUIPS Transfer in accordance with the preceding sentence and on any Closing Date specified or determined pursuant to Section 9.18(c) the QUIPS Exchange does not occur, the QUIPS Transfer shall be effected on such Closing Date.</w:t>
      </w:r>
    </w:p>
    <w:p>
      <w:pPr>
        <w:spacing w:after="0" w:line="201" w:lineRule="exact"/>
        <w:rPr>
          <w:rFonts w:ascii="Courier New" w:cs="Courier New" w:eastAsia="Courier New" w:hAnsi="Courier New"/>
          <w:sz w:val="17"/>
          <w:szCs w:val="17"/>
          <w:color w:val="auto"/>
        </w:rPr>
      </w:pPr>
    </w:p>
    <w:p>
      <w:pPr>
        <w:ind w:left="960" w:hanging="429"/>
        <w:spacing w:after="0"/>
        <w:tabs>
          <w:tab w:leader="none" w:pos="960" w:val="left"/>
        </w:tabs>
        <w:numPr>
          <w:ilvl w:val="1"/>
          <w:numId w:val="4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any Closing Date specified or determined pursuant to Section</w:t>
      </w:r>
    </w:p>
    <w:p>
      <w:pPr>
        <w:spacing w:after="0" w:line="9"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9.18(c), if neither the QUIPS Exchange nor the QUIPS Transfer occurs, AT&amp;T Broadband will, immediately prior to the Separation on such Closing Date, issue a note to AT&amp;T representing Indebtedness in an amount equal to the QUIPS Fair Market Value as determined as set forth below in Section 9.18(f) in exchange for cash proceeds</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A-64</w:t>
      </w:r>
    </w:p>
    <w:p>
      <w:pPr>
        <w:sectPr>
          <w:pgSz w:w="11900" w:h="16838" w:orient="portrait"/>
          <w:cols w:equalWidth="0" w:num="1">
            <w:col w:w="10219"/>
          </w:cols>
          <w:pgMar w:left="240" w:top="719" w:right="1440" w:bottom="1062" w:gutter="0" w:footer="0" w:header="0"/>
        </w:sectPr>
      </w:pPr>
    </w:p>
    <w:bookmarkStart w:id="462" w:name="page463"/>
    <w:bookmarkEnd w:id="462"/>
    <w:p>
      <w:pPr>
        <w:jc w:val="both"/>
        <w:ind w:right="1939"/>
        <w:spacing w:after="0" w:line="254" w:lineRule="auto"/>
        <w:rPr>
          <w:sz w:val="20"/>
          <w:szCs w:val="20"/>
          <w:color w:val="auto"/>
        </w:rPr>
      </w:pPr>
      <w:r>
        <w:rPr>
          <w:rFonts w:ascii="Courier New" w:cs="Courier New" w:eastAsia="Courier New" w:hAnsi="Courier New"/>
          <w:sz w:val="17"/>
          <w:szCs w:val="17"/>
          <w:color w:val="auto"/>
        </w:rPr>
        <w:t>equal to such amount and AT&amp;T Broadband will immediately after receipt of such cash proceeds dividend such cash proceeds to AT&amp;T, as holder of all of the AT&amp;T Broadband Common Stock.</w:t>
      </w:r>
    </w:p>
    <w:p>
      <w:pPr>
        <w:spacing w:after="0" w:line="194" w:lineRule="exact"/>
        <w:rPr>
          <w:sz w:val="20"/>
          <w:szCs w:val="20"/>
          <w:color w:val="auto"/>
        </w:rPr>
      </w:pPr>
    </w:p>
    <w:p>
      <w:pPr>
        <w:ind w:right="1839" w:firstLine="531"/>
        <w:spacing w:after="0" w:line="251" w:lineRule="auto"/>
        <w:tabs>
          <w:tab w:leader="none" w:pos="943" w:val="left"/>
        </w:tabs>
        <w:numPr>
          <w:ilvl w:val="0"/>
          <w:numId w:val="4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10 (ten) Business Days after the QUIPS Failure Date, each of AT&amp;T and Comcast shall deliver to the other an appraisal conducted by an investment banking firm of nationally recognized standing of the fair market value of the QUIPS at such time. If the higher of the two appraisals is not greater than 110% of the lower of the two appraisals, then the average of the two appraisals shall be deemed to be the fair market value of the QUIPS. If the higher of the two appraisals is greater than 110% of the lower of the two appraisals, then the two investment banking firms shall promptly select a third investment banking firm of nationally recognized standing acceptable to Comcast and AT&amp;T and shall cause such firm to deliver within ten (10) Business Days of the delivery of the initial appraisals an appraisal of the fair market value of the QUIPS. In the event such third appraisal is required pursuant to the immediately preceding sentence, the fair market value of the QUIPS as determined by such third appraisal shall be averaged with the initial appraisal that was closer in value to such third appraisal and such average shall be deemed to be the fair market value of the QUIPS. The fair market value of the QUIPS as determined pursuant to this Section 9.18(f) is referred to herein as the "QUIPS FAIR MARKET VALUE" and shall be determined without regard to accrued and unpaid interest on the QUIPS.</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2039" w:firstLine="531"/>
        <w:spacing w:after="0" w:line="252" w:lineRule="auto"/>
        <w:tabs>
          <w:tab w:leader="none" w:pos="943" w:val="left"/>
        </w:tabs>
        <w:numPr>
          <w:ilvl w:val="0"/>
          <w:numId w:val="4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this Agreement, if the Closing Date is delayed pursuant to this Section 9.18, the End Date shall be extended for the aggregate period of the delay; provided that the End Date shall in no event be extended pursuant to this Section 9.18(g) for a period exceeding one hundred eighty-five (185) calendar days after the QUIPS Failure Date.</w:t>
      </w:r>
    </w:p>
    <w:p>
      <w:pPr>
        <w:spacing w:after="0" w:line="197" w:lineRule="exact"/>
        <w:rPr>
          <w:rFonts w:ascii="Courier New" w:cs="Courier New" w:eastAsia="Courier New" w:hAnsi="Courier New"/>
          <w:sz w:val="17"/>
          <w:szCs w:val="17"/>
          <w:color w:val="auto"/>
        </w:rPr>
      </w:pPr>
    </w:p>
    <w:p>
      <w:pPr>
        <w:ind w:right="1839" w:firstLine="531"/>
        <w:spacing w:after="0" w:line="253" w:lineRule="auto"/>
        <w:tabs>
          <w:tab w:leader="none" w:pos="943" w:val="left"/>
        </w:tabs>
        <w:numPr>
          <w:ilvl w:val="0"/>
          <w:numId w:val="4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QUIPS Exchange and the QUIPS Transfer do not occur, AT&amp;T Broadband shall have no liability in respect of the QUIPS other than as provided in Section 5.03(e) of the Separation and Distribution Agreement and subject to Section 9.18(e).</w:t>
      </w:r>
    </w:p>
    <w:p>
      <w:pPr>
        <w:spacing w:after="0" w:line="195"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0"/>
          <w:numId w:val="4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and Comcast acknowledge and agree that in the event of an Exchange Closing (as defined in the Exchange Agreement), notwithstanding anything to the contrary in the Indenture or in the Trust Agreement, interest in respect of the Debentures and Distributions (as defined in the Exchange Agreement) in respect of the QUIPS shall accrue up to and including the day immediately prior to, and shall be payable on, the date of the Exchange Closing.</w:t>
      </w:r>
    </w:p>
    <w:p>
      <w:pPr>
        <w:spacing w:after="0" w:line="196"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4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9.18, "QUIPS TRANSFER" means the following actions: (i) the execution by AT&amp;T Broadband of documents and agreements identical in form, substance and economic effect to the holder of QUIPS to the existing QUIPS transaction documents (including, but not limited to, the Trust Agreement, the Trust Common Securities, the Indenture, the Debentures, the Guarantee Agreement, the Expense Agreement and the Registration Rights Agreement and any documents or agreements executed in connection therewith or delivered pursuant thereto, but excluding any such documents or provisions of such documents relating to the warrants issued to Microsoft in connection with the sale of the QUIPS or relating to commercial transactions entered into in connection with the issuance of the QUIPS), except such differences as are required to reflect the identity of AT&amp;T Broadband (rather than AT&amp;T) as party to each thereof and except that Article 12 of Indenture will provide that, prior to the Mergers, the Debentures will be convertible into AT&amp;T Broadband Common Stock and following the Mergers, the Debentures will be convertible into shares of Parent Common Stock, in each case, at a conversion price appropriately adjusted for the Distribution and the Mergers, (ii) the delivery by AT&amp;T Broadband of all such replacement QUIPS transaction documents other than the replacement Trust Common Securities to AT&amp;T or its designee and retention by AT&amp;T Broadband of the replacement Trust Common Securities, (iii) the delivery by AT&amp;T or AT&amp;T's designee of all such replacement QUIPS transaction documents received from AT&amp;T Broadband to Microsoft in exchange for transfer by Microsoft to AT&amp;T of the existing QUIPS transaction documents and the release of AT&amp;T and its subsidiaries in full from any obligations under any of such agreements and the termination of all rights of Microsoft thereunder other than the documents and rights relating to the warrants issued to Microsoft by AT&amp;T in connection with the sale of the QUIPS and (iv) the termination of any further liability of the AT&amp;T</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A-65</w:t>
      </w:r>
    </w:p>
    <w:p>
      <w:pPr>
        <w:sectPr>
          <w:pgSz w:w="11900" w:h="16838" w:orient="portrait"/>
          <w:cols w:equalWidth="0" w:num="1">
            <w:col w:w="10219"/>
          </w:cols>
          <w:pgMar w:left="240" w:top="719" w:right="1440" w:bottom="1062" w:gutter="0" w:footer="0" w:header="0"/>
        </w:sectPr>
      </w:pPr>
    </w:p>
    <w:bookmarkStart w:id="463" w:name="page464"/>
    <w:bookmarkEnd w:id="463"/>
    <w:p>
      <w:pPr>
        <w:ind w:right="2259"/>
        <w:spacing w:after="0" w:line="257" w:lineRule="auto"/>
        <w:rPr>
          <w:sz w:val="20"/>
          <w:szCs w:val="20"/>
          <w:color w:val="auto"/>
        </w:rPr>
      </w:pPr>
      <w:r>
        <w:rPr>
          <w:rFonts w:ascii="Courier New" w:cs="Courier New" w:eastAsia="Courier New" w:hAnsi="Courier New"/>
          <w:sz w:val="17"/>
          <w:szCs w:val="17"/>
          <w:color w:val="auto"/>
        </w:rPr>
        <w:t>Broadband Group in respect of the QUIPS; all of the foregoing to be on terms reasonably satisfactory to AT&amp;T and AT&amp;T Broadband.</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9.19. Index Stock. Each of Parent, Comcast and AT&amp;T agrees to use its reasonable best efforts to cause (i) if the A Shareholder Approval is obtained, the Parent Class A Common Stock to be included in the Index at the Effective Time or as promptly thereafter as possible or (ii) if the A Shareholder Approval is not obtained, the Parent Class C Common Stock to be included in the Index at the Effective Time or as promptly thereafter as possible.</w:t>
      </w:r>
    </w:p>
    <w:p>
      <w:pPr>
        <w:spacing w:after="0" w:line="398"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9.20. Use of Name and Logo. (a) For a period of 180 calendar days after the Closing Date, each of Parent and its Subsidiaries will be granted a limited, non-exclusive, non-transferable, royalty-free license to use the trademarks, trade names, service marks, service names, logos and other indicia of origin of AT&amp;T or any of its Subsidiaries (the "AT&amp;T MARKS") to the same extent, and in the same manner as, used at the Effective Time; provided that each of Parent and its Subsidiaries will exercise commercially reasonable efforts to remove all AT&amp;T Marks from the AT&amp;T Broadband Assets as soon as reasonably practicable, and in any event within 180 calendar days, following the Closing Date. After 180 calendar days following the Closing Date, Parent and its Subsidiaries shall have no further rights or licenses to use any of the AT&amp;T Marks in connection with any products or services.</w:t>
      </w:r>
    </w:p>
    <w:p>
      <w:pPr>
        <w:spacing w:after="0" w:line="201" w:lineRule="exact"/>
        <w:rPr>
          <w:sz w:val="20"/>
          <w:szCs w:val="20"/>
          <w:color w:val="auto"/>
        </w:rPr>
      </w:pPr>
    </w:p>
    <w:p>
      <w:pPr>
        <w:ind w:right="1839" w:firstLine="531"/>
        <w:spacing w:after="0" w:line="251" w:lineRule="auto"/>
        <w:tabs>
          <w:tab w:leader="none" w:pos="943" w:val="left"/>
        </w:tabs>
        <w:numPr>
          <w:ilvl w:val="0"/>
          <w:numId w:val="4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180 calendar day period provided above, Parent and its Subsidiaries shall ensure that any products or services being provided in connection with the AT&amp;T Marks are provided in accordance with standards of quality equal to or greater than the standards of quality relating to products and services which AT&amp;T and its Subsidiaries provided under the AT&amp;T Marks immediately prior to the Effective Time. AT&amp;T may conduct during regular business hours and with ten (10) calendar days prior notice an examination of products and services being provided by Parent or its Subsidiaries under the AT&amp;T Marks at Parent's facilities to determine compliance of such products and services with the applicable standards of quality. If such products and services shall, in the reasonable opinion of AT&amp;T, fail to conform with such standards of quality AT&amp;T shall so notify Parent. Upon such notification Parent and its Subsidiaries shall have a reasonable time within which to conform with the standards of quality.</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4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nothing in this Section 9.20 will require any of Parent and its Subsidiaries to remove or discontinue using any such name or mark that is affixed to converters or other items already installed in or to be used in customer homes or properties and neither Parent nor any of its Subsidiaries will have any liability in respect thereof; provided that at the first time Parent or its Subsidiaries shall have access to such converters or other items (e.g., for repair or replacement), Parent or its Subsidiaries shall completely obliterate or affix a label that completely obscures any AT&amp;T Mark on such converters or other items.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9.21. Exchange Agreement. Concurrently with the execution of this Agreement, AT&amp;T and Parent are executing the Admission Agreement pursuant to which AT&amp;T and Parent are (i) agreeing to effect the Exchange and, if necessary, the unwind of the QUIPS Exchange, as provided in the Exchange Agreement, (ii) becoming parties to the Exchange Agreement and (iii) making the representations and warranties referred to in Sections 9.01(b) and 9.01(c), respectively, thereof. AT&amp;T will provide information to Comcast in order to permit Comcast to satisfy its obligations under Section 6.06(b) of the Exchange Agreement, subject to applicable pre-existing third party confidentiality restrictions and subject to applicable law. AT&amp;T and Parent agree that Microsoft will be a third party beneficiary of the first sentence of this Section 9.21.</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9.22. Significant Excepted Transactions. (a) AT&amp;T may enter into an agreement relating to a Significant Excepted Transaction but only if such agreement would not reasonably be expected to result in a delay in the consummation of the transactions contemplated by this Agreement past the End Date; provided that, in such event, at the request of Comcast, the End Date shall be extended by the reasonably expected period of delay in the consummation of the transactions contemplated by this Agreement caused by such Significant Excepted Transaction up to 60 days.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A-66</w:t>
      </w:r>
    </w:p>
    <w:p>
      <w:pPr>
        <w:sectPr>
          <w:pgSz w:w="11900" w:h="16838" w:orient="portrait"/>
          <w:cols w:equalWidth="0" w:num="1">
            <w:col w:w="10219"/>
          </w:cols>
          <w:pgMar w:left="240" w:top="719" w:right="1440" w:bottom="1440" w:gutter="0" w:footer="0" w:header="0"/>
        </w:sectPr>
      </w:pPr>
    </w:p>
    <w:bookmarkStart w:id="464" w:name="page465"/>
    <w:bookmarkEnd w:id="464"/>
    <w:p>
      <w:pPr>
        <w:ind w:right="1839" w:firstLine="531"/>
        <w:spacing w:after="0" w:line="251" w:lineRule="auto"/>
        <w:tabs>
          <w:tab w:leader="none" w:pos="943" w:val="left"/>
        </w:tabs>
        <w:numPr>
          <w:ilvl w:val="0"/>
          <w:numId w:val="4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AT&amp;T proposes to enter into an agreement relating to a Significant Excepted Transaction that would reasonably be expected to result in a delay in the consummation of the transactions contemplated by this Agreement past the End Date but which would not reasonably be expected to result in a delay in the consummation of the transactions contemplated by this Agreement to a date that is more than sixty (60) calendar days after the End Date, then at the request of AT&amp;T, AT&amp;T and Comcast will use commercially reasonable efforts to obtain the consent of Microsoft to extend the date specified in Section 10.01(c) of the Exchange Agreement to the date after the End Date (which date shall be no later than sixty (60) calendar days after the End Date) on which it is reasonably anticipated that the transactions contemplated by this Agreement may be consummated if AT&amp;T were to enter into the proposed agreement relating to the Significant Excepted Transaction. If Microsoft does not agree to so extend the date specified in Section 10.01(c) of the Exchange Agreement, AT&amp;T may not enter into the proposed agreement relating to the Significant Excepted Transaction. If Microsoft does agree to so extend such date, AT&amp;T may enter into the proposed agreement relating to the Significant Excepted Transaction; provided that AT&amp;T agrees to pay and be responsible for any costs, expenses or fees payable in connection with obtaining the consent of Microsoft to so extend such date and to indemnify AT&amp;T Broadband from any such costs, expenses or fees. In the event AT&amp;T enters into the agreement relating to the Significant Excepted Transaction, the End Date shall be extended to the same date that Microsoft has agreed to extend the date specified in Section 10.01(c) of the Exchange Agreement but in no event more than 60 days after the prior End Date.</w:t>
      </w:r>
    </w:p>
    <w:p>
      <w:pPr>
        <w:spacing w:after="0" w:line="201" w:lineRule="exact"/>
        <w:rPr>
          <w:rFonts w:ascii="Courier New" w:cs="Courier New" w:eastAsia="Courier New" w:hAnsi="Courier New"/>
          <w:sz w:val="17"/>
          <w:szCs w:val="17"/>
          <w:color w:val="auto"/>
        </w:rPr>
      </w:pPr>
    </w:p>
    <w:p>
      <w:pPr>
        <w:ind w:right="2039" w:firstLine="531"/>
        <w:spacing w:after="0" w:line="253" w:lineRule="auto"/>
        <w:tabs>
          <w:tab w:leader="none" w:pos="943" w:val="left"/>
        </w:tabs>
        <w:numPr>
          <w:ilvl w:val="0"/>
          <w:numId w:val="4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may not enter into any agreement relating to a Significant Excepted Transaction that would reasonably be expected to result in a delay in the consummation of the transactions contemplated by this Agreement to a date that is more than sixty (60) calendar days after the End Date.</w:t>
      </w:r>
    </w:p>
    <w:p>
      <w:pPr>
        <w:spacing w:after="0" w:line="195"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0"/>
          <w:numId w:val="4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9.22, the reasonably expected delay in the consummation of the transactions contemplated by this Agreement that would result from a Significant Excepted Transaction shall be determined as of the date that AT&amp;T would propose to enter into an agreement relating to a Significant Excepted Transaction.</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9.23. Comcast's AT&amp;T Stock. (a) (i) Prior to the Distribution Date, AT&amp;T shall designate a series of preferred shares, par value $1.00 per share, of AT&amp;T as the "Series K Exchangeable Preferred Stock" (the "AT&amp;T EXCHANGEABLE PREFERRED STOCK"). The AT&amp;T Exchangeable Preferred Stock issued in accordance with Section 9.23(a)(ii) shall in the aggregate be mandatorily exchangeable on the twenty-third (23rd) Combined Trading Day following the Closing Date (the "EXCHANGE DATE") into a number of shares of AT&amp;T Common Stock equal to the Exchange Amount (as adjusted to account for any stock split, dividend, reclassification, recapitalization, stock combination or similar event the record date for which is after the Record Date and on or before the Exchange Date; provided that, in the event AT&amp;T declares a stock dividend the record date for which is the Distribution Date (other than the Distribution), then (x) in lieu of shares of AT&amp;T Common Stock the AT&amp;T Exchangeable Preferred Stock shall instead be exchangeable into a combination of AT&amp;T Common Stock and, for each such share of AT&amp;T Common Stock, such shares of stock as are distributed upon each share of AT&amp;T Common Stock in such stock dividend (the "DIVIDEND STOCK") and (y) the number of shares of AT&amp;T Common Stock and Dividend Stock for which the shares of AT&amp;T Exchangeable Preferred Stock shall be exchangeable shall be determined according to a formula based upon the formula provided in the definition of "Exchange Amount," appropriately adjusted to account for such stock dividend by including the Trading Value or NYSE Trading Value, as the case may be, of such Dividend Stock in such formula), it being understood that the 10% limitation set forth in the definition of Exchange Amount shall apply to each class of stock to be issued in the exchange. Subject to the foregoing, the AT&amp;T Exchangeable Preferred Stock shall have such rights, preferences and limitations as AT&amp;T and Comcast shall mutually agree prior to the date that is two Business Days prior to the Record Date.</w:t>
      </w:r>
    </w:p>
    <w:p>
      <w:pPr>
        <w:spacing w:after="0" w:line="200" w:lineRule="exact"/>
        <w:rPr>
          <w:sz w:val="20"/>
          <w:szCs w:val="20"/>
          <w:color w:val="auto"/>
        </w:rPr>
      </w:pPr>
    </w:p>
    <w:p>
      <w:pPr>
        <w:spacing w:after="0" w:line="203" w:lineRule="exact"/>
        <w:rPr>
          <w:sz w:val="20"/>
          <w:szCs w:val="20"/>
          <w:color w:val="auto"/>
        </w:rPr>
      </w:pPr>
    </w:p>
    <w:p>
      <w:pPr>
        <w:ind w:right="1939" w:firstLine="531"/>
        <w:spacing w:after="0" w:line="252" w:lineRule="auto"/>
        <w:tabs>
          <w:tab w:leader="none" w:pos="1047" w:val="left"/>
        </w:tabs>
        <w:numPr>
          <w:ilvl w:val="0"/>
          <w:numId w:val="4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prior to the Record Date, Comcast shall exchange or cause to be exchanged each share of AT&amp;T Common Stock held by Comcast or by any Comcast Subsidiary for one share of AT&amp;T Exchangeable Preferred Stock and AT&amp;T and Comcast shall make customary representations and warranties in connection therewith.</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A-67</w:t>
      </w:r>
    </w:p>
    <w:p>
      <w:pPr>
        <w:sectPr>
          <w:pgSz w:w="11900" w:h="16838" w:orient="portrait"/>
          <w:cols w:equalWidth="0" w:num="1">
            <w:col w:w="10219"/>
          </w:cols>
          <w:pgMar w:left="240" w:top="719" w:right="1440" w:bottom="1440" w:gutter="0" w:footer="0" w:header="0"/>
        </w:sectPr>
      </w:pPr>
    </w:p>
    <w:bookmarkStart w:id="465" w:name="page466"/>
    <w:bookmarkEnd w:id="465"/>
    <w:p>
      <w:pPr>
        <w:ind w:right="1939" w:firstLine="531"/>
        <w:spacing w:after="0" w:line="251" w:lineRule="auto"/>
        <w:tabs>
          <w:tab w:leader="none" w:pos="943" w:val="left"/>
        </w:tabs>
        <w:numPr>
          <w:ilvl w:val="0"/>
          <w:numId w:val="4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immediately after giving effect to the mandatory exchange on the Exchange Date pursuant to Section Section 9.23(a)(i), Comcast and the Comcast Subsidiaries own more than 5% of the outstanding shares of AT&amp;T Common Stock, Comcast agrees that it will sell or cause to be sold such excess shares within one year after the Exchange Date. Prior to the time that such excess shares are sold, Comcast agrees that it will vote or cause to be voted such excess shares on all matters submitted to shareholders of AT&amp;T in the same proportion as all other holders of such stock vote on such matter. In the event that, as of the Exchange Date, all of the excess shares could not be sold under Rule 144 under the 1933 Act within three months of the Exchange Date, AT&amp;T shall provide customary registration rights in respect of such excess shares. The provisions of this Section 9.23(b) shall also apply to any Dividend Stock.</w:t>
      </w:r>
    </w:p>
    <w:p>
      <w:pPr>
        <w:spacing w:after="0" w:line="201" w:lineRule="exact"/>
        <w:rPr>
          <w:rFonts w:ascii="Courier New" w:cs="Courier New" w:eastAsia="Courier New" w:hAnsi="Courier New"/>
          <w:sz w:val="17"/>
          <w:szCs w:val="17"/>
          <w:color w:val="auto"/>
        </w:rPr>
      </w:pPr>
    </w:p>
    <w:p>
      <w:pPr>
        <w:ind w:right="2039" w:firstLine="531"/>
        <w:spacing w:after="0" w:line="257" w:lineRule="auto"/>
        <w:tabs>
          <w:tab w:leader="none" w:pos="943" w:val="left"/>
        </w:tabs>
        <w:numPr>
          <w:ilvl w:val="0"/>
          <w:numId w:val="4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shall not effect any stock dividend the record date for which is between the date following the Record Date and the Exchange Date, inclusive.</w:t>
      </w:r>
    </w:p>
    <w:p>
      <w:pPr>
        <w:spacing w:after="0" w:line="191" w:lineRule="exact"/>
        <w:rPr>
          <w:rFonts w:ascii="Courier New" w:cs="Courier New" w:eastAsia="Courier New" w:hAnsi="Courier New"/>
          <w:sz w:val="17"/>
          <w:szCs w:val="17"/>
          <w:color w:val="auto"/>
        </w:rPr>
      </w:pPr>
    </w:p>
    <w:p>
      <w:pPr>
        <w:ind w:right="1939" w:firstLine="531"/>
        <w:spacing w:after="0" w:line="253" w:lineRule="auto"/>
        <w:tabs>
          <w:tab w:leader="none" w:pos="943" w:val="left"/>
        </w:tabs>
        <w:numPr>
          <w:ilvl w:val="0"/>
          <w:numId w:val="4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AT&amp;T Common Stock (and Dividend Stock, if any) issued on exchange of the AT&amp;T Exchangeable Preferred Stock shall be considered Registrable Securities (as defined in the AT&amp;T Registration Rights Agreement), but subject to the last sentence of such definition.</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10</w:t>
      </w:r>
    </w:p>
    <w:p>
      <w:pPr>
        <w:spacing w:after="0" w:line="21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CONDITIONS TO THE MERGERS</w:t>
      </w:r>
    </w:p>
    <w:p>
      <w:pPr>
        <w:spacing w:after="0" w:line="210"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SECTION 10.01. Conditions to the Obligations of Each Party. The obligations of each party hereto to consummate the Mergers are subject to the satisfaction of the following conditions:</w:t>
      </w:r>
    </w:p>
    <w:p>
      <w:pPr>
        <w:spacing w:after="0" w:line="194" w:lineRule="exact"/>
        <w:rPr>
          <w:sz w:val="20"/>
          <w:szCs w:val="20"/>
          <w:color w:val="auto"/>
        </w:rPr>
      </w:pPr>
    </w:p>
    <w:p>
      <w:pPr>
        <w:ind w:left="1480" w:hanging="425"/>
        <w:spacing w:after="0"/>
        <w:tabs>
          <w:tab w:leader="none" w:pos="1480" w:val="left"/>
        </w:tabs>
        <w:numPr>
          <w:ilvl w:val="0"/>
          <w:numId w:val="4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Comcast Shareholders' Approval shall have been obtained;</w:t>
      </w:r>
    </w:p>
    <w:p>
      <w:pPr>
        <w:spacing w:after="0" w:line="210"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4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Shareholders' Approval shall have been obtained;</w:t>
      </w:r>
    </w:p>
    <w:p>
      <w:pPr>
        <w:spacing w:after="0" w:line="210" w:lineRule="exact"/>
        <w:rPr>
          <w:rFonts w:ascii="Courier New" w:cs="Courier New" w:eastAsia="Courier New" w:hAnsi="Courier New"/>
          <w:sz w:val="17"/>
          <w:szCs w:val="17"/>
          <w:color w:val="auto"/>
        </w:rPr>
      </w:pPr>
    </w:p>
    <w:p>
      <w:pPr>
        <w:ind w:left="540" w:right="1839" w:firstLine="515"/>
        <w:spacing w:after="0" w:line="254" w:lineRule="auto"/>
        <w:tabs>
          <w:tab w:leader="none" w:pos="1483" w:val="left"/>
        </w:tabs>
        <w:numPr>
          <w:ilvl w:val="0"/>
          <w:numId w:val="4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applicable waiting period under the HSR Act relating to the Mergers or the other transactions contemplated hereby shall have expired or been terminated;</w:t>
      </w:r>
    </w:p>
    <w:p>
      <w:pPr>
        <w:spacing w:after="0" w:line="194" w:lineRule="exact"/>
        <w:rPr>
          <w:rFonts w:ascii="Courier New" w:cs="Courier New" w:eastAsia="Courier New" w:hAnsi="Courier New"/>
          <w:sz w:val="17"/>
          <w:szCs w:val="17"/>
          <w:color w:val="auto"/>
        </w:rPr>
      </w:pPr>
    </w:p>
    <w:p>
      <w:pPr>
        <w:ind w:left="540" w:right="2039" w:firstLine="515"/>
        <w:spacing w:after="0" w:line="254" w:lineRule="auto"/>
        <w:tabs>
          <w:tab w:leader="none" w:pos="1483" w:val="left"/>
        </w:tabs>
        <w:numPr>
          <w:ilvl w:val="0"/>
          <w:numId w:val="4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material provision of any applicable law or regulation and no judgment, injunction, order or decree shall prohibit the consummation of the Mergers or the other transactions contemplated hereby;</w:t>
      </w:r>
    </w:p>
    <w:p>
      <w:pPr>
        <w:spacing w:after="0" w:line="194" w:lineRule="exact"/>
        <w:rPr>
          <w:rFonts w:ascii="Courier New" w:cs="Courier New" w:eastAsia="Courier New" w:hAnsi="Courier New"/>
          <w:sz w:val="17"/>
          <w:szCs w:val="17"/>
          <w:color w:val="auto"/>
        </w:rPr>
      </w:pPr>
    </w:p>
    <w:p>
      <w:pPr>
        <w:ind w:left="540" w:right="1939" w:firstLine="515"/>
        <w:spacing w:after="0" w:line="253" w:lineRule="auto"/>
        <w:tabs>
          <w:tab w:leader="none" w:pos="1483" w:val="left"/>
        </w:tabs>
        <w:numPr>
          <w:ilvl w:val="0"/>
          <w:numId w:val="4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shall have been declared effective and no stop order suspending the effectiveness of the Registration Statement shall be in effect and no proceedings for such purpose shall be pending before or threatened by the SEC;</w:t>
      </w:r>
    </w:p>
    <w:p>
      <w:pPr>
        <w:spacing w:after="0" w:line="195" w:lineRule="exact"/>
        <w:rPr>
          <w:rFonts w:ascii="Courier New" w:cs="Courier New" w:eastAsia="Courier New" w:hAnsi="Courier New"/>
          <w:sz w:val="17"/>
          <w:szCs w:val="17"/>
          <w:color w:val="auto"/>
        </w:rPr>
      </w:pPr>
    </w:p>
    <w:p>
      <w:pPr>
        <w:ind w:left="540" w:right="1839" w:firstLine="515"/>
        <w:spacing w:after="0" w:line="253" w:lineRule="auto"/>
        <w:tabs>
          <w:tab w:leader="none" w:pos="1483" w:val="left"/>
        </w:tabs>
        <w:numPr>
          <w:ilvl w:val="0"/>
          <w:numId w:val="4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Parent Common Stock to be issued in the Mergers (other than the shares of Parent Class B Common Stock) or reserved for issuance in connection with the Mergers pursuant to Section 9.12 shall have been approved for listing on Nasdaq, subject to official notice of issuance;</w:t>
      </w:r>
    </w:p>
    <w:p>
      <w:pPr>
        <w:spacing w:after="0" w:line="396" w:lineRule="exact"/>
        <w:rPr>
          <w:rFonts w:ascii="Courier New" w:cs="Courier New" w:eastAsia="Courier New" w:hAnsi="Courier New"/>
          <w:sz w:val="17"/>
          <w:szCs w:val="17"/>
          <w:color w:val="auto"/>
        </w:rPr>
      </w:pPr>
    </w:p>
    <w:p>
      <w:pPr>
        <w:ind w:left="540" w:right="1939" w:firstLine="515"/>
        <w:spacing w:after="0" w:line="251" w:lineRule="auto"/>
        <w:tabs>
          <w:tab w:leader="none" w:pos="1483" w:val="left"/>
        </w:tabs>
        <w:numPr>
          <w:ilvl w:val="0"/>
          <w:numId w:val="4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License Consents, Franchise Consents, PUC Consents and other consents and waivers, including waivers of all Purchase Rights, shall have been obtained, be in effect and be subject to no limitations, conditions, restrictions or obligations, except for such consents the failure of which to obtain would not, and such limitations, conditions, restrictions or obligations as would not, individually or in the aggregate, reasonably be expected to have a Comcast Material Adverse Effect or an AT&amp;T Broadband Material Adverse Effect;</w:t>
      </w:r>
    </w:p>
    <w:p>
      <w:pPr>
        <w:spacing w:after="0" w:line="201" w:lineRule="exact"/>
        <w:rPr>
          <w:rFonts w:ascii="Courier New" w:cs="Courier New" w:eastAsia="Courier New" w:hAnsi="Courier New"/>
          <w:sz w:val="17"/>
          <w:szCs w:val="17"/>
          <w:color w:val="auto"/>
        </w:rPr>
      </w:pPr>
    </w:p>
    <w:p>
      <w:pPr>
        <w:ind w:left="540" w:right="2039" w:firstLine="515"/>
        <w:spacing w:after="0" w:line="251" w:lineRule="auto"/>
        <w:tabs>
          <w:tab w:leader="none" w:pos="1483" w:val="left"/>
        </w:tabs>
        <w:numPr>
          <w:ilvl w:val="0"/>
          <w:numId w:val="4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court, arbitrator or other Governmental Authority shall have issued any order, and there shall not be any statute, rule or regulation restraining or prohibiting the effective operation of the business of Parent or the AT&amp;T Broadband Group, AT&amp;T Broadband and the AT&amp;T Broadband Subsidiaries or Comcast and the Comcast Subsidiaries after the Effective Time that would, individually or in the aggregate, reasonably be expected to have a Comcast Material Adverse Effect or an AT&amp;T Broadband Material Adverse Effect;</w:t>
      </w:r>
    </w:p>
    <w:p>
      <w:pPr>
        <w:spacing w:after="0" w:line="201" w:lineRule="exact"/>
        <w:rPr>
          <w:rFonts w:ascii="Courier New" w:cs="Courier New" w:eastAsia="Courier New" w:hAnsi="Courier New"/>
          <w:sz w:val="17"/>
          <w:szCs w:val="17"/>
          <w:color w:val="auto"/>
        </w:rPr>
      </w:pPr>
    </w:p>
    <w:p>
      <w:pPr>
        <w:ind w:left="540" w:right="2039" w:firstLine="515"/>
        <w:spacing w:after="0" w:line="254" w:lineRule="auto"/>
        <w:tabs>
          <w:tab w:leader="none" w:pos="1483" w:val="left"/>
        </w:tabs>
        <w:numPr>
          <w:ilvl w:val="0"/>
          <w:numId w:val="4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Separation and the Distribution shall have been completed in accordance in all material respects with the terms of the Separation and Distribution Agreement such that, among other things,</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A-68</w:t>
      </w:r>
    </w:p>
    <w:p>
      <w:pPr>
        <w:sectPr>
          <w:pgSz w:w="11900" w:h="16838" w:orient="portrait"/>
          <w:cols w:equalWidth="0" w:num="1">
            <w:col w:w="10219"/>
          </w:cols>
          <w:pgMar w:left="240" w:top="719" w:right="1440" w:bottom="457" w:gutter="0" w:footer="0" w:header="0"/>
        </w:sectPr>
      </w:pPr>
    </w:p>
    <w:bookmarkStart w:id="466" w:name="page467"/>
    <w:bookmarkEnd w:id="466"/>
    <w:p>
      <w:pPr>
        <w:ind w:left="540" w:right="2559"/>
        <w:spacing w:after="0" w:line="257" w:lineRule="auto"/>
        <w:rPr>
          <w:sz w:val="20"/>
          <w:szCs w:val="20"/>
          <w:color w:val="auto"/>
        </w:rPr>
      </w:pPr>
      <w:r>
        <w:rPr>
          <w:rFonts w:ascii="Courier New" w:cs="Courier New" w:eastAsia="Courier New" w:hAnsi="Courier New"/>
          <w:sz w:val="17"/>
          <w:szCs w:val="17"/>
          <w:color w:val="auto"/>
        </w:rPr>
        <w:t>immediately prior to the Effective Time, AT&amp;T Broadband and the AT&amp;T Broadband Subsidiaries are no longer AT&amp;T Subsidiaries;</w:t>
      </w:r>
    </w:p>
    <w:p>
      <w:pPr>
        <w:spacing w:after="0" w:line="192" w:lineRule="exact"/>
        <w:rPr>
          <w:sz w:val="20"/>
          <w:szCs w:val="20"/>
          <w:color w:val="auto"/>
        </w:rPr>
      </w:pPr>
    </w:p>
    <w:p>
      <w:pPr>
        <w:ind w:left="540" w:right="1839" w:firstLine="515"/>
        <w:spacing w:after="0" w:line="251" w:lineRule="auto"/>
        <w:tabs>
          <w:tab w:leader="none" w:pos="1483" w:val="left"/>
        </w:tabs>
        <w:numPr>
          <w:ilvl w:val="1"/>
          <w:numId w:val="4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shall have obtained a supplemental private letter ruling or rulings from the IRS, in form and substance reasonably satisfactory to AT&amp;T and Comcast, on the basis of submissions to the IRS which are reasonably satisfactory to AT&amp;T and Comcast (provided that Comcast shall not be entitled to review those portions of any submission to the IRS that contain</w:t>
      </w:r>
    </w:p>
    <w:p>
      <w:pPr>
        <w:ind w:left="960" w:hanging="429"/>
        <w:spacing w:after="0"/>
        <w:tabs>
          <w:tab w:leader="none" w:pos="960" w:val="left"/>
        </w:tabs>
        <w:numPr>
          <w:ilvl w:val="0"/>
          <w:numId w:val="4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that relates to the AT&amp;T Communications Business (as</w:t>
      </w:r>
    </w:p>
    <w:p>
      <w:pPr>
        <w:spacing w:after="0" w:line="8" w:lineRule="exact"/>
        <w:rPr>
          <w:rFonts w:ascii="Courier New" w:cs="Courier New" w:eastAsia="Courier New" w:hAnsi="Courier New"/>
          <w:sz w:val="17"/>
          <w:szCs w:val="17"/>
          <w:color w:val="auto"/>
        </w:rPr>
      </w:pPr>
    </w:p>
    <w:p>
      <w:pPr>
        <w:ind w:left="54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defined in the Separation and Distribution Agreement) or (2) information disclosure of which to Comcast could (A) violate a confidentiality or similar agreement between AT&amp;T or one of the AT&amp;T Subsidiaries and another Person or (B) have a significant adverse effect on AT&amp;T or any of its businesses), which shall be in effect on the Closing Date, to the effect that (x) the Separation and Distribution qualify as tax-free transactions pursuant to Sections 355 and 368(a) of the Code, (y) the Mergers will not cause the Separation and Distribution to fail to be qualified as a tax-free transaction pursuant to Section 355 of the Code and (z) the Separation and Distribution will not cause the distribution by AT&amp;T of all of the common stock of AT&amp;T Wireless Services, Inc. or of Liberty Media Corporation to fail to qualify as tax-free transactions pursuant to Sections 355 and 368(a) of the Code. In lieu of obtaining the supplemental private letter ruling from the IRS described in the immediately preceding sentence, AT&amp;T and Comcast may mutually agree to obtain an opinion to the same effect from tax counsel of a nationally recognized reputation mutually acceptable to AT&amp;T and Comcast in form and substance reasonably satisfactory to AT&amp;T and Comcast, on the basis of certain facts, representations and assumptions set forth in such opinion, dated the Closing Date. In rendering the opinion described in the preceding sentence, such tax counsel may request and shall be entitled to rely upon certain documentation, including customary representations of officers of AT&amp;T and Comcast;</w:t>
      </w:r>
    </w:p>
    <w:p>
      <w:pPr>
        <w:spacing w:after="0" w:line="201" w:lineRule="exact"/>
        <w:rPr>
          <w:rFonts w:ascii="Courier New" w:cs="Courier New" w:eastAsia="Courier New" w:hAnsi="Courier New"/>
          <w:sz w:val="17"/>
          <w:szCs w:val="17"/>
          <w:color w:val="auto"/>
        </w:rPr>
      </w:pPr>
    </w:p>
    <w:p>
      <w:pPr>
        <w:ind w:left="540" w:right="2139" w:firstLine="515"/>
        <w:spacing w:after="0" w:line="257" w:lineRule="auto"/>
        <w:tabs>
          <w:tab w:leader="none" w:pos="1483" w:val="left"/>
        </w:tabs>
        <w:numPr>
          <w:ilvl w:val="1"/>
          <w:numId w:val="4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Transaction Agreements shall have been executed and delivered by each of the parties thereto; and</w:t>
      </w:r>
    </w:p>
    <w:p>
      <w:pPr>
        <w:spacing w:after="0" w:line="191" w:lineRule="exact"/>
        <w:rPr>
          <w:rFonts w:ascii="Courier New" w:cs="Courier New" w:eastAsia="Courier New" w:hAnsi="Courier New"/>
          <w:sz w:val="17"/>
          <w:szCs w:val="17"/>
          <w:color w:val="auto"/>
        </w:rPr>
      </w:pPr>
    </w:p>
    <w:p>
      <w:pPr>
        <w:ind w:left="540" w:right="1839" w:firstLine="515"/>
        <w:spacing w:after="0" w:line="251" w:lineRule="auto"/>
        <w:tabs>
          <w:tab w:leader="none" w:pos="1483" w:val="left"/>
        </w:tabs>
        <w:numPr>
          <w:ilvl w:val="1"/>
          <w:numId w:val="4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shall (i) have obtained Note Consents (which shall be in full force and effect), or defeased, purchased or acquired Indebtedness (or any combination of the foregoing), in respect of at least 90% in aggregate principal amount of the securities outstanding as of the date of this Agreement issued under the Notes Indenture and (ii) not have issued after the date of this Agreement any securities under the Notes Indenture if consummation of the Distribution or the other transactions contemplated hereby would or may require a consent of the holders of such securities.</w:t>
      </w:r>
    </w:p>
    <w:p>
      <w:pPr>
        <w:spacing w:after="0" w:line="201"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SECTION 10.02. Conditions to the Obligations of AT&amp;T. The obligations of AT&amp;T to consummate the AT&amp;T Broadband Merger are subject to the satisfaction of the following further conditions:</w:t>
      </w:r>
    </w:p>
    <w:p>
      <w:pPr>
        <w:spacing w:after="0" w:line="194" w:lineRule="exact"/>
        <w:rPr>
          <w:sz w:val="20"/>
          <w:szCs w:val="20"/>
          <w:color w:val="auto"/>
        </w:rPr>
      </w:pPr>
    </w:p>
    <w:p>
      <w:pPr>
        <w:ind w:left="540" w:right="1839" w:firstLine="515"/>
        <w:spacing w:after="0" w:line="251" w:lineRule="auto"/>
        <w:tabs>
          <w:tab w:leader="none" w:pos="1483" w:val="left"/>
        </w:tabs>
        <w:numPr>
          <w:ilvl w:val="0"/>
          <w:numId w:val="4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Comcast shall have performed in all material respects all of its obligations hereunder required to be performed by it at or prior to the Effective Time, (ii) the representations and warranties of Comcast contained in Sections 5.02, 5.03, 5.05, 5.08, 5.22 and 5.25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Comcast contained in this Agreement and in any certificate or other writing delivered by Comcast pursuant hereto, disregarding all qualifications and exceptions contained therein relating to materiality or a Comcast Material Adverse Effect or any similar standard or qualification, shall be true and correct at and as of the Effective Time, as if made at and as of such time (other than representations or warranties that address matters only as of a certain date, which shall be true and correct as of such date), with only such exceptions as, individually or in the aggregate, have not had and would not reasonably be expected to have a Comcast Material Adverse Effect and (iv) AT&amp;T shall have received a certificate signed by an executive officer of Comcast to the foregoing effect;</w:t>
      </w:r>
    </w:p>
    <w:p>
      <w:pPr>
        <w:spacing w:after="0" w:line="201" w:lineRule="exact"/>
        <w:rPr>
          <w:rFonts w:ascii="Courier New" w:cs="Courier New" w:eastAsia="Courier New" w:hAnsi="Courier New"/>
          <w:sz w:val="17"/>
          <w:szCs w:val="17"/>
          <w:color w:val="auto"/>
        </w:rPr>
      </w:pPr>
    </w:p>
    <w:p>
      <w:pPr>
        <w:ind w:left="540" w:right="1839" w:firstLine="515"/>
        <w:spacing w:after="0" w:line="253" w:lineRule="auto"/>
        <w:tabs>
          <w:tab w:leader="none" w:pos="1483" w:val="left"/>
        </w:tabs>
        <w:numPr>
          <w:ilvl w:val="0"/>
          <w:numId w:val="4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shall have received an opinion of Wachtell, Lipton, Rosen &amp; Katz in form and substance reasonably satisfactory to AT&amp;T, on the basis of certain facts, representations and assumptions set forth in such opinion, dated the Closing Date, to the effect that the Mergers will be</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A-69</w:t>
      </w:r>
    </w:p>
    <w:p>
      <w:pPr>
        <w:sectPr>
          <w:pgSz w:w="11900" w:h="16838" w:orient="portrait"/>
          <w:cols w:equalWidth="0" w:num="1">
            <w:col w:w="10219"/>
          </w:cols>
          <w:pgMar w:left="240" w:top="719" w:right="1440" w:bottom="659" w:gutter="0" w:footer="0" w:header="0"/>
        </w:sectPr>
      </w:pPr>
    </w:p>
    <w:bookmarkStart w:id="467" w:name="page468"/>
    <w:bookmarkEnd w:id="467"/>
    <w:p>
      <w:pPr>
        <w:jc w:val="both"/>
        <w:ind w:left="540" w:right="1939"/>
        <w:spacing w:after="0" w:line="253" w:lineRule="auto"/>
        <w:rPr>
          <w:sz w:val="20"/>
          <w:szCs w:val="20"/>
          <w:color w:val="auto"/>
        </w:rPr>
      </w:pPr>
      <w:r>
        <w:rPr>
          <w:rFonts w:ascii="Courier New" w:cs="Courier New" w:eastAsia="Courier New" w:hAnsi="Courier New"/>
          <w:sz w:val="17"/>
          <w:szCs w:val="17"/>
          <w:color w:val="auto"/>
        </w:rPr>
        <w:t>treated for United States federal income tax purposes as 351 Transactions. In rendering such opinion, Wachtell, Lipton, Rosen &amp; Katz may require and shall be entitled to rely upon certain documentation, including customary representations of officers of Comcast and AT&amp;T; and</w:t>
      </w:r>
    </w:p>
    <w:p>
      <w:pPr>
        <w:spacing w:after="0" w:line="195" w:lineRule="exact"/>
        <w:rPr>
          <w:sz w:val="20"/>
          <w:szCs w:val="20"/>
          <w:color w:val="auto"/>
        </w:rPr>
      </w:pPr>
    </w:p>
    <w:p>
      <w:pPr>
        <w:ind w:left="540" w:right="1839" w:firstLine="515"/>
        <w:spacing w:after="0" w:line="254" w:lineRule="auto"/>
        <w:tabs>
          <w:tab w:leader="none" w:pos="1483" w:val="left"/>
        </w:tabs>
        <w:numPr>
          <w:ilvl w:val="0"/>
          <w:numId w:val="4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Shareholder (or its successor) shall have performed in all material respects its obligations under the Support Agreement, and the Support Agreement shall be in full force and effect.</w:t>
      </w:r>
    </w:p>
    <w:p>
      <w:pPr>
        <w:spacing w:after="0" w:line="194"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SECTION 10.03. Conditions to the Obligations of Comcast. The obligations of Comcast to consummate the Comcast Merger are subject to the satisfaction of the following further conditions:</w:t>
      </w:r>
    </w:p>
    <w:p>
      <w:pPr>
        <w:spacing w:after="0" w:line="194" w:lineRule="exact"/>
        <w:rPr>
          <w:sz w:val="20"/>
          <w:szCs w:val="20"/>
          <w:color w:val="auto"/>
        </w:rPr>
      </w:pPr>
    </w:p>
    <w:p>
      <w:pPr>
        <w:ind w:left="540" w:right="1839" w:firstLine="515"/>
        <w:spacing w:after="0" w:line="251" w:lineRule="auto"/>
        <w:tabs>
          <w:tab w:leader="none" w:pos="1483" w:val="left"/>
        </w:tabs>
        <w:numPr>
          <w:ilvl w:val="0"/>
          <w:numId w:val="4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AT&amp;T shall have performed in all material respects all of its obligations hereunder required to be performed by it at or prior to the Effective Time, (ii) the representations and warranties of AT&amp;T contained in Sections 6.02, 6.03, 6.05, 6.06(b), 6.06(c), 6.08, 6.22, 6.26 and 6.27 of this Agreement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AT&amp;T contained in this Agreement and in any certificate or other writing delivered by AT&amp;T pursuant hereto disregarding all qualifications and exceptions contained therein relating to materiality or AT&amp;T Broadband Material Adverse Effect or any similar standard or qualification shall be true at and as of the Effective Time, as if made at and as of such time (other than representations and warranties that address matters only as of a certain date, which shall be true and correct as of such date), with only such exceptions as, individually or in the aggregate, have not had and would not reasonably be expected to have an AT&amp;T Broadband Material Adverse Effect and (iv) Comcast shall have received a certificate signed by an executive officer of AT&amp;T to the foregoing effect; and</w:t>
      </w:r>
    </w:p>
    <w:p>
      <w:pPr>
        <w:spacing w:after="0" w:line="201" w:lineRule="exact"/>
        <w:rPr>
          <w:rFonts w:ascii="Courier New" w:cs="Courier New" w:eastAsia="Courier New" w:hAnsi="Courier New"/>
          <w:sz w:val="17"/>
          <w:szCs w:val="17"/>
          <w:color w:val="auto"/>
        </w:rPr>
      </w:pPr>
    </w:p>
    <w:p>
      <w:pPr>
        <w:ind w:left="540" w:right="1839" w:firstLine="515"/>
        <w:spacing w:after="0" w:line="251" w:lineRule="auto"/>
        <w:tabs>
          <w:tab w:leader="none" w:pos="1483" w:val="left"/>
        </w:tabs>
        <w:numPr>
          <w:ilvl w:val="0"/>
          <w:numId w:val="4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shall have received an opinion of Davis Polk &amp; Wardwell in form and substance reasonably satisfactory to Comcast, on the basis of certain facts, representations and assumptions set forth in such opinion, dated the Closing Date, to the effect that the Mergers will be treated for United States federal income tax purposes as a 351 Transactions, In rendering such opinion, Davis Polk &amp; Wardwell may require and shall be entitled to rely upon certain documentation, including customary representations of officers of Comcast and AT&amp;T.</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11</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TERMINATION</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SECTION 11.01. Termination. This Agreement may be terminated and the Mergers may be abandoned at any time prior to the Effective Time (notwithstanding any approval of this Agreement by the shareholders of Comcast or AT&amp;T or AT&amp;T Broadband):</w:t>
      </w:r>
    </w:p>
    <w:p>
      <w:pPr>
        <w:spacing w:after="0" w:line="195" w:lineRule="exact"/>
        <w:rPr>
          <w:sz w:val="20"/>
          <w:szCs w:val="20"/>
          <w:color w:val="auto"/>
        </w:rPr>
      </w:pPr>
    </w:p>
    <w:p>
      <w:pPr>
        <w:ind w:left="1480" w:hanging="425"/>
        <w:spacing w:after="0"/>
        <w:tabs>
          <w:tab w:leader="none" w:pos="1480" w:val="left"/>
        </w:tabs>
        <w:numPr>
          <w:ilvl w:val="0"/>
          <w:numId w:val="4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mutual written agreement of Comcast and AT&amp;T;</w:t>
      </w:r>
    </w:p>
    <w:p>
      <w:pPr>
        <w:spacing w:after="0" w:line="210"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4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either Comcast or AT&amp;T, if:</w:t>
      </w:r>
    </w:p>
    <w:p>
      <w:pPr>
        <w:spacing w:after="0" w:line="210" w:lineRule="exact"/>
        <w:rPr>
          <w:rFonts w:ascii="Courier New" w:cs="Courier New" w:eastAsia="Courier New" w:hAnsi="Courier New"/>
          <w:sz w:val="17"/>
          <w:szCs w:val="17"/>
          <w:color w:val="auto"/>
        </w:rPr>
      </w:pPr>
    </w:p>
    <w:p>
      <w:pPr>
        <w:ind w:left="840" w:right="1839" w:firstLine="529"/>
        <w:spacing w:after="0" w:line="252" w:lineRule="auto"/>
        <w:tabs>
          <w:tab w:leader="none" w:pos="1783" w:val="left"/>
        </w:tabs>
        <w:numPr>
          <w:ilvl w:val="1"/>
          <w:numId w:val="4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have not been consummated on or before March 1, 2003 (the "END DATE"); provided, further, that the right to terminate this Agreement pursuant to this Section 11.01(b)(i) shall not be available to any party hereto whose breach of any provision of this Agreement results in the failure of the Mergers to be consummated by the End Date;</w:t>
      </w:r>
    </w:p>
    <w:p>
      <w:pPr>
        <w:spacing w:after="0" w:line="398" w:lineRule="exact"/>
        <w:rPr>
          <w:rFonts w:ascii="Courier New" w:cs="Courier New" w:eastAsia="Courier New" w:hAnsi="Courier New"/>
          <w:sz w:val="17"/>
          <w:szCs w:val="17"/>
          <w:color w:val="auto"/>
        </w:rPr>
      </w:pPr>
    </w:p>
    <w:p>
      <w:pPr>
        <w:ind w:left="840" w:right="1839" w:firstLine="529"/>
        <w:spacing w:after="0" w:line="251" w:lineRule="auto"/>
        <w:tabs>
          <w:tab w:leader="none" w:pos="1887" w:val="left"/>
        </w:tabs>
        <w:numPr>
          <w:ilvl w:val="1"/>
          <w:numId w:val="4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there shall be any material law or regulation that makes consummation of the Mergers or any of the other material transactions contemplated hereby illegal or otherwise prohibited or (B) any judgment, injunction, order or decree of any court or other Governmental Authority having competent jurisdiction enjoining the parties hereto from consummating the Mergers or any of the other material transactions contemplated hereby is entered and such judgment, injunction, order or decree shall have become final and non-appealable;</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A-70</w:t>
      </w:r>
    </w:p>
    <w:p>
      <w:pPr>
        <w:sectPr>
          <w:pgSz w:w="11900" w:h="16838" w:orient="portrait"/>
          <w:cols w:equalWidth="0" w:num="1">
            <w:col w:w="10219"/>
          </w:cols>
          <w:pgMar w:left="240" w:top="719" w:right="1440" w:bottom="860" w:gutter="0" w:footer="0" w:header="0"/>
        </w:sectPr>
      </w:pPr>
    </w:p>
    <w:bookmarkStart w:id="468" w:name="page469"/>
    <w:bookmarkEnd w:id="468"/>
    <w:p>
      <w:pPr>
        <w:ind w:left="840" w:right="2259" w:firstLine="529"/>
        <w:spacing w:after="0" w:line="254" w:lineRule="auto"/>
        <w:tabs>
          <w:tab w:leader="none" w:pos="1992" w:val="left"/>
        </w:tabs>
        <w:numPr>
          <w:ilvl w:val="1"/>
          <w:numId w:val="4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Comcast Shareholders' Approval shall not have been obtained at the Comcast Shareholders' Meeting (or any adjournment or postponement thereof); or</w:t>
      </w:r>
    </w:p>
    <w:p>
      <w:pPr>
        <w:spacing w:after="0" w:line="194" w:lineRule="exact"/>
        <w:rPr>
          <w:rFonts w:ascii="Courier New" w:cs="Courier New" w:eastAsia="Courier New" w:hAnsi="Courier New"/>
          <w:sz w:val="17"/>
          <w:szCs w:val="17"/>
          <w:color w:val="auto"/>
        </w:rPr>
      </w:pPr>
    </w:p>
    <w:p>
      <w:pPr>
        <w:ind w:left="840" w:right="2039" w:firstLine="529"/>
        <w:spacing w:after="0" w:line="254" w:lineRule="auto"/>
        <w:tabs>
          <w:tab w:leader="none" w:pos="1887" w:val="left"/>
        </w:tabs>
        <w:numPr>
          <w:ilvl w:val="1"/>
          <w:numId w:val="4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Shareholders' Approval shall not have been obtained at the AT&amp;T Shareholders' Meeting (or any adjournment or postponement thereof);</w:t>
      </w:r>
    </w:p>
    <w:p>
      <w:pPr>
        <w:spacing w:after="0" w:line="194"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4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AT&amp;T if:</w:t>
      </w:r>
    </w:p>
    <w:p>
      <w:pPr>
        <w:spacing w:after="0" w:line="210" w:lineRule="exact"/>
        <w:rPr>
          <w:rFonts w:ascii="Courier New" w:cs="Courier New" w:eastAsia="Courier New" w:hAnsi="Courier New"/>
          <w:sz w:val="17"/>
          <w:szCs w:val="17"/>
          <w:color w:val="auto"/>
        </w:rPr>
      </w:pPr>
    </w:p>
    <w:p>
      <w:pPr>
        <w:ind w:left="840" w:right="2259" w:firstLine="529"/>
        <w:spacing w:after="0" w:line="254" w:lineRule="auto"/>
        <w:tabs>
          <w:tab w:leader="none" w:pos="1783" w:val="left"/>
        </w:tabs>
        <w:numPr>
          <w:ilvl w:val="1"/>
          <w:numId w:val="4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Comcast's Board of Directors shall have failed to call the Comcast Shareholders' Meeting in accordance with Section 7.02(a), or shall have breached its obligation under Section 7.02(b);</w:t>
      </w:r>
    </w:p>
    <w:p>
      <w:pPr>
        <w:spacing w:after="0" w:line="194" w:lineRule="exact"/>
        <w:rPr>
          <w:rFonts w:ascii="Courier New" w:cs="Courier New" w:eastAsia="Courier New" w:hAnsi="Courier New"/>
          <w:sz w:val="17"/>
          <w:szCs w:val="17"/>
          <w:color w:val="auto"/>
        </w:rPr>
      </w:pPr>
    </w:p>
    <w:p>
      <w:pPr>
        <w:ind w:left="840" w:right="1939" w:firstLine="529"/>
        <w:spacing w:after="0" w:line="252" w:lineRule="auto"/>
        <w:tabs>
          <w:tab w:leader="none" w:pos="1887" w:val="left"/>
        </w:tabs>
        <w:numPr>
          <w:ilvl w:val="1"/>
          <w:numId w:val="4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breach of any representation, warranty, covenant or agreement on the part of Comcast set forth in this Agreement shall have occurred that would cause the condition set forth in Section 10.02(a) not to be satisfied, and such condition shall be incapable of being satisfied by the End Date;</w:t>
      </w:r>
    </w:p>
    <w:p>
      <w:pPr>
        <w:spacing w:after="0" w:line="197" w:lineRule="exact"/>
        <w:rPr>
          <w:rFonts w:ascii="Courier New" w:cs="Courier New" w:eastAsia="Courier New" w:hAnsi="Courier New"/>
          <w:sz w:val="17"/>
          <w:szCs w:val="17"/>
          <w:color w:val="auto"/>
        </w:rPr>
      </w:pPr>
    </w:p>
    <w:p>
      <w:pPr>
        <w:ind w:left="840" w:right="1839" w:firstLine="529"/>
        <w:spacing w:after="0" w:line="252" w:lineRule="auto"/>
        <w:tabs>
          <w:tab w:leader="none" w:pos="1992" w:val="left"/>
        </w:tabs>
        <w:numPr>
          <w:ilvl w:val="1"/>
          <w:numId w:val="4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shall have failed to call the AT&amp;T Shareholders' Meeting pursuant to the exercise of its delay rights under Section 8.02(a) for a period of 120 calendar days from the date the SEC has notified the parties of its willingness to declare the Registration Statement effective; or</w:t>
      </w:r>
    </w:p>
    <w:p>
      <w:pPr>
        <w:spacing w:after="0" w:line="197" w:lineRule="exact"/>
        <w:rPr>
          <w:rFonts w:ascii="Courier New" w:cs="Courier New" w:eastAsia="Courier New" w:hAnsi="Courier New"/>
          <w:sz w:val="17"/>
          <w:szCs w:val="17"/>
          <w:color w:val="auto"/>
        </w:rPr>
      </w:pPr>
    </w:p>
    <w:p>
      <w:pPr>
        <w:ind w:left="840" w:right="1839" w:firstLine="529"/>
        <w:spacing w:after="0" w:line="257" w:lineRule="auto"/>
        <w:tabs>
          <w:tab w:leader="none" w:pos="1887" w:val="left"/>
        </w:tabs>
        <w:numPr>
          <w:ilvl w:val="1"/>
          <w:numId w:val="4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shall have the right to terminate this Agreement pursuant to Section 9.18(b), but subject to the provisions of Section 9.18(b);</w:t>
      </w:r>
    </w:p>
    <w:p>
      <w:pPr>
        <w:spacing w:after="0" w:line="191"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4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Comcast if:</w:t>
      </w:r>
    </w:p>
    <w:p>
      <w:pPr>
        <w:spacing w:after="0" w:line="210" w:lineRule="exact"/>
        <w:rPr>
          <w:rFonts w:ascii="Courier New" w:cs="Courier New" w:eastAsia="Courier New" w:hAnsi="Courier New"/>
          <w:sz w:val="17"/>
          <w:szCs w:val="17"/>
          <w:color w:val="auto"/>
        </w:rPr>
      </w:pPr>
    </w:p>
    <w:p>
      <w:pPr>
        <w:ind w:left="840" w:right="1939" w:firstLine="529"/>
        <w:spacing w:after="0" w:line="252" w:lineRule="auto"/>
        <w:tabs>
          <w:tab w:leader="none" w:pos="1783" w:val="left"/>
        </w:tabs>
        <w:numPr>
          <w:ilvl w:val="1"/>
          <w:numId w:val="4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Board of Directors shall have failed to recommend or withdrawn, or modified in a manner adverse to Comcast, its approval or recommendation of this Agreement, or shall have failed to call the AT&amp;T Shareholders' Meeting in accordance with Section 8.02(a) (or AT&amp;T's Board of Directors resolves to do any of the foregoing);</w:t>
      </w:r>
    </w:p>
    <w:p>
      <w:pPr>
        <w:spacing w:after="0" w:line="197" w:lineRule="exact"/>
        <w:rPr>
          <w:rFonts w:ascii="Courier New" w:cs="Courier New" w:eastAsia="Courier New" w:hAnsi="Courier New"/>
          <w:sz w:val="17"/>
          <w:szCs w:val="17"/>
          <w:color w:val="auto"/>
        </w:rPr>
      </w:pPr>
    </w:p>
    <w:p>
      <w:pPr>
        <w:ind w:left="840" w:right="2039" w:firstLine="529"/>
        <w:spacing w:after="0" w:line="257" w:lineRule="auto"/>
        <w:tabs>
          <w:tab w:leader="none" w:pos="1887" w:val="left"/>
        </w:tabs>
        <w:numPr>
          <w:ilvl w:val="1"/>
          <w:numId w:val="4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shall have willfully and materially breached any of its obligations under Section 8.02(b) or 8.03;</w:t>
      </w:r>
    </w:p>
    <w:p>
      <w:pPr>
        <w:spacing w:after="0" w:line="191" w:lineRule="exact"/>
        <w:rPr>
          <w:rFonts w:ascii="Courier New" w:cs="Courier New" w:eastAsia="Courier New" w:hAnsi="Courier New"/>
          <w:sz w:val="17"/>
          <w:szCs w:val="17"/>
          <w:color w:val="auto"/>
        </w:rPr>
      </w:pPr>
    </w:p>
    <w:p>
      <w:pPr>
        <w:ind w:left="840" w:right="2139" w:firstLine="529"/>
        <w:spacing w:after="0" w:line="252" w:lineRule="auto"/>
        <w:tabs>
          <w:tab w:leader="none" w:pos="1992" w:val="left"/>
        </w:tabs>
        <w:numPr>
          <w:ilvl w:val="1"/>
          <w:numId w:val="4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breach of any representation, warranty, covenant or agreement on the part of AT&amp;T set forth in this Agreement shall have occurred that would cause the condition set forth in Section 10.03(a) not to be satisfied, and such condition shall be incapable of being satisfied by the End Date; or</w:t>
      </w:r>
    </w:p>
    <w:p>
      <w:pPr>
        <w:spacing w:after="0" w:line="197" w:lineRule="exact"/>
        <w:rPr>
          <w:rFonts w:ascii="Courier New" w:cs="Courier New" w:eastAsia="Courier New" w:hAnsi="Courier New"/>
          <w:sz w:val="17"/>
          <w:szCs w:val="17"/>
          <w:color w:val="auto"/>
        </w:rPr>
      </w:pPr>
    </w:p>
    <w:p>
      <w:pPr>
        <w:ind w:left="840" w:right="1839" w:firstLine="529"/>
        <w:spacing w:after="0" w:line="253" w:lineRule="auto"/>
        <w:tabs>
          <w:tab w:leader="none" w:pos="1887" w:val="left"/>
        </w:tabs>
        <w:numPr>
          <w:ilvl w:val="1"/>
          <w:numId w:val="4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shall have failed to call the AT&amp;T Shareholders' Meeting pursuant to the exercise of its delay rights under Section 8.02(a) for a period of 90 calendar days from the date the SEC has notified the parties of its willingness to declare the Registration Statement effective.</w:t>
      </w:r>
    </w:p>
    <w:p>
      <w:pPr>
        <w:spacing w:after="0" w:line="396" w:lineRule="exact"/>
        <w:rPr>
          <w:sz w:val="20"/>
          <w:szCs w:val="20"/>
          <w:color w:val="auto"/>
        </w:rPr>
      </w:pPr>
    </w:p>
    <w:p>
      <w:pPr>
        <w:jc w:val="both"/>
        <w:ind w:right="2259" w:firstLine="524"/>
        <w:spacing w:after="0" w:line="254" w:lineRule="auto"/>
        <w:rPr>
          <w:sz w:val="20"/>
          <w:szCs w:val="20"/>
          <w:color w:val="auto"/>
        </w:rPr>
      </w:pPr>
      <w:r>
        <w:rPr>
          <w:rFonts w:ascii="Courier New" w:cs="Courier New" w:eastAsia="Courier New" w:hAnsi="Courier New"/>
          <w:sz w:val="17"/>
          <w:szCs w:val="17"/>
          <w:color w:val="auto"/>
        </w:rPr>
        <w:t>The party hereto desiring to terminate this Agreement pursuant to this Section 11.01 (other than pursuant to Section 11.01(a)) shall give notice of such termination to the other parties.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11.02. Effect of Termination. If this Agreement is terminated pursuant to Section 11.01, this Agreement shall become void and of no effect without liability of any party hereto (or any shareholder, director, officer, employee, agent, consultant or representative of such party) to the other parties hereto, except that (a) the agreements contained in this Section 11.02, in the Confidentiality Agreements (subject to the terms thereof), and in Section 11.03 shall survive the termination hereof and (b) no such termination shall relieve any party hereto of any liability or damages resulting from any intentional breach by such party of a covenant or other agreement included in this Agreement or any knowing breach of a representation or warranty included in this Agreement.</w:t>
      </w:r>
    </w:p>
    <w:p>
      <w:pPr>
        <w:spacing w:after="0" w:line="200" w:lineRule="exact"/>
        <w:rPr>
          <w:sz w:val="20"/>
          <w:szCs w:val="20"/>
          <w:color w:val="auto"/>
        </w:rPr>
      </w:pPr>
    </w:p>
    <w:p>
      <w:pPr>
        <w:spacing w:after="0" w:line="203" w:lineRule="exact"/>
        <w:rPr>
          <w:sz w:val="20"/>
          <w:szCs w:val="20"/>
          <w:color w:val="auto"/>
        </w:rPr>
      </w:pPr>
    </w:p>
    <w:p>
      <w:pPr>
        <w:ind w:right="2259" w:firstLine="524"/>
        <w:spacing w:after="0" w:line="252" w:lineRule="auto"/>
        <w:rPr>
          <w:sz w:val="20"/>
          <w:szCs w:val="20"/>
          <w:color w:val="auto"/>
        </w:rPr>
      </w:pPr>
      <w:r>
        <w:rPr>
          <w:rFonts w:ascii="Courier New" w:cs="Courier New" w:eastAsia="Courier New" w:hAnsi="Courier New"/>
          <w:sz w:val="17"/>
          <w:szCs w:val="17"/>
          <w:color w:val="auto"/>
        </w:rPr>
        <w:t>SECTION 11.03. Fees and Expenses. (a) Except as otherwise provided in this Section 11.03, all costs and expenses incurred in connection with this Agreement and the other Transaction Agreements shall be paid by the party incurring such cost or expense whether or not the Mergers are consummated. Notwithstanding the foregoing, (i) AT&amp;T shall pay any costs and expenses incurred by AT&amp;T Broadband</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A-71</w:t>
      </w:r>
    </w:p>
    <w:p>
      <w:pPr>
        <w:sectPr>
          <w:pgSz w:w="11900" w:h="16838" w:orient="portrait"/>
          <w:cols w:equalWidth="0" w:num="1">
            <w:col w:w="10219"/>
          </w:cols>
          <w:pgMar w:left="240" w:top="719" w:right="1440" w:bottom="256" w:gutter="0" w:footer="0" w:header="0"/>
        </w:sectPr>
      </w:pPr>
    </w:p>
    <w:bookmarkStart w:id="469" w:name="page470"/>
    <w:bookmarkEnd w:id="469"/>
    <w:p>
      <w:pPr>
        <w:ind w:right="1839"/>
        <w:spacing w:after="0" w:line="251" w:lineRule="auto"/>
        <w:rPr>
          <w:sz w:val="20"/>
          <w:szCs w:val="20"/>
          <w:color w:val="auto"/>
        </w:rPr>
      </w:pPr>
      <w:r>
        <w:rPr>
          <w:rFonts w:ascii="Courier New" w:cs="Courier New" w:eastAsia="Courier New" w:hAnsi="Courier New"/>
          <w:sz w:val="17"/>
          <w:szCs w:val="17"/>
          <w:color w:val="auto"/>
        </w:rPr>
        <w:t>or any AT&amp;T Broadband Subsidiary in connection with this Agreement and the other Transaction Agreements that are in excess of $120 million (exclusive of any costs and expenses incurred by AT&amp;T Broadband or any AT&amp;T Broadband Subsidiary as described in clauses (ii), (iii), (iv) and (v) of this sentence), (ii) AT&amp;T Broadband shall pay any costs and expenses incurred in connection with any financing arrangements entered into by AT&amp;T Broadband as contemplated by Section 9.15, (iii) AT&amp;T Broadband shall pay any costs and expenses (to the extent not paid by Parent) incurred in connection with the actions contemplated by Section 9.16, (iv) AT&amp;T Broadband shall pay 50% of any costs and expenses incurred by AT&amp;T or any of its Subsidiaries in connection with obtaining the Note Consents (through either a one-time cash payment of a consent fee or through a coupon increase or a combination thereof) that are in excess of $50 million, subject to and as determined in accordance with Sections 11.03(b) and 11.03(c), and (v) AT&amp;T (other than any AT&amp;T Broadband Entity) and Comcast each shall pay 50% of any fees and expenses, other than attorneys' and accounting fees and expenses, incurred in relation to the printing, filing and mailing of the Registration Statement and the Joint Proxy Statement.</w:t>
      </w:r>
    </w:p>
    <w:p>
      <w:pPr>
        <w:spacing w:after="0" w:line="202" w:lineRule="exact"/>
        <w:rPr>
          <w:sz w:val="20"/>
          <w:szCs w:val="20"/>
          <w:color w:val="auto"/>
        </w:rPr>
      </w:pPr>
    </w:p>
    <w:p>
      <w:pPr>
        <w:ind w:right="1839" w:firstLine="531"/>
        <w:spacing w:after="0" w:line="251" w:lineRule="auto"/>
        <w:tabs>
          <w:tab w:leader="none" w:pos="943" w:val="left"/>
        </w:tabs>
        <w:numPr>
          <w:ilvl w:val="0"/>
          <w:numId w:val="4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costs of obtaining the Note Consents shall include (i) any transaction costs paid in obtaining the Note Consents (including, without limitation, the costs, expenses and commissions of any solicitation agent, counsel, financial advisors and underwriters, any printing and mailing costs, any SEC filing fees, rating agency fees and any costs of the trustee under the Notes Indenture for which AT&amp;T or any Affiliate thereof is responsible) plus (ii)(A) the amount of any one-time cash payment made to obtain a Note Consent, and (B) with respect to an increase in the coupon on any of the series of securities issued under the Notes Indenture in connection with obtaining a Note Consent, the amount equal to the excess of the present value of the increased coupon on such series of securities over the present value of the coupon on such series of securities immediately prior to the increase of the coupon, in each case calculated based on "market convention" (e.g., calculated on a 30/360 day basis in the case of a domestic fixed rate note and on an actual/360 day basis in the case of a floating rate note, etc.) using a discount rate equal to the Market Rate (determined as specified below in Section 11.03(c)). The amounts described in clauses (i) and (ii) of the immediately preceding sentence shall be reduced by the amount of any present or future tax benefit to AT&amp;T as a result of making any payments of such amounts. Such tax benefit shall be calculated by multiplying the payment giving rise to the tax benefit by the highest combined federal, state and local marginal corporate tax rate in effect as of the Effective Time and, in the case of any future tax benefit, by discounting such future tax benefit at the Market Rate.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4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Market Rate shall be determined by mutual agreement of AT&amp;T and Comcast. In the event AT&amp;T and Comcast cannot reach agreement within five (5) calendar days of the date of determination (as set forth below), the Market Rate shall be determined by a process in which AT&amp;T and Comcast will mutually appoint four broker/dealer firms of national reputation to determine the then-current market yield for each impacted series of securities. After each firm has determined the then-current market yield for each impacted series of securities, the arithmetic average of the four rates will be the Market Rate. In determining each such Market Rate, the impacted series of securities shall be deemed to be securities of AT&amp;T, after giving effect to the Separation, Distribution and the Mergers. Any determination of Market Rate pursuant to this Section 11.03(c) shall be final and binding. Each of AT&amp;T and Comcast shall bear the fees and expenses of the broker/dealer firms which it appoints in making such determinations. The Market Rate shall be determined in the case of clause (ii)(B) of Section 11.03(b) as of the settlement date of the transaction.</w:t>
      </w:r>
    </w:p>
    <w:p>
      <w:pPr>
        <w:spacing w:after="0" w:line="201" w:lineRule="exact"/>
        <w:rPr>
          <w:rFonts w:ascii="Courier New" w:cs="Courier New" w:eastAsia="Courier New" w:hAnsi="Courier New"/>
          <w:sz w:val="17"/>
          <w:szCs w:val="17"/>
          <w:color w:val="auto"/>
        </w:rPr>
      </w:pPr>
    </w:p>
    <w:p>
      <w:pPr>
        <w:ind w:right="1839" w:firstLine="531"/>
        <w:spacing w:after="0" w:line="254" w:lineRule="auto"/>
        <w:tabs>
          <w:tab w:leader="none" w:pos="943" w:val="left"/>
        </w:tabs>
        <w:numPr>
          <w:ilvl w:val="0"/>
          <w:numId w:val="4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this Agreement is terminated pursuant to Section 11.01(b)(iii) or 11.01(c)(i), Comcast shall pay to AT&amp;T a termination fee of $1.5 billion in cash (without duplication) (the "COMCAST TERMINATION FEE").</w:t>
      </w:r>
    </w:p>
    <w:p>
      <w:pPr>
        <w:spacing w:after="0" w:line="194" w:lineRule="exact"/>
        <w:rPr>
          <w:rFonts w:ascii="Courier New" w:cs="Courier New" w:eastAsia="Courier New" w:hAnsi="Courier New"/>
          <w:sz w:val="17"/>
          <w:szCs w:val="17"/>
          <w:color w:val="auto"/>
        </w:rPr>
      </w:pPr>
    </w:p>
    <w:p>
      <w:pPr>
        <w:ind w:left="960" w:hanging="429"/>
        <w:spacing w:after="0"/>
        <w:tabs>
          <w:tab w:leader="none" w:pos="960" w:val="left"/>
        </w:tabs>
        <w:numPr>
          <w:ilvl w:val="0"/>
          <w:numId w:val="4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this Agreement is terminated pursuant to Section 11.01(d)(i) or</w:t>
      </w:r>
    </w:p>
    <w:p>
      <w:pPr>
        <w:spacing w:after="0" w:line="9" w:lineRule="exact"/>
        <w:rPr>
          <w:sz w:val="20"/>
          <w:szCs w:val="20"/>
          <w:color w:val="auto"/>
        </w:rPr>
      </w:pPr>
    </w:p>
    <w:p>
      <w:pPr>
        <w:ind w:right="2259"/>
        <w:spacing w:after="0" w:line="257" w:lineRule="auto"/>
        <w:rPr>
          <w:sz w:val="20"/>
          <w:szCs w:val="20"/>
          <w:color w:val="auto"/>
        </w:rPr>
      </w:pPr>
      <w:r>
        <w:rPr>
          <w:rFonts w:ascii="Courier New" w:cs="Courier New" w:eastAsia="Courier New" w:hAnsi="Courier New"/>
          <w:sz w:val="17"/>
          <w:szCs w:val="17"/>
          <w:color w:val="auto"/>
        </w:rPr>
        <w:t>11.01(d)(ii), AT&amp;T shall pay to Comcast a termination fee of $1.5 billion in cash (without duplication) (the "AT&amp;T TERMINATION FEE").</w:t>
      </w:r>
    </w:p>
    <w:p>
      <w:pPr>
        <w:spacing w:after="0" w:line="192" w:lineRule="exact"/>
        <w:rPr>
          <w:sz w:val="20"/>
          <w:szCs w:val="20"/>
          <w:color w:val="auto"/>
        </w:rPr>
      </w:pPr>
    </w:p>
    <w:p>
      <w:pPr>
        <w:ind w:left="960" w:hanging="429"/>
        <w:spacing w:after="0"/>
        <w:tabs>
          <w:tab w:leader="none" w:pos="960" w:val="left"/>
        </w:tabs>
        <w:numPr>
          <w:ilvl w:val="1"/>
          <w:numId w:val="4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 this Agreement is terminated pursuant to Section 11.01(b)(iv),</w:t>
      </w:r>
    </w:p>
    <w:p>
      <w:pPr>
        <w:spacing w:after="0" w:line="8" w:lineRule="exact"/>
        <w:rPr>
          <w:rFonts w:ascii="Courier New" w:cs="Courier New" w:eastAsia="Courier New" w:hAnsi="Courier New"/>
          <w:sz w:val="17"/>
          <w:szCs w:val="17"/>
          <w:color w:val="auto"/>
        </w:rPr>
      </w:pPr>
    </w:p>
    <w:p>
      <w:pPr>
        <w:ind w:right="1939" w:firstLine="7"/>
        <w:spacing w:after="0" w:line="257" w:lineRule="auto"/>
        <w:tabs>
          <w:tab w:leader="none" w:pos="524" w:val="left"/>
        </w:tabs>
        <w:numPr>
          <w:ilvl w:val="0"/>
          <w:numId w:val="4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the date hereof and prior to the AT&amp;T Shareholders' Meeting, an AT&amp;T Broadband Acquisition Proposal is made or</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A-72</w:t>
      </w:r>
    </w:p>
    <w:p>
      <w:pPr>
        <w:sectPr>
          <w:pgSz w:w="11900" w:h="16838" w:orient="portrait"/>
          <w:cols w:equalWidth="0" w:num="1">
            <w:col w:w="10219"/>
          </w:cols>
          <w:pgMar w:left="240" w:top="719" w:right="1440" w:bottom="1440" w:gutter="0" w:footer="0" w:header="0"/>
        </w:sectPr>
      </w:pPr>
    </w:p>
    <w:bookmarkStart w:id="470" w:name="page471"/>
    <w:bookmarkEnd w:id="470"/>
    <w:p>
      <w:pPr>
        <w:ind w:right="1839"/>
        <w:spacing w:after="0" w:line="251" w:lineRule="auto"/>
        <w:rPr>
          <w:sz w:val="20"/>
          <w:szCs w:val="20"/>
          <w:color w:val="auto"/>
        </w:rPr>
      </w:pPr>
      <w:r>
        <w:rPr>
          <w:rFonts w:ascii="Courier New" w:cs="Courier New" w:eastAsia="Courier New" w:hAnsi="Courier New"/>
          <w:sz w:val="17"/>
          <w:szCs w:val="17"/>
          <w:color w:val="auto"/>
        </w:rPr>
        <w:t>continued or renewed by any Person and not withdrawn prior to the AT&amp;T Shareholders' Meeting and (iii) within one year of the AT&amp;T Shareholders' Meeting, either (A) AT&amp;T or any AT&amp;T Subsidiary enters into an agreement with any Person with respect to an AT&amp;T Broadband Acquisition Proposal, that provides for (I) transfer or issuance of securities representing more than 50% of the equity or voting interests in AT&amp;T or the AT&amp;T Broadband Group or 75% of the equity or voting interests in any AT&amp;T Significant Broadband Subsidiary, (II) a merger, consolidation, recapitalization or another transaction resulting in the issuance of cash or securities of any Person (other than a reincorporation or a holding company merger that results in the AT&amp;T shareholders owning all of the equity interests in the surviving corporation) to AT&amp;T shareholders in exchange for more than 50% of the equity or voting interests in AT&amp;T or the AT&amp;T Broadband Group or 75% of the equity or voting interests in any AT&amp;T Significant Broadband Subsidiary or (III) transfer of assets, securities or ownership interests representing more than 50% of the consolidated assets or EBITDA generating power of AT&amp;T or the AT&amp;T Broadband Group or 75% of the consolidated assets or EBITDA generating power of any AT&amp;T Significant Broadband Subsidiary or (B) any Person commences a tender offer that results in the acquisition by the Person making the tender offer of a majority of the AT&amp;T Common Stock, then AT&amp;T shall pay to Comcast the AT&amp;T Termination Fee.</w:t>
      </w:r>
    </w:p>
    <w:p>
      <w:pPr>
        <w:spacing w:after="0" w:line="202" w:lineRule="exact"/>
        <w:rPr>
          <w:sz w:val="20"/>
          <w:szCs w:val="20"/>
          <w:color w:val="auto"/>
        </w:rPr>
      </w:pPr>
    </w:p>
    <w:p>
      <w:pPr>
        <w:ind w:right="1839" w:firstLine="531"/>
        <w:spacing w:after="0" w:line="251" w:lineRule="auto"/>
        <w:tabs>
          <w:tab w:leader="none" w:pos="943" w:val="left"/>
        </w:tabs>
        <w:numPr>
          <w:ilvl w:val="0"/>
          <w:numId w:val="4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payment of the Comcast Termination Fee or AT&amp;T Termination Fee pursuant to this Section 11.03 shall be made within one Business Day after termination of this Agreement, except that any payment of the AT&amp;T Termination Fee pursuant to Section 11.03(f) shall be paid within one Business Day after it becomes payable. Any payment of the Comcast Termination Fee or AT&amp;T Termination Fee shall be made by wire transfer of immediately available funds. If any party hereto fails to pay to the other parties promptly any fee or expense due hereunder (including the Comcast Termination Fee or AT&amp;T Termination Fee), the defaulting party shall pay the costs and expenses (including legal fees and expenses) in connection with any action, including the prosecution of any lawsuit or other legal action, taken to collect payment, together with interest on the amount of any unpaid fee at the publicly announced prime rate of The Bank of New York in New York City from the date such fee was required to be paid to the date it is paid.</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0"/>
          <w:numId w:val="4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this Agreement, any payment by AT&amp;T of the AT&amp;T Termination Fee or any payment by Comcast of the Comcast Termination Fee, in each case pursuant to Section 11.03, shall relieve (i) AT&amp;T and AT&amp;T Broadband or (ii) Comcast, as the case may be, from any further liability or damages under any provision of this Agreement (other than Section 11.03(a)) or in connection with this Agreement and the transactions contemplated hereby.</w:t>
      </w:r>
    </w:p>
    <w:p>
      <w:pPr>
        <w:spacing w:after="0" w:line="39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12</w:t>
      </w:r>
    </w:p>
    <w:p>
      <w:pPr>
        <w:spacing w:after="0" w:line="210"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MISCELLANEOUS</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SECTION 12.01. Notices. All notices, requests and other communications to any party hereto shall be in writing (including facsimile transmission) and shall be given,</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if to AT&amp;T, to:</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295 North Maple Avenue</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Basking Ridge, New Jersey 07920</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Attention: Marilyn J. Wasser</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Fax: (908) 953-8360</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A-73</w:t>
      </w:r>
    </w:p>
    <w:p>
      <w:pPr>
        <w:sectPr>
          <w:pgSz w:w="11900" w:h="16838" w:orient="portrait"/>
          <w:cols w:equalWidth="0" w:num="1">
            <w:col w:w="10219"/>
          </w:cols>
          <w:pgMar w:left="240" w:top="719" w:right="1440" w:bottom="1440" w:gutter="0" w:footer="0" w:header="0"/>
        </w:sectPr>
      </w:pPr>
    </w:p>
    <w:bookmarkStart w:id="471" w:name="page472"/>
    <w:bookmarkEnd w:id="471"/>
    <w:p>
      <w:pPr>
        <w:ind w:left="540"/>
        <w:spacing w:after="0"/>
        <w:rPr>
          <w:sz w:val="20"/>
          <w:szCs w:val="20"/>
          <w:color w:val="auto"/>
        </w:rPr>
      </w:pPr>
      <w:r>
        <w:rPr>
          <w:rFonts w:ascii="Courier New" w:cs="Courier New" w:eastAsia="Courier New" w:hAnsi="Courier New"/>
          <w:sz w:val="17"/>
          <w:szCs w:val="17"/>
          <w:color w:val="auto"/>
        </w:rPr>
        <w:t>with a copy to:</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Wachtell, Lipton, Rosen &amp; Katz</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51 West 52nd Street</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New York, New York 10019</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Attention: Richard D. Katcher</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Steven A. Rosenblum</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Stephanie J. Seligman</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Fax: (212) 403-2000</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if to Comcast or Merger Sub, to:</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Comcast Corporation</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1500 Market Street</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Philadelphia, Pennsylvania 19102</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Attention: General Counsel</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Fax: (215) 981-7794</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with a copy to</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Davis Polk &amp; Wardwell</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450 Lexington Avenue</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New York, New York 10017</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Attention: Dennis S. Hersch</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William L. Taylor</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Fax: (212) 450-4800</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or such other address or facsimile number as such party hereto may hereafter specify for such purpose by notice to the other parties hereto. All such notices, requests and other communications shall be deemed received on the date of receipt by the recipient thereof if received prior to 5 p.m. on a Business Day, in the place of receipt. Otherwise, any such notice, request or communication shall be deemed not to have been received until the next succeeding Business Day in the place of receipt.</w:t>
      </w:r>
    </w:p>
    <w:p>
      <w:pPr>
        <w:spacing w:after="0" w:line="196"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SECTION 12.02. Survival. The representations and warranties contained herein and in any certificate or other writing delivered pursuant hereto shall not survive the Effective Time or the termination of this Agreement. The AT&amp;T Confidentiality Agreement shall terminate at the Effective Time. The covenants and agreements herein that relate to actions to be taken at or after the Effective Time shall survive the Effective Time.</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12.03. Amendments; No Waivers. (a) Subject to applicable law, any provision of this Agreement may be amended or waived prior to the Effective Time if, but only if, such amendment or waiver is in writing and is signed, in the case of an amendment, by each of the parties hereto or, in the case of a waiver, by each party against whom the waiver is to be effective; provided that, after the adoption of this Agreement by the shareholders of Comcast or AT&amp;T, no such amendment or waiver shall be made or given that requires the approval of the shareholders of Comcast or AT&amp;T, respectively, unless such required approval is obtained.</w:t>
      </w:r>
    </w:p>
    <w:p>
      <w:pPr>
        <w:spacing w:after="0" w:line="201" w:lineRule="exact"/>
        <w:rPr>
          <w:sz w:val="20"/>
          <w:szCs w:val="20"/>
          <w:color w:val="auto"/>
        </w:rPr>
      </w:pPr>
    </w:p>
    <w:p>
      <w:pPr>
        <w:ind w:right="1839" w:firstLine="531"/>
        <w:spacing w:after="0" w:line="252" w:lineRule="auto"/>
        <w:tabs>
          <w:tab w:leader="none" w:pos="943" w:val="left"/>
        </w:tabs>
        <w:numPr>
          <w:ilvl w:val="0"/>
          <w:numId w:val="4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failure or delay by any party hereto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97"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SECTION 12.04. Successors and Assigns. The provisions of this Agreement shall be binding upon and inure to the benefit of the parties hereto and their respective successors and assigns; provided that no party hereto may assign, delegate or otherwise transfer any of its rights or obligations under this Agreement without the consent of the other parties hereto.</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A-74</w:t>
      </w:r>
    </w:p>
    <w:p>
      <w:pPr>
        <w:sectPr>
          <w:pgSz w:w="11900" w:h="16838" w:orient="portrait"/>
          <w:cols w:equalWidth="0" w:num="1">
            <w:col w:w="10219"/>
          </w:cols>
          <w:pgMar w:left="240" w:top="719" w:right="1440" w:bottom="1440" w:gutter="0" w:footer="0" w:header="0"/>
        </w:sectPr>
      </w:pPr>
    </w:p>
    <w:bookmarkStart w:id="472" w:name="page473"/>
    <w:bookmarkEnd w:id="472"/>
    <w:p>
      <w:pPr>
        <w:ind w:right="2039" w:firstLine="524"/>
        <w:spacing w:after="0" w:line="254" w:lineRule="auto"/>
        <w:rPr>
          <w:sz w:val="20"/>
          <w:szCs w:val="20"/>
          <w:color w:val="auto"/>
        </w:rPr>
      </w:pPr>
      <w:r>
        <w:rPr>
          <w:rFonts w:ascii="Courier New" w:cs="Courier New" w:eastAsia="Courier New" w:hAnsi="Courier New"/>
          <w:sz w:val="17"/>
          <w:szCs w:val="17"/>
          <w:color w:val="auto"/>
        </w:rPr>
        <w:t>SECTION 12.05. Governing Law. This Agreement shall be governed by and construed in accordance with the laws of the State of New York, without regard to the conflicts of law rules of the State of New York.</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12.06. Jurisdiction. Any suit, action or proceeding seeking to enforce any provision of, or based on any matter arising out of or in connection with, this Agreement or the transactions contemplated hereby shall be brought in any federal court located in the State of New York or any New York state court, and each of the parties hereto hereby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form. Process in any such suit, action or proceeding may be served on either party hereto anywhere in the world, whether within or without the jurisdiction of any such court. Without limiting the foregoing, each party hereto agrees that service of process on such party as provided in Section 12.01 shall be deemed effective service of process on such party.</w:t>
      </w:r>
    </w:p>
    <w:p>
      <w:pPr>
        <w:spacing w:after="0" w:line="202"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SECTION 12.07. WAIVER OF JURY TRIAL. EACH OF THE PARTIES HERETO HEREBY IRREVOCABLY WAIVES ANY AND ALL RIGHT TO TRIAL BY JURY IN ANY LEGAL PROCEEDING ARISING OUT OF OR RELATED TO THIS AGREEMENT OR THE TRANSACTIONS CONTEMPLATED HEREBY.</w:t>
      </w:r>
    </w:p>
    <w:p>
      <w:pPr>
        <w:spacing w:after="0" w:line="195" w:lineRule="exact"/>
        <w:rPr>
          <w:sz w:val="20"/>
          <w:szCs w:val="20"/>
          <w:color w:val="auto"/>
        </w:rPr>
      </w:pPr>
    </w:p>
    <w:p>
      <w:pPr>
        <w:jc w:val="both"/>
        <w:ind w:right="1939" w:firstLine="524"/>
        <w:spacing w:after="0" w:line="252" w:lineRule="auto"/>
        <w:rPr>
          <w:sz w:val="20"/>
          <w:szCs w:val="20"/>
          <w:color w:val="auto"/>
        </w:rPr>
      </w:pPr>
      <w:r>
        <w:rPr>
          <w:rFonts w:ascii="Courier New" w:cs="Courier New" w:eastAsia="Courier New" w:hAnsi="Courier New"/>
          <w:sz w:val="17"/>
          <w:szCs w:val="17"/>
          <w:color w:val="auto"/>
        </w:rPr>
        <w:t>SECTION 12.08. Counterparts; Effectiveness. This Agreement may be signed in counterparts, each of which shall be an original, with the same effect as if the signatures thereto and hereto were upon the same instrument. This Agreement shall become effective when each party hereto shall have received a counterpart hereof signed by the other parties hereto.</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SECTION 12.09. Entire Agreement; No Third Party Beneficiaries. (a) This Agreement, and the other Transaction Agreements, together with the Confidentiality Agreements, constitute the entire agreement between the parties hereto with respect to the subject matter of this Agreement and supersede all prior agreements and understandings, both oral and written, between the parties hereto with respect to the subject matter of this Agreement.</w:t>
      </w:r>
    </w:p>
    <w:p>
      <w:pPr>
        <w:spacing w:after="0" w:line="197" w:lineRule="exact"/>
        <w:rPr>
          <w:sz w:val="20"/>
          <w:szCs w:val="20"/>
          <w:color w:val="auto"/>
        </w:rPr>
      </w:pPr>
    </w:p>
    <w:p>
      <w:pPr>
        <w:ind w:right="1839" w:firstLine="531"/>
        <w:spacing w:after="0" w:line="251" w:lineRule="auto"/>
        <w:tabs>
          <w:tab w:leader="none" w:pos="943" w:val="left"/>
        </w:tabs>
        <w:numPr>
          <w:ilvl w:val="0"/>
          <w:numId w:val="5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Sections 4.01(e), 9.08, 9.11 and 9.14, the first sentence of Section 9.21 and the last sentence of Section 12.03(a) (which is intended to be for the benefit of the Persons covered thereby). AT&amp;T shall be entitled to enforce the provisions of Sections 4.03, 4.04 and 4.05 after the Effective Time.</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12.10.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12.11. Specific Performance.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New York or any New York state court, in addition to any other remedy to which they are entitled at law or in equity.</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A-75</w:t>
      </w:r>
    </w:p>
    <w:p>
      <w:pPr>
        <w:sectPr>
          <w:pgSz w:w="11900" w:h="16838" w:orient="portrait"/>
          <w:cols w:equalWidth="0" w:num="1">
            <w:col w:w="10219"/>
          </w:cols>
          <w:pgMar w:left="240" w:top="719" w:right="1440" w:bottom="1440" w:gutter="0" w:footer="0" w:header="0"/>
        </w:sectPr>
      </w:pPr>
    </w:p>
    <w:bookmarkStart w:id="473" w:name="page474"/>
    <w:bookmarkEnd w:id="473"/>
    <w:p>
      <w:pPr>
        <w:ind w:right="1839" w:firstLine="524"/>
        <w:spacing w:after="0" w:line="251" w:lineRule="auto"/>
        <w:rPr>
          <w:sz w:val="20"/>
          <w:szCs w:val="20"/>
          <w:color w:val="auto"/>
        </w:rPr>
      </w:pPr>
      <w:r>
        <w:rPr>
          <w:rFonts w:ascii="Courier New" w:cs="Courier New" w:eastAsia="Courier New" w:hAnsi="Courier New"/>
          <w:sz w:val="17"/>
          <w:szCs w:val="17"/>
          <w:color w:val="auto"/>
        </w:rPr>
        <w:t>SECTION 12.12. Schedules. Each of Comcast and AT&amp;T has set forth information in its respective disclosure schedule in a section thereof that corresponds to the portion of the Section of this Agreement to which it relates. A matter set forth in one section of the disclosure schedule need not be set forth in any other section of the disclosure schedule so long as its relevance to the latter section of the disclosure schedule or Section of the Agreement is apparent on the face of the information disclosed in the disclosure schedule. The fact that any item of information is disclosed in a disclosure schedule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 except as otherwise expressly set forth in such disclosure schedules.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A-76</w:t>
      </w:r>
    </w:p>
    <w:p>
      <w:pPr>
        <w:sectPr>
          <w:pgSz w:w="11900" w:h="16838" w:orient="portrait"/>
          <w:cols w:equalWidth="0" w:num="1">
            <w:col w:w="10219"/>
          </w:cols>
          <w:pgMar w:left="240" w:top="719" w:right="1440" w:bottom="1440" w:gutter="0" w:footer="0" w:header="0"/>
        </w:sectPr>
      </w:pPr>
    </w:p>
    <w:bookmarkStart w:id="474" w:name="page475"/>
    <w:bookmarkEnd w:id="474"/>
    <w:p>
      <w:pPr>
        <w:jc w:val="both"/>
        <w:ind w:right="2259" w:firstLine="524"/>
        <w:spacing w:after="0" w:line="254" w:lineRule="auto"/>
        <w:rPr>
          <w:sz w:val="20"/>
          <w:szCs w:val="20"/>
          <w:color w:val="auto"/>
        </w:rPr>
      </w:pPr>
      <w:r>
        <w:rPr>
          <w:rFonts w:ascii="Courier New" w:cs="Courier New" w:eastAsia="Courier New" w:hAnsi="Courier New"/>
          <w:sz w:val="17"/>
          <w:szCs w:val="17"/>
          <w:color w:val="auto"/>
        </w:rPr>
        <w:t>IN WITNESS WHEREOF, the parties hereto have caused this Agreement to be duly executed by their respective authorized officers as of the day and year first above written.</w:t>
      </w:r>
    </w:p>
    <w:p>
      <w:pPr>
        <w:spacing w:after="0" w:line="19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AT&amp;T CORP.</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By: /s/ C. MICHAEL ARMSTRONG</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Name: C. Michael Armstrong</w:t>
      </w:r>
    </w:p>
    <w:p>
      <w:pPr>
        <w:spacing w:after="0" w:line="9" w:lineRule="exact"/>
        <w:rPr>
          <w:sz w:val="20"/>
          <w:szCs w:val="20"/>
          <w:color w:val="auto"/>
        </w:rPr>
      </w:pPr>
    </w:p>
    <w:p>
      <w:pPr>
        <w:ind w:left="4820"/>
        <w:spacing w:after="0"/>
        <w:tabs>
          <w:tab w:leader="none" w:pos="5640" w:val="left"/>
        </w:tabs>
        <w:rPr>
          <w:sz w:val="20"/>
          <w:szCs w:val="20"/>
          <w:color w:val="auto"/>
        </w:rPr>
      </w:pPr>
      <w:r>
        <w:rPr>
          <w:rFonts w:ascii="Courier New" w:cs="Courier New" w:eastAsia="Courier New" w:hAnsi="Courier New"/>
          <w:sz w:val="17"/>
          <w:szCs w:val="17"/>
          <w:color w:val="auto"/>
        </w:rPr>
        <w:t>Title:</w:t>
        <w:tab/>
        <w:t>Chairman and Chief</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Executive Officer</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AT&amp;T BROADBAND CORP.</w:t>
      </w:r>
    </w:p>
    <w:p>
      <w:pPr>
        <w:spacing w:after="0" w:line="210" w:lineRule="exact"/>
        <w:rPr>
          <w:sz w:val="20"/>
          <w:szCs w:val="20"/>
          <w:color w:val="auto"/>
        </w:rPr>
      </w:pPr>
    </w:p>
    <w:p>
      <w:pPr>
        <w:ind w:left="4400"/>
        <w:spacing w:after="0"/>
        <w:tabs>
          <w:tab w:leader="none" w:pos="5320" w:val="left"/>
        </w:tabs>
        <w:rPr>
          <w:sz w:val="20"/>
          <w:szCs w:val="20"/>
          <w:color w:val="auto"/>
        </w:rPr>
      </w:pPr>
      <w:r>
        <w:rPr>
          <w:rFonts w:ascii="Courier New" w:cs="Courier New" w:eastAsia="Courier New" w:hAnsi="Courier New"/>
          <w:sz w:val="17"/>
          <w:szCs w:val="17"/>
          <w:color w:val="auto"/>
        </w:rPr>
        <w:t>By: /s/</w:t>
        <w:tab/>
        <w:t>RAYMOND E. LIGUORI</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Name: Raymond E. Liguori</w:t>
      </w:r>
    </w:p>
    <w:p>
      <w:pPr>
        <w:spacing w:after="0" w:line="9" w:lineRule="exact"/>
        <w:rPr>
          <w:sz w:val="20"/>
          <w:szCs w:val="20"/>
          <w:color w:val="auto"/>
        </w:rPr>
      </w:pPr>
    </w:p>
    <w:p>
      <w:pPr>
        <w:ind w:left="4820"/>
        <w:spacing w:after="0"/>
        <w:tabs>
          <w:tab w:leader="none" w:pos="5640" w:val="left"/>
        </w:tabs>
        <w:rPr>
          <w:sz w:val="20"/>
          <w:szCs w:val="20"/>
          <w:color w:val="auto"/>
        </w:rPr>
      </w:pPr>
      <w:r>
        <w:rPr>
          <w:rFonts w:ascii="Courier New" w:cs="Courier New" w:eastAsia="Courier New" w:hAnsi="Courier New"/>
          <w:sz w:val="17"/>
          <w:szCs w:val="17"/>
          <w:color w:val="auto"/>
        </w:rPr>
        <w:t>Title:</w:t>
        <w:tab/>
        <w:t>President</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COMCAST CORPORATION</w:t>
      </w:r>
    </w:p>
    <w:p>
      <w:pPr>
        <w:spacing w:after="0" w:line="210" w:lineRule="exact"/>
        <w:rPr>
          <w:sz w:val="20"/>
          <w:szCs w:val="20"/>
          <w:color w:val="auto"/>
        </w:rPr>
      </w:pPr>
    </w:p>
    <w:p>
      <w:pPr>
        <w:ind w:left="4400"/>
        <w:spacing w:after="0"/>
        <w:tabs>
          <w:tab w:leader="none" w:pos="5440" w:val="left"/>
        </w:tabs>
        <w:rPr>
          <w:sz w:val="20"/>
          <w:szCs w:val="20"/>
          <w:color w:val="auto"/>
        </w:rPr>
      </w:pPr>
      <w:r>
        <w:rPr>
          <w:rFonts w:ascii="Courier New" w:cs="Courier New" w:eastAsia="Courier New" w:hAnsi="Courier New"/>
          <w:sz w:val="17"/>
          <w:szCs w:val="17"/>
          <w:color w:val="auto"/>
        </w:rPr>
        <w:t>By: /s/</w:t>
      </w:r>
      <w:r>
        <w:rPr>
          <w:sz w:val="20"/>
          <w:szCs w:val="20"/>
          <w:color w:val="auto"/>
        </w:rPr>
        <w:tab/>
      </w:r>
      <w:r>
        <w:rPr>
          <w:rFonts w:ascii="Courier New" w:cs="Courier New" w:eastAsia="Courier New" w:hAnsi="Courier New"/>
          <w:sz w:val="17"/>
          <w:szCs w:val="17"/>
          <w:color w:val="auto"/>
        </w:rPr>
        <w:t>RALPH J. ROBERTS</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Name: Ralph J. Roberts</w:t>
      </w:r>
    </w:p>
    <w:p>
      <w:pPr>
        <w:spacing w:after="0" w:line="9" w:lineRule="exact"/>
        <w:rPr>
          <w:sz w:val="20"/>
          <w:szCs w:val="20"/>
          <w:color w:val="auto"/>
        </w:rPr>
      </w:pPr>
    </w:p>
    <w:p>
      <w:pPr>
        <w:ind w:left="4820"/>
        <w:spacing w:after="0"/>
        <w:tabs>
          <w:tab w:leader="none" w:pos="5640" w:val="left"/>
        </w:tabs>
        <w:rPr>
          <w:sz w:val="20"/>
          <w:szCs w:val="20"/>
          <w:color w:val="auto"/>
        </w:rPr>
      </w:pPr>
      <w:r>
        <w:rPr>
          <w:rFonts w:ascii="Courier New" w:cs="Courier New" w:eastAsia="Courier New" w:hAnsi="Courier New"/>
          <w:sz w:val="17"/>
          <w:szCs w:val="17"/>
          <w:color w:val="auto"/>
        </w:rPr>
        <w:t>Title:</w:t>
        <w:tab/>
        <w:t>Chairman</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AT&amp;T COMCAST CORPORATION</w:t>
      </w:r>
    </w:p>
    <w:p>
      <w:pPr>
        <w:spacing w:after="0" w:line="210" w:lineRule="exact"/>
        <w:rPr>
          <w:sz w:val="20"/>
          <w:szCs w:val="20"/>
          <w:color w:val="auto"/>
        </w:rPr>
      </w:pPr>
    </w:p>
    <w:p>
      <w:pPr>
        <w:ind w:left="4400"/>
        <w:spacing w:after="0"/>
        <w:tabs>
          <w:tab w:leader="none" w:pos="5440" w:val="left"/>
        </w:tabs>
        <w:rPr>
          <w:sz w:val="20"/>
          <w:szCs w:val="20"/>
          <w:color w:val="auto"/>
        </w:rPr>
      </w:pPr>
      <w:r>
        <w:rPr>
          <w:rFonts w:ascii="Courier New" w:cs="Courier New" w:eastAsia="Courier New" w:hAnsi="Courier New"/>
          <w:sz w:val="17"/>
          <w:szCs w:val="17"/>
          <w:color w:val="auto"/>
        </w:rPr>
        <w:t>By: /s/</w:t>
      </w:r>
      <w:r>
        <w:rPr>
          <w:sz w:val="20"/>
          <w:szCs w:val="20"/>
          <w:color w:val="auto"/>
        </w:rPr>
        <w:tab/>
      </w:r>
      <w:r>
        <w:rPr>
          <w:rFonts w:ascii="Courier New" w:cs="Courier New" w:eastAsia="Courier New" w:hAnsi="Courier New"/>
          <w:sz w:val="17"/>
          <w:szCs w:val="17"/>
          <w:color w:val="auto"/>
        </w:rPr>
        <w:t>BRIAN L. ROBERTS</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Name: Brian L. Roberts</w:t>
      </w:r>
    </w:p>
    <w:p>
      <w:pPr>
        <w:spacing w:after="0" w:line="394" w:lineRule="exact"/>
        <w:rPr>
          <w:sz w:val="20"/>
          <w:szCs w:val="20"/>
          <w:color w:val="auto"/>
        </w:rPr>
      </w:pPr>
    </w:p>
    <w:p>
      <w:pPr>
        <w:ind w:left="4820"/>
        <w:spacing w:after="0"/>
        <w:tabs>
          <w:tab w:leader="none" w:pos="5640" w:val="left"/>
        </w:tabs>
        <w:rPr>
          <w:sz w:val="20"/>
          <w:szCs w:val="20"/>
          <w:color w:val="auto"/>
        </w:rPr>
      </w:pPr>
      <w:r>
        <w:rPr>
          <w:rFonts w:ascii="Courier New" w:cs="Courier New" w:eastAsia="Courier New" w:hAnsi="Courier New"/>
          <w:sz w:val="17"/>
          <w:szCs w:val="17"/>
          <w:color w:val="auto"/>
        </w:rPr>
        <w:t>Title:</w:t>
        <w:tab/>
        <w:t>President</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AT&amp;T BROADBAND ACQUISITION CORP.</w:t>
      </w:r>
    </w:p>
    <w:p>
      <w:pPr>
        <w:spacing w:after="0" w:line="210" w:lineRule="exact"/>
        <w:rPr>
          <w:sz w:val="20"/>
          <w:szCs w:val="20"/>
          <w:color w:val="auto"/>
        </w:rPr>
      </w:pPr>
    </w:p>
    <w:p>
      <w:pPr>
        <w:ind w:left="4400"/>
        <w:spacing w:after="0"/>
        <w:tabs>
          <w:tab w:leader="none" w:pos="5440" w:val="left"/>
        </w:tabs>
        <w:rPr>
          <w:sz w:val="20"/>
          <w:szCs w:val="20"/>
          <w:color w:val="auto"/>
        </w:rPr>
      </w:pPr>
      <w:r>
        <w:rPr>
          <w:rFonts w:ascii="Courier New" w:cs="Courier New" w:eastAsia="Courier New" w:hAnsi="Courier New"/>
          <w:sz w:val="17"/>
          <w:szCs w:val="17"/>
          <w:color w:val="auto"/>
        </w:rPr>
        <w:t>BY: /s/</w:t>
      </w:r>
      <w:r>
        <w:rPr>
          <w:sz w:val="20"/>
          <w:szCs w:val="20"/>
          <w:color w:val="auto"/>
        </w:rPr>
        <w:tab/>
      </w:r>
      <w:r>
        <w:rPr>
          <w:rFonts w:ascii="Courier New" w:cs="Courier New" w:eastAsia="Courier New" w:hAnsi="Courier New"/>
          <w:sz w:val="17"/>
          <w:szCs w:val="17"/>
          <w:color w:val="auto"/>
        </w:rPr>
        <w:t>BRIAN L. ROBERTS</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Name: Brian L. Roberts</w:t>
      </w:r>
    </w:p>
    <w:p>
      <w:pPr>
        <w:spacing w:after="0" w:line="9" w:lineRule="exact"/>
        <w:rPr>
          <w:sz w:val="20"/>
          <w:szCs w:val="20"/>
          <w:color w:val="auto"/>
        </w:rPr>
      </w:pPr>
    </w:p>
    <w:p>
      <w:pPr>
        <w:ind w:left="4820"/>
        <w:spacing w:after="0"/>
        <w:tabs>
          <w:tab w:leader="none" w:pos="5640" w:val="left"/>
        </w:tabs>
        <w:rPr>
          <w:sz w:val="20"/>
          <w:szCs w:val="20"/>
          <w:color w:val="auto"/>
        </w:rPr>
      </w:pPr>
      <w:r>
        <w:rPr>
          <w:rFonts w:ascii="Courier New" w:cs="Courier New" w:eastAsia="Courier New" w:hAnsi="Courier New"/>
          <w:sz w:val="17"/>
          <w:szCs w:val="17"/>
          <w:color w:val="auto"/>
        </w:rPr>
        <w:t>Title:</w:t>
        <w:tab/>
        <w:t>President</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COMCAST ACQUISITION CORP.</w:t>
      </w:r>
    </w:p>
    <w:p>
      <w:pPr>
        <w:spacing w:after="0" w:line="210" w:lineRule="exact"/>
        <w:rPr>
          <w:sz w:val="20"/>
          <w:szCs w:val="20"/>
          <w:color w:val="auto"/>
        </w:rPr>
      </w:pPr>
    </w:p>
    <w:p>
      <w:pPr>
        <w:ind w:left="4400"/>
        <w:spacing w:after="0"/>
        <w:tabs>
          <w:tab w:leader="none" w:pos="5440" w:val="left"/>
        </w:tabs>
        <w:rPr>
          <w:sz w:val="20"/>
          <w:szCs w:val="20"/>
          <w:color w:val="auto"/>
        </w:rPr>
      </w:pPr>
      <w:r>
        <w:rPr>
          <w:rFonts w:ascii="Courier New" w:cs="Courier New" w:eastAsia="Courier New" w:hAnsi="Courier New"/>
          <w:sz w:val="17"/>
          <w:szCs w:val="17"/>
          <w:color w:val="auto"/>
        </w:rPr>
        <w:t>BY: /s/</w:t>
      </w:r>
      <w:r>
        <w:rPr>
          <w:sz w:val="20"/>
          <w:szCs w:val="20"/>
          <w:color w:val="auto"/>
        </w:rPr>
        <w:tab/>
      </w:r>
      <w:r>
        <w:rPr>
          <w:rFonts w:ascii="Courier New" w:cs="Courier New" w:eastAsia="Courier New" w:hAnsi="Courier New"/>
          <w:sz w:val="17"/>
          <w:szCs w:val="17"/>
          <w:color w:val="auto"/>
        </w:rPr>
        <w:t>BRIAN L. ROBERTS</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Name: Brian L. Roberts</w:t>
      </w:r>
    </w:p>
    <w:p>
      <w:pPr>
        <w:spacing w:after="0" w:line="9" w:lineRule="exact"/>
        <w:rPr>
          <w:sz w:val="20"/>
          <w:szCs w:val="20"/>
          <w:color w:val="auto"/>
        </w:rPr>
      </w:pPr>
    </w:p>
    <w:p>
      <w:pPr>
        <w:ind w:left="4820"/>
        <w:spacing w:after="0"/>
        <w:tabs>
          <w:tab w:leader="none" w:pos="5640" w:val="left"/>
        </w:tabs>
        <w:rPr>
          <w:sz w:val="20"/>
          <w:szCs w:val="20"/>
          <w:color w:val="auto"/>
        </w:rPr>
      </w:pPr>
      <w:r>
        <w:rPr>
          <w:rFonts w:ascii="Courier New" w:cs="Courier New" w:eastAsia="Courier New" w:hAnsi="Courier New"/>
          <w:sz w:val="17"/>
          <w:szCs w:val="17"/>
          <w:color w:val="auto"/>
        </w:rPr>
        <w:t>Title:</w:t>
        <w:tab/>
        <w:t>President</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A-77</w:t>
      </w:r>
    </w:p>
    <w:p>
      <w:pPr>
        <w:sectPr>
          <w:pgSz w:w="11900" w:h="16838" w:orient="portrait"/>
          <w:cols w:equalWidth="0" w:num="1">
            <w:col w:w="10219"/>
          </w:cols>
          <w:pgMar w:left="240" w:top="719" w:right="1440" w:bottom="1440" w:gutter="0" w:footer="0" w:header="0"/>
        </w:sectPr>
      </w:pPr>
    </w:p>
    <w:bookmarkStart w:id="475" w:name="page476"/>
    <w:bookmarkEnd w:id="475"/>
    <w:p>
      <w:pPr>
        <w:jc w:val="right"/>
        <w:ind w:right="1839"/>
        <w:spacing w:after="0"/>
        <w:rPr>
          <w:sz w:val="20"/>
          <w:szCs w:val="20"/>
          <w:color w:val="auto"/>
        </w:rPr>
      </w:pPr>
      <w:r>
        <w:rPr>
          <w:rFonts w:ascii="Courier New" w:cs="Courier New" w:eastAsia="Courier New" w:hAnsi="Courier New"/>
          <w:sz w:val="17"/>
          <w:szCs w:val="17"/>
          <w:color w:val="auto"/>
        </w:rPr>
        <w:t>ANNEX B</w:t>
      </w:r>
    </w:p>
    <w:p>
      <w:pPr>
        <w:spacing w:after="0" w:line="21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SEPARATION AND DISTRIBUTION AGREEMENT</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BY AND BETWEEN</w:t>
      </w:r>
    </w:p>
    <w:p>
      <w:pPr>
        <w:spacing w:after="0" w:line="9"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AND</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AT&amp;T BROADBAND CORP.</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DATED AS OF</w:t>
      </w:r>
    </w:p>
    <w:p>
      <w:pPr>
        <w:spacing w:after="0" w:line="9"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DECEMBER 19, 2001</w:t>
      </w:r>
    </w:p>
    <w:p>
      <w:pPr>
        <w:sectPr>
          <w:pgSz w:w="11900" w:h="16838" w:orient="portrait"/>
          <w:cols w:equalWidth="0" w:num="1">
            <w:col w:w="9019"/>
          </w:cols>
          <w:pgMar w:left="1440" w:top="719" w:right="1440" w:bottom="1440" w:gutter="0" w:footer="0" w:header="0"/>
        </w:sectPr>
      </w:pPr>
    </w:p>
    <w:bookmarkStart w:id="476" w:name="page477"/>
    <w:bookmarkEnd w:id="476"/>
    <w:tbl>
      <w:tblPr>
        <w:tblLayout w:type="fixed"/>
        <w:tblInd w:w="0" w:type="dxa"/>
        <w:tblCellMar>
          <w:top w:w="0" w:type="dxa"/>
          <w:left w:w="0" w:type="dxa"/>
          <w:bottom w:w="0" w:type="dxa"/>
          <w:right w:w="0" w:type="dxa"/>
        </w:tblCellMar>
      </w:tblPr>
      <w:tr>
        <w:trPr>
          <w:trHeight w:val="197"/>
        </w:trPr>
        <w:tc>
          <w:tcPr>
            <w:tcW w:w="2460" w:type="dxa"/>
            <w:vAlign w:val="bottom"/>
          </w:tcPr>
          <w:p>
            <w:pPr>
              <w:spacing w:after="0"/>
              <w:rPr>
                <w:sz w:val="17"/>
                <w:szCs w:val="17"/>
                <w:color w:val="auto"/>
              </w:rPr>
            </w:pPr>
          </w:p>
        </w:tc>
        <w:tc>
          <w:tcPr>
            <w:tcW w:w="30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TABLE OF CONTENTS</w:t>
            </w:r>
          </w:p>
        </w:tc>
        <w:tc>
          <w:tcPr>
            <w:tcW w:w="740" w:type="dxa"/>
            <w:vAlign w:val="bottom"/>
          </w:tcPr>
          <w:p>
            <w:pPr>
              <w:spacing w:after="0"/>
              <w:rPr>
                <w:sz w:val="17"/>
                <w:szCs w:val="17"/>
                <w:color w:val="auto"/>
              </w:rPr>
            </w:pPr>
          </w:p>
        </w:tc>
      </w:tr>
      <w:tr>
        <w:trPr>
          <w:trHeight w:val="403"/>
        </w:trPr>
        <w:tc>
          <w:tcPr>
            <w:tcW w:w="246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24"/>
                <w:szCs w:val="24"/>
                <w:color w:val="auto"/>
              </w:rPr>
            </w:pPr>
          </w:p>
        </w:tc>
      </w:tr>
      <w:tr>
        <w:trPr>
          <w:trHeight w:val="403"/>
        </w:trPr>
        <w:tc>
          <w:tcPr>
            <w:tcW w:w="5500" w:type="dxa"/>
            <w:vAlign w:val="bottom"/>
            <w:gridSpan w:val="2"/>
          </w:tcPr>
          <w:p>
            <w:pPr>
              <w:jc w:val="center"/>
              <w:ind w:left="716"/>
              <w:spacing w:after="0"/>
              <w:rPr>
                <w:sz w:val="20"/>
                <w:szCs w:val="20"/>
                <w:color w:val="auto"/>
              </w:rPr>
            </w:pPr>
            <w:r>
              <w:rPr>
                <w:rFonts w:ascii="Courier New" w:cs="Courier New" w:eastAsia="Courier New" w:hAnsi="Courier New"/>
                <w:sz w:val="17"/>
                <w:szCs w:val="17"/>
                <w:color w:val="auto"/>
              </w:rPr>
              <w:t>PAGE ---- ARTICLE 1 DEFINITIONS Section 1.01.</w:t>
            </w:r>
          </w:p>
        </w:tc>
        <w:tc>
          <w:tcPr>
            <w:tcW w:w="740" w:type="dxa"/>
            <w:vAlign w:val="bottom"/>
          </w:tcPr>
          <w:p>
            <w:pPr>
              <w:spacing w:after="0"/>
              <w:rPr>
                <w:sz w:val="24"/>
                <w:szCs w:val="24"/>
                <w:color w:val="auto"/>
              </w:rPr>
            </w:pPr>
          </w:p>
        </w:tc>
      </w:tr>
      <w:tr>
        <w:trPr>
          <w:trHeight w:val="201"/>
        </w:trPr>
        <w:tc>
          <w:tcPr>
            <w:tcW w:w="5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9"/>
              </w:rPr>
              <w:t>Definitions.................................................</w:t>
            </w:r>
          </w:p>
        </w:tc>
        <w:tc>
          <w:tcPr>
            <w:tcW w:w="740" w:type="dxa"/>
            <w:vAlign w:val="bottom"/>
          </w:tcPr>
          <w:p>
            <w:pPr>
              <w:spacing w:after="0"/>
              <w:rPr>
                <w:sz w:val="17"/>
                <w:szCs w:val="17"/>
                <w:color w:val="auto"/>
              </w:rPr>
            </w:pPr>
          </w:p>
        </w:tc>
      </w:tr>
      <w:tr>
        <w:trPr>
          <w:trHeight w:val="201"/>
        </w:trPr>
        <w:tc>
          <w:tcPr>
            <w:tcW w:w="62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B-1 ARTICLE 2 THE SEPARATION Section 2.01. Transfer of</w:t>
            </w:r>
          </w:p>
        </w:tc>
      </w:tr>
      <w:tr>
        <w:trPr>
          <w:trHeight w:val="201"/>
        </w:trPr>
        <w:tc>
          <w:tcPr>
            <w:tcW w:w="55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Assets and Assumption of Liabilities............</w:t>
            </w: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B-16</w:t>
            </w:r>
          </w:p>
        </w:tc>
      </w:tr>
      <w:tr>
        <w:trPr>
          <w:trHeight w:val="201"/>
        </w:trPr>
        <w:tc>
          <w:tcPr>
            <w:tcW w:w="62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Section 2.02. Disclaimer of Representations and</w:t>
            </w: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w w:val="91"/>
              </w:rPr>
              <w:t>Warranties................</w:t>
            </w:r>
          </w:p>
        </w:tc>
        <w:tc>
          <w:tcPr>
            <w:tcW w:w="37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B-17 Section 2.03. Other</w:t>
            </w:r>
          </w:p>
        </w:tc>
      </w:tr>
      <w:tr>
        <w:trPr>
          <w:trHeight w:val="201"/>
        </w:trPr>
        <w:tc>
          <w:tcPr>
            <w:tcW w:w="5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Ancillary Agreements..................................</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B-18</w:t>
            </w:r>
          </w:p>
        </w:tc>
      </w:tr>
      <w:tr>
        <w:trPr>
          <w:trHeight w:val="201"/>
        </w:trPr>
        <w:tc>
          <w:tcPr>
            <w:tcW w:w="5500" w:type="dxa"/>
            <w:vAlign w:val="bottom"/>
            <w:gridSpan w:val="2"/>
          </w:tcPr>
          <w:p>
            <w:pPr>
              <w:jc w:val="center"/>
              <w:ind w:left="716"/>
              <w:spacing w:after="0"/>
              <w:rPr>
                <w:sz w:val="20"/>
                <w:szCs w:val="20"/>
                <w:color w:val="auto"/>
              </w:rPr>
            </w:pPr>
            <w:r>
              <w:rPr>
                <w:rFonts w:ascii="Courier New" w:cs="Courier New" w:eastAsia="Courier New" w:hAnsi="Courier New"/>
                <w:sz w:val="17"/>
                <w:szCs w:val="17"/>
                <w:color w:val="auto"/>
              </w:rPr>
              <w:t>Section 2.04. Termination of</w:t>
            </w:r>
          </w:p>
        </w:tc>
        <w:tc>
          <w:tcPr>
            <w:tcW w:w="74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2"/>
                <w:szCs w:val="12"/>
                <w:color w:val="auto"/>
                <w:w w:val="75"/>
              </w:rPr>
              <w:t>Agreements...................................</w:t>
            </w:r>
          </w:p>
        </w:tc>
        <w:tc>
          <w:tcPr>
            <w:tcW w:w="3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B-18 Section</w:t>
            </w:r>
          </w:p>
        </w:tc>
      </w:tr>
      <w:tr>
        <w:trPr>
          <w:trHeight w:val="201"/>
        </w:trPr>
        <w:tc>
          <w:tcPr>
            <w:tcW w:w="62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2.05. Documents Relating to Transfer of Real Property</w:t>
            </w:r>
          </w:p>
        </w:tc>
      </w:tr>
      <w:tr>
        <w:trPr>
          <w:trHeight w:val="201"/>
        </w:trPr>
        <w:tc>
          <w:tcPr>
            <w:tcW w:w="5500" w:type="dxa"/>
            <w:vAlign w:val="bottom"/>
            <w:gridSpan w:val="2"/>
          </w:tcPr>
          <w:p>
            <w:pPr>
              <w:jc w:val="center"/>
              <w:ind w:left="716"/>
              <w:spacing w:after="0"/>
              <w:rPr>
                <w:sz w:val="20"/>
                <w:szCs w:val="20"/>
                <w:color w:val="auto"/>
              </w:rPr>
            </w:pPr>
            <w:r>
              <w:rPr>
                <w:rFonts w:ascii="Courier New" w:cs="Courier New" w:eastAsia="Courier New" w:hAnsi="Courier New"/>
                <w:sz w:val="17"/>
                <w:szCs w:val="17"/>
                <w:color w:val="auto"/>
              </w:rPr>
              <w:t>Interests and Tangible Property Located</w:t>
            </w:r>
          </w:p>
        </w:tc>
        <w:tc>
          <w:tcPr>
            <w:tcW w:w="74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w w:val="79"/>
              </w:rPr>
              <w:t>Thereon.......................</w:t>
            </w:r>
          </w:p>
        </w:tc>
        <w:tc>
          <w:tcPr>
            <w:tcW w:w="3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B-19 Section 2.06. Documents</w:t>
            </w:r>
          </w:p>
        </w:tc>
      </w:tr>
      <w:tr>
        <w:trPr>
          <w:trHeight w:val="201"/>
        </w:trPr>
        <w:tc>
          <w:tcPr>
            <w:tcW w:w="62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Relating to Other Transfers of Assets and Assumption of</w:t>
            </w: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2"/>
                <w:szCs w:val="12"/>
                <w:color w:val="auto"/>
                <w:w w:val="73"/>
              </w:rPr>
              <w:t>Liabilities...................................</w:t>
            </w:r>
          </w:p>
        </w:tc>
        <w:tc>
          <w:tcPr>
            <w:tcW w:w="3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B-20 Section</w:t>
            </w:r>
          </w:p>
        </w:tc>
      </w:tr>
      <w:tr>
        <w:trPr>
          <w:trHeight w:val="201"/>
        </w:trPr>
        <w:tc>
          <w:tcPr>
            <w:tcW w:w="5500" w:type="dxa"/>
            <w:vAlign w:val="bottom"/>
            <w:gridSpan w:val="2"/>
          </w:tcPr>
          <w:p>
            <w:pPr>
              <w:jc w:val="center"/>
              <w:ind w:left="716"/>
              <w:spacing w:after="0"/>
              <w:rPr>
                <w:sz w:val="20"/>
                <w:szCs w:val="20"/>
                <w:color w:val="auto"/>
              </w:rPr>
            </w:pPr>
            <w:r>
              <w:rPr>
                <w:rFonts w:ascii="Courier New" w:cs="Courier New" w:eastAsia="Courier New" w:hAnsi="Courier New"/>
                <w:sz w:val="17"/>
                <w:szCs w:val="17"/>
                <w:color w:val="auto"/>
              </w:rPr>
              <w:t>2.07. Governmental Approvals and</w:t>
            </w:r>
          </w:p>
        </w:tc>
        <w:tc>
          <w:tcPr>
            <w:tcW w:w="74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w w:val="72"/>
              </w:rPr>
              <w:t>Consents.........................</w:t>
            </w:r>
          </w:p>
        </w:tc>
        <w:tc>
          <w:tcPr>
            <w:tcW w:w="37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B-20 Section 2.08.</w:t>
            </w:r>
          </w:p>
        </w:tc>
      </w:tr>
      <w:tr>
        <w:trPr>
          <w:trHeight w:val="201"/>
        </w:trPr>
        <w:tc>
          <w:tcPr>
            <w:tcW w:w="5500" w:type="dxa"/>
            <w:vAlign w:val="bottom"/>
            <w:gridSpan w:val="2"/>
          </w:tcPr>
          <w:p>
            <w:pPr>
              <w:jc w:val="center"/>
              <w:ind w:left="716"/>
              <w:spacing w:after="0"/>
              <w:rPr>
                <w:sz w:val="20"/>
                <w:szCs w:val="20"/>
                <w:color w:val="auto"/>
              </w:rPr>
            </w:pPr>
            <w:r>
              <w:rPr>
                <w:rFonts w:ascii="Courier New" w:cs="Courier New" w:eastAsia="Courier New" w:hAnsi="Courier New"/>
                <w:sz w:val="17"/>
                <w:szCs w:val="17"/>
                <w:color w:val="auto"/>
              </w:rPr>
              <w:t>Novation of AT&amp;T Broadband</w:t>
            </w:r>
          </w:p>
        </w:tc>
        <w:tc>
          <w:tcPr>
            <w:tcW w:w="74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w w:val="72"/>
              </w:rPr>
              <w:t>Liabilities......................</w:t>
            </w:r>
          </w:p>
        </w:tc>
        <w:tc>
          <w:tcPr>
            <w:tcW w:w="37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B-21 Section 2.09.</w:t>
            </w:r>
          </w:p>
        </w:tc>
      </w:tr>
      <w:tr>
        <w:trPr>
          <w:trHeight w:val="201"/>
        </w:trPr>
        <w:tc>
          <w:tcPr>
            <w:tcW w:w="5500" w:type="dxa"/>
            <w:vAlign w:val="bottom"/>
            <w:gridSpan w:val="2"/>
          </w:tcPr>
          <w:p>
            <w:pPr>
              <w:jc w:val="center"/>
              <w:ind w:left="716"/>
              <w:spacing w:after="0"/>
              <w:rPr>
                <w:sz w:val="20"/>
                <w:szCs w:val="20"/>
                <w:color w:val="auto"/>
              </w:rPr>
            </w:pPr>
            <w:r>
              <w:rPr>
                <w:rFonts w:ascii="Courier New" w:cs="Courier New" w:eastAsia="Courier New" w:hAnsi="Courier New"/>
                <w:sz w:val="17"/>
                <w:szCs w:val="17"/>
                <w:color w:val="auto"/>
              </w:rPr>
              <w:t>Novation of AT&amp;T Communications</w:t>
            </w:r>
          </w:p>
        </w:tc>
        <w:tc>
          <w:tcPr>
            <w:tcW w:w="74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w w:val="85"/>
              </w:rPr>
              <w:t>Liabilities.................</w:t>
            </w:r>
          </w:p>
        </w:tc>
        <w:tc>
          <w:tcPr>
            <w:tcW w:w="37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B-21 Section 2.10. Joint</w:t>
            </w:r>
          </w:p>
        </w:tc>
      </w:tr>
      <w:tr>
        <w:trPr>
          <w:trHeight w:val="201"/>
        </w:trPr>
        <w:tc>
          <w:tcPr>
            <w:tcW w:w="5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Purchasing Arrangements...............................</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B-22</w:t>
            </w:r>
          </w:p>
        </w:tc>
      </w:tr>
      <w:tr>
        <w:trPr>
          <w:trHeight w:val="201"/>
        </w:trPr>
        <w:tc>
          <w:tcPr>
            <w:tcW w:w="5500" w:type="dxa"/>
            <w:vAlign w:val="bottom"/>
            <w:gridSpan w:val="2"/>
          </w:tcPr>
          <w:p>
            <w:pPr>
              <w:jc w:val="center"/>
              <w:ind w:left="716"/>
              <w:spacing w:after="0"/>
              <w:rPr>
                <w:sz w:val="20"/>
                <w:szCs w:val="20"/>
                <w:color w:val="auto"/>
              </w:rPr>
            </w:pPr>
            <w:r>
              <w:rPr>
                <w:rFonts w:ascii="Courier New" w:cs="Courier New" w:eastAsia="Courier New" w:hAnsi="Courier New"/>
                <w:sz w:val="17"/>
                <w:szCs w:val="17"/>
                <w:color w:val="auto"/>
              </w:rPr>
              <w:t>Section 2.11. TWE</w:t>
            </w:r>
          </w:p>
        </w:tc>
        <w:tc>
          <w:tcPr>
            <w:tcW w:w="740" w:type="dxa"/>
            <w:vAlign w:val="bottom"/>
          </w:tcPr>
          <w:p>
            <w:pPr>
              <w:spacing w:after="0"/>
              <w:rPr>
                <w:sz w:val="17"/>
                <w:szCs w:val="17"/>
                <w:color w:val="auto"/>
              </w:rPr>
            </w:pPr>
          </w:p>
        </w:tc>
      </w:tr>
      <w:tr>
        <w:trPr>
          <w:trHeight w:val="201"/>
        </w:trPr>
        <w:tc>
          <w:tcPr>
            <w:tcW w:w="5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Arrangements............................................</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B-</w:t>
            </w:r>
          </w:p>
        </w:tc>
      </w:tr>
      <w:tr>
        <w:trPr>
          <w:trHeight w:val="201"/>
        </w:trPr>
        <w:tc>
          <w:tcPr>
            <w:tcW w:w="62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22 ARTICLE 3 FINANCIAL RESTRUCTURING Section 3.01.</w:t>
            </w:r>
          </w:p>
        </w:tc>
      </w:tr>
      <w:tr>
        <w:trPr>
          <w:trHeight w:val="201"/>
        </w:trPr>
        <w:tc>
          <w:tcPr>
            <w:tcW w:w="2460" w:type="dxa"/>
            <w:vAlign w:val="bottom"/>
          </w:tcPr>
          <w:p>
            <w:pPr>
              <w:spacing w:after="0"/>
              <w:rPr>
                <w:sz w:val="17"/>
                <w:szCs w:val="17"/>
                <w:color w:val="auto"/>
              </w:rPr>
            </w:pPr>
          </w:p>
        </w:tc>
        <w:tc>
          <w:tcPr>
            <w:tcW w:w="3040" w:type="dxa"/>
            <w:vAlign w:val="bottom"/>
          </w:tcPr>
          <w:p>
            <w:pPr>
              <w:jc w:val="center"/>
              <w:ind w:right="1573"/>
              <w:spacing w:after="0"/>
              <w:rPr>
                <w:sz w:val="20"/>
                <w:szCs w:val="20"/>
                <w:color w:val="auto"/>
              </w:rPr>
            </w:pPr>
            <w:r>
              <w:rPr>
                <w:rFonts w:ascii="Courier New" w:cs="Courier New" w:eastAsia="Courier New" w:hAnsi="Courier New"/>
                <w:sz w:val="17"/>
                <w:szCs w:val="17"/>
                <w:color w:val="auto"/>
              </w:rPr>
              <w:t>Liability</w:t>
            </w:r>
          </w:p>
        </w:tc>
        <w:tc>
          <w:tcPr>
            <w:tcW w:w="740" w:type="dxa"/>
            <w:vAlign w:val="bottom"/>
          </w:tcPr>
          <w:p>
            <w:pPr>
              <w:spacing w:after="0"/>
              <w:rPr>
                <w:sz w:val="17"/>
                <w:szCs w:val="17"/>
                <w:color w:val="auto"/>
              </w:rPr>
            </w:pPr>
          </w:p>
        </w:tc>
      </w:tr>
      <w:tr>
        <w:trPr>
          <w:trHeight w:val="201"/>
        </w:trPr>
        <w:tc>
          <w:tcPr>
            <w:tcW w:w="5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Management........................................</w:t>
            </w:r>
          </w:p>
        </w:tc>
        <w:tc>
          <w:tcPr>
            <w:tcW w:w="7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B-23</w:t>
            </w:r>
          </w:p>
        </w:tc>
      </w:tr>
      <w:tr>
        <w:trPr>
          <w:trHeight w:val="201"/>
        </w:trPr>
        <w:tc>
          <w:tcPr>
            <w:tcW w:w="5500" w:type="dxa"/>
            <w:vAlign w:val="bottom"/>
            <w:gridSpan w:val="2"/>
          </w:tcPr>
          <w:p>
            <w:pPr>
              <w:jc w:val="center"/>
              <w:ind w:left="716"/>
              <w:spacing w:after="0"/>
              <w:rPr>
                <w:sz w:val="20"/>
                <w:szCs w:val="20"/>
                <w:color w:val="auto"/>
              </w:rPr>
            </w:pPr>
            <w:r>
              <w:rPr>
                <w:rFonts w:ascii="Courier New" w:cs="Courier New" w:eastAsia="Courier New" w:hAnsi="Courier New"/>
                <w:sz w:val="17"/>
                <w:szCs w:val="17"/>
                <w:color w:val="auto"/>
              </w:rPr>
              <w:t>Section 3.02. Repayment of Intracompany</w:t>
            </w:r>
          </w:p>
        </w:tc>
        <w:tc>
          <w:tcPr>
            <w:tcW w:w="74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w w:val="70"/>
              </w:rPr>
              <w:t>Indebtedness......................</w:t>
            </w:r>
          </w:p>
        </w:tc>
        <w:tc>
          <w:tcPr>
            <w:tcW w:w="3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B-23 Section 3.03. Note</w:t>
            </w:r>
          </w:p>
        </w:tc>
      </w:tr>
      <w:tr>
        <w:trPr>
          <w:trHeight w:val="201"/>
        </w:trPr>
        <w:tc>
          <w:tcPr>
            <w:tcW w:w="5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Consents...............................................</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B-</w:t>
            </w:r>
          </w:p>
        </w:tc>
      </w:tr>
      <w:tr>
        <w:trPr>
          <w:trHeight w:val="201"/>
        </w:trPr>
        <w:tc>
          <w:tcPr>
            <w:tcW w:w="62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23 ARTICLE 4 THE DISTRIBUTION Section 4.01. The</w:t>
            </w:r>
          </w:p>
        </w:tc>
      </w:tr>
      <w:tr>
        <w:trPr>
          <w:trHeight w:val="201"/>
        </w:trPr>
        <w:tc>
          <w:tcPr>
            <w:tcW w:w="5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Distribution............................................</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B-</w:t>
            </w:r>
          </w:p>
        </w:tc>
      </w:tr>
      <w:tr>
        <w:trPr>
          <w:trHeight w:val="201"/>
        </w:trPr>
        <w:tc>
          <w:tcPr>
            <w:tcW w:w="5500" w:type="dxa"/>
            <w:vAlign w:val="bottom"/>
            <w:gridSpan w:val="2"/>
          </w:tcPr>
          <w:p>
            <w:pPr>
              <w:jc w:val="center"/>
              <w:ind w:left="716"/>
              <w:spacing w:after="0"/>
              <w:rPr>
                <w:sz w:val="20"/>
                <w:szCs w:val="20"/>
                <w:color w:val="auto"/>
              </w:rPr>
            </w:pPr>
            <w:r>
              <w:rPr>
                <w:rFonts w:ascii="Courier New" w:cs="Courier New" w:eastAsia="Courier New" w:hAnsi="Courier New"/>
                <w:sz w:val="17"/>
                <w:szCs w:val="17"/>
                <w:color w:val="auto"/>
              </w:rPr>
              <w:t>23 Section 4.02. Actions Prior to the</w:t>
            </w:r>
          </w:p>
        </w:tc>
        <w:tc>
          <w:tcPr>
            <w:tcW w:w="74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4"/>
              </w:rPr>
              <w:t>Distribution...........................</w:t>
            </w:r>
          </w:p>
        </w:tc>
        <w:tc>
          <w:tcPr>
            <w:tcW w:w="3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B-24 Section 4.03.</w:t>
            </w:r>
          </w:p>
        </w:tc>
      </w:tr>
      <w:tr>
        <w:trPr>
          <w:trHeight w:val="201"/>
        </w:trPr>
        <w:tc>
          <w:tcPr>
            <w:tcW w:w="2460" w:type="dxa"/>
            <w:vAlign w:val="bottom"/>
          </w:tcPr>
          <w:p>
            <w:pPr>
              <w:spacing w:after="0"/>
              <w:rPr>
                <w:sz w:val="17"/>
                <w:szCs w:val="17"/>
                <w:color w:val="auto"/>
              </w:rPr>
            </w:pPr>
          </w:p>
        </w:tc>
        <w:tc>
          <w:tcPr>
            <w:tcW w:w="3040" w:type="dxa"/>
            <w:vAlign w:val="bottom"/>
          </w:tcPr>
          <w:p>
            <w:pPr>
              <w:jc w:val="center"/>
              <w:ind w:right="1573"/>
              <w:spacing w:after="0"/>
              <w:rPr>
                <w:sz w:val="20"/>
                <w:szCs w:val="20"/>
                <w:color w:val="auto"/>
              </w:rPr>
            </w:pPr>
            <w:r>
              <w:rPr>
                <w:rFonts w:ascii="Courier New" w:cs="Courier New" w:eastAsia="Courier New" w:hAnsi="Courier New"/>
                <w:sz w:val="17"/>
                <w:szCs w:val="17"/>
                <w:color w:val="auto"/>
              </w:rPr>
              <w:t>Timing of the</w:t>
            </w:r>
          </w:p>
        </w:tc>
        <w:tc>
          <w:tcPr>
            <w:tcW w:w="74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2"/>
                <w:szCs w:val="12"/>
                <w:color w:val="auto"/>
                <w:w w:val="73"/>
              </w:rPr>
              <w:t>Distribution..................................</w:t>
            </w:r>
          </w:p>
        </w:tc>
        <w:tc>
          <w:tcPr>
            <w:tcW w:w="3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B-24 ARTICLE</w:t>
            </w:r>
          </w:p>
        </w:tc>
      </w:tr>
      <w:tr>
        <w:trPr>
          <w:trHeight w:val="201"/>
        </w:trPr>
        <w:tc>
          <w:tcPr>
            <w:tcW w:w="62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5 MUTUAL RELEASES; INDEMNIFICATION Section 5.01. Release of</w:t>
            </w:r>
          </w:p>
        </w:tc>
      </w:tr>
      <w:tr>
        <w:trPr>
          <w:trHeight w:val="201"/>
        </w:trPr>
        <w:tc>
          <w:tcPr>
            <w:tcW w:w="5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Pre-Closing Claims...............................</w:t>
            </w:r>
          </w:p>
        </w:tc>
        <w:tc>
          <w:tcPr>
            <w:tcW w:w="7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B-25</w:t>
            </w:r>
          </w:p>
        </w:tc>
      </w:tr>
      <w:tr>
        <w:trPr>
          <w:trHeight w:val="201"/>
        </w:trPr>
        <w:tc>
          <w:tcPr>
            <w:tcW w:w="5500" w:type="dxa"/>
            <w:vAlign w:val="bottom"/>
            <w:gridSpan w:val="2"/>
          </w:tcPr>
          <w:p>
            <w:pPr>
              <w:jc w:val="center"/>
              <w:ind w:left="716"/>
              <w:spacing w:after="0"/>
              <w:rPr>
                <w:sz w:val="20"/>
                <w:szCs w:val="20"/>
                <w:color w:val="auto"/>
              </w:rPr>
            </w:pPr>
            <w:r>
              <w:rPr>
                <w:rFonts w:ascii="Courier New" w:cs="Courier New" w:eastAsia="Courier New" w:hAnsi="Courier New"/>
                <w:sz w:val="17"/>
                <w:szCs w:val="17"/>
                <w:color w:val="auto"/>
              </w:rPr>
              <w:t>Section 5.02. Indemnification by</w:t>
            </w:r>
          </w:p>
        </w:tc>
        <w:tc>
          <w:tcPr>
            <w:tcW w:w="74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w w:val="70"/>
              </w:rPr>
              <w:t>AT&amp;T.....................................</w:t>
            </w:r>
          </w:p>
        </w:tc>
        <w:tc>
          <w:tcPr>
            <w:tcW w:w="3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B-27 Section</w:t>
            </w:r>
          </w:p>
        </w:tc>
      </w:tr>
      <w:tr>
        <w:trPr>
          <w:trHeight w:val="201"/>
        </w:trPr>
        <w:tc>
          <w:tcPr>
            <w:tcW w:w="5500" w:type="dxa"/>
            <w:vAlign w:val="bottom"/>
            <w:gridSpan w:val="2"/>
          </w:tcPr>
          <w:p>
            <w:pPr>
              <w:jc w:val="center"/>
              <w:ind w:left="716"/>
              <w:spacing w:after="0"/>
              <w:rPr>
                <w:sz w:val="20"/>
                <w:szCs w:val="20"/>
                <w:color w:val="auto"/>
              </w:rPr>
            </w:pPr>
            <w:r>
              <w:rPr>
                <w:rFonts w:ascii="Courier New" w:cs="Courier New" w:eastAsia="Courier New" w:hAnsi="Courier New"/>
                <w:sz w:val="17"/>
                <w:szCs w:val="17"/>
                <w:color w:val="auto"/>
              </w:rPr>
              <w:t>5.03. Indemnification by AT&amp;T</w:t>
            </w:r>
          </w:p>
        </w:tc>
        <w:tc>
          <w:tcPr>
            <w:tcW w:w="74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6"/>
                <w:szCs w:val="16"/>
                <w:color w:val="auto"/>
                <w:w w:val="70"/>
              </w:rPr>
              <w:t>Broadband...........................</w:t>
            </w:r>
          </w:p>
        </w:tc>
        <w:tc>
          <w:tcPr>
            <w:tcW w:w="37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B-27 Section 5.04.</w:t>
            </w:r>
          </w:p>
        </w:tc>
      </w:tr>
      <w:tr>
        <w:trPr>
          <w:trHeight w:val="201"/>
        </w:trPr>
        <w:tc>
          <w:tcPr>
            <w:tcW w:w="62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Indemnification Obligations Net of Insurance Proceeds and</w:t>
            </w:r>
          </w:p>
        </w:tc>
      </w:tr>
      <w:tr>
        <w:trPr>
          <w:trHeight w:val="201"/>
        </w:trPr>
        <w:tc>
          <w:tcPr>
            <w:tcW w:w="2460" w:type="dxa"/>
            <w:vAlign w:val="bottom"/>
          </w:tcPr>
          <w:p>
            <w:pPr>
              <w:spacing w:after="0"/>
              <w:rPr>
                <w:sz w:val="17"/>
                <w:szCs w:val="17"/>
                <w:color w:val="auto"/>
              </w:rPr>
            </w:pPr>
          </w:p>
        </w:tc>
        <w:tc>
          <w:tcPr>
            <w:tcW w:w="3040" w:type="dxa"/>
            <w:vAlign w:val="bottom"/>
          </w:tcPr>
          <w:p>
            <w:pPr>
              <w:jc w:val="center"/>
              <w:ind w:right="1573"/>
              <w:spacing w:after="0"/>
              <w:rPr>
                <w:sz w:val="20"/>
                <w:szCs w:val="20"/>
                <w:color w:val="auto"/>
              </w:rPr>
            </w:pPr>
            <w:r>
              <w:rPr>
                <w:rFonts w:ascii="Courier New" w:cs="Courier New" w:eastAsia="Courier New" w:hAnsi="Courier New"/>
                <w:sz w:val="17"/>
                <w:szCs w:val="17"/>
                <w:color w:val="auto"/>
              </w:rPr>
              <w:t>Other</w:t>
            </w:r>
          </w:p>
        </w:tc>
        <w:tc>
          <w:tcPr>
            <w:tcW w:w="740" w:type="dxa"/>
            <w:vAlign w:val="bottom"/>
          </w:tcPr>
          <w:p>
            <w:pPr>
              <w:spacing w:after="0"/>
              <w:rPr>
                <w:sz w:val="17"/>
                <w:szCs w:val="17"/>
                <w:color w:val="auto"/>
              </w:rPr>
            </w:pPr>
          </w:p>
        </w:tc>
      </w:tr>
      <w:tr>
        <w:trPr>
          <w:trHeight w:val="201"/>
        </w:trPr>
        <w:tc>
          <w:tcPr>
            <w:tcW w:w="5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Amounts...............................................</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B-28</w:t>
            </w:r>
          </w:p>
        </w:tc>
      </w:tr>
    </w:tbl>
    <w:p>
      <w:pPr>
        <w:spacing w:after="0" w:line="4"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5.05. Procedures for Indemnification of Third Party</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Claims........ B-28 Section 5.06. Additional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Matters.......................................... B-29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5.07. Remedies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Cumulative......................................... B-30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5.08. Survival of</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Indemnities..................................... B-30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ARTICLE 6 INSURANCE AND CERTAIN OTHER MATTERS Section 6.01.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Insurance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Matters........................................... B-30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6.02. Certain Post-Distribution Transactions 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Related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Matters.....................................................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B-31 Section 6.03. Procedure for Indemnification for Tax</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Liabilities........... B-33</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B-i</w:t>
      </w:r>
    </w:p>
    <w:p>
      <w:pPr>
        <w:sectPr>
          <w:pgSz w:w="11900" w:h="16838" w:orient="portrait"/>
          <w:cols w:equalWidth="0" w:num="1">
            <w:col w:w="10219"/>
          </w:cols>
          <w:pgMar w:left="240" w:top="719" w:right="1440" w:bottom="1440" w:gutter="0" w:footer="0" w:header="0"/>
        </w:sectPr>
      </w:pPr>
    </w:p>
    <w:bookmarkStart w:id="477" w:name="page478"/>
    <w:bookmarkEnd w:id="477"/>
    <w:p>
      <w:pPr>
        <w:ind w:left="1640"/>
        <w:spacing w:after="0"/>
        <w:rPr>
          <w:sz w:val="20"/>
          <w:szCs w:val="20"/>
          <w:color w:val="auto"/>
        </w:rPr>
      </w:pPr>
      <w:r>
        <w:rPr>
          <w:rFonts w:ascii="Courier New" w:cs="Courier New" w:eastAsia="Courier New" w:hAnsi="Courier New"/>
          <w:sz w:val="17"/>
          <w:szCs w:val="17"/>
          <w:color w:val="auto"/>
        </w:rPr>
        <w:t>PAGE ---- Section 6.04. Other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Transactions.......................................... B-35</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ARTICLE 7 EXCHANGE OF INFORMATION; CONFIDENTIALITY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7.01. Agreement for Exchange of</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Information....................... B-36 Section 7.02.</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Ownership of</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Information.................................... B-36</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7.03. Compensation for Providing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Information...................... B-36 Section 7.04. Record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Retention............................................ B-36</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7.05. Limitation of</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Liability..................................... B-37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7.06. Other Agreements Providing for Exchange of</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Information...... B-37 Section 7.07. Production of</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Witnesses; Records; Cooperation............... B-37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7.08.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Confidentiality.............................................</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B-38 Section 7.09. Protective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Arrangements..................................... B-38</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ARTICLE 8 FURTHER ASSURANCES AND ADDITIONAL COVENANTS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8.01. Further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Assurances.......................................... B-38</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ARTICLE 9 TERMINATION Section 9.01.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B-39 Section 9.02. Effect of</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Termination....................................... B-39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ARTICLE 10 DISPUTE RESOLUTION AND ARBITRATION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10.01. Agreement to</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Arbitrate...................................... B-39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10.02. Reasonable Best Efforts to Resolve Disputes;</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Mediation...... B-40 Section 10.03. Demand for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Arbitration...................................... B-40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10.04. Arbitration</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Panel........................................... B-40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10.05. Commencement and Place of</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Arbitration....................... B-40 Section 10.06.</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Arbitration</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Hearings........................................ B-40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10.07. Arbitration</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Decision........................................ B-41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10.08. Discovery and Related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Matters............................... B-41 Section 10.09.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Arbitration Panel's</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Authority............................... B-41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10.10.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Confidentiality.............................................</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B-41 Section 10.11. Certain Additional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Matters.................................. B-42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10.12. Limited Court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Actions....................................... B-42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10.13. Continuity of Performance and Remaining</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Obligations......... B-42 Section 10.14. Law Governing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Arbitration Procedures........................ B-43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10.15. Non-applicability of</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Article................................ B-43 ARTICLE 11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MISCELLANEOUS Section 11.01. Counterparts; Entire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Agreement; Corporate Power............. B-43 Section 11.02.</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Governing</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Law............................................... B-44</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Section 11.03.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Jurisdiction................................................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B-44 Section 11.04. Waiver of Jury</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Trial........................................ B-44 Section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11.05.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Assignability...............................................</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B-44 Section 11.06. AT&amp;T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Restructuring.......................................... B-</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719"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B-ii</w:t>
      </w:r>
    </w:p>
    <w:p>
      <w:pPr>
        <w:sectPr>
          <w:pgSz w:w="11900" w:h="16838" w:orient="portrait"/>
          <w:cols w:equalWidth="0" w:num="1">
            <w:col w:w="10219"/>
          </w:cols>
          <w:pgMar w:left="240" w:top="719" w:right="1440" w:bottom="1440" w:gutter="0" w:footer="0" w:header="0"/>
          <w:type w:val="continuous"/>
        </w:sectPr>
      </w:pPr>
    </w:p>
    <w:bookmarkStart w:id="478" w:name="page479"/>
    <w:bookmarkEnd w:id="478"/>
    <w:tbl>
      <w:tblPr>
        <w:tblLayout w:type="fixed"/>
        <w:tblInd w:w="0" w:type="dxa"/>
        <w:tblCellMar>
          <w:top w:w="0" w:type="dxa"/>
          <w:left w:w="0" w:type="dxa"/>
          <w:bottom w:w="0" w:type="dxa"/>
          <w:right w:w="0" w:type="dxa"/>
        </w:tblCellMar>
      </w:tblPr>
      <w:tr>
        <w:trPr>
          <w:trHeight w:val="197"/>
        </w:trPr>
        <w:tc>
          <w:tcPr>
            <w:tcW w:w="1160" w:type="dxa"/>
            <w:vAlign w:val="bottom"/>
          </w:tcPr>
          <w:p>
            <w:pPr>
              <w:spacing w:after="0"/>
              <w:rPr>
                <w:sz w:val="17"/>
                <w:szCs w:val="17"/>
                <w:color w:val="auto"/>
              </w:rPr>
            </w:pPr>
          </w:p>
        </w:tc>
        <w:tc>
          <w:tcPr>
            <w:tcW w:w="4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PAGE ---- Section 11.07. Third Party</w:t>
            </w:r>
          </w:p>
        </w:tc>
        <w:tc>
          <w:tcPr>
            <w:tcW w:w="900" w:type="dxa"/>
            <w:vAlign w:val="bottom"/>
          </w:tcPr>
          <w:p>
            <w:pPr>
              <w:spacing w:after="0"/>
              <w:rPr>
                <w:sz w:val="17"/>
                <w:szCs w:val="17"/>
                <w:color w:val="auto"/>
              </w:rPr>
            </w:pPr>
          </w:p>
        </w:tc>
      </w:tr>
      <w:tr>
        <w:trPr>
          <w:trHeight w:val="201"/>
        </w:trPr>
        <w:tc>
          <w:tcPr>
            <w:tcW w:w="5500" w:type="dxa"/>
            <w:vAlign w:val="bottom"/>
            <w:gridSpan w:val="2"/>
          </w:tcPr>
          <w:p>
            <w:pPr>
              <w:ind w:left="380"/>
              <w:spacing w:after="0"/>
              <w:rPr>
                <w:sz w:val="20"/>
                <w:szCs w:val="20"/>
                <w:color w:val="auto"/>
              </w:rPr>
            </w:pPr>
            <w:r>
              <w:rPr>
                <w:rFonts w:ascii="Courier New" w:cs="Courier New" w:eastAsia="Courier New" w:hAnsi="Courier New"/>
                <w:sz w:val="17"/>
                <w:szCs w:val="17"/>
                <w:color w:val="auto"/>
              </w:rPr>
              <w:t>Beneficiaries...................................</w:t>
            </w:r>
          </w:p>
        </w:tc>
        <w:tc>
          <w:tcPr>
            <w:tcW w:w="900" w:type="dxa"/>
            <w:vAlign w:val="bottom"/>
          </w:tcPr>
          <w:p>
            <w:pPr>
              <w:spacing w:after="0"/>
              <w:rPr>
                <w:sz w:val="20"/>
                <w:szCs w:val="20"/>
                <w:color w:val="auto"/>
              </w:rPr>
            </w:pPr>
            <w:r>
              <w:rPr>
                <w:rFonts w:ascii="Courier New" w:cs="Courier New" w:eastAsia="Courier New" w:hAnsi="Courier New"/>
                <w:sz w:val="17"/>
                <w:szCs w:val="17"/>
                <w:color w:val="auto"/>
              </w:rPr>
              <w:t>B-44</w:t>
            </w:r>
          </w:p>
        </w:tc>
      </w:tr>
      <w:tr>
        <w:trPr>
          <w:trHeight w:val="201"/>
        </w:trPr>
        <w:tc>
          <w:tcPr>
            <w:tcW w:w="1160" w:type="dxa"/>
            <w:vAlign w:val="bottom"/>
          </w:tcPr>
          <w:p>
            <w:pPr>
              <w:spacing w:after="0"/>
              <w:rPr>
                <w:sz w:val="17"/>
                <w:szCs w:val="17"/>
                <w:color w:val="auto"/>
              </w:rPr>
            </w:pPr>
          </w:p>
        </w:tc>
        <w:tc>
          <w:tcPr>
            <w:tcW w:w="4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Section 11.08.</w:t>
            </w:r>
          </w:p>
        </w:tc>
        <w:tc>
          <w:tcPr>
            <w:tcW w:w="900" w:type="dxa"/>
            <w:vAlign w:val="bottom"/>
          </w:tcPr>
          <w:p>
            <w:pPr>
              <w:spacing w:after="0"/>
              <w:rPr>
                <w:sz w:val="17"/>
                <w:szCs w:val="17"/>
                <w:color w:val="auto"/>
              </w:rPr>
            </w:pPr>
          </w:p>
        </w:tc>
      </w:tr>
      <w:tr>
        <w:trPr>
          <w:trHeight w:val="201"/>
        </w:trPr>
        <w:tc>
          <w:tcPr>
            <w:tcW w:w="5500" w:type="dxa"/>
            <w:vAlign w:val="bottom"/>
            <w:gridSpan w:val="2"/>
          </w:tcPr>
          <w:p>
            <w:pPr>
              <w:spacing w:after="0"/>
              <w:rPr>
                <w:sz w:val="20"/>
                <w:szCs w:val="20"/>
                <w:color w:val="auto"/>
              </w:rPr>
            </w:pPr>
            <w:r>
              <w:rPr>
                <w:rFonts w:ascii="Courier New" w:cs="Courier New" w:eastAsia="Courier New" w:hAnsi="Courier New"/>
                <w:sz w:val="17"/>
                <w:szCs w:val="17"/>
                <w:color w:val="auto"/>
                <w:w w:val="89"/>
              </w:rPr>
              <w:t>Notices.....................................................</w:t>
            </w:r>
          </w:p>
        </w:tc>
        <w:tc>
          <w:tcPr>
            <w:tcW w:w="900" w:type="dxa"/>
            <w:vAlign w:val="bottom"/>
          </w:tcPr>
          <w:p>
            <w:pPr>
              <w:spacing w:after="0"/>
              <w:rPr>
                <w:sz w:val="17"/>
                <w:szCs w:val="17"/>
                <w:color w:val="auto"/>
              </w:rPr>
            </w:pPr>
          </w:p>
        </w:tc>
      </w:tr>
      <w:tr>
        <w:trPr>
          <w:trHeight w:val="201"/>
        </w:trPr>
        <w:tc>
          <w:tcPr>
            <w:tcW w:w="1160" w:type="dxa"/>
            <w:vAlign w:val="bottom"/>
          </w:tcPr>
          <w:p>
            <w:pPr>
              <w:spacing w:after="0"/>
              <w:rPr>
                <w:sz w:val="17"/>
                <w:szCs w:val="17"/>
                <w:color w:val="auto"/>
              </w:rPr>
            </w:pPr>
          </w:p>
        </w:tc>
        <w:tc>
          <w:tcPr>
            <w:tcW w:w="4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B-45 Section 11.09.</w:t>
            </w:r>
          </w:p>
        </w:tc>
        <w:tc>
          <w:tcPr>
            <w:tcW w:w="900" w:type="dxa"/>
            <w:vAlign w:val="bottom"/>
          </w:tcPr>
          <w:p>
            <w:pPr>
              <w:spacing w:after="0"/>
              <w:rPr>
                <w:sz w:val="17"/>
                <w:szCs w:val="17"/>
                <w:color w:val="auto"/>
              </w:rPr>
            </w:pPr>
          </w:p>
        </w:tc>
      </w:tr>
      <w:tr>
        <w:trPr>
          <w:trHeight w:val="201"/>
        </w:trPr>
        <w:tc>
          <w:tcPr>
            <w:tcW w:w="6400" w:type="dxa"/>
            <w:vAlign w:val="bottom"/>
            <w:gridSpan w:val="3"/>
          </w:tcPr>
          <w:p>
            <w:pPr>
              <w:spacing w:after="0"/>
              <w:rPr>
                <w:sz w:val="20"/>
                <w:szCs w:val="20"/>
                <w:color w:val="auto"/>
              </w:rPr>
            </w:pPr>
            <w:r>
              <w:rPr>
                <w:rFonts w:ascii="Courier New" w:cs="Courier New" w:eastAsia="Courier New" w:hAnsi="Courier New"/>
                <w:sz w:val="17"/>
                <w:szCs w:val="17"/>
                <w:color w:val="auto"/>
              </w:rPr>
              <w:t>Severability................................................</w:t>
            </w:r>
          </w:p>
        </w:tc>
      </w:tr>
      <w:tr>
        <w:trPr>
          <w:trHeight w:val="201"/>
        </w:trPr>
        <w:tc>
          <w:tcPr>
            <w:tcW w:w="1160" w:type="dxa"/>
            <w:vAlign w:val="bottom"/>
          </w:tcPr>
          <w:p>
            <w:pPr>
              <w:spacing w:after="0"/>
              <w:rPr>
                <w:sz w:val="17"/>
                <w:szCs w:val="17"/>
                <w:color w:val="auto"/>
              </w:rPr>
            </w:pPr>
          </w:p>
        </w:tc>
        <w:tc>
          <w:tcPr>
            <w:tcW w:w="4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B-45 Section 11.10.</w:t>
            </w:r>
          </w:p>
        </w:tc>
        <w:tc>
          <w:tcPr>
            <w:tcW w:w="900" w:type="dxa"/>
            <w:vAlign w:val="bottom"/>
          </w:tcPr>
          <w:p>
            <w:pPr>
              <w:spacing w:after="0"/>
              <w:rPr>
                <w:sz w:val="17"/>
                <w:szCs w:val="17"/>
                <w:color w:val="auto"/>
              </w:rPr>
            </w:pPr>
          </w:p>
        </w:tc>
      </w:tr>
      <w:tr>
        <w:trPr>
          <w:trHeight w:val="201"/>
        </w:trPr>
        <w:tc>
          <w:tcPr>
            <w:tcW w:w="5500" w:type="dxa"/>
            <w:vAlign w:val="bottom"/>
            <w:gridSpan w:val="2"/>
          </w:tcPr>
          <w:p>
            <w:pPr>
              <w:spacing w:after="0"/>
              <w:rPr>
                <w:sz w:val="20"/>
                <w:szCs w:val="20"/>
                <w:color w:val="auto"/>
              </w:rPr>
            </w:pPr>
            <w:r>
              <w:rPr>
                <w:rFonts w:ascii="Courier New" w:cs="Courier New" w:eastAsia="Courier New" w:hAnsi="Courier New"/>
                <w:sz w:val="17"/>
                <w:szCs w:val="17"/>
                <w:color w:val="auto"/>
                <w:w w:val="89"/>
              </w:rPr>
              <w:t>Expenses....................................................</w:t>
            </w:r>
          </w:p>
        </w:tc>
        <w:tc>
          <w:tcPr>
            <w:tcW w:w="900" w:type="dxa"/>
            <w:vAlign w:val="bottom"/>
          </w:tcPr>
          <w:p>
            <w:pPr>
              <w:spacing w:after="0"/>
              <w:rPr>
                <w:sz w:val="17"/>
                <w:szCs w:val="17"/>
                <w:color w:val="auto"/>
              </w:rPr>
            </w:pPr>
          </w:p>
        </w:tc>
      </w:tr>
      <w:tr>
        <w:trPr>
          <w:trHeight w:val="201"/>
        </w:trPr>
        <w:tc>
          <w:tcPr>
            <w:tcW w:w="1160" w:type="dxa"/>
            <w:vAlign w:val="bottom"/>
          </w:tcPr>
          <w:p>
            <w:pPr>
              <w:spacing w:after="0"/>
              <w:rPr>
                <w:sz w:val="17"/>
                <w:szCs w:val="17"/>
                <w:color w:val="auto"/>
              </w:rPr>
            </w:pPr>
          </w:p>
        </w:tc>
        <w:tc>
          <w:tcPr>
            <w:tcW w:w="4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B-46 Section 11.11.</w:t>
            </w:r>
          </w:p>
        </w:tc>
        <w:tc>
          <w:tcPr>
            <w:tcW w:w="900" w:type="dxa"/>
            <w:vAlign w:val="bottom"/>
          </w:tcPr>
          <w:p>
            <w:pPr>
              <w:spacing w:after="0"/>
              <w:rPr>
                <w:sz w:val="17"/>
                <w:szCs w:val="17"/>
                <w:color w:val="auto"/>
              </w:rPr>
            </w:pPr>
          </w:p>
        </w:tc>
      </w:tr>
      <w:tr>
        <w:trPr>
          <w:trHeight w:val="201"/>
        </w:trPr>
        <w:tc>
          <w:tcPr>
            <w:tcW w:w="5500" w:type="dxa"/>
            <w:vAlign w:val="bottom"/>
            <w:gridSpan w:val="2"/>
          </w:tcPr>
          <w:p>
            <w:pPr>
              <w:spacing w:after="0"/>
              <w:rPr>
                <w:sz w:val="20"/>
                <w:szCs w:val="20"/>
                <w:color w:val="auto"/>
              </w:rPr>
            </w:pPr>
            <w:r>
              <w:rPr>
                <w:rFonts w:ascii="Courier New" w:cs="Courier New" w:eastAsia="Courier New" w:hAnsi="Courier New"/>
                <w:sz w:val="17"/>
                <w:szCs w:val="17"/>
                <w:color w:val="auto"/>
                <w:w w:val="89"/>
              </w:rPr>
              <w:t>Headings....................................................</w:t>
            </w:r>
          </w:p>
        </w:tc>
        <w:tc>
          <w:tcPr>
            <w:tcW w:w="900" w:type="dxa"/>
            <w:vAlign w:val="bottom"/>
          </w:tcPr>
          <w:p>
            <w:pPr>
              <w:spacing w:after="0"/>
              <w:rPr>
                <w:sz w:val="17"/>
                <w:szCs w:val="17"/>
                <w:color w:val="auto"/>
              </w:rPr>
            </w:pPr>
          </w:p>
        </w:tc>
      </w:tr>
      <w:tr>
        <w:trPr>
          <w:trHeight w:val="201"/>
        </w:trPr>
        <w:tc>
          <w:tcPr>
            <w:tcW w:w="1160" w:type="dxa"/>
            <w:vAlign w:val="bottom"/>
          </w:tcPr>
          <w:p>
            <w:pPr>
              <w:spacing w:after="0"/>
              <w:rPr>
                <w:sz w:val="17"/>
                <w:szCs w:val="17"/>
                <w:color w:val="auto"/>
              </w:rPr>
            </w:pPr>
          </w:p>
        </w:tc>
        <w:tc>
          <w:tcPr>
            <w:tcW w:w="4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B-46 Section 11.12. Waivers of</w:t>
            </w:r>
          </w:p>
        </w:tc>
        <w:tc>
          <w:tcPr>
            <w:tcW w:w="900" w:type="dxa"/>
            <w:vAlign w:val="bottom"/>
          </w:tcPr>
          <w:p>
            <w:pPr>
              <w:spacing w:after="0"/>
              <w:rPr>
                <w:sz w:val="17"/>
                <w:szCs w:val="17"/>
                <w:color w:val="auto"/>
              </w:rPr>
            </w:pPr>
          </w:p>
        </w:tc>
      </w:tr>
      <w:tr>
        <w:trPr>
          <w:trHeight w:val="201"/>
        </w:trPr>
        <w:tc>
          <w:tcPr>
            <w:tcW w:w="55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Default..........................................</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B-46</w:t>
            </w:r>
          </w:p>
        </w:tc>
      </w:tr>
      <w:tr>
        <w:trPr>
          <w:trHeight w:val="201"/>
        </w:trPr>
        <w:tc>
          <w:tcPr>
            <w:tcW w:w="1160" w:type="dxa"/>
            <w:vAlign w:val="bottom"/>
          </w:tcPr>
          <w:p>
            <w:pPr>
              <w:spacing w:after="0"/>
              <w:rPr>
                <w:sz w:val="17"/>
                <w:szCs w:val="17"/>
                <w:color w:val="auto"/>
              </w:rPr>
            </w:pPr>
          </w:p>
        </w:tc>
        <w:tc>
          <w:tcPr>
            <w:tcW w:w="4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Section 11.13. Specific</w:t>
            </w:r>
          </w:p>
        </w:tc>
        <w:tc>
          <w:tcPr>
            <w:tcW w:w="900" w:type="dxa"/>
            <w:vAlign w:val="bottom"/>
          </w:tcPr>
          <w:p>
            <w:pPr>
              <w:spacing w:after="0"/>
              <w:rPr>
                <w:sz w:val="17"/>
                <w:szCs w:val="17"/>
                <w:color w:val="auto"/>
              </w:rPr>
            </w:pPr>
          </w:p>
        </w:tc>
      </w:tr>
      <w:tr>
        <w:trPr>
          <w:trHeight w:val="201"/>
        </w:trPr>
        <w:tc>
          <w:tcPr>
            <w:tcW w:w="5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Performance........................................</w:t>
            </w:r>
          </w:p>
        </w:tc>
        <w:tc>
          <w:tcPr>
            <w:tcW w:w="900" w:type="dxa"/>
            <w:vAlign w:val="bottom"/>
          </w:tcPr>
          <w:p>
            <w:pPr>
              <w:ind w:left="160"/>
              <w:spacing w:after="0"/>
              <w:rPr>
                <w:sz w:val="20"/>
                <w:szCs w:val="20"/>
                <w:color w:val="auto"/>
              </w:rPr>
            </w:pPr>
            <w:r>
              <w:rPr>
                <w:rFonts w:ascii="Courier New" w:cs="Courier New" w:eastAsia="Courier New" w:hAnsi="Courier New"/>
                <w:sz w:val="17"/>
                <w:szCs w:val="17"/>
                <w:color w:val="auto"/>
              </w:rPr>
              <w:t>B-46</w:t>
            </w:r>
          </w:p>
        </w:tc>
      </w:tr>
      <w:tr>
        <w:trPr>
          <w:trHeight w:val="201"/>
        </w:trPr>
        <w:tc>
          <w:tcPr>
            <w:tcW w:w="1160" w:type="dxa"/>
            <w:vAlign w:val="bottom"/>
          </w:tcPr>
          <w:p>
            <w:pPr>
              <w:spacing w:after="0"/>
              <w:rPr>
                <w:sz w:val="17"/>
                <w:szCs w:val="17"/>
                <w:color w:val="auto"/>
              </w:rPr>
            </w:pPr>
          </w:p>
        </w:tc>
        <w:tc>
          <w:tcPr>
            <w:tcW w:w="4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Section 11.14.</w:t>
            </w:r>
          </w:p>
        </w:tc>
        <w:tc>
          <w:tcPr>
            <w:tcW w:w="900" w:type="dxa"/>
            <w:vAlign w:val="bottom"/>
          </w:tcPr>
          <w:p>
            <w:pPr>
              <w:spacing w:after="0"/>
              <w:rPr>
                <w:sz w:val="17"/>
                <w:szCs w:val="17"/>
                <w:color w:val="auto"/>
              </w:rPr>
            </w:pPr>
          </w:p>
        </w:tc>
      </w:tr>
      <w:tr>
        <w:trPr>
          <w:trHeight w:val="201"/>
        </w:trPr>
        <w:tc>
          <w:tcPr>
            <w:tcW w:w="5500" w:type="dxa"/>
            <w:vAlign w:val="bottom"/>
            <w:gridSpan w:val="2"/>
          </w:tcPr>
          <w:p>
            <w:pPr>
              <w:spacing w:after="0"/>
              <w:rPr>
                <w:sz w:val="20"/>
                <w:szCs w:val="20"/>
                <w:color w:val="auto"/>
              </w:rPr>
            </w:pPr>
            <w:r>
              <w:rPr>
                <w:rFonts w:ascii="Courier New" w:cs="Courier New" w:eastAsia="Courier New" w:hAnsi="Courier New"/>
                <w:sz w:val="17"/>
                <w:szCs w:val="17"/>
                <w:color w:val="auto"/>
                <w:w w:val="89"/>
              </w:rPr>
              <w:t>Amendments..................................................</w:t>
            </w:r>
          </w:p>
        </w:tc>
        <w:tc>
          <w:tcPr>
            <w:tcW w:w="900" w:type="dxa"/>
            <w:vAlign w:val="bottom"/>
          </w:tcPr>
          <w:p>
            <w:pPr>
              <w:spacing w:after="0"/>
              <w:rPr>
                <w:sz w:val="17"/>
                <w:szCs w:val="17"/>
                <w:color w:val="auto"/>
              </w:rPr>
            </w:pPr>
          </w:p>
        </w:tc>
      </w:tr>
      <w:tr>
        <w:trPr>
          <w:trHeight w:val="201"/>
        </w:trPr>
        <w:tc>
          <w:tcPr>
            <w:tcW w:w="1160" w:type="dxa"/>
            <w:vAlign w:val="bottom"/>
          </w:tcPr>
          <w:p>
            <w:pPr>
              <w:spacing w:after="0"/>
              <w:rPr>
                <w:sz w:val="17"/>
                <w:szCs w:val="17"/>
                <w:color w:val="auto"/>
              </w:rPr>
            </w:pPr>
          </w:p>
        </w:tc>
        <w:tc>
          <w:tcPr>
            <w:tcW w:w="4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B-46 Section 11.15. Late</w:t>
            </w:r>
          </w:p>
        </w:tc>
        <w:tc>
          <w:tcPr>
            <w:tcW w:w="900" w:type="dxa"/>
            <w:vAlign w:val="bottom"/>
          </w:tcPr>
          <w:p>
            <w:pPr>
              <w:spacing w:after="0"/>
              <w:rPr>
                <w:sz w:val="17"/>
                <w:szCs w:val="17"/>
                <w:color w:val="auto"/>
              </w:rPr>
            </w:pPr>
          </w:p>
        </w:tc>
      </w:tr>
      <w:tr>
        <w:trPr>
          <w:trHeight w:val="201"/>
        </w:trPr>
        <w:tc>
          <w:tcPr>
            <w:tcW w:w="5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Payments...............................................</w:t>
            </w:r>
          </w:p>
        </w:tc>
        <w:tc>
          <w:tcPr>
            <w:tcW w:w="900" w:type="dxa"/>
            <w:vAlign w:val="bottom"/>
          </w:tcPr>
          <w:p>
            <w:pPr>
              <w:ind w:left="480"/>
              <w:spacing w:after="0"/>
              <w:rPr>
                <w:sz w:val="20"/>
                <w:szCs w:val="20"/>
                <w:color w:val="auto"/>
              </w:rPr>
            </w:pPr>
            <w:r>
              <w:rPr>
                <w:rFonts w:ascii="Courier New" w:cs="Courier New" w:eastAsia="Courier New" w:hAnsi="Courier New"/>
                <w:sz w:val="17"/>
                <w:szCs w:val="17"/>
                <w:color w:val="auto"/>
              </w:rPr>
              <w:t>B-</w:t>
            </w:r>
          </w:p>
        </w:tc>
      </w:tr>
      <w:tr>
        <w:trPr>
          <w:trHeight w:val="201"/>
        </w:trPr>
        <w:tc>
          <w:tcPr>
            <w:tcW w:w="1160" w:type="dxa"/>
            <w:vAlign w:val="bottom"/>
          </w:tcPr>
          <w:p>
            <w:pPr>
              <w:spacing w:after="0"/>
              <w:rPr>
                <w:sz w:val="17"/>
                <w:szCs w:val="17"/>
                <w:color w:val="auto"/>
              </w:rPr>
            </w:pPr>
          </w:p>
        </w:tc>
        <w:tc>
          <w:tcPr>
            <w:tcW w:w="4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46 Section 11.16.</w:t>
            </w:r>
          </w:p>
        </w:tc>
        <w:tc>
          <w:tcPr>
            <w:tcW w:w="900" w:type="dxa"/>
            <w:vAlign w:val="bottom"/>
          </w:tcPr>
          <w:p>
            <w:pPr>
              <w:spacing w:after="0"/>
              <w:rPr>
                <w:sz w:val="17"/>
                <w:szCs w:val="17"/>
                <w:color w:val="auto"/>
              </w:rPr>
            </w:pPr>
          </w:p>
        </w:tc>
      </w:tr>
      <w:tr>
        <w:trPr>
          <w:trHeight w:val="201"/>
        </w:trPr>
        <w:tc>
          <w:tcPr>
            <w:tcW w:w="6400" w:type="dxa"/>
            <w:vAlign w:val="bottom"/>
            <w:gridSpan w:val="3"/>
          </w:tcPr>
          <w:p>
            <w:pPr>
              <w:spacing w:after="0"/>
              <w:rPr>
                <w:sz w:val="20"/>
                <w:szCs w:val="20"/>
                <w:color w:val="auto"/>
              </w:rPr>
            </w:pPr>
            <w:r>
              <w:rPr>
                <w:rFonts w:ascii="Courier New" w:cs="Courier New" w:eastAsia="Courier New" w:hAnsi="Courier New"/>
                <w:sz w:val="17"/>
                <w:szCs w:val="17"/>
                <w:color w:val="auto"/>
              </w:rPr>
              <w:t>Interpretation..............................................</w:t>
            </w:r>
          </w:p>
        </w:tc>
      </w:tr>
      <w:tr>
        <w:trPr>
          <w:trHeight w:val="201"/>
        </w:trPr>
        <w:tc>
          <w:tcPr>
            <w:tcW w:w="1160" w:type="dxa"/>
            <w:vAlign w:val="bottom"/>
          </w:tcPr>
          <w:p>
            <w:pPr>
              <w:spacing w:after="0"/>
              <w:rPr>
                <w:sz w:val="17"/>
                <w:szCs w:val="17"/>
                <w:color w:val="auto"/>
              </w:rPr>
            </w:pPr>
          </w:p>
        </w:tc>
        <w:tc>
          <w:tcPr>
            <w:tcW w:w="4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B-46</w:t>
            </w:r>
          </w:p>
        </w:tc>
        <w:tc>
          <w:tcPr>
            <w:tcW w:w="900" w:type="dxa"/>
            <w:vAlign w:val="bottom"/>
          </w:tcPr>
          <w:p>
            <w:pPr>
              <w:spacing w:after="0"/>
              <w:rPr>
                <w:sz w:val="17"/>
                <w:szCs w:val="17"/>
                <w:color w:val="auto"/>
              </w:rPr>
            </w:pPr>
          </w:p>
        </w:tc>
      </w:tr>
      <w:tr>
        <w:trPr>
          <w:trHeight w:val="604"/>
        </w:trPr>
        <w:tc>
          <w:tcPr>
            <w:tcW w:w="1160" w:type="dxa"/>
            <w:vAlign w:val="bottom"/>
          </w:tcPr>
          <w:p>
            <w:pPr>
              <w:spacing w:after="0"/>
              <w:rPr>
                <w:sz w:val="24"/>
                <w:szCs w:val="24"/>
                <w:color w:val="auto"/>
              </w:rPr>
            </w:pPr>
          </w:p>
        </w:tc>
        <w:tc>
          <w:tcPr>
            <w:tcW w:w="4340" w:type="dxa"/>
            <w:vAlign w:val="bottom"/>
          </w:tcPr>
          <w:p>
            <w:pPr>
              <w:ind w:left="2620"/>
              <w:spacing w:after="0"/>
              <w:rPr>
                <w:sz w:val="20"/>
                <w:szCs w:val="20"/>
                <w:color w:val="auto"/>
              </w:rPr>
            </w:pPr>
            <w:r>
              <w:rPr>
                <w:rFonts w:ascii="Courier New" w:cs="Courier New" w:eastAsia="Courier New" w:hAnsi="Courier New"/>
                <w:sz w:val="17"/>
                <w:szCs w:val="17"/>
                <w:color w:val="auto"/>
              </w:rPr>
              <w:t>EXHIBITS</w:t>
            </w:r>
          </w:p>
        </w:tc>
        <w:tc>
          <w:tcPr>
            <w:tcW w:w="900" w:type="dxa"/>
            <w:vAlign w:val="bottom"/>
          </w:tcPr>
          <w:p>
            <w:pPr>
              <w:spacing w:after="0"/>
              <w:rPr>
                <w:sz w:val="24"/>
                <w:szCs w:val="24"/>
                <w:color w:val="auto"/>
              </w:rPr>
            </w:pPr>
          </w:p>
        </w:tc>
      </w:tr>
      <w:tr>
        <w:trPr>
          <w:trHeight w:val="806"/>
        </w:trPr>
        <w:tc>
          <w:tcPr>
            <w:tcW w:w="1160" w:type="dxa"/>
            <w:vAlign w:val="bottom"/>
          </w:tcPr>
          <w:p>
            <w:pPr>
              <w:spacing w:after="0"/>
              <w:rPr>
                <w:sz w:val="20"/>
                <w:szCs w:val="20"/>
                <w:color w:val="auto"/>
              </w:rPr>
            </w:pPr>
            <w:r>
              <w:rPr>
                <w:rFonts w:ascii="Courier New" w:cs="Courier New" w:eastAsia="Courier New" w:hAnsi="Courier New"/>
                <w:sz w:val="17"/>
                <w:szCs w:val="17"/>
                <w:color w:val="auto"/>
              </w:rPr>
              <w:t>Exhibit A</w:t>
            </w:r>
          </w:p>
        </w:tc>
        <w:tc>
          <w:tcPr>
            <w:tcW w:w="4340" w:type="dxa"/>
            <w:vAlign w:val="bottom"/>
          </w:tcPr>
          <w:p>
            <w:pPr>
              <w:spacing w:after="0"/>
              <w:rPr>
                <w:sz w:val="20"/>
                <w:szCs w:val="20"/>
                <w:color w:val="auto"/>
              </w:rPr>
            </w:pPr>
            <w:r>
              <w:rPr>
                <w:rFonts w:ascii="Courier New" w:cs="Courier New" w:eastAsia="Courier New" w:hAnsi="Courier New"/>
                <w:sz w:val="17"/>
                <w:szCs w:val="17"/>
                <w:color w:val="auto"/>
              </w:rPr>
              <w:t>AT&amp;T Communications Financial Statements</w:t>
            </w:r>
          </w:p>
        </w:tc>
        <w:tc>
          <w:tcPr>
            <w:tcW w:w="900" w:type="dxa"/>
            <w:vAlign w:val="bottom"/>
          </w:tcPr>
          <w:p>
            <w:pPr>
              <w:spacing w:after="0"/>
              <w:rPr>
                <w:sz w:val="24"/>
                <w:szCs w:val="24"/>
                <w:color w:val="auto"/>
              </w:rPr>
            </w:pPr>
          </w:p>
        </w:tc>
      </w:tr>
      <w:tr>
        <w:trPr>
          <w:trHeight w:val="201"/>
        </w:trPr>
        <w:tc>
          <w:tcPr>
            <w:tcW w:w="1160" w:type="dxa"/>
            <w:vAlign w:val="bottom"/>
          </w:tcPr>
          <w:p>
            <w:pPr>
              <w:spacing w:after="0"/>
              <w:rPr>
                <w:sz w:val="20"/>
                <w:szCs w:val="20"/>
                <w:color w:val="auto"/>
              </w:rPr>
            </w:pPr>
            <w:r>
              <w:rPr>
                <w:rFonts w:ascii="Courier New" w:cs="Courier New" w:eastAsia="Courier New" w:hAnsi="Courier New"/>
                <w:sz w:val="17"/>
                <w:szCs w:val="17"/>
                <w:color w:val="auto"/>
              </w:rPr>
              <w:t>Exhibit B</w:t>
            </w:r>
          </w:p>
        </w:tc>
        <w:tc>
          <w:tcPr>
            <w:tcW w:w="4340" w:type="dxa"/>
            <w:vAlign w:val="bottom"/>
          </w:tcPr>
          <w:p>
            <w:pPr>
              <w:spacing w:after="0"/>
              <w:rPr>
                <w:sz w:val="20"/>
                <w:szCs w:val="20"/>
                <w:color w:val="auto"/>
              </w:rPr>
            </w:pPr>
            <w:r>
              <w:rPr>
                <w:rFonts w:ascii="Courier New" w:cs="Courier New" w:eastAsia="Courier New" w:hAnsi="Courier New"/>
                <w:sz w:val="17"/>
                <w:szCs w:val="17"/>
                <w:color w:val="auto"/>
              </w:rPr>
              <w:t>Corporate Name Agreement</w:t>
            </w:r>
          </w:p>
        </w:tc>
        <w:tc>
          <w:tcPr>
            <w:tcW w:w="900" w:type="dxa"/>
            <w:vAlign w:val="bottom"/>
          </w:tcPr>
          <w:p>
            <w:pPr>
              <w:spacing w:after="0"/>
              <w:rPr>
                <w:sz w:val="17"/>
                <w:szCs w:val="17"/>
                <w:color w:val="auto"/>
              </w:rPr>
            </w:pPr>
          </w:p>
        </w:tc>
      </w:tr>
      <w:tr>
        <w:trPr>
          <w:trHeight w:val="201"/>
        </w:trPr>
        <w:tc>
          <w:tcPr>
            <w:tcW w:w="5500" w:type="dxa"/>
            <w:vAlign w:val="bottom"/>
            <w:gridSpan w:val="2"/>
          </w:tcPr>
          <w:p>
            <w:pPr>
              <w:spacing w:after="0"/>
              <w:rPr>
                <w:sz w:val="20"/>
                <w:szCs w:val="20"/>
                <w:color w:val="auto"/>
              </w:rPr>
            </w:pPr>
            <w:r>
              <w:rPr>
                <w:rFonts w:ascii="Courier New" w:cs="Courier New" w:eastAsia="Courier New" w:hAnsi="Courier New"/>
                <w:sz w:val="17"/>
                <w:szCs w:val="17"/>
                <w:color w:val="auto"/>
              </w:rPr>
              <w:t>Exhibit C  Employee Benefits Agreement</w:t>
            </w:r>
          </w:p>
        </w:tc>
        <w:tc>
          <w:tcPr>
            <w:tcW w:w="900" w:type="dxa"/>
            <w:vAlign w:val="bottom"/>
          </w:tcPr>
          <w:p>
            <w:pPr>
              <w:spacing w:after="0"/>
              <w:rPr>
                <w:sz w:val="17"/>
                <w:szCs w:val="17"/>
                <w:color w:val="auto"/>
              </w:rPr>
            </w:pPr>
          </w:p>
        </w:tc>
      </w:tr>
      <w:tr>
        <w:trPr>
          <w:trHeight w:val="201"/>
        </w:trPr>
        <w:tc>
          <w:tcPr>
            <w:tcW w:w="1160" w:type="dxa"/>
            <w:vAlign w:val="bottom"/>
          </w:tcPr>
          <w:p>
            <w:pPr>
              <w:spacing w:after="0"/>
              <w:rPr>
                <w:sz w:val="20"/>
                <w:szCs w:val="20"/>
                <w:color w:val="auto"/>
              </w:rPr>
            </w:pPr>
            <w:r>
              <w:rPr>
                <w:rFonts w:ascii="Courier New" w:cs="Courier New" w:eastAsia="Courier New" w:hAnsi="Courier New"/>
                <w:sz w:val="17"/>
                <w:szCs w:val="17"/>
                <w:color w:val="auto"/>
              </w:rPr>
              <w:t>Exhibit D</w:t>
            </w:r>
          </w:p>
        </w:tc>
        <w:tc>
          <w:tcPr>
            <w:tcW w:w="4340" w:type="dxa"/>
            <w:vAlign w:val="bottom"/>
          </w:tcPr>
          <w:p>
            <w:pPr>
              <w:spacing w:after="0"/>
              <w:rPr>
                <w:sz w:val="20"/>
                <w:szCs w:val="20"/>
                <w:color w:val="auto"/>
              </w:rPr>
            </w:pPr>
            <w:r>
              <w:rPr>
                <w:rFonts w:ascii="Courier New" w:cs="Courier New" w:eastAsia="Courier New" w:hAnsi="Courier New"/>
                <w:sz w:val="17"/>
                <w:szCs w:val="17"/>
                <w:color w:val="auto"/>
              </w:rPr>
              <w:t>Intellectual Property Agreement</w:t>
            </w:r>
          </w:p>
        </w:tc>
        <w:tc>
          <w:tcPr>
            <w:tcW w:w="900" w:type="dxa"/>
            <w:vAlign w:val="bottom"/>
          </w:tcPr>
          <w:p>
            <w:pPr>
              <w:spacing w:after="0"/>
              <w:rPr>
                <w:sz w:val="17"/>
                <w:szCs w:val="17"/>
                <w:color w:val="auto"/>
              </w:rPr>
            </w:pPr>
          </w:p>
        </w:tc>
      </w:tr>
      <w:tr>
        <w:trPr>
          <w:trHeight w:val="201"/>
        </w:trPr>
        <w:tc>
          <w:tcPr>
            <w:tcW w:w="1160" w:type="dxa"/>
            <w:vAlign w:val="bottom"/>
          </w:tcPr>
          <w:p>
            <w:pPr>
              <w:spacing w:after="0"/>
              <w:rPr>
                <w:sz w:val="20"/>
                <w:szCs w:val="20"/>
                <w:color w:val="auto"/>
              </w:rPr>
            </w:pPr>
            <w:r>
              <w:rPr>
                <w:rFonts w:ascii="Courier New" w:cs="Courier New" w:eastAsia="Courier New" w:hAnsi="Courier New"/>
                <w:sz w:val="17"/>
                <w:szCs w:val="17"/>
                <w:color w:val="auto"/>
              </w:rPr>
              <w:t>Exhibit E</w:t>
            </w:r>
          </w:p>
        </w:tc>
        <w:tc>
          <w:tcPr>
            <w:tcW w:w="5240" w:type="dxa"/>
            <w:vAlign w:val="bottom"/>
            <w:gridSpan w:val="2"/>
          </w:tcPr>
          <w:p>
            <w:pPr>
              <w:spacing w:after="0"/>
              <w:rPr>
                <w:sz w:val="20"/>
                <w:szCs w:val="20"/>
                <w:color w:val="auto"/>
              </w:rPr>
            </w:pPr>
            <w:r>
              <w:rPr>
                <w:rFonts w:ascii="Courier New" w:cs="Courier New" w:eastAsia="Courier New" w:hAnsi="Courier New"/>
                <w:sz w:val="17"/>
                <w:szCs w:val="17"/>
                <w:color w:val="auto"/>
              </w:rPr>
              <w:t>Interim Services and Systems Replication Agreement</w:t>
            </w:r>
          </w:p>
        </w:tc>
      </w:tr>
      <w:tr>
        <w:trPr>
          <w:trHeight w:val="201"/>
        </w:trPr>
        <w:tc>
          <w:tcPr>
            <w:tcW w:w="1160" w:type="dxa"/>
            <w:vAlign w:val="bottom"/>
          </w:tcPr>
          <w:p>
            <w:pPr>
              <w:spacing w:after="0"/>
              <w:rPr>
                <w:sz w:val="20"/>
                <w:szCs w:val="20"/>
                <w:color w:val="auto"/>
              </w:rPr>
            </w:pPr>
            <w:r>
              <w:rPr>
                <w:rFonts w:ascii="Courier New" w:cs="Courier New" w:eastAsia="Courier New" w:hAnsi="Courier New"/>
                <w:sz w:val="17"/>
                <w:szCs w:val="17"/>
                <w:color w:val="auto"/>
              </w:rPr>
              <w:t>Exhibit F</w:t>
            </w:r>
          </w:p>
        </w:tc>
        <w:tc>
          <w:tcPr>
            <w:tcW w:w="4340" w:type="dxa"/>
            <w:vAlign w:val="bottom"/>
          </w:tcPr>
          <w:p>
            <w:pPr>
              <w:spacing w:after="0"/>
              <w:rPr>
                <w:sz w:val="20"/>
                <w:szCs w:val="20"/>
                <w:color w:val="auto"/>
              </w:rPr>
            </w:pPr>
            <w:r>
              <w:rPr>
                <w:rFonts w:ascii="Courier New" w:cs="Courier New" w:eastAsia="Courier New" w:hAnsi="Courier New"/>
                <w:sz w:val="17"/>
                <w:szCs w:val="17"/>
                <w:color w:val="auto"/>
              </w:rPr>
              <w:t>Patent Assignment</w:t>
            </w:r>
          </w:p>
        </w:tc>
        <w:tc>
          <w:tcPr>
            <w:tcW w:w="900" w:type="dxa"/>
            <w:vAlign w:val="bottom"/>
          </w:tcPr>
          <w:p>
            <w:pPr>
              <w:spacing w:after="0"/>
              <w:rPr>
                <w:sz w:val="17"/>
                <w:szCs w:val="17"/>
                <w:color w:val="auto"/>
              </w:rPr>
            </w:pPr>
          </w:p>
        </w:tc>
      </w:tr>
      <w:tr>
        <w:trPr>
          <w:trHeight w:val="201"/>
        </w:trPr>
        <w:tc>
          <w:tcPr>
            <w:tcW w:w="1160" w:type="dxa"/>
            <w:vAlign w:val="bottom"/>
          </w:tcPr>
          <w:p>
            <w:pPr>
              <w:spacing w:after="0"/>
              <w:rPr>
                <w:sz w:val="20"/>
                <w:szCs w:val="20"/>
                <w:color w:val="auto"/>
              </w:rPr>
            </w:pPr>
            <w:r>
              <w:rPr>
                <w:rFonts w:ascii="Courier New" w:cs="Courier New" w:eastAsia="Courier New" w:hAnsi="Courier New"/>
                <w:sz w:val="17"/>
                <w:szCs w:val="17"/>
                <w:color w:val="auto"/>
              </w:rPr>
              <w:t>Exhibit G</w:t>
            </w:r>
          </w:p>
        </w:tc>
        <w:tc>
          <w:tcPr>
            <w:tcW w:w="4340" w:type="dxa"/>
            <w:vAlign w:val="bottom"/>
          </w:tcPr>
          <w:p>
            <w:pPr>
              <w:spacing w:after="0"/>
              <w:rPr>
                <w:sz w:val="20"/>
                <w:szCs w:val="20"/>
                <w:color w:val="auto"/>
              </w:rPr>
            </w:pPr>
            <w:r>
              <w:rPr>
                <w:rFonts w:ascii="Courier New" w:cs="Courier New" w:eastAsia="Courier New" w:hAnsi="Courier New"/>
                <w:sz w:val="17"/>
                <w:szCs w:val="17"/>
                <w:color w:val="auto"/>
              </w:rPr>
              <w:t>Tax Sharing Agreement</w:t>
            </w:r>
          </w:p>
        </w:tc>
        <w:tc>
          <w:tcPr>
            <w:tcW w:w="900" w:type="dxa"/>
            <w:vAlign w:val="bottom"/>
          </w:tcPr>
          <w:p>
            <w:pPr>
              <w:spacing w:after="0"/>
              <w:rPr>
                <w:sz w:val="17"/>
                <w:szCs w:val="17"/>
                <w:color w:val="auto"/>
              </w:rPr>
            </w:pPr>
          </w:p>
        </w:tc>
      </w:tr>
      <w:tr>
        <w:trPr>
          <w:trHeight w:val="201"/>
        </w:trPr>
        <w:tc>
          <w:tcPr>
            <w:tcW w:w="1160" w:type="dxa"/>
            <w:vAlign w:val="bottom"/>
          </w:tcPr>
          <w:p>
            <w:pPr>
              <w:spacing w:after="0"/>
              <w:rPr>
                <w:sz w:val="20"/>
                <w:szCs w:val="20"/>
                <w:color w:val="auto"/>
              </w:rPr>
            </w:pPr>
            <w:r>
              <w:rPr>
                <w:rFonts w:ascii="Courier New" w:cs="Courier New" w:eastAsia="Courier New" w:hAnsi="Courier New"/>
                <w:sz w:val="17"/>
                <w:szCs w:val="17"/>
                <w:color w:val="auto"/>
              </w:rPr>
              <w:t>Exhibit H</w:t>
            </w:r>
          </w:p>
        </w:tc>
        <w:tc>
          <w:tcPr>
            <w:tcW w:w="4340" w:type="dxa"/>
            <w:vAlign w:val="bottom"/>
          </w:tcPr>
          <w:p>
            <w:pPr>
              <w:spacing w:after="0"/>
              <w:rPr>
                <w:sz w:val="20"/>
                <w:szCs w:val="20"/>
                <w:color w:val="auto"/>
              </w:rPr>
            </w:pPr>
            <w:r>
              <w:rPr>
                <w:rFonts w:ascii="Courier New" w:cs="Courier New" w:eastAsia="Courier New" w:hAnsi="Courier New"/>
                <w:sz w:val="17"/>
                <w:szCs w:val="17"/>
                <w:color w:val="auto"/>
              </w:rPr>
              <w:t>Trademark and Service Mark Agreement</w:t>
            </w:r>
          </w:p>
        </w:tc>
        <w:tc>
          <w:tcPr>
            <w:tcW w:w="900" w:type="dxa"/>
            <w:vAlign w:val="bottom"/>
          </w:tcPr>
          <w:p>
            <w:pPr>
              <w:spacing w:after="0"/>
              <w:rPr>
                <w:sz w:val="17"/>
                <w:szCs w:val="17"/>
                <w:color w:val="auto"/>
              </w:rPr>
            </w:pPr>
          </w:p>
        </w:tc>
      </w:tr>
      <w:tr>
        <w:trPr>
          <w:trHeight w:val="201"/>
        </w:trPr>
        <w:tc>
          <w:tcPr>
            <w:tcW w:w="1160" w:type="dxa"/>
            <w:vAlign w:val="bottom"/>
          </w:tcPr>
          <w:p>
            <w:pPr>
              <w:spacing w:after="0"/>
              <w:rPr>
                <w:sz w:val="20"/>
                <w:szCs w:val="20"/>
                <w:color w:val="auto"/>
              </w:rPr>
            </w:pPr>
            <w:r>
              <w:rPr>
                <w:rFonts w:ascii="Courier New" w:cs="Courier New" w:eastAsia="Courier New" w:hAnsi="Courier New"/>
                <w:sz w:val="17"/>
                <w:szCs w:val="17"/>
                <w:color w:val="auto"/>
              </w:rPr>
              <w:t>Annex I</w:t>
            </w:r>
          </w:p>
        </w:tc>
        <w:tc>
          <w:tcPr>
            <w:tcW w:w="4340" w:type="dxa"/>
            <w:vAlign w:val="bottom"/>
          </w:tcPr>
          <w:p>
            <w:pPr>
              <w:spacing w:after="0"/>
              <w:rPr>
                <w:sz w:val="20"/>
                <w:szCs w:val="20"/>
                <w:color w:val="auto"/>
              </w:rPr>
            </w:pPr>
            <w:r>
              <w:rPr>
                <w:rFonts w:ascii="Courier New" w:cs="Courier New" w:eastAsia="Courier New" w:hAnsi="Courier New"/>
                <w:sz w:val="17"/>
                <w:szCs w:val="17"/>
                <w:color w:val="auto"/>
              </w:rPr>
              <w:t>TWE Consideration</w:t>
            </w: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B-iii</w:t>
      </w:r>
    </w:p>
    <w:p>
      <w:pPr>
        <w:sectPr>
          <w:pgSz w:w="11900" w:h="16838" w:orient="portrait"/>
          <w:cols w:equalWidth="0" w:num="1">
            <w:col w:w="10219"/>
          </w:cols>
          <w:pgMar w:left="240" w:top="719" w:right="1440" w:bottom="1440" w:gutter="0" w:footer="0" w:header="0"/>
        </w:sectPr>
      </w:pPr>
    </w:p>
    <w:bookmarkStart w:id="479" w:name="page480"/>
    <w:bookmarkEnd w:id="479"/>
    <w:p>
      <w:pPr>
        <w:ind w:left="2200"/>
        <w:spacing w:after="0"/>
        <w:rPr>
          <w:sz w:val="20"/>
          <w:szCs w:val="20"/>
          <w:color w:val="auto"/>
        </w:rPr>
      </w:pPr>
      <w:r>
        <w:rPr>
          <w:rFonts w:ascii="Courier New" w:cs="Courier New" w:eastAsia="Courier New" w:hAnsi="Courier New"/>
          <w:sz w:val="17"/>
          <w:szCs w:val="17"/>
          <w:color w:val="auto"/>
        </w:rPr>
        <w:t>SEPARATION AND DISTRIBUTION AGREEMENT</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THIS SEPARATION AND DISTRIBUTION AGREEMENT, dated as of December 19, 2001, is by and between AT&amp;T Corp., a New York corporation ("AT&amp;T"), and AT&amp;T Broadband Corp., a Delaware corporation ("AT&amp;T BROADBAND"). Capitalized terms used herein and not otherwise defined shall have the respective meanings assigned to them in Article 1.</w:t>
      </w:r>
    </w:p>
    <w:p>
      <w:pPr>
        <w:spacing w:after="0" w:line="197"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WHEREAS, the Board of Directors of AT&amp;T has determined that it is in the best interests of AT&amp;T and its shareholders to separate AT&amp;T's communications and broadband businesses into independent businesses and to subsequently merge AT&amp;T Broadband with a wholly owned subsidiary of AT&amp;T Comcast Corporation, a Pennsylvania corporation, pursuant to the Merger Agreement (as defined below);</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WHEREAS, in furtherance of the foregoing, upon the terms and subject to the conditions set forth in this Agreement, AT&amp;T will transfer the AT&amp;T Broadband Assets to AT&amp;T Broadband and its Subsidiaries and cause AT&amp;T Broadband and its Subsidiaries to assume the AT&amp;T Broadband Liabilities, all as more fully described in this Agreement and the other Ancillary Agreements;</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WHEREAS, upon the terms and subject to the conditions set forth in this Agreement, following the Separation, AT&amp;T will distribute all of the AT&amp;T Broadband Common Stock to shareholders of AT&amp;T and, if the QUIPS Exchange is completed (as defined below), to Microsoft Corporation, a Washington corporation, or an affiliate thereof ("MICROSOFT"), all as more fully described in this Agreement;</w:t>
      </w:r>
    </w:p>
    <w:p>
      <w:pPr>
        <w:spacing w:after="0" w:line="197" w:lineRule="exact"/>
        <w:rPr>
          <w:sz w:val="20"/>
          <w:szCs w:val="20"/>
          <w:color w:val="auto"/>
        </w:rPr>
      </w:pPr>
    </w:p>
    <w:p>
      <w:pPr>
        <w:ind w:right="1839" w:firstLine="524"/>
        <w:spacing w:after="0" w:line="258" w:lineRule="auto"/>
        <w:rPr>
          <w:sz w:val="20"/>
          <w:szCs w:val="20"/>
          <w:color w:val="auto"/>
        </w:rPr>
      </w:pPr>
      <w:r>
        <w:rPr>
          <w:rFonts w:ascii="Courier New" w:cs="Courier New" w:eastAsia="Courier New" w:hAnsi="Courier New"/>
          <w:sz w:val="17"/>
          <w:szCs w:val="17"/>
          <w:color w:val="auto"/>
        </w:rPr>
        <w:t>WHEREAS, for federal income tax purposes, it is intended that the Separation and Distribution constitute a tax-free reorganization under the Code; and</w:t>
      </w:r>
    </w:p>
    <w:p>
      <w:pPr>
        <w:spacing w:after="0" w:line="39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WHEREAS, it is appropriate and desirable to set forth the principal corporate transactions required to effect the Separation and the Distribution and certain other agreements that will govern certain matters relating to the Separation and the Distribution and the relationship of AT&amp;T and AT&amp;T Broadband and their respective Subsidiaries following the Distribution.</w:t>
      </w:r>
    </w:p>
    <w:p>
      <w:pPr>
        <w:spacing w:after="0" w:line="197"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NOW, THEREFORE, the parties hereto, intending to be legally bound, agree as follows:</w:t>
      </w:r>
    </w:p>
    <w:p>
      <w:pPr>
        <w:spacing w:after="0" w:line="192"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1</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DEFINITIONS</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SECTION 1.01. Definitions. For the purpose of this Agreement the following terms shall have the following meanings:</w:t>
      </w:r>
    </w:p>
    <w:p>
      <w:pPr>
        <w:spacing w:after="0" w:line="192"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"ACTION" means any demand, action, suit, countersuit, arbitration, inquiry, proceeding or investigation by or before any federal, state, local, foreign or international Governmental Authority or any arbitration or mediation tribunal.</w:t>
      </w:r>
    </w:p>
    <w:p>
      <w:pPr>
        <w:spacing w:after="0" w:line="194" w:lineRule="exact"/>
        <w:rPr>
          <w:sz w:val="20"/>
          <w:szCs w:val="20"/>
          <w:color w:val="auto"/>
        </w:rPr>
      </w:pPr>
    </w:p>
    <w:p>
      <w:pPr>
        <w:ind w:right="2679" w:firstLine="524"/>
        <w:spacing w:after="0" w:line="257" w:lineRule="auto"/>
        <w:rPr>
          <w:sz w:val="20"/>
          <w:szCs w:val="20"/>
          <w:color w:val="auto"/>
        </w:rPr>
      </w:pPr>
      <w:r>
        <w:rPr>
          <w:rFonts w:ascii="Courier New" w:cs="Courier New" w:eastAsia="Courier New" w:hAnsi="Courier New"/>
          <w:sz w:val="17"/>
          <w:szCs w:val="17"/>
          <w:color w:val="auto"/>
        </w:rPr>
        <w:t>"ADDITIONAL COMMERCIAL AGREEMENTS" has the meaning set forth in the definition of Ancillary Agreements.</w:t>
      </w:r>
    </w:p>
    <w:p>
      <w:pPr>
        <w:spacing w:after="0" w:line="19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"AFFILIATE" of any Person means a Person that controls, is controlled by, or is under common control with such Person; provided, however, that for purposes of this Agreement, no member of either the AT&amp;T Broadband Group or the AT&amp;T Communications Group shall be deemed to be an Affiliate of any member of the other Group and no employee plan or employee plan trust shall be deemed an Affiliate of any employer or of any Affiliate of any employer. As used herein, "control" means the possession, directly or indirectly, of the power to direct or cause the direction of the management and policies of such entity, whether through ownership of voting securities or other interests, by contract or otherwise.</w:t>
      </w:r>
    </w:p>
    <w:p>
      <w:pPr>
        <w:spacing w:after="0" w:line="201"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"AGENT" means the distribution agent to be appointed by AT&amp;T to distribute to shareholders of AT&amp;T the shares of AT&amp;T Broadband Common Stock pursuant to the Distribution.</w:t>
      </w:r>
    </w:p>
    <w:p>
      <w:pPr>
        <w:spacing w:after="0" w:line="194"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"AGREEMENT" means this Separation and Distribution Agreement, including all of the Schedules and Exhibits hereto.</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10219"/>
          </w:cols>
          <w:pgMar w:left="240" w:top="719" w:right="1440" w:bottom="860" w:gutter="0" w:footer="0" w:header="0"/>
        </w:sectPr>
      </w:pPr>
    </w:p>
    <w:bookmarkStart w:id="480" w:name="page481"/>
    <w:bookmarkEnd w:id="480"/>
    <w:p>
      <w:pPr>
        <w:ind w:right="2779" w:firstLine="524"/>
        <w:spacing w:after="0" w:line="257" w:lineRule="auto"/>
        <w:rPr>
          <w:sz w:val="20"/>
          <w:szCs w:val="20"/>
          <w:color w:val="auto"/>
        </w:rPr>
      </w:pPr>
      <w:r>
        <w:rPr>
          <w:rFonts w:ascii="Courier New" w:cs="Courier New" w:eastAsia="Courier New" w:hAnsi="Courier New"/>
          <w:sz w:val="17"/>
          <w:szCs w:val="17"/>
          <w:color w:val="auto"/>
        </w:rPr>
        <w:t>"AMERICAN RIDGE" means American Ridge Insurance Company, a Vermont corporation.</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"ANCILLARY AGREEMENTS" means (i) this Agreement, the Corporate Name Agreement, the Tax Sharing Agreement, the Employee Benefits Agreement, the Intellectual Property Agreement, the Patent Assignment, the Trademark and Service Mark Assignment (the agreements referred to in this clause (i), the "PRIMARY TRANSACTION AGREEMENTS"), (ii) those agreements and documents listed in Items 1-23 on Schedule 2.4(b)(ii)(A) (the agreements referred to in this clause (ii), as they may be amended as provided in Schedule 2.4(b)(ii)(B), the "PRIMARY COMMERCIAL AGREEMENTS") and (iii) any agreement, commitment or understanding that any of the Primary Commercial Agreements contemplates will be entered into or made after the date hereof; provided that the relevant Primary Commercial Agreement specifically sets forth all material terms of such agreement, commitment or understanding (the agreements, commitments and understandings referred to in this clause (iii) are referred to herein as the "ADDITIONAL COMMERCIAL AGREEMENTS").</w:t>
      </w:r>
    </w:p>
    <w:p>
      <w:pPr>
        <w:spacing w:after="0" w:line="200" w:lineRule="exact"/>
        <w:rPr>
          <w:sz w:val="20"/>
          <w:szCs w:val="20"/>
          <w:color w:val="auto"/>
        </w:r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"APPLICABLE DEADLINE" has the meaning set forth in Section 10.03.</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"ARBITRATION DEMAND NOTICE" has the meaning set forth in Section 10.03.</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"ARBITRATION PANEL" has the meaning set forth in Section 10.05.</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"ASSETS" means assets, properties and rights (including goodwill),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 including the following:</w:t>
      </w:r>
    </w:p>
    <w:p>
      <w:pPr>
        <w:spacing w:after="0" w:line="197" w:lineRule="exact"/>
        <w:rPr>
          <w:sz w:val="20"/>
          <w:szCs w:val="20"/>
          <w:color w:val="auto"/>
        </w:rPr>
      </w:pPr>
    </w:p>
    <w:p>
      <w:pPr>
        <w:ind w:left="540" w:right="2039" w:firstLine="515"/>
        <w:spacing w:after="0" w:line="254" w:lineRule="auto"/>
        <w:tabs>
          <w:tab w:leader="none" w:pos="1483" w:val="left"/>
        </w:tabs>
        <w:numPr>
          <w:ilvl w:val="0"/>
          <w:numId w:val="5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accounting and other books, records and files whether in paper, microfilm, microfiche, computer tape or disc, magnetic tape or any other form;</w:t>
      </w:r>
    </w:p>
    <w:p>
      <w:pPr>
        <w:spacing w:after="0" w:line="194" w:lineRule="exact"/>
        <w:rPr>
          <w:rFonts w:ascii="Courier New" w:cs="Courier New" w:eastAsia="Courier New" w:hAnsi="Courier New"/>
          <w:sz w:val="17"/>
          <w:szCs w:val="17"/>
          <w:color w:val="auto"/>
        </w:rPr>
      </w:pPr>
    </w:p>
    <w:p>
      <w:pPr>
        <w:ind w:left="540" w:right="2039" w:firstLine="515"/>
        <w:spacing w:after="0" w:line="252" w:lineRule="auto"/>
        <w:tabs>
          <w:tab w:leader="none" w:pos="1483" w:val="left"/>
        </w:tabs>
        <w:numPr>
          <w:ilvl w:val="0"/>
          <w:numId w:val="5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apparatus, computers and other electronic data processing equipment, fixtures, machinery, equipment, furniture, office equipment, automobiles, trucks, aircraft, rolling stock, vessels, motor vehicles and other transportation equipment, special and general tools, test devices, prototypes and models and other tangible personal property;</w:t>
      </w:r>
    </w:p>
    <w:p>
      <w:pPr>
        <w:spacing w:after="0" w:line="197" w:lineRule="exact"/>
        <w:rPr>
          <w:rFonts w:ascii="Courier New" w:cs="Courier New" w:eastAsia="Courier New" w:hAnsi="Courier New"/>
          <w:sz w:val="17"/>
          <w:szCs w:val="17"/>
          <w:color w:val="auto"/>
        </w:rPr>
      </w:pPr>
    </w:p>
    <w:p>
      <w:pPr>
        <w:ind w:left="540" w:right="2359" w:firstLine="515"/>
        <w:spacing w:after="0" w:line="257" w:lineRule="auto"/>
        <w:tabs>
          <w:tab w:leader="none" w:pos="1483" w:val="left"/>
        </w:tabs>
        <w:numPr>
          <w:ilvl w:val="0"/>
          <w:numId w:val="5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inventories of materials, parts, raw materials, supplies, work-in-process and finished goods and products;</w:t>
      </w:r>
    </w:p>
    <w:p>
      <w:pPr>
        <w:spacing w:after="0" w:line="191" w:lineRule="exact"/>
        <w:rPr>
          <w:rFonts w:ascii="Courier New" w:cs="Courier New" w:eastAsia="Courier New" w:hAnsi="Courier New"/>
          <w:sz w:val="17"/>
          <w:szCs w:val="17"/>
          <w:color w:val="auto"/>
        </w:rPr>
      </w:pPr>
    </w:p>
    <w:p>
      <w:pPr>
        <w:ind w:left="540" w:right="1839" w:firstLine="515"/>
        <w:spacing w:after="0" w:line="253" w:lineRule="auto"/>
        <w:tabs>
          <w:tab w:leader="none" w:pos="1483" w:val="left"/>
        </w:tabs>
        <w:numPr>
          <w:ilvl w:val="0"/>
          <w:numId w:val="5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interests in real property of whatever nature, including easements and rights of way, whether as owner, mortgagee or holder of a Security Interest in real property, lessor, sublessor, lessee, sublessee or otherwise, and copies of all related documentation;</w:t>
      </w:r>
    </w:p>
    <w:p>
      <w:pPr>
        <w:spacing w:after="0" w:line="195" w:lineRule="exact"/>
        <w:rPr>
          <w:rFonts w:ascii="Courier New" w:cs="Courier New" w:eastAsia="Courier New" w:hAnsi="Courier New"/>
          <w:sz w:val="17"/>
          <w:szCs w:val="17"/>
          <w:color w:val="auto"/>
        </w:rPr>
      </w:pPr>
    </w:p>
    <w:p>
      <w:pPr>
        <w:ind w:left="540" w:right="2039" w:firstLine="515"/>
        <w:spacing w:after="0" w:line="252" w:lineRule="auto"/>
        <w:tabs>
          <w:tab w:leader="none" w:pos="1483" w:val="left"/>
        </w:tabs>
        <w:numPr>
          <w:ilvl w:val="0"/>
          <w:numId w:val="5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interests in any capital stock or other equity interests of any Subsidiary or any other Person, all bonds, notes, debentures or other securities issued by any Subsidiary or any other Person, all loans, advances or other extensions of credit or capital contributions to any Subsidiary or any other Person and all other investments in securities of any Person;</w:t>
      </w:r>
    </w:p>
    <w:p>
      <w:pPr>
        <w:spacing w:after="0" w:line="196" w:lineRule="exact"/>
        <w:rPr>
          <w:rFonts w:ascii="Courier New" w:cs="Courier New" w:eastAsia="Courier New" w:hAnsi="Courier New"/>
          <w:sz w:val="17"/>
          <w:szCs w:val="17"/>
          <w:color w:val="auto"/>
        </w:rPr>
      </w:pPr>
    </w:p>
    <w:p>
      <w:pPr>
        <w:ind w:left="540" w:right="1839" w:firstLine="515"/>
        <w:spacing w:after="0" w:line="253" w:lineRule="auto"/>
        <w:tabs>
          <w:tab w:leader="none" w:pos="1483" w:val="left"/>
        </w:tabs>
        <w:numPr>
          <w:ilvl w:val="0"/>
          <w:numId w:val="5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license agreements, leases of personal property, open purchase orders for raw materials, supplies, parts or services, unfilled orders for the manufacture and sale of products and other contracts, agreements or commitments;</w:t>
      </w:r>
    </w:p>
    <w:p>
      <w:pPr>
        <w:spacing w:after="0" w:line="195"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5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deposits, letters of credit and performance and surety bonds;</w:t>
      </w:r>
    </w:p>
    <w:p>
      <w:pPr>
        <w:spacing w:after="0" w:line="210" w:lineRule="exact"/>
        <w:rPr>
          <w:rFonts w:ascii="Courier New" w:cs="Courier New" w:eastAsia="Courier New" w:hAnsi="Courier New"/>
          <w:sz w:val="17"/>
          <w:szCs w:val="17"/>
          <w:color w:val="auto"/>
        </w:rPr>
      </w:pPr>
    </w:p>
    <w:p>
      <w:pPr>
        <w:ind w:left="540" w:right="1839" w:firstLine="515"/>
        <w:spacing w:after="0" w:line="253" w:lineRule="auto"/>
        <w:tabs>
          <w:tab w:leader="none" w:pos="1483" w:val="left"/>
        </w:tabs>
        <w:numPr>
          <w:ilvl w:val="0"/>
          <w:numId w:val="5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written technical information, data, specifications, research and development information, engineering drawings, operating and maintenance manuals, and materials and analyses prepared by consultants and other third parties;</w:t>
      </w:r>
    </w:p>
    <w:p>
      <w:pPr>
        <w:spacing w:after="0" w:line="195"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5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domestic and foreign patents, copyrights, trade names, trademarks, service marks and registrations and applications for any of the foregoing, mask works, trade secrets, inventions, other proprietary information and licenses from third Persons granting the right to use any of the foregoing;</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219"/>
          </w:cols>
          <w:pgMar w:left="240" w:top="719" w:right="1440" w:bottom="457" w:gutter="0" w:footer="0" w:header="0"/>
        </w:sectPr>
      </w:pPr>
    </w:p>
    <w:bookmarkStart w:id="481" w:name="page482"/>
    <w:bookmarkEnd w:id="481"/>
    <w:p>
      <w:pPr>
        <w:ind w:right="1939" w:firstLine="515"/>
        <w:spacing w:after="0" w:line="254" w:lineRule="auto"/>
        <w:tabs>
          <w:tab w:leader="none" w:pos="943" w:val="left"/>
        </w:tabs>
        <w:numPr>
          <w:ilvl w:val="0"/>
          <w:numId w:val="5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computer applications, programs and other software, including operating software, network software, firmware, middleware, design software, design tools, systems documentation and instructions;</w:t>
      </w:r>
    </w:p>
    <w:p>
      <w:pPr>
        <w:spacing w:after="0" w:line="194" w:lineRule="exact"/>
        <w:rPr>
          <w:rFonts w:ascii="Courier New" w:cs="Courier New" w:eastAsia="Courier New" w:hAnsi="Courier New"/>
          <w:sz w:val="17"/>
          <w:szCs w:val="17"/>
          <w:color w:val="auto"/>
        </w:rPr>
      </w:pPr>
    </w:p>
    <w:p>
      <w:pPr>
        <w:ind w:right="1839" w:firstLine="515"/>
        <w:spacing w:after="0" w:line="252" w:lineRule="auto"/>
        <w:tabs>
          <w:tab w:leader="none" w:pos="943" w:val="left"/>
        </w:tabs>
        <w:numPr>
          <w:ilvl w:val="0"/>
          <w:numId w:val="5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cost information, sales and pricing data, customer prospect lists, supplier records, customer and supplier lists, records pertaining to customers and customer accounts, customer and vendor data, correspondence and lists, product literature, artwork, design, development and manufacturing files, vendor and customer drawings, formulations and specifications, quality records and reports and other books, records, studies, surveys, reports, plans and documents;</w:t>
      </w:r>
    </w:p>
    <w:p>
      <w:pPr>
        <w:spacing w:after="0" w:line="195" w:lineRule="exact"/>
        <w:rPr>
          <w:rFonts w:ascii="Courier New" w:cs="Courier New" w:eastAsia="Courier New" w:hAnsi="Courier New"/>
          <w:sz w:val="17"/>
          <w:szCs w:val="17"/>
          <w:color w:val="auto"/>
        </w:rPr>
      </w:pPr>
    </w:p>
    <w:p>
      <w:pPr>
        <w:ind w:right="1939" w:firstLine="515"/>
        <w:spacing w:after="0" w:line="257" w:lineRule="auto"/>
        <w:tabs>
          <w:tab w:leader="none" w:pos="943" w:val="left"/>
        </w:tabs>
        <w:numPr>
          <w:ilvl w:val="0"/>
          <w:numId w:val="5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prepaid expenses, trade accounts and other accounts and notes receivable;</w:t>
      </w:r>
    </w:p>
    <w:p>
      <w:pPr>
        <w:spacing w:after="0" w:line="191" w:lineRule="exact"/>
        <w:rPr>
          <w:rFonts w:ascii="Courier New" w:cs="Courier New" w:eastAsia="Courier New" w:hAnsi="Courier New"/>
          <w:sz w:val="17"/>
          <w:szCs w:val="17"/>
          <w:color w:val="auto"/>
        </w:rPr>
      </w:pPr>
    </w:p>
    <w:p>
      <w:pPr>
        <w:ind w:right="2039" w:firstLine="515"/>
        <w:spacing w:after="0" w:line="253" w:lineRule="auto"/>
        <w:tabs>
          <w:tab w:leader="none" w:pos="943" w:val="left"/>
        </w:tabs>
        <w:numPr>
          <w:ilvl w:val="0"/>
          <w:numId w:val="5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rights under contracts or agreements, all claims or rights against any Person arising from the ownership of any Asset, all rights in connection with any bids or offers and all claims, choices in action or similar rights, whether accrued or contingent;</w:t>
      </w:r>
    </w:p>
    <w:p>
      <w:pPr>
        <w:spacing w:after="0" w:line="195" w:lineRule="exact"/>
        <w:rPr>
          <w:rFonts w:ascii="Courier New" w:cs="Courier New" w:eastAsia="Courier New" w:hAnsi="Courier New"/>
          <w:sz w:val="17"/>
          <w:szCs w:val="17"/>
          <w:color w:val="auto"/>
        </w:rPr>
      </w:pPr>
    </w:p>
    <w:p>
      <w:pPr>
        <w:ind w:right="1839" w:firstLine="515"/>
        <w:spacing w:after="0" w:line="257" w:lineRule="auto"/>
        <w:tabs>
          <w:tab w:leader="none" w:pos="943" w:val="left"/>
        </w:tabs>
        <w:numPr>
          <w:ilvl w:val="0"/>
          <w:numId w:val="5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insurance proceeds and rights under insurance policies and all rights in the nature of insurance, indemnification or contribution;</w:t>
      </w:r>
    </w:p>
    <w:p>
      <w:pPr>
        <w:spacing w:after="0" w:line="191" w:lineRule="exact"/>
        <w:rPr>
          <w:rFonts w:ascii="Courier New" w:cs="Courier New" w:eastAsia="Courier New" w:hAnsi="Courier New"/>
          <w:sz w:val="17"/>
          <w:szCs w:val="17"/>
          <w:color w:val="auto"/>
        </w:rPr>
      </w:pPr>
    </w:p>
    <w:p>
      <w:pPr>
        <w:jc w:val="both"/>
        <w:ind w:right="2359" w:firstLine="515"/>
        <w:spacing w:after="0" w:line="254" w:lineRule="auto"/>
        <w:tabs>
          <w:tab w:leader="none" w:pos="943" w:val="left"/>
        </w:tabs>
        <w:numPr>
          <w:ilvl w:val="0"/>
          <w:numId w:val="5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licenses (including radio and similar licenses), permits, approvals and authorizations that have been issued by any Governmental Authority;</w:t>
      </w:r>
    </w:p>
    <w:p>
      <w:pPr>
        <w:spacing w:after="0" w:line="194" w:lineRule="exact"/>
        <w:rPr>
          <w:rFonts w:ascii="Courier New" w:cs="Courier New" w:eastAsia="Courier New" w:hAnsi="Courier New"/>
          <w:sz w:val="17"/>
          <w:szCs w:val="17"/>
          <w:color w:val="auto"/>
        </w:rPr>
      </w:pPr>
    </w:p>
    <w:p>
      <w:pPr>
        <w:ind w:right="1939" w:firstLine="515"/>
        <w:spacing w:after="0" w:line="257" w:lineRule="auto"/>
        <w:tabs>
          <w:tab w:leader="none" w:pos="943" w:val="left"/>
        </w:tabs>
        <w:numPr>
          <w:ilvl w:val="0"/>
          <w:numId w:val="5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cash or cash equivalents, bank accounts, lock boxes and other deposit arrangements;</w:t>
      </w:r>
    </w:p>
    <w:p>
      <w:pPr>
        <w:spacing w:after="0" w:line="191" w:lineRule="exact"/>
        <w:rPr>
          <w:rFonts w:ascii="Courier New" w:cs="Courier New" w:eastAsia="Courier New" w:hAnsi="Courier New"/>
          <w:sz w:val="17"/>
          <w:szCs w:val="17"/>
          <w:color w:val="auto"/>
        </w:rPr>
      </w:pPr>
    </w:p>
    <w:p>
      <w:pPr>
        <w:ind w:left="940" w:hanging="425"/>
        <w:spacing w:after="0"/>
        <w:tabs>
          <w:tab w:leader="none" w:pos="940" w:val="left"/>
        </w:tabs>
        <w:numPr>
          <w:ilvl w:val="0"/>
          <w:numId w:val="5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copies of all documentation related to Insurance Policies; and</w:t>
      </w:r>
    </w:p>
    <w:p>
      <w:pPr>
        <w:spacing w:after="0" w:line="210" w:lineRule="exact"/>
        <w:rPr>
          <w:rFonts w:ascii="Courier New" w:cs="Courier New" w:eastAsia="Courier New" w:hAnsi="Courier New"/>
          <w:sz w:val="17"/>
          <w:szCs w:val="17"/>
          <w:color w:val="auto"/>
        </w:rPr>
      </w:pPr>
    </w:p>
    <w:p>
      <w:pPr>
        <w:ind w:right="2039" w:firstLine="515"/>
        <w:spacing w:after="0" w:line="257" w:lineRule="auto"/>
        <w:tabs>
          <w:tab w:leader="none" w:pos="943" w:val="left"/>
        </w:tabs>
        <w:numPr>
          <w:ilvl w:val="0"/>
          <w:numId w:val="5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rate, currency, commodity or other swap, collar, cap or other hedging or similar agreements or arrangements.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has the meaning set forth in the Preamble.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BROADBAND" has the meaning set forth in the Preamble.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BROADBAND ACTION" has the meaning set forth in Section 6.02(d).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BROADBAND ASSETS" means:</w:t>
      </w:r>
    </w:p>
    <w:p>
      <w:pPr>
        <w:spacing w:after="0" w:line="210" w:lineRule="exact"/>
        <w:rPr>
          <w:sz w:val="20"/>
          <w:szCs w:val="20"/>
          <w:color w:val="auto"/>
        </w:rPr>
      </w:pPr>
    </w:p>
    <w:p>
      <w:pPr>
        <w:ind w:right="1839" w:firstLine="515"/>
        <w:spacing w:after="0" w:line="253" w:lineRule="auto"/>
        <w:tabs>
          <w:tab w:leader="none" w:pos="943" w:val="left"/>
        </w:tabs>
        <w:numPr>
          <w:ilvl w:val="0"/>
          <w:numId w:val="5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Schedule 1.14(a), any Assets reflected in the AT&amp;T Broadband Balance Sheet, unless disposed of to third parties after the date thereof (and, in the case of any such Assets disposed of after the date thereof, the proceeds from such disposal);</w:t>
      </w:r>
    </w:p>
    <w:p>
      <w:pPr>
        <w:spacing w:after="0" w:line="195" w:lineRule="exact"/>
        <w:rPr>
          <w:rFonts w:ascii="Courier New" w:cs="Courier New" w:eastAsia="Courier New" w:hAnsi="Courier New"/>
          <w:sz w:val="17"/>
          <w:szCs w:val="17"/>
          <w:color w:val="auto"/>
        </w:rPr>
      </w:pPr>
    </w:p>
    <w:p>
      <w:pPr>
        <w:jc w:val="both"/>
        <w:ind w:right="2039" w:firstLine="515"/>
        <w:spacing w:after="0" w:line="257" w:lineRule="auto"/>
        <w:tabs>
          <w:tab w:leader="none" w:pos="943" w:val="left"/>
        </w:tabs>
        <w:numPr>
          <w:ilvl w:val="0"/>
          <w:numId w:val="5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acquired after the date of the AT&amp;T Broadband Balance Sheet by AT&amp;T or any of its Subsidiaries utilizing AT&amp;T Broadband Assets;</w:t>
      </w:r>
    </w:p>
    <w:p>
      <w:pPr>
        <w:spacing w:after="0" w:line="191" w:lineRule="exact"/>
        <w:rPr>
          <w:rFonts w:ascii="Courier New" w:cs="Courier New" w:eastAsia="Courier New" w:hAnsi="Courier New"/>
          <w:sz w:val="17"/>
          <w:szCs w:val="17"/>
          <w:color w:val="auto"/>
        </w:rPr>
      </w:pPr>
    </w:p>
    <w:p>
      <w:pPr>
        <w:ind w:left="940" w:hanging="425"/>
        <w:spacing w:after="0"/>
        <w:tabs>
          <w:tab w:leader="none" w:pos="940" w:val="left"/>
        </w:tabs>
        <w:numPr>
          <w:ilvl w:val="0"/>
          <w:numId w:val="5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AT&amp;T Broadband Contracts;</w:t>
      </w:r>
    </w:p>
    <w:p>
      <w:pPr>
        <w:spacing w:after="0" w:line="210" w:lineRule="exact"/>
        <w:rPr>
          <w:rFonts w:ascii="Courier New" w:cs="Courier New" w:eastAsia="Courier New" w:hAnsi="Courier New"/>
          <w:sz w:val="17"/>
          <w:szCs w:val="17"/>
          <w:color w:val="auto"/>
        </w:rPr>
      </w:pPr>
    </w:p>
    <w:p>
      <w:pPr>
        <w:ind w:left="940" w:hanging="425"/>
        <w:spacing w:after="0"/>
        <w:tabs>
          <w:tab w:leader="none" w:pos="940" w:val="left"/>
        </w:tabs>
        <w:numPr>
          <w:ilvl w:val="0"/>
          <w:numId w:val="5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capital stock or other ownership interests in AT&amp;T Broadband</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Entities;</w:t>
      </w:r>
    </w:p>
    <w:p>
      <w:pPr>
        <w:spacing w:after="0" w:line="210" w:lineRule="exact"/>
        <w:rPr>
          <w:rFonts w:ascii="Courier New" w:cs="Courier New" w:eastAsia="Courier New" w:hAnsi="Courier New"/>
          <w:sz w:val="17"/>
          <w:szCs w:val="17"/>
          <w:color w:val="auto"/>
        </w:rPr>
      </w:pPr>
    </w:p>
    <w:p>
      <w:pPr>
        <w:ind w:left="940" w:hanging="425"/>
        <w:spacing w:after="0"/>
        <w:tabs>
          <w:tab w:leader="none" w:pos="940" w:val="left"/>
        </w:tabs>
        <w:numPr>
          <w:ilvl w:val="0"/>
          <w:numId w:val="5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interest in Western Range;</w:t>
      </w:r>
    </w:p>
    <w:p>
      <w:pPr>
        <w:spacing w:after="0" w:line="210" w:lineRule="exact"/>
        <w:rPr>
          <w:rFonts w:ascii="Courier New" w:cs="Courier New" w:eastAsia="Courier New" w:hAnsi="Courier New"/>
          <w:sz w:val="17"/>
          <w:szCs w:val="17"/>
          <w:color w:val="auto"/>
        </w:rPr>
      </w:pPr>
    </w:p>
    <w:p>
      <w:pPr>
        <w:ind w:left="940" w:hanging="425"/>
        <w:spacing w:after="0"/>
        <w:tabs>
          <w:tab w:leader="none" w:pos="940" w:val="left"/>
        </w:tabs>
        <w:numPr>
          <w:ilvl w:val="0"/>
          <w:numId w:val="5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AT&amp;T Broadband Real Property;</w:t>
      </w:r>
    </w:p>
    <w:p>
      <w:pPr>
        <w:spacing w:after="0" w:line="210" w:lineRule="exact"/>
        <w:rPr>
          <w:rFonts w:ascii="Courier New" w:cs="Courier New" w:eastAsia="Courier New" w:hAnsi="Courier New"/>
          <w:sz w:val="17"/>
          <w:szCs w:val="17"/>
          <w:color w:val="auto"/>
        </w:rPr>
      </w:pPr>
    </w:p>
    <w:p>
      <w:pPr>
        <w:ind w:right="2139" w:firstLine="515"/>
        <w:spacing w:after="0" w:line="253" w:lineRule="auto"/>
        <w:tabs>
          <w:tab w:leader="none" w:pos="943" w:val="left"/>
        </w:tabs>
        <w:numPr>
          <w:ilvl w:val="0"/>
          <w:numId w:val="5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that are expressly contemplated by this Agreement or any other Ancillary Agreement (or the Schedules hereto or thereto) as Assets to be retained by or assigned to any member of the AT&amp;T Broadband Group;</w:t>
      </w:r>
    </w:p>
    <w:p>
      <w:pPr>
        <w:spacing w:after="0" w:line="195" w:lineRule="exact"/>
        <w:rPr>
          <w:rFonts w:ascii="Courier New" w:cs="Courier New" w:eastAsia="Courier New" w:hAnsi="Courier New"/>
          <w:sz w:val="17"/>
          <w:szCs w:val="17"/>
          <w:color w:val="auto"/>
        </w:rPr>
      </w:pPr>
    </w:p>
    <w:p>
      <w:pPr>
        <w:ind w:right="1839" w:firstLine="515"/>
        <w:spacing w:after="0" w:line="251" w:lineRule="auto"/>
        <w:tabs>
          <w:tab w:leader="none" w:pos="943" w:val="left"/>
        </w:tabs>
        <w:numPr>
          <w:ilvl w:val="0"/>
          <w:numId w:val="5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governmental licenses, permits, franchises, approvals, certificates and other governmental authorizations held in the name of AT&amp;T or any of its Subsidiaries that are primarily related to the AT&amp;T Broadband Business (to the extent any of the foregoing would be required to be transferred pursuant hereto, such items will be AT&amp;T Broadband Assets only to the extent they are transferable upon the receipt of any relevant Consent), except for any intrastate telephony licenses, permits, franchises, approvals, certificates or other governmental authorizations that are used in the AT&amp;T</w:t>
      </w:r>
    </w:p>
    <w:p>
      <w:pPr>
        <w:spacing w:after="0" w:line="201"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B-3</w:t>
      </w:r>
    </w:p>
    <w:p>
      <w:pPr>
        <w:sectPr>
          <w:pgSz w:w="11900" w:h="16838" w:orient="portrait"/>
          <w:cols w:equalWidth="0" w:num="1">
            <w:col w:w="9679"/>
          </w:cols>
          <w:pgMar w:left="780" w:top="719" w:right="1440" w:bottom="256" w:gutter="0" w:footer="0" w:header="0"/>
        </w:sectPr>
      </w:pPr>
    </w:p>
    <w:bookmarkStart w:id="482" w:name="page483"/>
    <w:bookmarkEnd w:id="482"/>
    <w:p>
      <w:pPr>
        <w:ind w:left="540" w:right="1939"/>
        <w:spacing w:after="0" w:line="257" w:lineRule="auto"/>
        <w:rPr>
          <w:sz w:val="20"/>
          <w:szCs w:val="20"/>
          <w:color w:val="auto"/>
        </w:rPr>
      </w:pPr>
      <w:r>
        <w:rPr>
          <w:rFonts w:ascii="Courier New" w:cs="Courier New" w:eastAsia="Courier New" w:hAnsi="Courier New"/>
          <w:sz w:val="17"/>
          <w:szCs w:val="17"/>
          <w:color w:val="auto"/>
        </w:rPr>
        <w:t>Communications Business; (i) the Assets of T-Holdings and its Subsidiaries to be purchased by AT&amp;T Broadband pursuant to Section 2.01(f);</w:t>
      </w:r>
    </w:p>
    <w:p>
      <w:pPr>
        <w:spacing w:after="0" w:line="192" w:lineRule="exact"/>
        <w:rPr>
          <w:sz w:val="20"/>
          <w:szCs w:val="20"/>
          <w:color w:val="auto"/>
        </w:rPr>
      </w:pPr>
    </w:p>
    <w:p>
      <w:pPr>
        <w:ind w:left="540" w:right="2459" w:firstLine="515"/>
        <w:spacing w:after="0" w:line="257" w:lineRule="auto"/>
        <w:tabs>
          <w:tab w:leader="none" w:pos="1483" w:val="left"/>
        </w:tabs>
        <w:numPr>
          <w:ilvl w:val="0"/>
          <w:numId w:val="5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underlying any of the monetizations that are AT&amp;T Broadband Liabilities;</w:t>
      </w:r>
    </w:p>
    <w:p>
      <w:pPr>
        <w:spacing w:after="0" w:line="191"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5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listed or described on Schedule 1.14(k); and</w:t>
      </w:r>
    </w:p>
    <w:p>
      <w:pPr>
        <w:spacing w:after="0" w:line="210" w:lineRule="exact"/>
        <w:rPr>
          <w:rFonts w:ascii="Courier New" w:cs="Courier New" w:eastAsia="Courier New" w:hAnsi="Courier New"/>
          <w:sz w:val="17"/>
          <w:szCs w:val="17"/>
          <w:color w:val="auto"/>
        </w:rPr>
      </w:pPr>
    </w:p>
    <w:p>
      <w:pPr>
        <w:ind w:left="540" w:right="1839" w:firstLine="515"/>
        <w:spacing w:after="0" w:line="251" w:lineRule="auto"/>
        <w:tabs>
          <w:tab w:leader="none" w:pos="1483" w:val="left"/>
        </w:tabs>
        <w:numPr>
          <w:ilvl w:val="0"/>
          <w:numId w:val="5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that are not AT&amp;T Communications Assets specified in clauses (a) through (k) of the definition of AT&amp;T Communications Assets and that are used or held for use primarily in connection with the AT&amp;T Broadband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AT&amp;T Broadband Assets shall not in any event include any (i) Assets reflected on the AT&amp;T Communications Balance Sheet, except for those Assets specified in clauses (b), (d), (e), (f), (g), (i), (j) and (k) of the definition of AT&amp;T Broadband Assets or (ii) Assets that as of the Distribution Date are Leased Assets (as defined in the Local Network Connectivity Services Agreement).</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201"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"AT&amp;T BROADBAND BALANCE SHEET" means the balance sheet dated as of December 31, 2000 included in the AT&amp;T Broadband Financial Statements.</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BROADBAND BUSINESS" means the business of the AT&amp;T Broadband Group.</w:t>
      </w:r>
    </w:p>
    <w:p>
      <w:pPr>
        <w:spacing w:after="0" w:line="210"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"AT&amp;T BROADBAND COMMON STOCK" means the common stock, par value $0.01 per share, of AT&amp;T Broadband.</w:t>
      </w:r>
    </w:p>
    <w:p>
      <w:pPr>
        <w:spacing w:after="0" w:line="19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BROADBAND CONTRACTS" means the following contracts and agreements to which AT&amp;T or any of its Subsidiaries is a party or by which it or any of its Subsidiaries or any of their respective Assets is bound, whether or not in writing, except for any such contract or agreement that is expressly contemplated to be assigned to or retained by AT&amp;T or any member of the AT&amp;T Communications Group pursuant to any provision of this Agreement or any other Ancillary Agreement:</w:t>
      </w:r>
    </w:p>
    <w:p>
      <w:pPr>
        <w:spacing w:after="0" w:line="196" w:lineRule="exact"/>
        <w:rPr>
          <w:sz w:val="20"/>
          <w:szCs w:val="20"/>
          <w:color w:val="auto"/>
        </w:rPr>
      </w:pPr>
    </w:p>
    <w:p>
      <w:pPr>
        <w:ind w:left="540" w:right="2259" w:firstLine="515"/>
        <w:spacing w:after="0" w:line="253" w:lineRule="auto"/>
        <w:tabs>
          <w:tab w:leader="none" w:pos="1483" w:val="left"/>
        </w:tabs>
        <w:numPr>
          <w:ilvl w:val="0"/>
          <w:numId w:val="5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contract or agreement entered into in the name of, or expressly on behalf of, any AT&amp;T Broadband Entity, except to the extent clearly relating to the AT&amp;T Communications Group and except for any At Home Contract;</w:t>
      </w:r>
    </w:p>
    <w:p>
      <w:pPr>
        <w:spacing w:after="0" w:line="195" w:lineRule="exact"/>
        <w:rPr>
          <w:rFonts w:ascii="Courier New" w:cs="Courier New" w:eastAsia="Courier New" w:hAnsi="Courier New"/>
          <w:sz w:val="17"/>
          <w:szCs w:val="17"/>
          <w:color w:val="auto"/>
        </w:rPr>
      </w:pPr>
    </w:p>
    <w:p>
      <w:pPr>
        <w:ind w:left="540" w:right="2459" w:firstLine="515"/>
        <w:spacing w:after="0" w:line="257" w:lineRule="auto"/>
        <w:tabs>
          <w:tab w:leader="none" w:pos="1483" w:val="left"/>
        </w:tabs>
        <w:numPr>
          <w:ilvl w:val="0"/>
          <w:numId w:val="5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contract or agreement that relates primarily to the AT&amp;T Broadband Business other than any At Home Contract;</w:t>
      </w:r>
    </w:p>
    <w:p>
      <w:pPr>
        <w:spacing w:after="0" w:line="191" w:lineRule="exact"/>
        <w:rPr>
          <w:rFonts w:ascii="Courier New" w:cs="Courier New" w:eastAsia="Courier New" w:hAnsi="Courier New"/>
          <w:sz w:val="17"/>
          <w:szCs w:val="17"/>
          <w:color w:val="auto"/>
        </w:rPr>
      </w:pPr>
    </w:p>
    <w:p>
      <w:pPr>
        <w:ind w:left="540" w:right="2039" w:firstLine="515"/>
        <w:spacing w:after="0" w:line="257" w:lineRule="auto"/>
        <w:tabs>
          <w:tab w:leader="none" w:pos="1483" w:val="left"/>
        </w:tabs>
        <w:numPr>
          <w:ilvl w:val="0"/>
          <w:numId w:val="5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rights and obligations of the AT&amp;T Broadband Group under any At Home Contract;</w:t>
      </w:r>
    </w:p>
    <w:p>
      <w:pPr>
        <w:spacing w:after="0" w:line="191" w:lineRule="exact"/>
        <w:rPr>
          <w:rFonts w:ascii="Courier New" w:cs="Courier New" w:eastAsia="Courier New" w:hAnsi="Courier New"/>
          <w:sz w:val="17"/>
          <w:szCs w:val="17"/>
          <w:color w:val="auto"/>
        </w:rPr>
      </w:pPr>
    </w:p>
    <w:p>
      <w:pPr>
        <w:ind w:left="540" w:right="2459" w:firstLine="515"/>
        <w:spacing w:after="0" w:line="254" w:lineRule="auto"/>
        <w:tabs>
          <w:tab w:leader="none" w:pos="1483" w:val="left"/>
        </w:tabs>
        <w:numPr>
          <w:ilvl w:val="0"/>
          <w:numId w:val="5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note, indenture, contract, agreement, mortgage or other instrument representing Indebtedness or other Liabilities that are in either such case AT&amp;T Broadband Liabilities;</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B-4</w:t>
      </w:r>
    </w:p>
    <w:p>
      <w:pPr>
        <w:sectPr>
          <w:pgSz w:w="11900" w:h="16838" w:orient="portrait"/>
          <w:cols w:equalWidth="0" w:num="1">
            <w:col w:w="10219"/>
          </w:cols>
          <w:pgMar w:left="240" w:top="719" w:right="1440" w:bottom="860" w:gutter="0" w:footer="0" w:header="0"/>
        </w:sectPr>
      </w:pPr>
    </w:p>
    <w:bookmarkStart w:id="483" w:name="page484"/>
    <w:bookmarkEnd w:id="483"/>
    <w:p>
      <w:pPr>
        <w:ind w:left="540" w:right="1939" w:firstLine="515"/>
        <w:spacing w:after="0" w:line="253" w:lineRule="auto"/>
        <w:tabs>
          <w:tab w:leader="none" w:pos="1483" w:val="left"/>
        </w:tabs>
        <w:numPr>
          <w:ilvl w:val="0"/>
          <w:numId w:val="5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contract or agreement that is expressly contemplated pursuant to this Agreement or any of the other Ancillary Agreements to be assigned or transferred to or retained by AT&amp;T Broadband or any member of the AT&amp;T Broadband Group;</w:t>
      </w:r>
    </w:p>
    <w:p>
      <w:pPr>
        <w:spacing w:after="0" w:line="195" w:lineRule="exact"/>
        <w:rPr>
          <w:rFonts w:ascii="Courier New" w:cs="Courier New" w:eastAsia="Courier New" w:hAnsi="Courier New"/>
          <w:sz w:val="17"/>
          <w:szCs w:val="17"/>
          <w:color w:val="auto"/>
        </w:rPr>
      </w:pPr>
    </w:p>
    <w:p>
      <w:pPr>
        <w:ind w:left="540" w:right="1939" w:firstLine="515"/>
        <w:spacing w:after="0" w:line="253" w:lineRule="auto"/>
        <w:tabs>
          <w:tab w:leader="none" w:pos="1483" w:val="left"/>
        </w:tabs>
        <w:numPr>
          <w:ilvl w:val="0"/>
          <w:numId w:val="5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guarantee, indemnity, representation, warranty or other Liability of any member of the AT&amp;T Communications Group in respect of any other AT&amp;T Broadband Contract, any AT&amp;T Broadband Liability or the AT&amp;T Broadband Business;</w:t>
      </w:r>
    </w:p>
    <w:p>
      <w:pPr>
        <w:spacing w:after="0" w:line="195" w:lineRule="exact"/>
        <w:rPr>
          <w:rFonts w:ascii="Courier New" w:cs="Courier New" w:eastAsia="Courier New" w:hAnsi="Courier New"/>
          <w:sz w:val="17"/>
          <w:szCs w:val="17"/>
          <w:color w:val="auto"/>
        </w:rPr>
      </w:pPr>
    </w:p>
    <w:p>
      <w:pPr>
        <w:ind w:left="540" w:right="1839" w:firstLine="515"/>
        <w:spacing w:after="0" w:line="254" w:lineRule="auto"/>
        <w:tabs>
          <w:tab w:leader="none" w:pos="1483" w:val="left"/>
        </w:tabs>
        <w:numPr>
          <w:ilvl w:val="0"/>
          <w:numId w:val="5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contract or agreement listed or described on Schedule 1.18(g), including in the case of commitment or similar contracts or agreements, contracts or agreements to the extent indicated on such Schedule;</w:t>
      </w:r>
    </w:p>
    <w:p>
      <w:pPr>
        <w:spacing w:after="0" w:line="194"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5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letter of credit, surety bond, swap, foreign exchange or other instrument or contract primarily relating to the AT&amp;T Broadband Group, together with any letters of credit, surety bonds, swaps, foreign exchange or other such instruments or contracts that were entered into in connection with Indebtedness of the AT&amp;T Broadband Group; and</w:t>
      </w:r>
    </w:p>
    <w:p>
      <w:pPr>
        <w:spacing w:after="0" w:line="197"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5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monetizations listed or described on Schedule 1.18(i).</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With respect to any contract or agreement that relates in material part to both the AT&amp;T Broadband Group and the AT&amp;T Communications Group, the 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196" w:lineRule="exact"/>
        <w:rPr>
          <w:sz w:val="20"/>
          <w:szCs w:val="20"/>
          <w:color w:val="auto"/>
        </w:rPr>
      </w:pPr>
    </w:p>
    <w:p>
      <w:pPr>
        <w:ind w:right="2679" w:firstLine="524"/>
        <w:spacing w:after="0" w:line="257" w:lineRule="auto"/>
        <w:rPr>
          <w:sz w:val="20"/>
          <w:szCs w:val="20"/>
          <w:color w:val="auto"/>
        </w:rPr>
      </w:pPr>
      <w:r>
        <w:rPr>
          <w:rFonts w:ascii="Courier New" w:cs="Courier New" w:eastAsia="Courier New" w:hAnsi="Courier New"/>
          <w:sz w:val="17"/>
          <w:szCs w:val="17"/>
          <w:color w:val="auto"/>
        </w:rPr>
        <w:t>"AT&amp;T BROADBAND ENTITIES" means AT&amp;T Broadband and each of the AT&amp;T Broadband Subsidiaries.</w:t>
      </w:r>
    </w:p>
    <w:p>
      <w:pPr>
        <w:spacing w:after="0" w:line="192"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"AT&amp;T BROADBAND FINANCIAL STATEMENTS" has the meaning set forth in the Merger Agreement.</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GROUP" means the direct or indirect interest of AT&amp;T (either itself or through direct or indirect Subsidiaries, or any of their predecessors or successors) in (a) all of the businesses, Assets and Liabilities reflected in the AT&amp;T Broadband Financial Statements; (b) the other Assets and Liabilities (contingent or otherwise) of AT&amp;T and its Subsidiaries primarily related to businesses, assets and liabilities described in clause (a) and all net income, net losses, Assets and Liabilities arising in respect thereof after the date of the AT&amp;T Broadband Financial Statements; (c) all Assets, Liabilities and businesses acquired after the date of the AT&amp;T Broadband Financial Statements by the AT&amp;T Broadband Group or utilizing cash or other Assets referred to in clauses (a) or (b); and (d) any business or operations that were terminated, divested or discontinued by any AT&amp;T Broadband Entity, including US West, Inc. and its Subsidiaries (and their respective predecessors and successors), or that are listed or described on Schedule 1.21(d); and (e) the businesses, Assets and Liabilities listed or described on Schedule 1.21(e); provided that the AT&amp;T Broadband Group shall not include (x) any Assets disposed of to any third party or otherwise transferred to any third party from the AT&amp;T Broadband Group after the date of the AT&amp;T Broadband Financial Statements (but it shall include any net proceeds thereof) or (y) any businesses, Liabilities or Assets of, or the capital stock or other ownership interests in, T-Holdings and its Subsidiaries, other than the Assets purchased pursuant to Section 2.01(f) and any Liabilities of T-Holdings and its Subsidiaries as of the Distribution Date. Notwithstanding the foregoing, when this Agreement refers to "a member of the AT&amp;T Broadband Group" or similar language clearly referring to a Person, it means any one of the AT&amp;T Broadband Entities.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BROADBAND INDEMNITEES" has the meaning set forth in Section 5.02.</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BROADBAND LIABILITIES" means:</w:t>
      </w:r>
    </w:p>
    <w:p>
      <w:pPr>
        <w:spacing w:after="0" w:line="210" w:lineRule="exact"/>
        <w:rPr>
          <w:sz w:val="20"/>
          <w:szCs w:val="20"/>
          <w:color w:val="auto"/>
        </w:rPr>
      </w:pPr>
    </w:p>
    <w:p>
      <w:pPr>
        <w:ind w:left="540" w:right="1939" w:firstLine="515"/>
        <w:spacing w:after="0" w:line="254" w:lineRule="auto"/>
        <w:tabs>
          <w:tab w:leader="none" w:pos="1483" w:val="left"/>
        </w:tabs>
        <w:numPr>
          <w:ilvl w:val="0"/>
          <w:numId w:val="5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reflected on the AT&amp;T Broadband Balance Sheet, subject to any discharge of such Liabilities subsequent to the date of the AT&amp;T Broadband Balance Sheet;</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B-5</w:t>
      </w:r>
    </w:p>
    <w:p>
      <w:pPr>
        <w:sectPr>
          <w:pgSz w:w="11900" w:h="16838" w:orient="portrait"/>
          <w:cols w:equalWidth="0" w:num="1">
            <w:col w:w="10219"/>
          </w:cols>
          <w:pgMar w:left="240" w:top="719" w:right="1440" w:bottom="1440" w:gutter="0" w:footer="0" w:header="0"/>
        </w:sectPr>
      </w:pPr>
    </w:p>
    <w:bookmarkStart w:id="484" w:name="page485"/>
    <w:bookmarkEnd w:id="484"/>
    <w:p>
      <w:pPr>
        <w:ind w:right="1839" w:firstLine="515"/>
        <w:spacing w:after="0" w:line="252" w:lineRule="auto"/>
        <w:tabs>
          <w:tab w:leader="none" w:pos="943" w:val="left"/>
        </w:tabs>
        <w:numPr>
          <w:ilvl w:val="0"/>
          <w:numId w:val="5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that are expressly contemplated by this Agreement or any other Ancillary Agreement (or the Schedules hereto or thereto) as Liabilities to be retained or assumed by AT&amp;T Broadband or any other member of the AT&amp;T Broadband Group, subject to discharge of such Liabilities subsequent to the date of the AT&amp;T Broadband Balance Sheet, and all agreements, obligations and Liabilities of any member of the AT&amp;T Broadband Group under this Agreement or any of the other Ancillary Agreements;</w:t>
      </w:r>
    </w:p>
    <w:p>
      <w:pPr>
        <w:spacing w:after="0" w:line="195" w:lineRule="exact"/>
        <w:rPr>
          <w:rFonts w:ascii="Courier New" w:cs="Courier New" w:eastAsia="Courier New" w:hAnsi="Courier New"/>
          <w:sz w:val="17"/>
          <w:szCs w:val="17"/>
          <w:color w:val="auto"/>
        </w:rPr>
      </w:pPr>
    </w:p>
    <w:p>
      <w:pPr>
        <w:ind w:right="2039" w:firstLine="515"/>
        <w:spacing w:after="0" w:line="257" w:lineRule="auto"/>
        <w:tabs>
          <w:tab w:leader="none" w:pos="943" w:val="left"/>
        </w:tabs>
        <w:numPr>
          <w:ilvl w:val="0"/>
          <w:numId w:val="5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of any AT&amp;T Broadband Entity and any Liabilities as of the Distribution Date of T-Holdings or any of its Subsidiaries;</w:t>
      </w:r>
    </w:p>
    <w:p>
      <w:pPr>
        <w:spacing w:after="0" w:line="191" w:lineRule="exact"/>
        <w:rPr>
          <w:rFonts w:ascii="Courier New" w:cs="Courier New" w:eastAsia="Courier New" w:hAnsi="Courier New"/>
          <w:sz w:val="17"/>
          <w:szCs w:val="17"/>
          <w:color w:val="auto"/>
        </w:rPr>
      </w:pPr>
    </w:p>
    <w:p>
      <w:pPr>
        <w:ind w:right="1939" w:firstLine="515"/>
        <w:spacing w:after="0" w:line="253" w:lineRule="auto"/>
        <w:tabs>
          <w:tab w:leader="none" w:pos="943" w:val="left"/>
        </w:tabs>
        <w:numPr>
          <w:ilvl w:val="0"/>
          <w:numId w:val="5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relating to, arising out of or resulting from any AT&amp;T Broadband Contract, excluding, for the avoidance of doubt, any Liabilities of any member of the AT&amp;T Communications Group as a party (for the benefit of the AT&amp;T Communications Group) under any At Home Contract;</w:t>
      </w:r>
    </w:p>
    <w:p>
      <w:pPr>
        <w:spacing w:after="0" w:line="195" w:lineRule="exact"/>
        <w:rPr>
          <w:rFonts w:ascii="Courier New" w:cs="Courier New" w:eastAsia="Courier New" w:hAnsi="Courier New"/>
          <w:sz w:val="17"/>
          <w:szCs w:val="17"/>
          <w:color w:val="auto"/>
        </w:rPr>
      </w:pPr>
    </w:p>
    <w:p>
      <w:pPr>
        <w:ind w:right="2359" w:firstLine="515"/>
        <w:spacing w:after="0" w:line="257" w:lineRule="auto"/>
        <w:tabs>
          <w:tab w:leader="none" w:pos="943" w:val="left"/>
        </w:tabs>
        <w:numPr>
          <w:ilvl w:val="0"/>
          <w:numId w:val="5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incurred after the date of the AT&amp;T Broadband Balance Sheet by any AT&amp;T Broadband Entity;</w:t>
      </w:r>
    </w:p>
    <w:p>
      <w:pPr>
        <w:spacing w:after="0" w:line="191" w:lineRule="exact"/>
        <w:rPr>
          <w:rFonts w:ascii="Courier New" w:cs="Courier New" w:eastAsia="Courier New" w:hAnsi="Courier New"/>
          <w:sz w:val="17"/>
          <w:szCs w:val="17"/>
          <w:color w:val="auto"/>
        </w:rPr>
      </w:pPr>
    </w:p>
    <w:p>
      <w:pPr>
        <w:ind w:right="1939" w:firstLine="515"/>
        <w:spacing w:after="0" w:line="251" w:lineRule="auto"/>
        <w:tabs>
          <w:tab w:leader="none" w:pos="943" w:val="left"/>
        </w:tabs>
        <w:numPr>
          <w:ilvl w:val="0"/>
          <w:numId w:val="5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to the extent arising from any breach by any member of the AT&amp;T Communications Group after the Distribution Date of any covenant or agreement entered into in connection with the separation, divestiture or termination of LMC and its Subsidiaries, or as otherwise expressly contemplated by any other Ancillary Agreement, any Liabilities to the extent arising out of, relating to or resulting from LMC and its Subsidiaries, any commercial or other agreements or arrangements primarily relating to the AT&amp;T Broadband Group and involving LMC or any of its Subsidiaries or the ownership of any securities of any such entity;</w:t>
      </w:r>
    </w:p>
    <w:p>
      <w:pPr>
        <w:spacing w:after="0" w:line="201" w:lineRule="exact"/>
        <w:rPr>
          <w:rFonts w:ascii="Courier New" w:cs="Courier New" w:eastAsia="Courier New" w:hAnsi="Courier New"/>
          <w:sz w:val="17"/>
          <w:szCs w:val="17"/>
          <w:color w:val="auto"/>
        </w:rPr>
      </w:pPr>
    </w:p>
    <w:p>
      <w:pPr>
        <w:jc w:val="both"/>
        <w:ind w:right="1839" w:firstLine="515"/>
        <w:spacing w:after="0" w:line="251" w:lineRule="auto"/>
        <w:tabs>
          <w:tab w:leader="none" w:pos="943" w:val="left"/>
        </w:tabs>
        <w:numPr>
          <w:ilvl w:val="0"/>
          <w:numId w:val="5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any Liabilities relating to, arising out of, or resulting from any Actions primarily related to, arising out of or resulting from the AT&amp;T Broadband Business, including those listed or described on Schedule</w:t>
      </w:r>
    </w:p>
    <w:p>
      <w:pPr>
        <w:ind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1.23(g),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Separation or the Distribution or any proposed transaction involving AT&amp;T Broadband following the Distribution (including any legal or other fees incurred as a result of, or with respect to, any such Liability and including any Liability AT&amp;T may have under Section 910 of the NYBCL in connection with the Distribution) (the transactions specified in clause (iv), the "SPECIFIED TRANSACTIONS");</w:t>
      </w:r>
    </w:p>
    <w:p>
      <w:pPr>
        <w:spacing w:after="0" w:line="201" w:lineRule="exact"/>
        <w:rPr>
          <w:rFonts w:ascii="Courier New" w:cs="Courier New" w:eastAsia="Courier New" w:hAnsi="Courier New"/>
          <w:sz w:val="17"/>
          <w:szCs w:val="17"/>
          <w:color w:val="auto"/>
        </w:rPr>
      </w:pPr>
    </w:p>
    <w:p>
      <w:pPr>
        <w:ind w:right="2139" w:firstLine="515"/>
        <w:spacing w:after="0" w:line="254" w:lineRule="auto"/>
        <w:tabs>
          <w:tab w:leader="none" w:pos="943" w:val="left"/>
        </w:tabs>
        <w:numPr>
          <w:ilvl w:val="0"/>
          <w:numId w:val="5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including any employee-related Liabilities and Environmental Liabilities, primarily relating to, arising out of or resulting from:</w:t>
      </w:r>
    </w:p>
    <w:p>
      <w:pPr>
        <w:spacing w:after="0" w:line="194" w:lineRule="exact"/>
        <w:rPr>
          <w:rFonts w:ascii="Courier New" w:cs="Courier New" w:eastAsia="Courier New" w:hAnsi="Courier New"/>
          <w:sz w:val="17"/>
          <w:szCs w:val="17"/>
          <w:color w:val="auto"/>
        </w:rPr>
      </w:pPr>
    </w:p>
    <w:p>
      <w:pPr>
        <w:ind w:left="300" w:right="1839" w:firstLine="529"/>
        <w:spacing w:after="0" w:line="252" w:lineRule="auto"/>
        <w:tabs>
          <w:tab w:leader="none" w:pos="1243" w:val="left"/>
        </w:tabs>
        <w:numPr>
          <w:ilvl w:val="1"/>
          <w:numId w:val="5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Broadband Group, including the operation of the AT&amp;T Broadband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196" w:lineRule="exact"/>
        <w:rPr>
          <w:rFonts w:ascii="Courier New" w:cs="Courier New" w:eastAsia="Courier New" w:hAnsi="Courier New"/>
          <w:sz w:val="17"/>
          <w:szCs w:val="17"/>
          <w:color w:val="auto"/>
        </w:rPr>
      </w:pPr>
    </w:p>
    <w:p>
      <w:pPr>
        <w:ind w:left="300" w:right="1939" w:firstLine="529"/>
        <w:spacing w:after="0" w:line="252" w:lineRule="auto"/>
        <w:tabs>
          <w:tab w:leader="none" w:pos="1347" w:val="left"/>
        </w:tabs>
        <w:numPr>
          <w:ilvl w:val="1"/>
          <w:numId w:val="5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operation of any business conducted by any member of the AT&amp;T Broadband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196" w:lineRule="exact"/>
        <w:rPr>
          <w:rFonts w:ascii="Courier New" w:cs="Courier New" w:eastAsia="Courier New" w:hAnsi="Courier New"/>
          <w:sz w:val="17"/>
          <w:szCs w:val="17"/>
          <w:color w:val="auto"/>
        </w:rPr>
      </w:pPr>
    </w:p>
    <w:p>
      <w:pPr>
        <w:ind w:left="300" w:right="2459" w:firstLine="529"/>
        <w:spacing w:after="0" w:line="257" w:lineRule="auto"/>
        <w:tabs>
          <w:tab w:leader="none" w:pos="1452" w:val="left"/>
        </w:tabs>
        <w:numPr>
          <w:ilvl w:val="1"/>
          <w:numId w:val="5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AT&amp;T Broadband Assets (including any AT&amp;T Broadband Contracts and any AT&amp;T Broadband Real Property);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any such case whether arising before, on or after the Distribution Date.</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B-6</w:t>
      </w:r>
    </w:p>
    <w:p>
      <w:pPr>
        <w:sectPr>
          <w:pgSz w:w="11900" w:h="16838" w:orient="portrait"/>
          <w:cols w:equalWidth="0" w:num="1">
            <w:col w:w="9679"/>
          </w:cols>
          <w:pgMar w:left="780" w:top="719" w:right="1440" w:bottom="1440" w:gutter="0" w:footer="0" w:header="0"/>
        </w:sectPr>
      </w:pPr>
    </w:p>
    <w:bookmarkStart w:id="485" w:name="page486"/>
    <w:bookmarkEnd w:id="485"/>
    <w:p>
      <w:pPr>
        <w:ind w:left="1480" w:hanging="425"/>
        <w:spacing w:after="0"/>
        <w:tabs>
          <w:tab w:leader="none" w:pos="1480" w:val="left"/>
        </w:tabs>
        <w:numPr>
          <w:ilvl w:val="0"/>
          <w:numId w:val="5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of the monetizations set forth on Schedule 1.23(i);</w:t>
      </w:r>
    </w:p>
    <w:p>
      <w:pPr>
        <w:spacing w:after="0" w:line="210"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5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listed or described on Schedule 1.23(j); and</w:t>
      </w:r>
    </w:p>
    <w:p>
      <w:pPr>
        <w:spacing w:after="0" w:line="210" w:lineRule="exact"/>
        <w:rPr>
          <w:rFonts w:ascii="Courier New" w:cs="Courier New" w:eastAsia="Courier New" w:hAnsi="Courier New"/>
          <w:sz w:val="17"/>
          <w:szCs w:val="17"/>
          <w:color w:val="auto"/>
        </w:rPr>
      </w:pPr>
    </w:p>
    <w:p>
      <w:pPr>
        <w:ind w:left="540" w:right="1839" w:firstLine="515"/>
        <w:spacing w:after="0" w:line="254" w:lineRule="auto"/>
        <w:tabs>
          <w:tab w:leader="none" w:pos="1483" w:val="left"/>
        </w:tabs>
        <w:numPr>
          <w:ilvl w:val="0"/>
          <w:numId w:val="5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arising from or relating to any terminated, divested or discontinued business (or the termination, divestiture or discontinuation thereof) of the AT&amp;T Broadband Group.</w:t>
      </w:r>
    </w:p>
    <w:p>
      <w:pPr>
        <w:spacing w:after="0" w:line="194"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pacing w:after="0" w:line="196"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"AT&amp;T BROADBAND MATERIAL ADVERSE EFFECT" has the meaning set forth in the Merger Agreement.</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BROADBAND MERGER" has the meaning set forth in the Merger Agreement.</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BROADBAND REAL PROPERTY" means all right, title and interest in real property, wherever located, held in the name of AT&amp;T Broadband or any AT&amp;T Broadband Entity; provided that AT&amp;T Broadband Real Property does not include rights, title or interests (whether fee, leasehold or otherwise) in any AT&amp;T Communications Real Property.</w:t>
      </w:r>
    </w:p>
    <w:p>
      <w:pPr>
        <w:spacing w:after="0" w:line="197"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"AT&amp;T BROADBAND SUBSIDIARIES" means those entities set forth on Schedule 1.19 and their respective Subsidiaries but excluding AT&amp;T Broadband T-Holdings, Inc. (formerly TCI Telephony Holdings, Inc.) and its Subsidiaries.</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BROADBAND'S SHARE" has the meaning set forth in Section 6.04(b).</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COMMON STOCK" means the common stock, par value $1.00 per share,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COMMUNICATIONS ACTION" has the meaning set forth in Section 6.02(d).</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COMMUNICATIONS ASSETS" means:</w:t>
      </w:r>
    </w:p>
    <w:p>
      <w:pPr>
        <w:spacing w:after="0" w:line="210" w:lineRule="exact"/>
        <w:rPr>
          <w:sz w:val="20"/>
          <w:szCs w:val="20"/>
          <w:color w:val="auto"/>
        </w:rPr>
      </w:pPr>
    </w:p>
    <w:p>
      <w:pPr>
        <w:jc w:val="both"/>
        <w:ind w:left="540" w:right="2139" w:firstLine="515"/>
        <w:spacing w:after="0" w:line="253" w:lineRule="auto"/>
        <w:tabs>
          <w:tab w:leader="none" w:pos="1483" w:val="left"/>
        </w:tabs>
        <w:numPr>
          <w:ilvl w:val="0"/>
          <w:numId w:val="5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reflected in the AT&amp;T Communications Balance Sheet, unless disposed of to third parties after the date thereof (and, in the case of any such Assets disposed of after the date thereof, the proceeds from such disposal);</w:t>
      </w:r>
    </w:p>
    <w:p>
      <w:pPr>
        <w:spacing w:after="0" w:line="195" w:lineRule="exact"/>
        <w:rPr>
          <w:rFonts w:ascii="Courier New" w:cs="Courier New" w:eastAsia="Courier New" w:hAnsi="Courier New"/>
          <w:sz w:val="17"/>
          <w:szCs w:val="17"/>
          <w:color w:val="auto"/>
        </w:rPr>
      </w:pPr>
    </w:p>
    <w:p>
      <w:pPr>
        <w:ind w:left="540" w:right="2359" w:firstLine="515"/>
        <w:spacing w:after="0" w:line="254" w:lineRule="auto"/>
        <w:tabs>
          <w:tab w:leader="none" w:pos="1483" w:val="left"/>
        </w:tabs>
        <w:numPr>
          <w:ilvl w:val="0"/>
          <w:numId w:val="5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acquired after the date of the AT&amp;T Communications Balance Sheet by AT&amp;T or any of its Subsidiaries utilizing AT&amp;T Communications Assets;</w:t>
      </w:r>
    </w:p>
    <w:p>
      <w:pPr>
        <w:spacing w:after="0" w:line="194"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5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AT&amp;T Communications Contracts;</w:t>
      </w:r>
    </w:p>
    <w:p>
      <w:pPr>
        <w:spacing w:after="0" w:line="210" w:lineRule="exact"/>
        <w:rPr>
          <w:rFonts w:ascii="Courier New" w:cs="Courier New" w:eastAsia="Courier New" w:hAnsi="Courier New"/>
          <w:sz w:val="17"/>
          <w:szCs w:val="17"/>
          <w:color w:val="auto"/>
        </w:rPr>
      </w:pPr>
    </w:p>
    <w:p>
      <w:pPr>
        <w:ind w:left="540" w:right="2039" w:firstLine="515"/>
        <w:spacing w:after="0" w:line="254" w:lineRule="auto"/>
        <w:tabs>
          <w:tab w:leader="none" w:pos="1483" w:val="left"/>
        </w:tabs>
        <w:numPr>
          <w:ilvl w:val="0"/>
          <w:numId w:val="5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capital stock or other ownership interests in any member of the AT&amp;T Communications Group (other than AT&amp;T) (unless disposed of after the date thereof);</w:t>
      </w:r>
    </w:p>
    <w:p>
      <w:pPr>
        <w:spacing w:after="0" w:line="194"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5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interest in Concert and American Ridge;</w:t>
      </w:r>
    </w:p>
    <w:p>
      <w:pPr>
        <w:spacing w:after="0" w:line="210"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5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AT&amp;T Communications Real Property;</w:t>
      </w:r>
    </w:p>
    <w:p>
      <w:pPr>
        <w:spacing w:after="0" w:line="210" w:lineRule="exact"/>
        <w:rPr>
          <w:rFonts w:ascii="Courier New" w:cs="Courier New" w:eastAsia="Courier New" w:hAnsi="Courier New"/>
          <w:sz w:val="17"/>
          <w:szCs w:val="17"/>
          <w:color w:val="auto"/>
        </w:rPr>
      </w:pPr>
    </w:p>
    <w:p>
      <w:pPr>
        <w:ind w:left="540" w:right="2139" w:firstLine="515"/>
        <w:spacing w:after="0" w:line="253" w:lineRule="auto"/>
        <w:tabs>
          <w:tab w:leader="none" w:pos="1483" w:val="left"/>
        </w:tabs>
        <w:numPr>
          <w:ilvl w:val="0"/>
          <w:numId w:val="5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that are expressly contemplated by this Agreement or any other Ancillary Agreement (or any Schedule hereto or thereto) to be retained by or assigned to AT&amp;T or any other member of the AT&amp;T Communications Group;</w:t>
      </w:r>
    </w:p>
    <w:p>
      <w:pPr>
        <w:spacing w:after="0" w:line="195" w:lineRule="exact"/>
        <w:rPr>
          <w:rFonts w:ascii="Courier New" w:cs="Courier New" w:eastAsia="Courier New" w:hAnsi="Courier New"/>
          <w:sz w:val="17"/>
          <w:szCs w:val="17"/>
          <w:color w:val="auto"/>
        </w:rPr>
      </w:pPr>
    </w:p>
    <w:p>
      <w:pPr>
        <w:ind w:left="540" w:right="2039" w:firstLine="515"/>
        <w:spacing w:after="0" w:line="251" w:lineRule="auto"/>
        <w:tabs>
          <w:tab w:leader="none" w:pos="1483" w:val="left"/>
        </w:tabs>
        <w:numPr>
          <w:ilvl w:val="0"/>
          <w:numId w:val="5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any governmental licenses, permits, franchises, approvals, certificates, consents and other governmental authorizations held in the name of AT&amp;T or any of its Subsidiaries that are primarily related to the AT&amp;T Communications Business and (ii) any intrastate telephony licenses, permits, franchises, approvals, certificates or other governmental authorizations that are used in the AT&amp;T Communications Business (in the case of (i) or (ii), to the extent any of the foregoing would be required to be transferred pursuant hereto, such items will be AT&amp;T Communications Assets only to the extent they are transferable upon receipt of any relevant Consent);</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B-7</w:t>
      </w:r>
    </w:p>
    <w:p>
      <w:pPr>
        <w:sectPr>
          <w:pgSz w:w="11900" w:h="16838" w:orient="portrait"/>
          <w:cols w:equalWidth="0" w:num="1">
            <w:col w:w="10219"/>
          </w:cols>
          <w:pgMar w:left="240" w:top="719" w:right="1440" w:bottom="256" w:gutter="0" w:footer="0" w:header="0"/>
        </w:sectPr>
      </w:pPr>
    </w:p>
    <w:bookmarkStart w:id="486" w:name="page487"/>
    <w:bookmarkEnd w:id="486"/>
    <w:p>
      <w:pPr>
        <w:ind w:left="1480" w:hanging="425"/>
        <w:spacing w:after="0"/>
        <w:tabs>
          <w:tab w:leader="none" w:pos="1480" w:val="left"/>
        </w:tabs>
        <w:numPr>
          <w:ilvl w:val="1"/>
          <w:numId w:val="5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shares of AWS;</w:t>
      </w:r>
    </w:p>
    <w:p>
      <w:pPr>
        <w:spacing w:after="0" w:line="210" w:lineRule="exact"/>
        <w:rPr>
          <w:rFonts w:ascii="Courier New" w:cs="Courier New" w:eastAsia="Courier New" w:hAnsi="Courier New"/>
          <w:sz w:val="17"/>
          <w:szCs w:val="17"/>
          <w:color w:val="auto"/>
        </w:rPr>
      </w:pPr>
    </w:p>
    <w:p>
      <w:pPr>
        <w:ind w:left="1480" w:hanging="425"/>
        <w:spacing w:after="0"/>
        <w:tabs>
          <w:tab w:leader="none" w:pos="1480" w:val="left"/>
        </w:tabs>
        <w:numPr>
          <w:ilvl w:val="1"/>
          <w:numId w:val="5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listed or described on Schedule 1.28(j);</w:t>
      </w:r>
    </w:p>
    <w:p>
      <w:pPr>
        <w:spacing w:after="0" w:line="210" w:lineRule="exact"/>
        <w:rPr>
          <w:rFonts w:ascii="Courier New" w:cs="Courier New" w:eastAsia="Courier New" w:hAnsi="Courier New"/>
          <w:sz w:val="17"/>
          <w:szCs w:val="17"/>
          <w:color w:val="auto"/>
        </w:rPr>
      </w:pPr>
    </w:p>
    <w:p>
      <w:pPr>
        <w:ind w:left="540" w:right="1939" w:firstLine="515"/>
        <w:spacing w:after="0" w:line="257" w:lineRule="auto"/>
        <w:tabs>
          <w:tab w:leader="none" w:pos="1483" w:val="left"/>
        </w:tabs>
        <w:numPr>
          <w:ilvl w:val="1"/>
          <w:numId w:val="5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that as of the Distribution Date are Leased Assets (as defined in the Local Network Connectivity Services Agreement); and</w:t>
      </w:r>
    </w:p>
    <w:p>
      <w:pPr>
        <w:spacing w:after="0" w:line="191" w:lineRule="exact"/>
        <w:rPr>
          <w:rFonts w:ascii="Courier New" w:cs="Courier New" w:eastAsia="Courier New" w:hAnsi="Courier New"/>
          <w:sz w:val="17"/>
          <w:szCs w:val="17"/>
          <w:color w:val="auto"/>
        </w:rPr>
      </w:pPr>
    </w:p>
    <w:p>
      <w:pPr>
        <w:ind w:left="1480" w:hanging="425"/>
        <w:spacing w:after="0"/>
        <w:tabs>
          <w:tab w:leader="none" w:pos="1480" w:val="left"/>
        </w:tabs>
        <w:numPr>
          <w:ilvl w:val="1"/>
          <w:numId w:val="5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that are not AT&amp;T Broadband Assets specified in clauses</w:t>
      </w:r>
    </w:p>
    <w:p>
      <w:pPr>
        <w:spacing w:after="0" w:line="8" w:lineRule="exact"/>
        <w:rPr>
          <w:rFonts w:ascii="Courier New" w:cs="Courier New" w:eastAsia="Courier New" w:hAnsi="Courier New"/>
          <w:sz w:val="17"/>
          <w:szCs w:val="17"/>
          <w:color w:val="auto"/>
        </w:rPr>
      </w:pPr>
    </w:p>
    <w:p>
      <w:pPr>
        <w:ind w:left="540" w:right="1839" w:hanging="9"/>
        <w:spacing w:after="0" w:line="251" w:lineRule="auto"/>
        <w:tabs>
          <w:tab w:leader="none" w:pos="959" w:val="left"/>
        </w:tabs>
        <w:numPr>
          <w:ilvl w:val="0"/>
          <w:numId w:val="5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(k) of the definition of AT&amp;T Broadband Assets and that are used or held for use primarily in connection with the AT&amp;T Communications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201"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AT&amp;T Communications Assets shall not in any event include any Assets reflected on the AT&amp;T Broadband Balance Sheet, except for those Assets specified in clauses (b), (d), (e), (f), (g), (i), (j) and (k) of the definition of AT&amp;T Communications Assets.</w:t>
      </w:r>
    </w:p>
    <w:p>
      <w:pPr>
        <w:spacing w:after="0" w:line="195"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201"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"AT&amp;T COMMUNICATIONS BALANCE SHEET" means the consolidated balance sheet dated as of December 31, 2000 included within the AT&amp;T Communications Financial Statements.</w:t>
      </w:r>
    </w:p>
    <w:p>
      <w:pPr>
        <w:spacing w:after="0" w:line="194" w:lineRule="exact"/>
        <w:rPr>
          <w:sz w:val="20"/>
          <w:szCs w:val="20"/>
          <w:color w:val="auto"/>
        </w:rPr>
      </w:pPr>
    </w:p>
    <w:p>
      <w:pPr>
        <w:ind w:right="3299" w:firstLine="524"/>
        <w:spacing w:after="0" w:line="257" w:lineRule="auto"/>
        <w:rPr>
          <w:sz w:val="20"/>
          <w:szCs w:val="20"/>
          <w:color w:val="auto"/>
        </w:rPr>
      </w:pPr>
      <w:r>
        <w:rPr>
          <w:rFonts w:ascii="Courier New" w:cs="Courier New" w:eastAsia="Courier New" w:hAnsi="Courier New"/>
          <w:sz w:val="17"/>
          <w:szCs w:val="17"/>
          <w:color w:val="auto"/>
        </w:rPr>
        <w:t>"AT&amp;T COMMUNICATIONS BUSINESS" means the business of the AT&amp;T Communications Group.</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COMMUNICATIONS CONTRACTS" means any contract or agreements to which AT&amp;T or any of its Subsidiaries is a party or by which it or any of its Subsidiaries or any of their respective Assets is bound, whether or not in writing, except for any AT&amp;T Broadband Contract, including (a) any contract or agreement listed on Schedule 1.31(a), (b) any rights and obligations of any member of the AT&amp;T Communications Group as a party (for the benefit of the AT&amp;T Communications Group) under any At Home Contract, (c) any letter of credit, surety bond, swap, foreign exchange or other instrument or contract not primarily relating to the AT&amp;T Broadband Group, together with any letters of credit, surety bonds, swaps, foreign exchange or other such instruments or contracts that were entered into in connection with Indebtedness of the AT&amp;T Communications Services Group, (d) any note, indenture, contract, agreement, mortgage or other instrument representing Indebtedness or other Liabilities that are in either such case AT&amp;T Communications Liabilities, (e) any contract or agreement that is expressly contemplated pursuant to this Agreement or any of the other Ancillary Agreements to be assigned or transferred to or retained by AT&amp;T or any other member of the AT&amp;T Communications Group, (f) any guarantee, indemnity, representation, warranty or other Liability of any member of the AT&amp;T Broadband Group in respect of any other AT&amp;T Communications Contract, any AT&amp;T Communications Liability or the AT&amp;T Communications Business, and (g) any contract or agreement entered into in the name of, or expressly on behalf of, any member of the AT&amp;T Communications Group (other than AT&amp;T), except to the extent clearly relating to the AT&amp;T Broadband Group. With respect to any contract or agreement that relates in material part to both the AT&amp;T Broadband Group and the AT&amp;T Communications Group, the</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B-8</w:t>
      </w:r>
    </w:p>
    <w:p>
      <w:pPr>
        <w:sectPr>
          <w:pgSz w:w="11900" w:h="16838" w:orient="portrait"/>
          <w:cols w:equalWidth="0" w:num="1">
            <w:col w:w="10219"/>
          </w:cols>
          <w:pgMar w:left="240" w:top="719" w:right="1440" w:bottom="861" w:gutter="0" w:footer="0" w:header="0"/>
        </w:sectPr>
      </w:pPr>
    </w:p>
    <w:bookmarkStart w:id="487" w:name="page488"/>
    <w:bookmarkEnd w:id="487"/>
    <w:p>
      <w:pPr>
        <w:ind w:right="1839"/>
        <w:spacing w:after="0" w:line="252" w:lineRule="auto"/>
        <w:rPr>
          <w:sz w:val="20"/>
          <w:szCs w:val="20"/>
          <w:color w:val="auto"/>
        </w:rPr>
      </w:pPr>
      <w:r>
        <w:rPr>
          <w:rFonts w:ascii="Courier New" w:cs="Courier New" w:eastAsia="Courier New" w:hAnsi="Courier New"/>
          <w:sz w:val="17"/>
          <w:szCs w:val="17"/>
          <w:color w:val="auto"/>
        </w:rPr>
        <w:t>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197"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"AT&amp;T COMMUNICATIONS FINANCIAL STATEMENTS" means the consolidated balance sheets, income statements, statements of cash flow and other financial statements of AT&amp;T Communications as of and for the period ending December 31, 2000, attached hereto as Exhibit A.</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COMMUNICATIONS GROUP" means the direct or indirect interest of AT&amp;T (either itself or through direct or indirect subsidiaries, or any of their predecessors or successors) in (a) all businesses (including terminated, divested or discontinued businesses and operations), Assets and Liabilities (contingent or otherwise), other than the AT&amp;T Broadband Group, and (b) any terminated, divested or discontinued businesses not specified in the definition (or related schedules) of AT&amp;T Broadband Group. Notwithstanding the foregoing, when this Agreement refers to "a member of the AT&amp;T Communications Group" or similar language clearly referring to a Person, it means any one of AT&amp;T or its Subsidiaries other than the AT&amp;T Broadband Entities.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COMMUNICATIONS LIABILITIES" means (without duplication):</w:t>
      </w:r>
    </w:p>
    <w:p>
      <w:pPr>
        <w:spacing w:after="0" w:line="210" w:lineRule="exact"/>
        <w:rPr>
          <w:sz w:val="20"/>
          <w:szCs w:val="20"/>
          <w:color w:val="auto"/>
        </w:rPr>
      </w:pPr>
    </w:p>
    <w:p>
      <w:pPr>
        <w:ind w:left="540" w:right="1939" w:firstLine="515"/>
        <w:spacing w:after="0" w:line="254" w:lineRule="auto"/>
        <w:tabs>
          <w:tab w:leader="none" w:pos="1483" w:val="left"/>
        </w:tabs>
        <w:numPr>
          <w:ilvl w:val="0"/>
          <w:numId w:val="5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reflected on the AT&amp;T Communications Balance Sheet, subject to any discharge of such Liabilities subsequent to the date of the AT&amp;T Communications Balance Sheet;</w:t>
      </w:r>
    </w:p>
    <w:p>
      <w:pPr>
        <w:spacing w:after="0" w:line="194" w:lineRule="exact"/>
        <w:rPr>
          <w:rFonts w:ascii="Courier New" w:cs="Courier New" w:eastAsia="Courier New" w:hAnsi="Courier New"/>
          <w:sz w:val="17"/>
          <w:szCs w:val="17"/>
          <w:color w:val="auto"/>
        </w:rPr>
      </w:pPr>
    </w:p>
    <w:p>
      <w:pPr>
        <w:ind w:left="540" w:right="1939" w:firstLine="515"/>
        <w:spacing w:after="0" w:line="252" w:lineRule="auto"/>
        <w:tabs>
          <w:tab w:leader="none" w:pos="1483" w:val="left"/>
        </w:tabs>
        <w:numPr>
          <w:ilvl w:val="0"/>
          <w:numId w:val="5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that are expressly contemplated by this Agreement or any other Ancillary Agreement (or the Schedules hereto or thereto) as Liabilities to be retained or assumed by AT&amp;T or any member of the AT&amp;T Communications Group, subject to discharge of such Liabilities subsequent to the date of the AT&amp;T Communications Balance Sheet, and all agreements, obligations and Liabilities of any member of the AT&amp;T Communications Group under this Agreement or any of the other Ancillary Agreements;</w:t>
      </w:r>
    </w:p>
    <w:p>
      <w:pPr>
        <w:spacing w:after="0" w:line="195"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5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of any member of the AT&amp;T Communications Group (other than AT&amp;T), excluding, for the avoidance of doubt, any Liabilities as of the Distribution Date of T-Holdings or any of its Subsidiaries and including, for the avoidance of doubt, any Liabilities of T-Holdings or any of its Subsidiaries arising after the Distribution Date;</w:t>
      </w:r>
    </w:p>
    <w:p>
      <w:pPr>
        <w:spacing w:after="0" w:line="197"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5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relating to, arising out of or resulting from any AT&amp;T Communications Contract, excluding, for the avoidance of doubt, any Liabilities under any At Home Contract except for Liabilities of any member of the AT&amp;T Communications Group as a party (for the benefit of the AT&amp;T Communications Group) under any At Home Contract;</w:t>
      </w:r>
    </w:p>
    <w:p>
      <w:pPr>
        <w:spacing w:after="0" w:line="197" w:lineRule="exact"/>
        <w:rPr>
          <w:rFonts w:ascii="Courier New" w:cs="Courier New" w:eastAsia="Courier New" w:hAnsi="Courier New"/>
          <w:sz w:val="17"/>
          <w:szCs w:val="17"/>
          <w:color w:val="auto"/>
        </w:rPr>
      </w:pPr>
    </w:p>
    <w:p>
      <w:pPr>
        <w:ind w:left="540" w:right="1839" w:firstLine="515"/>
        <w:spacing w:after="0" w:line="257" w:lineRule="auto"/>
        <w:tabs>
          <w:tab w:leader="none" w:pos="1483" w:val="left"/>
        </w:tabs>
        <w:numPr>
          <w:ilvl w:val="0"/>
          <w:numId w:val="5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incurred after the date of the AT&amp;T Communications Balance Sheet by any member of the AT&amp;T Communications Group;</w:t>
      </w:r>
    </w:p>
    <w:p>
      <w:pPr>
        <w:spacing w:after="0" w:line="191" w:lineRule="exact"/>
        <w:rPr>
          <w:rFonts w:ascii="Courier New" w:cs="Courier New" w:eastAsia="Courier New" w:hAnsi="Courier New"/>
          <w:sz w:val="17"/>
          <w:szCs w:val="17"/>
          <w:color w:val="auto"/>
        </w:rPr>
      </w:pPr>
    </w:p>
    <w:p>
      <w:pPr>
        <w:jc w:val="both"/>
        <w:ind w:left="540" w:right="1939" w:firstLine="515"/>
        <w:spacing w:after="0" w:line="251" w:lineRule="auto"/>
        <w:tabs>
          <w:tab w:leader="none" w:pos="1483" w:val="left"/>
        </w:tabs>
        <w:numPr>
          <w:ilvl w:val="0"/>
          <w:numId w:val="5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relating to, arising out of or resulting from any Actions except (i) those primarily related to, arising out of or resulting from the AT&amp;T Broadband Business (including those listed on Schedule</w:t>
      </w:r>
    </w:p>
    <w:p>
      <w:pPr>
        <w:ind w:left="54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1.23(g)) or as expressly set forth herein,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Specified Transactions (including any legal or other fees incurred as a result of, or with respect to, any such Liability and including any Liability AT&amp;T may have under Section 910 of the NYBCL in connection with the Distribution);</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B-9</w:t>
      </w:r>
    </w:p>
    <w:p>
      <w:pPr>
        <w:sectPr>
          <w:pgSz w:w="11900" w:h="16838" w:orient="portrait"/>
          <w:cols w:equalWidth="0" w:num="1">
            <w:col w:w="10219"/>
          </w:cols>
          <w:pgMar w:left="240" w:top="719" w:right="1440" w:bottom="1440" w:gutter="0" w:footer="0" w:header="0"/>
        </w:sectPr>
      </w:pPr>
    </w:p>
    <w:bookmarkStart w:id="488" w:name="page489"/>
    <w:bookmarkEnd w:id="488"/>
    <w:p>
      <w:pPr>
        <w:ind w:left="540" w:right="2139" w:firstLine="515"/>
        <w:spacing w:after="0" w:line="254" w:lineRule="auto"/>
        <w:tabs>
          <w:tab w:leader="none" w:pos="1483" w:val="left"/>
        </w:tabs>
        <w:numPr>
          <w:ilvl w:val="0"/>
          <w:numId w:val="5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including any employee-related Liabilities and Environmental Liabilities, primarily relating to, arising out of or resulting from:</w:t>
      </w:r>
    </w:p>
    <w:p>
      <w:pPr>
        <w:spacing w:after="0" w:line="194" w:lineRule="exact"/>
        <w:rPr>
          <w:rFonts w:ascii="Courier New" w:cs="Courier New" w:eastAsia="Courier New" w:hAnsi="Courier New"/>
          <w:sz w:val="17"/>
          <w:szCs w:val="17"/>
          <w:color w:val="auto"/>
        </w:rPr>
      </w:pPr>
    </w:p>
    <w:p>
      <w:pPr>
        <w:ind w:left="840" w:right="2039" w:firstLine="529"/>
        <w:spacing w:after="0" w:line="252" w:lineRule="auto"/>
        <w:tabs>
          <w:tab w:leader="none" w:pos="1783" w:val="left"/>
        </w:tabs>
        <w:numPr>
          <w:ilvl w:val="1"/>
          <w:numId w:val="5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Communications Group, including the operation of the AT&amp;T Communications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196" w:lineRule="exact"/>
        <w:rPr>
          <w:rFonts w:ascii="Courier New" w:cs="Courier New" w:eastAsia="Courier New" w:hAnsi="Courier New"/>
          <w:sz w:val="17"/>
          <w:szCs w:val="17"/>
          <w:color w:val="auto"/>
        </w:rPr>
      </w:pPr>
    </w:p>
    <w:p>
      <w:pPr>
        <w:ind w:left="840" w:right="2039" w:firstLine="529"/>
        <w:spacing w:after="0" w:line="252" w:lineRule="auto"/>
        <w:tabs>
          <w:tab w:leader="none" w:pos="1887" w:val="left"/>
        </w:tabs>
        <w:numPr>
          <w:ilvl w:val="1"/>
          <w:numId w:val="5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operation of any business conducted by any member of the AT&amp;T Communications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196" w:lineRule="exact"/>
        <w:rPr>
          <w:rFonts w:ascii="Courier New" w:cs="Courier New" w:eastAsia="Courier New" w:hAnsi="Courier New"/>
          <w:sz w:val="17"/>
          <w:szCs w:val="17"/>
          <w:color w:val="auto"/>
        </w:rPr>
      </w:pPr>
    </w:p>
    <w:p>
      <w:pPr>
        <w:ind w:left="840" w:right="1939" w:firstLine="529"/>
        <w:spacing w:after="0" w:line="253" w:lineRule="auto"/>
        <w:tabs>
          <w:tab w:leader="none" w:pos="1992" w:val="left"/>
        </w:tabs>
        <w:numPr>
          <w:ilvl w:val="1"/>
          <w:numId w:val="5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AT&amp;T Communications Assets (including any AT&amp;T Communications Contracts, any AT&amp;T Communications Real Property and any Leased Assets (except with respect to any Liabilities of the lessees under the applicable leases));</w:t>
      </w:r>
    </w:p>
    <w:p>
      <w:pPr>
        <w:spacing w:after="0" w:line="195"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 any such case whether arising before, on or after the Distribution Date;</w:t>
      </w:r>
    </w:p>
    <w:p>
      <w:pPr>
        <w:spacing w:after="0" w:line="210" w:lineRule="exact"/>
        <w:rPr>
          <w:sz w:val="20"/>
          <w:szCs w:val="20"/>
          <w:color w:val="auto"/>
        </w:rPr>
      </w:pPr>
    </w:p>
    <w:p>
      <w:pPr>
        <w:ind w:left="540" w:right="1839" w:firstLine="515"/>
        <w:spacing w:after="0" w:line="254" w:lineRule="auto"/>
        <w:tabs>
          <w:tab w:leader="none" w:pos="1483" w:val="left"/>
        </w:tabs>
        <w:numPr>
          <w:ilvl w:val="0"/>
          <w:numId w:val="5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arising from or relating to any terminated, divested or discontinued business (or the termination, divestiture or discontinuation thereof) of the AT&amp;T Communications Group;</w:t>
      </w:r>
    </w:p>
    <w:p>
      <w:pPr>
        <w:spacing w:after="0" w:line="194" w:lineRule="exact"/>
        <w:rPr>
          <w:rFonts w:ascii="Courier New" w:cs="Courier New" w:eastAsia="Courier New" w:hAnsi="Courier New"/>
          <w:sz w:val="17"/>
          <w:szCs w:val="17"/>
          <w:color w:val="auto"/>
        </w:rPr>
      </w:pPr>
    </w:p>
    <w:p>
      <w:pPr>
        <w:ind w:left="540" w:right="2139" w:firstLine="515"/>
        <w:spacing w:after="0" w:line="253" w:lineRule="auto"/>
        <w:tabs>
          <w:tab w:leader="none" w:pos="1483" w:val="left"/>
        </w:tabs>
        <w:numPr>
          <w:ilvl w:val="0"/>
          <w:numId w:val="5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arising from any breach by any member of the AT&amp;T Communications Group after the Distribution Date of any covenant or agreement entered into in connection with the separation, divestiture or termination of LMC and its Subsidiaries; and</w:t>
      </w:r>
    </w:p>
    <w:p>
      <w:pPr>
        <w:spacing w:after="0" w:line="195" w:lineRule="exact"/>
        <w:rPr>
          <w:rFonts w:ascii="Courier New" w:cs="Courier New" w:eastAsia="Courier New" w:hAnsi="Courier New"/>
          <w:sz w:val="17"/>
          <w:szCs w:val="17"/>
          <w:color w:val="auto"/>
        </w:rPr>
      </w:pPr>
    </w:p>
    <w:p>
      <w:pPr>
        <w:ind w:left="540" w:right="2039" w:firstLine="515"/>
        <w:spacing w:after="0" w:line="257" w:lineRule="auto"/>
        <w:tabs>
          <w:tab w:leader="none" w:pos="1483" w:val="left"/>
        </w:tabs>
        <w:numPr>
          <w:ilvl w:val="0"/>
          <w:numId w:val="5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direct or indirect Liabilities of AT&amp;T or any of its Subsidiaries that do not otherwise constitute AT&amp;T Broadband Liabilities.</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COMMUNICATIONS REAL PROPERTY" means all right, title and interest in real property, wherever located, of AT&amp;T or any of its Subsidiaries (other than any AT&amp;T Broadband Entity), including: (a) all land (the "LAND") owned by AT&amp;T or any of its Subsidiaries (other than any AT&amp;T Broadband Entity), including all buildings, structures and other improvements now or hereafter located thereon (the "OWNED REAL PROPERTY"), (b) all real property leased, subleased or otherwise occupied by AT&amp;T or any of its Subsidiaries (other than any AT&amp;T Broadband Entity) (the "LEASED REAL PROPERTY" and together with the Owned Real Property, the "REAL PROPERTY"), (c) all easements, licenses, permits, rights of way, reservations, privileges and other estates and rights of AT&amp;T or any of its Subsidiaries (other than any AT&amp;T Broadband Entity) either in gross or appurtenant pertaining to such Real Property or to any other real property, (d) all right, title and interest of AT&amp;T or any of its Subsidiaries (other than any AT&amp;T Broadband Entity) in and to all strips and gores, all alleys adjoining land, and the land lying in the bed of any street, road or avenue, opened or proposed, in front of or adjoining the Land to the center line thereof, and all right, title and interest of AT&amp;T or any of its Subsidiaries (other than any AT&amp;T Broadband Entity) in and to any award made or to be made in lieu thereof and in and to any unpaid award for any taking by condemnation or any damages to the Owned Real Property by reason of any change of grade of any street, road or avenue, (e) all right, title and interest of AT&amp;T or any of its Subsidiaries (other than any AT&amp;T Broadband Entity) in and to the airspace above the Owned Real Property (and the rights to use such airspace) and any transferable development or similar rights appurtenant to the Owned Real Property by allocation under applicable laws, by zoning lot merger or otherwise and (f) all rights, licenses,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B-10</w:t>
      </w:r>
    </w:p>
    <w:p>
      <w:pPr>
        <w:sectPr>
          <w:pgSz w:w="11900" w:h="16838" w:orient="portrait"/>
          <w:cols w:equalWidth="0" w:num="1">
            <w:col w:w="10219"/>
          </w:cols>
          <w:pgMar w:left="240" w:top="719" w:right="1440" w:bottom="861" w:gutter="0" w:footer="0" w:header="0"/>
        </w:sectPr>
      </w:pPr>
    </w:p>
    <w:bookmarkStart w:id="489" w:name="page490"/>
    <w:bookmarkEnd w:id="489"/>
    <w:p>
      <w:pPr>
        <w:ind w:right="1939"/>
        <w:spacing w:after="0" w:line="254" w:lineRule="auto"/>
        <w:rPr>
          <w:sz w:val="20"/>
          <w:szCs w:val="20"/>
          <w:color w:val="auto"/>
        </w:rPr>
      </w:pPr>
      <w:r>
        <w:rPr>
          <w:rFonts w:ascii="Courier New" w:cs="Courier New" w:eastAsia="Courier New" w:hAnsi="Courier New"/>
          <w:sz w:val="17"/>
          <w:szCs w:val="17"/>
          <w:color w:val="auto"/>
        </w:rPr>
        <w:t>easements, leases, indefeasible rights of use, title, attachment rights, authorizations and other rights pertaining to poles, conduits and cable held by AT&amp;T or any of its Subsidiaries (other than any AT&amp;T Broadband Entity).</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COMMUNICATIONS' SHARE" has the meaning set forth in Section 6.04(b).</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INDEMNITEES" has the meaning set forth in Section 5.03.</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MATERIAL ADVERSE EFFECT" means a material adverse effect on the financial condition, assets or results of operations of the AT&amp;T Communications Group, taken as a whole, excluding any such effect resulting from or arising in connection with (i) changes or conditions generally affecting the industries in which the AT&amp;T Communications Group operates, (ii) changes in general economic, regulatory or political conditions, or (iii) the announcement of this Agreement or of the transactions contemplated hereby.</w:t>
      </w:r>
    </w:p>
    <w:p>
      <w:pPr>
        <w:spacing w:after="0" w:line="196"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MEETING" has the meaning set forth in Section 4.02(a).</w:t>
      </w:r>
    </w:p>
    <w:p>
      <w:pPr>
        <w:spacing w:after="0" w:line="210"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"AT&amp;T SUBSIDIARY PREFERRED STOCK" has the meaning set forth in the Merger Agreement.</w:t>
      </w:r>
    </w:p>
    <w:p>
      <w:pPr>
        <w:spacing w:after="0" w:line="192"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"AT HOME" means At Home Corporation, a Delaware corporation and/or its bankruptcy estate, as applicable.</w:t>
      </w:r>
    </w:p>
    <w:p>
      <w:pPr>
        <w:spacing w:after="0" w:line="192"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"AT HOME CONTRACTS" means any contracts or agreements between At Home or any of its Subsidiaries, on the one hand, and any member of the AT&amp;T Communications Group (for the benefit of the AT&amp;T Communications Group), on the other hand.</w:t>
      </w:r>
    </w:p>
    <w:p>
      <w:pPr>
        <w:spacing w:after="0" w:line="3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HOME MATTERS" means (i) the currently pending lawsuits styled Linda Ward, Brian Lewis and Donnie Doby, Jr. v. At Home Corporation, et al. (Case No. 418233, Superior Court of California, San Mateo County), and In re: At Home Corporation Stockholders' Litigation (Master File No. 413094, Superior Court of California, San Mateo County), and any other shareholder claims or lawsuits or claims or lawsuits by At Home alleging any breach of fiduciary or contractual duties by AT&amp;T or any of its Affiliates relating to At Home or its Subsidiaries prior to the Effective Time, including any such claim or lawsuit against any officers, directors or employees of AT&amp;T or any of its Subsidiaries whether in their capacity as a director, officer or employee of At Home or its Subsidiaries or otherwise, and (ii) any claims or lawsuits by At Home, creditors of At Home or its Subsidiaries, either previously or subsequently filed, concerning activities prior to the Effective Time, including any lawsuit or claim asserting that AT&amp;T or any of its Subsidiaries (other than At Home or its Subsidiaries) breached contractual or fiduciary obligations to At Home or its Subsidiaries, received a fraudulent conveyance from At Home or its Subsidiaries, or is liable for any Liability of At Home or any of its Subsidiaries, and including any such claim or lawsuit against any officers, directors or employees of AT&amp;T or any of its Subsidiaries whether in their capacity as a director, officer or employee of At Home or its Subsidiaries or otherwise.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"AWS" means AT&amp;T Wireless Services, Inc., a Delaware corporation.</w:t>
      </w:r>
    </w:p>
    <w:p>
      <w:pPr>
        <w:spacing w:after="0" w:line="210"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"BUSINESS DAY" means a day other than a Saturday, Sunday or other day on which commercial banks in New York City are authorized or required by law to close.</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"CODE" means the Internal Revenue Code of 1986, as amended.</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"COMCAST" means Comcast Corporation, a Pennsylvania corporation.</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"COMMISSION" means the Securities and Exchange Commission.</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"CONCERT" means Concert B.V.</w:t>
      </w:r>
    </w:p>
    <w:p>
      <w:pPr>
        <w:spacing w:after="0" w:line="210"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"CONSENTS" means any consents, waivers or approvals from, or notification requirements to, any third parties, other than Governmental Approvals.</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"CPR" means the Center for Public Resources.</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B-11</w:t>
      </w:r>
    </w:p>
    <w:p>
      <w:pPr>
        <w:sectPr>
          <w:pgSz w:w="11900" w:h="16838" w:orient="portrait"/>
          <w:cols w:equalWidth="0" w:num="1">
            <w:col w:w="10219"/>
          </w:cols>
          <w:pgMar w:left="240" w:top="719" w:right="1440" w:bottom="1440" w:gutter="0" w:footer="0" w:header="0"/>
        </w:sectPr>
      </w:pPr>
    </w:p>
    <w:bookmarkStart w:id="490" w:name="page491"/>
    <w:bookmarkEnd w:id="490"/>
    <w:p>
      <w:pPr>
        <w:jc w:val="both"/>
        <w:ind w:right="2559" w:firstLine="524"/>
        <w:spacing w:after="0" w:line="254" w:lineRule="auto"/>
        <w:rPr>
          <w:sz w:val="20"/>
          <w:szCs w:val="20"/>
          <w:color w:val="auto"/>
        </w:rPr>
      </w:pPr>
      <w:r>
        <w:rPr>
          <w:rFonts w:ascii="Courier New" w:cs="Courier New" w:eastAsia="Courier New" w:hAnsi="Courier New"/>
          <w:sz w:val="17"/>
          <w:szCs w:val="17"/>
          <w:color w:val="auto"/>
        </w:rPr>
        <w:t>"CORPORATE NAME AGREEMENT" means the Corporate Name Agreement by and between AT&amp;T and AT&amp;T Comcast Corporation, in the form attached hereto as Exhibit B.</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"DELAYED TRANSFER ASSETS" means any AT&amp;T Broadband Assets that this Agreement or any other Ancillary Agreement provides or contemplates are to be transferred after the Distribution Date, including Assets that require a Consent or Governmental Approval to transfer, which Consent or Governmental Approval is not obtained on or prior to the Distribution Date.</w:t>
      </w:r>
    </w:p>
    <w:p>
      <w:pPr>
        <w:spacing w:after="0" w:line="197"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"DELAYED TRANSFER LIABILITIES" means any AT&amp;T Broadband Liabilities that are expressly provided in this Agreement to be assumed after the Distribution Date upon the removal of legal impediments or the receipt of Consents or Governmental Approvals necessary for the transfer of such AT&amp;T Broadband Liabilities.</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"DISPUTE DATE" has the meaning set forth in Section 6.03(c).</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"DISTRIBUTION" means the distribution by AT&amp;T to the holders of AT&amp;T Common Stock and, if the QUIPS Exchange is completed, to the holders of the QUIPS of all of the outstanding shares of AT&amp;T Broadband Common Stock on the Distribution Date in accordance with Article 4.</w:t>
      </w:r>
    </w:p>
    <w:p>
      <w:pPr>
        <w:spacing w:after="0" w:line="195"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"DISTRIBUTION DATE" means the date on which the Distribution occurs.</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"DISTRIBUTION REGISTRATION STATEMENT" has the meaning set forth in Section 4.02(b).</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"EFFECTIVE TIME" has the meaning set forth in the Merger Agreement.</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"EMPLOYEE BENEFITS AGREEMENT" means the Employee Benefits Agreement by and between AT&amp;T and AT&amp;T Broadband, in the form attached hereto as Exhibit C.</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"ENVIRONMENTAL LAW" has the meaning set forth in the Merger Agreement.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"ENVIRONMENTAL LIABILITIES" means all Liabilities relating to, arising out of or resulting from any Environmental Law or contract or agreement relating to environmental, health or safety matters (including all removal, remediation or cleanup costs, investigatory costs, governmental response costs, natural resources damages, property damages, personal injury damages, costs of compliance with any settlement, judgment or other determination of Liability and indemnity, contribution or similar obligations) and all costs and expenses (including allocated costs of in-house counsel and other personnel), interest, fines, penalties or other monetary sanctions in connection therewith.</w:t>
      </w:r>
    </w:p>
    <w:p>
      <w:pPr>
        <w:spacing w:after="0" w:line="201"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"EXCHANGE ACT" means the Securities Exchange Act of 1934, as amended, together with the rules and regulations promulgated thereunder.</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"EXCHANGE AGREEMENT" has the meaning set forth in the Merger Agreement.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"GAAP" has the meaning set forth in the Merger Agreement.</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"GOVERNMENTAL APPROVALS" means any notices, reports or other filings to be made, or any consents, registrations, approvals, permits or authorizations to be obtained from, any Governmental Authority.</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"GOVERNMENTAL AUTHORITY" has the meaning set forth in the Merger Agreement.</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"GROUP" means the AT&amp;T Broadband Group or the AT&amp;T Communications Group, as the context requires.</w:t>
      </w:r>
    </w:p>
    <w:p>
      <w:pPr>
        <w:spacing w:after="0" w:line="19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"INDEBTEDNESS" means, with respect to any Person, (a) any obligation of such Person (i) for borrowed money, (ii) evidenced by a note, debenture or similar instrument (including a purchase money obligation) given in connection with the acquisition of any property or assets, including securities, (iii) for the deferred purchase price of property or services, except trade accounts payable arising in the ordinary course of business, or (iv) under any lease or similar arrangement that would be required to be accounted for by the lessee as a capital lease in accordance with GAAP; (b) any guarantee (or keepwell agreement) by such Person of any indebtedness of others described in the preceding clause (a); and (c) all obligations to reimburse any bank or other Person for amounts paid under a letter of credit or similar instrument. For</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B-12</w:t>
      </w:r>
    </w:p>
    <w:p>
      <w:pPr>
        <w:sectPr>
          <w:pgSz w:w="11900" w:h="16838" w:orient="portrait"/>
          <w:cols w:equalWidth="0" w:num="1">
            <w:col w:w="10219"/>
          </w:cols>
          <w:pgMar w:left="240" w:top="718" w:right="1440" w:bottom="660" w:gutter="0" w:footer="0" w:header="0"/>
        </w:sectPr>
      </w:pPr>
    </w:p>
    <w:bookmarkStart w:id="491" w:name="page492"/>
    <w:bookmarkEnd w:id="491"/>
    <w:p>
      <w:pPr>
        <w:ind w:right="2039"/>
        <w:spacing w:after="0" w:line="252" w:lineRule="auto"/>
        <w:rPr>
          <w:sz w:val="20"/>
          <w:szCs w:val="20"/>
          <w:color w:val="auto"/>
        </w:rPr>
      </w:pPr>
      <w:r>
        <w:rPr>
          <w:rFonts w:ascii="Courier New" w:cs="Courier New" w:eastAsia="Courier New" w:hAnsi="Courier New"/>
          <w:sz w:val="17"/>
          <w:szCs w:val="17"/>
          <w:color w:val="auto"/>
        </w:rPr>
        <w:t>purposes of clarification, (x) Indebtedness includes, without duplication, obligations (or guarantees of obligations) related to preferred securities issued by a wholly owned trust Subsidiary and (y) Indebtedness (in the case of AT&amp;T Broadband, any AT&amp;T Broadband Entity or any member of the AT&amp;T Broadband Group) includes the monetizations set forth on Schedule 1.23(i).</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"INDEMNIFYING PARTY" has the meaning set forth in Section 5.04(a).</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"INDEMNITEE" has the meaning set forth in Section 5.04(a).</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"INDEMNITY PAYMENT" has the meaning set forth in Section 5.04(a).</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"INFORMATION"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"INSURANCE POLICIES" means the insurance policies written by insurance carriers other than American Ridge or Western Range under which, prior to the Distribution Date, AT&amp;T and/or AT&amp;T Broadband or one or more of their Subsidiaries or Affiliates (or their respective officers or directors) are insured parties, excluding insurance policies funding Benefit Plans (as defined in the Employee Benefits Agreement) (which are addressed in the Employee Benefits Agreement).</w:t>
      </w:r>
    </w:p>
    <w:p>
      <w:pPr>
        <w:spacing w:after="0" w:line="196"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"INSURANCE PROCEEDS" means those monies:</w:t>
      </w:r>
    </w:p>
    <w:p>
      <w:pPr>
        <w:spacing w:after="0" w:line="210" w:lineRule="exact"/>
        <w:rPr>
          <w:sz w:val="20"/>
          <w:szCs w:val="20"/>
          <w:color w:val="auto"/>
        </w:rPr>
      </w:pPr>
    </w:p>
    <w:p>
      <w:pPr>
        <w:ind w:left="540" w:right="2559" w:firstLine="515"/>
        <w:spacing w:after="0" w:line="257" w:lineRule="auto"/>
        <w:tabs>
          <w:tab w:leader="none" w:pos="1483" w:val="left"/>
        </w:tabs>
        <w:numPr>
          <w:ilvl w:val="0"/>
          <w:numId w:val="5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received by an insured from an insurance carrier other than American Ridge or Western Range; or</w:t>
      </w:r>
    </w:p>
    <w:p>
      <w:pPr>
        <w:spacing w:after="0" w:line="191" w:lineRule="exact"/>
        <w:rPr>
          <w:rFonts w:ascii="Courier New" w:cs="Courier New" w:eastAsia="Courier New" w:hAnsi="Courier New"/>
          <w:sz w:val="17"/>
          <w:szCs w:val="17"/>
          <w:color w:val="auto"/>
        </w:rPr>
      </w:pPr>
    </w:p>
    <w:p>
      <w:pPr>
        <w:ind w:left="540" w:right="1939" w:firstLine="515"/>
        <w:spacing w:after="0" w:line="257" w:lineRule="auto"/>
        <w:tabs>
          <w:tab w:leader="none" w:pos="1483" w:val="left"/>
        </w:tabs>
        <w:numPr>
          <w:ilvl w:val="0"/>
          <w:numId w:val="5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paid by an insurance carrier other than American Ridge or Western Range on behalf of an insured;</w:t>
      </w:r>
    </w:p>
    <w:p>
      <w:pPr>
        <w:spacing w:after="0" w:line="192" w:lineRule="exact"/>
        <w:rPr>
          <w:sz w:val="20"/>
          <w:szCs w:val="20"/>
          <w:color w:val="auto"/>
        </w:rPr>
      </w:pPr>
    </w:p>
    <w:p>
      <w:pPr>
        <w:jc w:val="both"/>
        <w:ind w:right="1939"/>
        <w:spacing w:after="0" w:line="253" w:lineRule="auto"/>
        <w:rPr>
          <w:sz w:val="20"/>
          <w:szCs w:val="20"/>
          <w:color w:val="auto"/>
        </w:rPr>
      </w:pPr>
      <w:r>
        <w:rPr>
          <w:rFonts w:ascii="Courier New" w:cs="Courier New" w:eastAsia="Courier New" w:hAnsi="Courier New"/>
          <w:sz w:val="17"/>
          <w:szCs w:val="17"/>
          <w:color w:val="auto"/>
        </w:rPr>
        <w:t>in any such case net of any applicable premium adjustments (including reserves and retrospectively rated premium adjustments) and net of any costs or expenses (including allocated costs of in-house counsel and other personnel) incurred in the collection thereof.</w:t>
      </w:r>
    </w:p>
    <w:p>
      <w:pPr>
        <w:spacing w:after="0" w:line="195" w:lineRule="exact"/>
        <w:rPr>
          <w:sz w:val="20"/>
          <w:szCs w:val="20"/>
          <w:color w:val="auto"/>
        </w:rPr>
      </w:pPr>
    </w:p>
    <w:p>
      <w:pPr>
        <w:ind w:right="1839" w:firstLine="524"/>
        <w:spacing w:after="0" w:line="258" w:lineRule="auto"/>
        <w:rPr>
          <w:sz w:val="20"/>
          <w:szCs w:val="20"/>
          <w:color w:val="auto"/>
        </w:rPr>
      </w:pPr>
      <w:r>
        <w:rPr>
          <w:rFonts w:ascii="Courier New" w:cs="Courier New" w:eastAsia="Courier New" w:hAnsi="Courier New"/>
          <w:sz w:val="17"/>
          <w:szCs w:val="17"/>
          <w:color w:val="auto"/>
        </w:rPr>
        <w:t>"INTELLECTUAL PROPERTY AGREEMENT" means the Intellectual Property Agreement by and between AT&amp;T and AT&amp;T Broadband, in the form attached hereto as Exhibit D.</w:t>
      </w:r>
    </w:p>
    <w:p>
      <w:pPr>
        <w:spacing w:after="0" w:line="3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"IRS" means the U.S. Internal Revenue Service.</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"ISSUING PARTY" has the meaning set forth in Section 6.02(c).</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"LIABILITIES" means any and all losses, claims, charges, debts, demands, Actions, damages, obligations, payments, costs and expenses, bonds, indemnities and similar obligations, covenants, controversies, promises, omissions, guarantees, make whole agreements and similar obligations, and other liabilities, including all contractual obligations, whether absolute or contingent, inchoate or otherwise, matured or unmatured, liquidated or unliquidated, accrued or unaccrued, known or unknown, whenever arising, and including those arising under any law, rule, regulation, Action, threatened or contemplated Action (including the costs and expenses of demands, assessments, judgments, settlements and compromises relating thereto and attorneys' fees and any and all costs and expenses (including allocated costs of in-house counsel and other personnel), whatsoever reasonably incurred in investigating, preparing or defending against any such Actions or threatened or contemplated Actions), order or consent decree of any Governmental Authority or any award of any arbitrator or mediator of any kind, and those arising under any contract, commitment or undertaking, including those arising under this Agreement or any other Ancillary Agreement (other than the Tax Sharing Agreement) or incurred by a party hereto or thereto in connection with enforcing its rights to indemnification hereunder or thereunder, in each case, whether or</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B-13</w:t>
      </w:r>
    </w:p>
    <w:p>
      <w:pPr>
        <w:sectPr>
          <w:pgSz w:w="11900" w:h="16838" w:orient="portrait"/>
          <w:cols w:equalWidth="0" w:num="1">
            <w:col w:w="10219"/>
          </w:cols>
          <w:pgMar w:left="240" w:top="719" w:right="1440" w:bottom="659" w:gutter="0" w:footer="0" w:header="0"/>
        </w:sectPr>
      </w:pPr>
    </w:p>
    <w:bookmarkStart w:id="492" w:name="page493"/>
    <w:bookmarkEnd w:id="492"/>
    <w:p>
      <w:pPr>
        <w:ind w:right="1939"/>
        <w:spacing w:after="0" w:line="252" w:lineRule="auto"/>
        <w:rPr>
          <w:sz w:val="20"/>
          <w:szCs w:val="20"/>
          <w:color w:val="auto"/>
        </w:rPr>
      </w:pPr>
      <w:r>
        <w:rPr>
          <w:rFonts w:ascii="Courier New" w:cs="Courier New" w:eastAsia="Courier New" w:hAnsi="Courier New"/>
          <w:sz w:val="17"/>
          <w:szCs w:val="17"/>
          <w:color w:val="auto"/>
        </w:rPr>
        <w:t>not recorded or reflected or required to be recorded or reflected on the books and records or financial statements of any Person; provided, however, that Liabilities shall not include any liabilities for (i) Taxes based on, measured by or calculated with respect to net income or profits or (ii) Non-Income Taxes covered by Section 3.6 of the Tax Sharing Agreement.</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"LMC" means Liberty Media Corporation, a Delaware corporation.</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"LOCAL NETWORK CONNECTIVITY SERVICES AGREEMENT" means the Local Network Connectivity Services Agreement dated as of January 1, 2001, as amended, between AT&amp;T and AT&amp;T Broadband, LLC, a Delaware limited liability company.</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"MERGERS" has the definition set forth in the Merger Agreement.</w:t>
      </w:r>
    </w:p>
    <w:p>
      <w:pPr>
        <w:spacing w:after="0" w:line="210"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"MERGER AGREEMENT" means the Agreement and Plan of Merger dated as of December 19, 2001 by and among AT&amp;T, Comcast and the other parties referred to therein.</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"MICROSOFT" has the meaning set forth in the Recitals.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"MICROSOFT QUIPS CLAIM" has the meaning set forth in Section 5.02(e).</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"NON-INCOME TAXES" has the meaning set forth in the Tax Sharing Agreement.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"NOTIFIED ACTION" has the meaning set forth in Section 6.02(c).</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"NYBCL" means the Business Corporation Law of the State of New York.</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"OTHER PARTY" has the meaning set forth in Section 6.02(c).</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"PARENT COMMON STOCK" has the meaning set forth in the Merger Agreement.</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"PATENT ASSIGNMENT" means the Patent Assignment by and between AT&amp;T and AT&amp;T Broadband, LLC, a Delaware limited liability company, in the form attached hereto as Exhibit F.</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"PERSON" means an individual, a general or limited partnership, a corporation, a trust, a joint venture, an unincorporated organization, a limited liability entity, any other entity and any Governmental Authority.</w:t>
      </w:r>
    </w:p>
    <w:p>
      <w:pPr>
        <w:spacing w:after="0" w:line="194"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"PRIMARY COMMERCIAL AGREEMENTS" has the meaning set forth in the definition of Ancillary Agreements.</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"PRIMARY INDEMNITY CLAIM" has the meaning set forth in Section 6.04(b).</w:t>
      </w:r>
    </w:p>
    <w:p>
      <w:pPr>
        <w:spacing w:after="0" w:line="210" w:lineRule="exact"/>
        <w:rPr>
          <w:sz w:val="20"/>
          <w:szCs w:val="20"/>
          <w:color w:val="auto"/>
        </w:rPr>
      </w:pPr>
    </w:p>
    <w:p>
      <w:pPr>
        <w:ind w:right="2879" w:firstLine="524"/>
        <w:spacing w:after="0" w:line="257" w:lineRule="auto"/>
        <w:rPr>
          <w:sz w:val="20"/>
          <w:szCs w:val="20"/>
          <w:color w:val="auto"/>
        </w:rPr>
      </w:pPr>
      <w:r>
        <w:rPr>
          <w:rFonts w:ascii="Courier New" w:cs="Courier New" w:eastAsia="Courier New" w:hAnsi="Courier New"/>
          <w:sz w:val="17"/>
          <w:szCs w:val="17"/>
          <w:color w:val="auto"/>
        </w:rPr>
        <w:t>"PRIMARY TRANSACTION AGREEMENTS" has the meaning set forth in the definition of Ancillary Agreements.</w:t>
      </w:r>
    </w:p>
    <w:p>
      <w:pPr>
        <w:spacing w:after="0" w:line="19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"PRIME RATE" means the rate that The Bank of New York (or any successor thereto or other major money center commercial bank agreed to by the parties hereto) announces from time to time as its prime lending rate, as in effect from time to time.</w:t>
      </w:r>
    </w:p>
    <w:p>
      <w:pPr>
        <w:spacing w:after="0" w:line="195"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"PROPOSED ACQUISITION TRANSACTION" has the meaning set forth in Section 6.02(b).</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"PROXY STATEMENT" has the meaning set forth in Section 4.02(a).</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"QUIPS" has the meaning set forth in the Merger Agreement.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"QUIPS EXCHANGE" has the meaning set forth in the Merger Agreement.</w:t>
      </w:r>
    </w:p>
    <w:p>
      <w:pPr>
        <w:spacing w:after="0" w:line="210" w:lineRule="exact"/>
        <w:rPr>
          <w:sz w:val="20"/>
          <w:szCs w:val="20"/>
          <w:color w:val="auto"/>
        </w:rPr>
      </w:pPr>
    </w:p>
    <w:p>
      <w:pPr>
        <w:ind w:right="2879" w:firstLine="524"/>
        <w:spacing w:after="0" w:line="257" w:lineRule="auto"/>
        <w:rPr>
          <w:sz w:val="20"/>
          <w:szCs w:val="20"/>
          <w:color w:val="auto"/>
        </w:rPr>
      </w:pPr>
      <w:r>
        <w:rPr>
          <w:rFonts w:ascii="Courier New" w:cs="Courier New" w:eastAsia="Courier New" w:hAnsi="Courier New"/>
          <w:sz w:val="17"/>
          <w:szCs w:val="17"/>
          <w:color w:val="auto"/>
        </w:rPr>
        <w:t>"QUIPS FAIR MARKET VALUE" has the meaning set forth in the Merger Agreement.</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"QUIPS TRANSFER" has the meaning set forth in the Merger Agreement.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"REAL PROPERTY INSTRUMENTS" has the meaning set forth in Section 2.05(a).</w:t>
      </w:r>
    </w:p>
    <w:p>
      <w:pPr>
        <w:spacing w:after="0" w:line="210"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"RECORD DATE" means the close of business on such date as is mutually agreed upon by the parties.</w:t>
      </w:r>
    </w:p>
    <w:p>
      <w:pPr>
        <w:spacing w:after="0" w:line="192" w:lineRule="exact"/>
        <w:rPr>
          <w:sz w:val="20"/>
          <w:szCs w:val="20"/>
          <w:color w:val="auto"/>
        </w:rPr>
      </w:pPr>
    </w:p>
    <w:p>
      <w:pPr>
        <w:ind w:right="2679" w:firstLine="524"/>
        <w:spacing w:after="0" w:line="257" w:lineRule="auto"/>
        <w:rPr>
          <w:sz w:val="20"/>
          <w:szCs w:val="20"/>
          <w:color w:val="auto"/>
        </w:rPr>
      </w:pPr>
      <w:r>
        <w:rPr>
          <w:rFonts w:ascii="Courier New" w:cs="Courier New" w:eastAsia="Courier New" w:hAnsi="Courier New"/>
          <w:sz w:val="17"/>
          <w:szCs w:val="17"/>
          <w:color w:val="auto"/>
        </w:rPr>
        <w:t>"REGISTRATION STATEMENT CLAIM" has the meaning set forth in Section 5.02(d).</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B-14</w:t>
      </w:r>
    </w:p>
    <w:p>
      <w:pPr>
        <w:sectPr>
          <w:pgSz w:w="11900" w:h="16838" w:orient="portrait"/>
          <w:cols w:equalWidth="0" w:num="1">
            <w:col w:w="10219"/>
          </w:cols>
          <w:pgMar w:left="240" w:top="719" w:right="1440" w:bottom="256" w:gutter="0" w:footer="0" w:header="0"/>
        </w:sectPr>
      </w:pPr>
    </w:p>
    <w:bookmarkStart w:id="493" w:name="page494"/>
    <w:bookmarkEnd w:id="493"/>
    <w:p>
      <w:pPr>
        <w:ind w:right="1839" w:firstLine="524"/>
        <w:spacing w:after="0" w:line="252" w:lineRule="auto"/>
        <w:rPr>
          <w:sz w:val="20"/>
          <w:szCs w:val="20"/>
          <w:color w:val="auto"/>
        </w:rPr>
      </w:pPr>
      <w:r>
        <w:rPr>
          <w:rFonts w:ascii="Courier New" w:cs="Courier New" w:eastAsia="Courier New" w:hAnsi="Courier New"/>
          <w:sz w:val="17"/>
          <w:szCs w:val="17"/>
          <w:color w:val="auto"/>
        </w:rPr>
        <w:t>"REGISTRATION STATEMENTS" means the Distribution Registration Statement and all other filings by AT&amp;T, AT&amp;T Broadband or any of their respective Affiliates with the Commission or any comparable state or foreign body made in connection with the transactions contemplated by this Agreement or any other Ancillary Agreement.</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"REPRESENTATION LETTER" means the representation letter and any other materials (including the ruling request and the related supplemental submissions to the IRS) delivered or deliverable by AT&amp;T and others in connection with the rendering by tax counsel and the issuance by the IRS of the Tax Opinions/ Rulings that shall be in form and substance reasonably satisfactory to AT&amp;T and AT&amp;T Broadband.</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"RESTRUCTURING TRANSACTION" has the meaning set forth in Section 2.01(h).</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"SCHEDULED DEBT" has the meaning set forth in Section 3.01.</w:t>
      </w:r>
    </w:p>
    <w:p>
      <w:pPr>
        <w:spacing w:after="0" w:line="210"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"SECURITIES ACT" means the Securities Act of 1933, as amended, together with the rules and regulations promulgated thereunder.</w:t>
      </w:r>
    </w:p>
    <w:p>
      <w:pPr>
        <w:spacing w:after="0" w:line="192"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"SECURITY INTEREST" means any mortgage, security interest, pledge, lien, charge, claim, option, right to acquire, voting or other restriction, right-of-way, covenant, condition, easement, encroachment, restriction on transfer or other encumbrance of any nature whatsoever.</w:t>
      </w:r>
    </w:p>
    <w:p>
      <w:pPr>
        <w:spacing w:after="0" w:line="195" w:lineRule="exact"/>
        <w:rPr>
          <w:sz w:val="20"/>
          <w:szCs w:val="20"/>
          <w:color w:val="auto"/>
        </w:rPr>
      </w:pPr>
    </w:p>
    <w:p>
      <w:pPr>
        <w:ind w:right="2559" w:firstLine="524"/>
        <w:spacing w:after="0" w:line="253" w:lineRule="auto"/>
        <w:rPr>
          <w:sz w:val="20"/>
          <w:szCs w:val="20"/>
          <w:color w:val="auto"/>
        </w:rPr>
      </w:pPr>
      <w:r>
        <w:rPr>
          <w:rFonts w:ascii="Courier New" w:cs="Courier New" w:eastAsia="Courier New" w:hAnsi="Courier New"/>
          <w:sz w:val="17"/>
          <w:szCs w:val="17"/>
          <w:color w:val="auto"/>
        </w:rPr>
        <w:t>"SEPARATION" means the transfer of the AT&amp;T Broadband Assets to AT&amp;T Broadband and the assumption by AT&amp;T Broadband of the AT&amp;T Broadband Liabilities, all as more fully described in this Agreement and the other Ancillary Agreements.</w:t>
      </w:r>
    </w:p>
    <w:p>
      <w:pPr>
        <w:spacing w:after="0" w:line="195"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"SEPARATION TRANSACTIONS" has the meaning set forth in the Separation and Distribution Agreement dated as of June 4, 2001 by and between AT&amp;T and AWS.</w:t>
      </w:r>
    </w:p>
    <w:p>
      <w:pPr>
        <w:spacing w:after="0" w:line="192"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"SPECIFIED MATTER" has the meaning set forth in the Separation and Distribution Agreement, dated as of June 4, 2001, by and between AT&amp;T and AWS.</w:t>
      </w:r>
    </w:p>
    <w:p>
      <w:pPr>
        <w:spacing w:after="0" w:line="19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"SPECIFIED TRANSACTIONS" has the meaning set forth in clause (g) of the definition of AT&amp;T Broadband Liabilities.</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"SPIN-OFF DISQUALIFICATION" means (a) the Separation and Distribution failing to qualify under the provisions of Sections 355, 361(c) and 368(a)(1)(D) of the Code, or (b) the shares of AT&amp;T Broadband failing to qualify as "qualified property" for purposes of Section 355(c)(2) or 361(c) of the Code by reason of Section 355(e) of the Code.</w:t>
      </w:r>
    </w:p>
    <w:p>
      <w:pPr>
        <w:spacing w:after="0" w:line="197" w:lineRule="exact"/>
        <w:rPr>
          <w:sz w:val="20"/>
          <w:szCs w:val="20"/>
          <w:color w:val="auto"/>
        </w:rPr>
      </w:pPr>
    </w:p>
    <w:p>
      <w:pPr>
        <w:jc w:val="both"/>
        <w:ind w:right="2559" w:firstLine="524"/>
        <w:spacing w:after="0" w:line="254" w:lineRule="auto"/>
        <w:rPr>
          <w:sz w:val="20"/>
          <w:szCs w:val="20"/>
          <w:color w:val="auto"/>
        </w:rPr>
      </w:pPr>
      <w:r>
        <w:rPr>
          <w:rFonts w:ascii="Courier New" w:cs="Courier New" w:eastAsia="Courier New" w:hAnsi="Courier New"/>
          <w:sz w:val="17"/>
          <w:szCs w:val="17"/>
          <w:color w:val="auto"/>
        </w:rPr>
        <w:t>"SPLIT-OFF" has the meaning set forth in the Ninth Supplement to the Inter-Group Agreement dated as of June 14, 2001 by and among AT&amp;T and the Liberty Media Parties (as defined therein).</w:t>
      </w:r>
    </w:p>
    <w:p>
      <w:pPr>
        <w:spacing w:after="0" w:line="194" w:lineRule="exact"/>
        <w:rPr>
          <w:sz w:val="20"/>
          <w:szCs w:val="20"/>
          <w:color w:val="auto"/>
        </w:rPr>
      </w:pPr>
    </w:p>
    <w:p>
      <w:pPr>
        <w:jc w:val="both"/>
        <w:ind w:right="2559" w:firstLine="524"/>
        <w:spacing w:after="0" w:line="257" w:lineRule="auto"/>
        <w:rPr>
          <w:sz w:val="20"/>
          <w:szCs w:val="20"/>
          <w:color w:val="auto"/>
        </w:rPr>
      </w:pPr>
      <w:r>
        <w:rPr>
          <w:rFonts w:ascii="Courier New" w:cs="Courier New" w:eastAsia="Courier New" w:hAnsi="Courier New"/>
          <w:sz w:val="17"/>
          <w:szCs w:val="17"/>
          <w:color w:val="auto"/>
        </w:rPr>
        <w:t>"SUBSEQUENT TAX OPINION/RULING" has the meaning set forth in Section 6.02(c).</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"SUBSIDIARY" has the meaning set forth in the Merger Agreement.</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"SUBSIDIARY PREFERRED STOCK EXCHANGE" has the meaning set forth in Section 4.01(d).</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"TAX OPINIONS/RULINGS" has the meaning set forth in Section 6.02(b).</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"TAX RELATED LOSSES" has the meaning set forth in Section 6.02(d).</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"TAX SHARING AGREEMENT" means the Tax Sharing Agreement by and between AT&amp;T and AT&amp;T Broadband, in the form attached hereto as Exhibit G.</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"TAXES" has the meaning set forth in the Tax Sharing Agreement.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"THIRD PARTY CLAIM" has the meaning set forth in Section 5.05(a).</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"THIRD PARTY TAX CLAIM" has the meaning set forth in Section 6.03(a).</w:t>
      </w:r>
    </w:p>
    <w:p>
      <w:pPr>
        <w:spacing w:after="0" w:line="210"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"T-HOLDINGS" means AT&amp;T Broadband T-Holdings, Inc. (f/k/a TCI Telephony Holdings, Inc.), a Delaware corporation.</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B-15</w:t>
      </w:r>
    </w:p>
    <w:p>
      <w:pPr>
        <w:sectPr>
          <w:pgSz w:w="11900" w:h="16838" w:orient="portrait"/>
          <w:cols w:equalWidth="0" w:num="1">
            <w:col w:w="10219"/>
          </w:cols>
          <w:pgMar w:left="240" w:top="718" w:right="1440" w:bottom="660" w:gutter="0" w:footer="0" w:header="0"/>
        </w:sectPr>
      </w:pPr>
    </w:p>
    <w:bookmarkStart w:id="494" w:name="page495"/>
    <w:bookmarkEnd w:id="494"/>
    <w:p>
      <w:pPr>
        <w:ind w:left="540"/>
        <w:spacing w:after="0"/>
        <w:rPr>
          <w:sz w:val="20"/>
          <w:szCs w:val="20"/>
          <w:color w:val="auto"/>
        </w:rPr>
      </w:pPr>
      <w:r>
        <w:rPr>
          <w:rFonts w:ascii="Courier New" w:cs="Courier New" w:eastAsia="Courier New" w:hAnsi="Courier New"/>
          <w:sz w:val="17"/>
          <w:szCs w:val="17"/>
          <w:color w:val="auto"/>
        </w:rPr>
        <w:t>"TOPRS" has the meaning set forth in the Merger Agreement.</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"TRADEMARK AND SERVICE MARK AGREEMENT" means the Trademark and Service Mark Agreement by and among AT&amp;T, AT&amp;T Broadband, LLC, a Delaware limited liability company, and MediaOne Group, Inc., a Delaware corporation, in the form attached hereto as Exhibit H.</w:t>
      </w:r>
    </w:p>
    <w:p>
      <w:pPr>
        <w:spacing w:after="0" w:line="195" w:lineRule="exact"/>
        <w:rPr>
          <w:sz w:val="20"/>
          <w:szCs w:val="20"/>
          <w:color w:val="auto"/>
        </w:rPr>
      </w:pPr>
    </w:p>
    <w:p>
      <w:pPr>
        <w:ind w:right="2679" w:firstLine="524"/>
        <w:spacing w:after="0" w:line="257" w:lineRule="auto"/>
        <w:rPr>
          <w:sz w:val="20"/>
          <w:szCs w:val="20"/>
          <w:color w:val="auto"/>
        </w:rPr>
      </w:pPr>
      <w:r>
        <w:rPr>
          <w:rFonts w:ascii="Courier New" w:cs="Courier New" w:eastAsia="Courier New" w:hAnsi="Courier New"/>
          <w:sz w:val="17"/>
          <w:szCs w:val="17"/>
          <w:color w:val="auto"/>
        </w:rPr>
        <w:t>"TRANSACTION DISQUALIFICATION" has the meaning set forth in Section 6.04(a).</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"TWE OPTION" has the meaning set forth in the Merger Agreement.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"UNDERPAYMENT RATE" has the meaning set forth in Section 6.03(c).</w:t>
      </w:r>
    </w:p>
    <w:p>
      <w:pPr>
        <w:spacing w:after="0" w:line="210" w:lineRule="exact"/>
        <w:rPr>
          <w:sz w:val="20"/>
          <w:szCs w:val="20"/>
          <w:color w:val="auto"/>
        </w:rPr>
      </w:pPr>
    </w:p>
    <w:p>
      <w:pPr>
        <w:ind w:right="2979" w:firstLine="524"/>
        <w:spacing w:after="0" w:line="257" w:lineRule="auto"/>
        <w:rPr>
          <w:sz w:val="20"/>
          <w:szCs w:val="20"/>
          <w:color w:val="auto"/>
        </w:rPr>
      </w:pPr>
      <w:r>
        <w:rPr>
          <w:rFonts w:ascii="Courier New" w:cs="Courier New" w:eastAsia="Courier New" w:hAnsi="Courier New"/>
          <w:sz w:val="17"/>
          <w:szCs w:val="17"/>
          <w:color w:val="auto"/>
        </w:rPr>
        <w:t>"WESTERN RANGE" means Western Range Insurance Company, a Vermont corporation.</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2</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THE SEPARATION</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2.01. Transfer of Assets and Assumption of Liabilities. (a) Subject to Section 4.03, on or prior to the Distribution Date, AT&amp;T will assign, transfer, convey and deliver to AT&amp;T Broadband, and agrees to cause its applicable Subsidiaries to assign, transfer, convey and deliver to AT&amp;T Broadband, and AT&amp;T Broadband will accept from AT&amp;T and its applicable Subsidiaries, all of AT&amp;T's and its applicable Subsidiaries' respective right, title and interest in all AT&amp;T Broadband Assets, other than the Delayed Transfer Assets.</w:t>
      </w:r>
    </w:p>
    <w:p>
      <w:pPr>
        <w:spacing w:after="0" w:line="397" w:lineRule="exact"/>
        <w:rPr>
          <w:sz w:val="20"/>
          <w:szCs w:val="20"/>
          <w:color w:val="auto"/>
        </w:rPr>
      </w:pPr>
    </w:p>
    <w:p>
      <w:pPr>
        <w:ind w:right="1839" w:firstLine="531"/>
        <w:spacing w:after="0" w:line="251" w:lineRule="auto"/>
        <w:tabs>
          <w:tab w:leader="none" w:pos="943" w:val="left"/>
        </w:tabs>
        <w:numPr>
          <w:ilvl w:val="0"/>
          <w:numId w:val="5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4.03, on or prior to the Distribution Date, AT&amp;T Broadband will assume and agree faithfully to perform and fulfill all the AT&amp;T Broadband Liabilities that are not already Liabilities of an AT&amp;T Broadband Subsidiary, other than the Delayed Transfer Liabilities, in accordance with their respective terms. AT&amp;T Broadband shall be responsible for all AT&amp;T Broadband Liabilities that are not already Liabilities of an AT&amp;T Broadband Subsidiary, regardless of when or where such Liabilities arose or arise, or whether the facts on which they are based occurred prior to, on or subsequent to the date hereof, regardless of where or against whom such Liabilities are asserted or determined (including any AT&amp;T Broadband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 For the avoidance of doubt, but subject to Section 5.03 including the indemnification obligations thereunder with respect to Liabilities described in clause (g) of the definition of AT&amp;T Broadband Liabilities, AT&amp;T Broadband is not itself agreeing to assume any Liabilities of At Home or its Subsidiaries.</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5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4.03, on or prior to the Distribution Date, AT&amp;T will assume and agree faithfully to perform and fulfill all the AT&amp;T Communications Liabilities that are not already Liabilities of AT&amp;T or any of its Subsidiaries (other than any AT&amp;T Broadband Entity) in accordance with their respective terms. AT&amp;T shall be responsible for all AT&amp;T Communications Liabilities that are not already Liabilities of an AT&amp;T Subsidiary (other than any AT&amp;T Broadband Entity), regardless of when or where such Liabilities arose or arise, or whether the facts on which they are based occurred prior to, on or subsequent to the date hereof, regardless of where or against whom such Liabilities are asserted or determined (including any AT&amp;T Communications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B-16</w:t>
      </w:r>
    </w:p>
    <w:p>
      <w:pPr>
        <w:sectPr>
          <w:pgSz w:w="11900" w:h="16838" w:orient="portrait"/>
          <w:cols w:equalWidth="0" w:num="1">
            <w:col w:w="10219"/>
          </w:cols>
          <w:pgMar w:left="240" w:top="719" w:right="1440" w:bottom="659" w:gutter="0" w:footer="0" w:header="0"/>
        </w:sectPr>
      </w:pPr>
    </w:p>
    <w:bookmarkStart w:id="495" w:name="page496"/>
    <w:bookmarkEnd w:id="495"/>
    <w:p>
      <w:pPr>
        <w:ind w:right="1839" w:firstLine="531"/>
        <w:spacing w:after="0" w:line="252" w:lineRule="auto"/>
        <w:tabs>
          <w:tab w:leader="none" w:pos="943" w:val="left"/>
        </w:tabs>
        <w:numPr>
          <w:ilvl w:val="1"/>
          <w:numId w:val="5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parties hereto agrees that the Delayed Transfer Assets will be assigned, transferred, conveyed and delivered, and the Delayed Transfer Liabilities will be assumed, in accordance with the terms of the agreements that provide for such assignment, transfer, conveyance and delivery, or such assumption, after the date of this Agreement.</w:t>
      </w:r>
    </w:p>
    <w:p>
      <w:pPr>
        <w:spacing w:after="0" w:line="197"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1"/>
          <w:numId w:val="5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at any time or from time to time (whether prior to or after the Distribution Date) any party hereto (or any member of such party's respective Group) shall receive or otherwise possess any Asset that is allocated to any other Person pursuant to this Agreement or any other Ancillary Agreement, such party shall promptly transfer, or cause to be transferred, such Asset to the Person so entitled thereto. Prior to any such transfer, the Person receiving or possessing such Asset shall hold such Asset in trust for any such other Person.</w:t>
      </w:r>
    </w:p>
    <w:p>
      <w:pPr>
        <w:spacing w:after="0" w:line="397" w:lineRule="exact"/>
        <w:rPr>
          <w:rFonts w:ascii="Courier New" w:cs="Courier New" w:eastAsia="Courier New" w:hAnsi="Courier New"/>
          <w:sz w:val="17"/>
          <w:szCs w:val="17"/>
          <w:color w:val="auto"/>
        </w:rPr>
      </w:pPr>
    </w:p>
    <w:p>
      <w:pPr>
        <w:ind w:right="1939" w:firstLine="531"/>
        <w:spacing w:after="0" w:line="251" w:lineRule="auto"/>
        <w:tabs>
          <w:tab w:leader="none" w:pos="943" w:val="left"/>
        </w:tabs>
        <w:numPr>
          <w:ilvl w:val="1"/>
          <w:numId w:val="5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transactions described in Section 2.01(a)-(c), (i) AT&amp;T shall contribute $18 million in cash to AT&amp;T Broadband, (ii) AT&amp;T shall cause T-Holdings and its Subsidiaries to sell all of their respective Assets that are used or held for use primarily in the AT&amp;T Broadband Business to AT&amp;T Broadband for $18 million in cash and (iii) AT&amp;T Broadband shall purchase from T-Holdings and its Subsidiaries for $18 million in cash all of such Assets. Prior to the time that AT&amp;T Broadband LLC becomes a Subsidiary of AT&amp;T Broadband, AT&amp;T shall cause AT&amp;T Broadband LLC to distribute all of the outstanding shares of T-Holdings to AT&amp;T.</w:t>
      </w:r>
    </w:p>
    <w:p>
      <w:pPr>
        <w:spacing w:after="0" w:line="201" w:lineRule="exact"/>
        <w:rPr>
          <w:rFonts w:ascii="Courier New" w:cs="Courier New" w:eastAsia="Courier New" w:hAnsi="Courier New"/>
          <w:sz w:val="17"/>
          <w:szCs w:val="17"/>
          <w:color w:val="auto"/>
        </w:rPr>
      </w:pPr>
    </w:p>
    <w:p>
      <w:pPr>
        <w:ind w:right="2039" w:firstLine="531"/>
        <w:spacing w:after="0" w:line="252" w:lineRule="auto"/>
        <w:tabs>
          <w:tab w:leader="none" w:pos="943" w:val="left"/>
        </w:tabs>
        <w:numPr>
          <w:ilvl w:val="1"/>
          <w:numId w:val="5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this Section 2.01 and the definition of AT&amp;T Broadband Asset do not apply to any intellectual property, including any Software, Proprietary Information, Materials (as such terms are defined in the Intellectual Property Agreement), copyrights, inventions, patents, patent applications, trade secrets and other technology to the extent it is allocated in the Intellectual Property Agreement, except for transfers made pursuant to the Patent Assignment.</w:t>
      </w:r>
    </w:p>
    <w:p>
      <w:pPr>
        <w:spacing w:after="0" w:line="195" w:lineRule="exact"/>
        <w:rPr>
          <w:rFonts w:ascii="Courier New" w:cs="Courier New" w:eastAsia="Courier New" w:hAnsi="Courier New"/>
          <w:sz w:val="17"/>
          <w:szCs w:val="17"/>
          <w:color w:val="auto"/>
        </w:rPr>
      </w:pPr>
    </w:p>
    <w:p>
      <w:pPr>
        <w:ind w:right="2039" w:firstLine="531"/>
        <w:spacing w:after="0" w:line="251" w:lineRule="auto"/>
        <w:tabs>
          <w:tab w:leader="none" w:pos="943" w:val="left"/>
        </w:tabs>
        <w:numPr>
          <w:ilvl w:val="1"/>
          <w:numId w:val="5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Anything in this Agreement to the contrary notwithstanding, if either AT&amp;T or Comcast reasonably believes that the amount of income that would otherwise be required to be recognized under Treasury Regulations Section 1.1502-13 or 1.1502-19 by reason of the Distribution may be reduced or eliminated as a result of one or more restructuring transactions consummated prior to the Distribution, then the parties shall negotiate in good faith to reach agreement regarding such restructuring transaction. Notwithstanding anything in the preceding sentence, AT&amp;T shall be permitted to effect, at its own expense, any restructuring transaction under this paragraph; provided that</w:t>
      </w:r>
    </w:p>
    <w:p>
      <w:pPr>
        <w:ind w:right="1839" w:firstLine="7"/>
        <w:spacing w:after="0" w:line="251" w:lineRule="auto"/>
        <w:tabs>
          <w:tab w:leader="none" w:pos="419" w:val="left"/>
        </w:tabs>
        <w:numPr>
          <w:ilvl w:val="0"/>
          <w:numId w:val="5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shall be afforded reasonable notice and opportunity to comment upon plans to effect any such transaction, and (ii) such transaction shall not result in the failure of any AT&amp;T Broadband Asset that was intended under this Agreement to be transferred to or held by any member of the AT&amp;T Broadband Group to be so transferred or held, unless (A) such asset consists of the capital stock or other ownership interest in an AT&amp;T Broadband Subsidiary the assets of which will be transferred, on or prior to the Distribution Date, to another member of the AT&amp;T Broadband Group or (B) Comcast consents to such transaction, such consent not to be unreasonably withheld; provided, further, that AT&amp;T shall indemnify Comcast for any increased Tax liability or other costs to Comcast or any AT&amp;T Broadband Entity resulting from such transactions. Comcast agrees to reasonably cooperate with AT&amp;T in connection with transactions described in this paragraph (h).</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2.02. Disclaimer of Representations and Warranties. EXCEPT AS MAY EXPRESSLY BE SET FORTH HEREIN, IN ANY OTHER ANCILLARY AGREEMENT OR REAL PROPERTY INSTRUMENT OR IN THE MERGER AGREEMENT, (A) NONE OF AT&amp;T, AT&amp;T BROADBAND OR ANY OTHER PERSON MAKES ANY REPRESENTATION OR WARRANTY OF ANY KIND WHATSOEVER, EXPRESS OR IMPLIED, WITH RESPECT TO ANY OF THE TRANSACTIONS CONTEMPLATED HEREBY (INCLUDING ANY CONSENTS OR APPROVALS REQUIRED IN CONNECTION THEREWITH) OR THE BUSINESS, ASSETS, CONDITION OR PROSPECTS (FINANCIAL OR OTHERWISE) OF, OR ANY OTHER MATTER INVOLVING, THE ASSETS, BUSINESSES OR LIABILITIES OF AT&amp;T, AT&amp;T BROADBAND, THE AT&amp;T COMMUNICATIONS GROUP OR THE AT&amp;T BROADBAND GROUP; (B) ALL OF THE ASSETS TO BE RETAINED OR TRANSFERRED OR THE</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B-17</w:t>
      </w:r>
    </w:p>
    <w:p>
      <w:pPr>
        <w:sectPr>
          <w:pgSz w:w="11900" w:h="16838" w:orient="portrait"/>
          <w:cols w:equalWidth="0" w:num="1">
            <w:col w:w="10219"/>
          </w:cols>
          <w:pgMar w:left="240" w:top="719" w:right="1440" w:bottom="1440" w:gutter="0" w:footer="0" w:header="0"/>
        </w:sectPr>
      </w:pPr>
    </w:p>
    <w:bookmarkStart w:id="496" w:name="page497"/>
    <w:bookmarkEnd w:id="496"/>
    <w:p>
      <w:pPr>
        <w:ind w:right="1839"/>
        <w:spacing w:after="0" w:line="251" w:lineRule="auto"/>
        <w:rPr>
          <w:sz w:val="20"/>
          <w:szCs w:val="20"/>
          <w:color w:val="auto"/>
        </w:rPr>
      </w:pPr>
      <w:r>
        <w:rPr>
          <w:rFonts w:ascii="Courier New" w:cs="Courier New" w:eastAsia="Courier New" w:hAnsi="Courier New"/>
          <w:sz w:val="17"/>
          <w:szCs w:val="17"/>
          <w:color w:val="auto"/>
        </w:rPr>
        <w:t>LIABILITIES TO BE RETAINED, ASSUMED OR TRANSFERRED IN ACCORDANCE WITH THIS AGREEMENT SHALL BE TRANSFERRED OR ASSUMED ON AN "AS IS, WHERE IS BASIS," AND ALL IMPLIED WARRANTIES OF MERCHANTABILITY, FITNESS FOR A SPECIFIC PURPOSE OR OTHERWISE ARE HEREBY EXPRESSLY DISCLAIMED, AND (C) NONE OF AT&amp;T, AT&amp;T BROADBAND OR ANY OTHER PERSON MAKES ANY REPRESENTATION OR WARRANTY WITH RESPECT TO ANY INFORMATION, DOCUMENTS OR MATERIAL MADE AVAILABLE IN CONNECTION WITH THE SEPARATION, THE DISTRIBUTION OR THE MERGER OR THE ENTERING INTO OF THIS AGREEMENT OR THE MERGER AGREEMENT OR THE TRANSACTIONS CONTEMPLATED HEREBY AND THEREBY. EACH PARTY HERETO AGREES AND ACKNOWLEDGES THAT THE REPRESENTATIONS AND WARRANTIES IN THE MERGER AGREEMENT SHALL NOT SURVIVE THE EFFECTIVE TIME. AT&amp;T UNDERSTANDS AND AGREES THAT NO AT&amp;T BROADBAND ENTITY SHALL HAVE ANY LIABILITY TO AT&amp;T OR ANY OTHER PERSON FOR MONETARY DAMAGES FOR ANY BREACH BY SUCH AT&amp;T BROADBAND ENTITY PRIOR TO THE EFFECTIVE TIME OF THIS AGREEMENT OR ANY OTHER ANCILLARY AGREEMENT OR REAL PROPERTY INSTRUMENT.</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2.03. Other Ancillary Agreements. On or prior to the Distribution Date, each of AT&amp;T and AT&amp;T Broadband will execute and deliver or cause to be executed and delivered all Ancillary Agreements to which it or any of its Subsidiaries is a party. At the request of Comcast or AT&amp;T, on or prior to the Distribution Date, AT&amp;T and AT&amp;T Broadband will execute and deliver the Interim Services and Systems Replication Agreement, in the form attached hereto as Exhibit E. Pursuant to the terms of such agreement, AT&amp;T or AT&amp;T Broadband, as the case may be, will provide to AT&amp;T Broadband or AT&amp;T, as the case may be, such mutually agreed services as may be set forth on the schedules to such Agreement, such schedules to be on terms mutually agreed between Comcast and AT&amp;T. If AT&amp;T and AT&amp;T Broadband enter into such agreement, such agreement will be considered an Ancillary Agreement. Except to the extent set forth therein, Article 11 of this Agreement shall apply to any Ancillary Agreement (other than the Tax Sharing Agreement).</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2.04. Termination of Agreements. (a) Except as set forth in Section 2.04(b), as of the Distribution Date, AT&amp;T and each member of the AT&amp;T Communications Group, on the one hand, and AT&amp;T Broadband and each member of the AT&amp;T Broadband Group, on the other hand, shall terminate any and all agreements, arrangements, commitments or understandings, whether or not in writing, between or among AT&amp;T and/or any member of the AT&amp;T Communications Group, on the one hand, and AT&amp;T Broadband and/or any member of the AT&amp;T Broadband Group, on the other hand, effective as of the Distribution Date. No such terminated agreement, arrangement, commitment or understanding (including any provision thereof that purports to survive termination) shall be of any further force or effect after the Distribution Date. Each party shall, at the reasonable request of any other party, take, or cause to be taken, such other actions as may be necessary to effect the foregoing.</w:t>
      </w:r>
    </w:p>
    <w:p>
      <w:pPr>
        <w:spacing w:after="0" w:line="201" w:lineRule="exact"/>
        <w:rPr>
          <w:sz w:val="20"/>
          <w:szCs w:val="20"/>
          <w:color w:val="auto"/>
        </w:rPr>
      </w:pPr>
    </w:p>
    <w:p>
      <w:pPr>
        <w:ind w:right="1939" w:firstLine="531"/>
        <w:spacing w:after="0" w:line="254" w:lineRule="auto"/>
        <w:tabs>
          <w:tab w:leader="none" w:pos="943" w:val="left"/>
        </w:tabs>
        <w:numPr>
          <w:ilvl w:val="0"/>
          <w:numId w:val="5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Section 2.04(a) shall not apply to any of the following agreements, arrangements, commitments or understandings (or to any of the provisions thereof):</w:t>
      </w:r>
    </w:p>
    <w:p>
      <w:pPr>
        <w:spacing w:after="0" w:line="194" w:lineRule="exact"/>
        <w:rPr>
          <w:rFonts w:ascii="Courier New" w:cs="Courier New" w:eastAsia="Courier New" w:hAnsi="Courier New"/>
          <w:sz w:val="17"/>
          <w:szCs w:val="17"/>
          <w:color w:val="auto"/>
        </w:rPr>
      </w:pPr>
    </w:p>
    <w:p>
      <w:pPr>
        <w:ind w:left="540" w:right="1939" w:firstLine="515"/>
        <w:spacing w:after="0" w:line="253" w:lineRule="auto"/>
        <w:tabs>
          <w:tab w:leader="none" w:pos="1483" w:val="left"/>
        </w:tabs>
        <w:numPr>
          <w:ilvl w:val="1"/>
          <w:numId w:val="5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the other Ancillary Agreements (and each other agreement or instrument expressly contemplated by this Agreement or any other Ancillary Agreement to be entered into by any of the parties hereto or any of the members of their respective Groups);</w:t>
      </w:r>
    </w:p>
    <w:p>
      <w:pPr>
        <w:spacing w:after="0" w:line="195" w:lineRule="exact"/>
        <w:rPr>
          <w:rFonts w:ascii="Courier New" w:cs="Courier New" w:eastAsia="Courier New" w:hAnsi="Courier New"/>
          <w:sz w:val="17"/>
          <w:szCs w:val="17"/>
          <w:color w:val="auto"/>
        </w:rPr>
      </w:pPr>
    </w:p>
    <w:p>
      <w:pPr>
        <w:ind w:left="540" w:right="2259" w:firstLine="515"/>
        <w:spacing w:after="0" w:line="253" w:lineRule="auto"/>
        <w:tabs>
          <w:tab w:leader="none" w:pos="1587" w:val="left"/>
        </w:tabs>
        <w:numPr>
          <w:ilvl w:val="1"/>
          <w:numId w:val="5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agreements, arrangements, commitments or understandings listed or described on Schedule 2.04(b)(ii)(A); provided that the agreements set forth in Schedule 2.04(b)(ii)(B) shall be amended on the Distribution Date as set forth on such Schedule;</w:t>
      </w:r>
    </w:p>
    <w:p>
      <w:pPr>
        <w:spacing w:after="0" w:line="195" w:lineRule="exact"/>
        <w:rPr>
          <w:rFonts w:ascii="Courier New" w:cs="Courier New" w:eastAsia="Courier New" w:hAnsi="Courier New"/>
          <w:sz w:val="17"/>
          <w:szCs w:val="17"/>
          <w:color w:val="auto"/>
        </w:rPr>
      </w:pPr>
    </w:p>
    <w:p>
      <w:pPr>
        <w:ind w:left="540" w:right="1839" w:firstLine="515"/>
        <w:spacing w:after="0" w:line="252" w:lineRule="auto"/>
        <w:tabs>
          <w:tab w:leader="none" w:pos="1692" w:val="left"/>
        </w:tabs>
        <w:numPr>
          <w:ilvl w:val="1"/>
          <w:numId w:val="5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agreements, arrangements, commitments or understandings listed or described on Schedule 2.04(b)(iii) to which any Person other than the parties hereto and their respective wholly owned Affiliates is a party (it being understood that to the extent that the rights and obligations of the parties and the members of their respective Groups under any such agreements, arrangements,</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B-18</w:t>
      </w:r>
    </w:p>
    <w:p>
      <w:pPr>
        <w:sectPr>
          <w:pgSz w:w="11900" w:h="16838" w:orient="portrait"/>
          <w:cols w:equalWidth="0" w:num="1">
            <w:col w:w="10219"/>
          </w:cols>
          <w:pgMar w:left="240" w:top="719" w:right="1440" w:bottom="1440" w:gutter="0" w:footer="0" w:header="0"/>
        </w:sectPr>
      </w:pPr>
    </w:p>
    <w:bookmarkStart w:id="497" w:name="page498"/>
    <w:bookmarkEnd w:id="497"/>
    <w:p>
      <w:pPr>
        <w:ind w:left="540" w:right="2139"/>
        <w:spacing w:after="0" w:line="257" w:lineRule="auto"/>
        <w:rPr>
          <w:sz w:val="20"/>
          <w:szCs w:val="20"/>
          <w:color w:val="auto"/>
        </w:rPr>
      </w:pPr>
      <w:r>
        <w:rPr>
          <w:rFonts w:ascii="Courier New" w:cs="Courier New" w:eastAsia="Courier New" w:hAnsi="Courier New"/>
          <w:sz w:val="17"/>
          <w:szCs w:val="17"/>
          <w:color w:val="auto"/>
        </w:rPr>
        <w:t>commitments or understandings constitute AT&amp;T Broadband Assets or AT&amp;T Broadband Liabilities, they shall be assigned pursuant to Section 2.01);</w:t>
      </w:r>
    </w:p>
    <w:p>
      <w:pPr>
        <w:spacing w:after="0" w:line="192" w:lineRule="exact"/>
        <w:rPr>
          <w:sz w:val="20"/>
          <w:szCs w:val="20"/>
          <w:color w:val="auto"/>
        </w:rPr>
      </w:pPr>
    </w:p>
    <w:p>
      <w:pPr>
        <w:ind w:left="540" w:right="1939" w:firstLine="515"/>
        <w:spacing w:after="0" w:line="251" w:lineRule="auto"/>
        <w:tabs>
          <w:tab w:leader="none" w:pos="1587" w:val="left"/>
        </w:tabs>
        <w:numPr>
          <w:ilvl w:val="1"/>
          <w:numId w:val="5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intercompany accounts payable or accounts receivable arising in the ordinary course of business and accrued as of the Distribution Date that are reflected in the books and records of the parties or otherwise documented in writing in accordance with past practices (regardless of whether such intercompany accounts payable or accounts receivable accrued under an agreement, arrangement, commitment or understanding that terminated pursuant to Section 2.04(a)); provided that, subject to Section 3.02, AT&amp;T or AT&amp;T Broadband, as the case may be, will pay or cause to be paid such intercompany accounts payable promptly when due;</w:t>
      </w:r>
    </w:p>
    <w:p>
      <w:pPr>
        <w:spacing w:after="0" w:line="201" w:lineRule="exact"/>
        <w:rPr>
          <w:rFonts w:ascii="Courier New" w:cs="Courier New" w:eastAsia="Courier New" w:hAnsi="Courier New"/>
          <w:sz w:val="17"/>
          <w:szCs w:val="17"/>
          <w:color w:val="auto"/>
        </w:rPr>
      </w:pPr>
    </w:p>
    <w:p>
      <w:pPr>
        <w:ind w:left="540" w:right="1839" w:firstLine="515"/>
        <w:spacing w:after="0" w:line="254" w:lineRule="auto"/>
        <w:tabs>
          <w:tab w:leader="none" w:pos="1483" w:val="left"/>
        </w:tabs>
        <w:numPr>
          <w:ilvl w:val="1"/>
          <w:numId w:val="5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provided in the Tax Sharing Agreement, any written Tax sharing or Tax allocation agreements to which any member of any Group is a party;</w:t>
      </w:r>
    </w:p>
    <w:p>
      <w:pPr>
        <w:spacing w:after="0" w:line="194" w:lineRule="exact"/>
        <w:rPr>
          <w:rFonts w:ascii="Courier New" w:cs="Courier New" w:eastAsia="Courier New" w:hAnsi="Courier New"/>
          <w:sz w:val="17"/>
          <w:szCs w:val="17"/>
          <w:color w:val="auto"/>
        </w:rPr>
      </w:pPr>
    </w:p>
    <w:p>
      <w:pPr>
        <w:ind w:left="540" w:right="1839" w:firstLine="515"/>
        <w:spacing w:after="0" w:line="252" w:lineRule="auto"/>
        <w:tabs>
          <w:tab w:leader="none" w:pos="1587" w:val="left"/>
        </w:tabs>
        <w:numPr>
          <w:ilvl w:val="1"/>
          <w:numId w:val="5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agreements, arrangements, commitments or understandings listed or described on Schedule 2.04(b)(vi) to which any non-wholly owned Subsidiary or Affiliate of AT&amp;T or AT&amp;T Broadband, as the case may be, is a party (it being understood that directors' qualifying shares or similar interests will be disregarded for purposes of determining whether a Subsidiary is wholly owned);</w:t>
      </w:r>
    </w:p>
    <w:p>
      <w:pPr>
        <w:spacing w:after="0" w:line="196" w:lineRule="exact"/>
        <w:rPr>
          <w:rFonts w:ascii="Courier New" w:cs="Courier New" w:eastAsia="Courier New" w:hAnsi="Courier New"/>
          <w:sz w:val="17"/>
          <w:szCs w:val="17"/>
          <w:color w:val="auto"/>
        </w:rPr>
      </w:pPr>
    </w:p>
    <w:p>
      <w:pPr>
        <w:ind w:left="1680" w:hanging="625"/>
        <w:spacing w:after="0"/>
        <w:tabs>
          <w:tab w:leader="none" w:pos="1680" w:val="left"/>
        </w:tabs>
        <w:numPr>
          <w:ilvl w:val="1"/>
          <w:numId w:val="5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agreements, arrangements, commitments or understandings that</w:t>
      </w:r>
    </w:p>
    <w:p>
      <w:pPr>
        <w:spacing w:after="0" w:line="8" w:lineRule="exact"/>
        <w:rPr>
          <w:rFonts w:ascii="Courier New" w:cs="Courier New" w:eastAsia="Courier New" w:hAnsi="Courier New"/>
          <w:sz w:val="17"/>
          <w:szCs w:val="17"/>
          <w:color w:val="auto"/>
        </w:rPr>
      </w:pPr>
    </w:p>
    <w:p>
      <w:pPr>
        <w:ind w:left="540" w:right="1939" w:hanging="9"/>
        <w:spacing w:after="0" w:line="251" w:lineRule="auto"/>
        <w:tabs>
          <w:tab w:leader="none" w:pos="959" w:val="left"/>
        </w:tabs>
        <w:numPr>
          <w:ilvl w:val="0"/>
          <w:numId w:val="5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 any Ancillary Agreement or any other agreement, arrangement, commitment or understanding that pursuant to the terms of this Section is not to be terminated as of the Distribution Date contemplates will be entered into or made on or after the date hereof or (B) are otherwise necessary to implement the transactions contemplated by any of the foregoing clauses or that implement term sheets contemplated by any of the foregoing clauses on terms not materially less advantageous to any member of the AT&amp;T Broadband Group; provided that each of the agreements, arrangements, commitments or understandings referred in this clause (vii) must be in form and substance reasonably satisfactory to Comcast; and</w:t>
      </w:r>
    </w:p>
    <w:p>
      <w:pPr>
        <w:spacing w:after="0" w:line="201" w:lineRule="exact"/>
        <w:rPr>
          <w:rFonts w:ascii="Courier New" w:cs="Courier New" w:eastAsia="Courier New" w:hAnsi="Courier New"/>
          <w:sz w:val="17"/>
          <w:szCs w:val="17"/>
          <w:color w:val="auto"/>
        </w:rPr>
      </w:pPr>
    </w:p>
    <w:p>
      <w:pPr>
        <w:ind w:left="540" w:right="2679" w:firstLine="515"/>
        <w:spacing w:after="0" w:line="254" w:lineRule="auto"/>
        <w:tabs>
          <w:tab w:leader="none" w:pos="1797" w:val="left"/>
        </w:tabs>
        <w:numPr>
          <w:ilvl w:val="1"/>
          <w:numId w:val="5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agreements, arrangements, commitments or understandings that this Agreement or any other Ancillary Agreement expressly contemplates will survive the Distribution Date.</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2.05. Documents Relating to Transfer of Real Property Interests and Tangible Property Located Thereon. (a) To the extent necessary, in furtherance of the assignment, transfer and conveyance of AT&amp;T Communications Real Property and the assumption of the related AT&amp;T Communications Liabilities pursuant to Section 2.01(a) and 2.01(b), on or prior to the Distribution Date each of AT&amp;T and AT&amp;T Broadband, or their applicable Subsidiaries, will execute and deliver such deeds, lease assignments and assumptions, leases, subleases and sub-subleases as may be necessary to effect the transactions contemplated by this Agreement, including this Section 2.05 (collectively, the "REAL PROPERTY INSTRUMENTS"). Real Property Instruments will be on mutually acceptable terms.</w:t>
      </w:r>
    </w:p>
    <w:p>
      <w:pPr>
        <w:spacing w:after="0" w:line="201" w:lineRule="exact"/>
        <w:rPr>
          <w:sz w:val="20"/>
          <w:szCs w:val="20"/>
          <w:color w:val="auto"/>
        </w:rPr>
      </w:pPr>
    </w:p>
    <w:p>
      <w:pPr>
        <w:ind w:right="1839" w:firstLine="531"/>
        <w:spacing w:after="0" w:line="251" w:lineRule="auto"/>
        <w:tabs>
          <w:tab w:leader="none" w:pos="943" w:val="left"/>
        </w:tabs>
        <w:numPr>
          <w:ilvl w:val="0"/>
          <w:numId w:val="5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expressly provided in this Agreement or any other Ancillary Agreement and except for AT&amp;T Broadband Assets, all leasehold improvements, fixtures, furniture, office equipment, servers, private branch exchanges, artwork and other tangible property (other than equipment subject to capital or operating equipment leases, which will be transferred or retained based on whether the associated capital or operating equipment lease is or is not an AT&amp;T Broadband Contract or as otherwise provided herein) located as of the date hereof on any AT&amp;T Communications Real Property shall be transferred to a member of the AT&amp;T Communications Group.</w:t>
      </w:r>
    </w:p>
    <w:p>
      <w:pPr>
        <w:spacing w:after="0" w:line="201"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0"/>
          <w:numId w:val="5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2.05(c) sets forth a list of AT&amp;T Communications Real Property currently used in connection with both the AT&amp;T Communications Business and the AT&amp;T Broadband Business and that following the Distribution Date will be leased or subleased by members of the AT&amp;T Communications Group to members of the AT&amp;T Broadband Group, on terms and for the transition period reflected in Schedule 2.05(c).</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B-19</w:t>
      </w:r>
    </w:p>
    <w:p>
      <w:pPr>
        <w:sectPr>
          <w:pgSz w:w="11900" w:h="16838" w:orient="portrait"/>
          <w:cols w:equalWidth="0" w:num="1">
            <w:col w:w="10219"/>
          </w:cols>
          <w:pgMar w:left="240" w:top="719" w:right="1440" w:bottom="1440" w:gutter="0" w:footer="0" w:header="0"/>
        </w:sectPr>
      </w:pPr>
    </w:p>
    <w:bookmarkStart w:id="498" w:name="page499"/>
    <w:bookmarkEnd w:id="498"/>
    <w:p>
      <w:pPr>
        <w:ind w:right="1939" w:firstLine="531"/>
        <w:spacing w:after="0" w:line="252" w:lineRule="auto"/>
        <w:tabs>
          <w:tab w:leader="none" w:pos="943" w:val="left"/>
        </w:tabs>
        <w:numPr>
          <w:ilvl w:val="0"/>
          <w:numId w:val="5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2.05(d) sets forth a list of AT&amp;T Broadband Real Property currently used in connection with both the AT&amp;T Communications Business and the AT&amp;T Broadband Business and that following the Distribution Date will be leased or subleased by AT&amp;T Broadband or any of the AT&amp;T Broadband Entities to members of the AT&amp;T Communications Group, on terms and for the transition period reflected in Schedule 2.05(d).</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2.06. Documents Relating to Other Transfers of Assets and Assumption of Liabilities. In furtherance of the assignment, transfer and conveyance of AT&amp;T Broadband Assets and the assumption of AT&amp;T Broadband Liabilities pursuant to Sections 2.01(a) and 2.01(b), on or prior to the Distribution Date, (a) AT&amp;T shall execute and deliver, and shall cause its Subsidiaries to execute and deliver, such bills of sale, stock powers, certificates of title, assignments of contracts and other instruments of transfer, conveyance and assignment as and to the extent necessary to evidence the transfer, conveyance and assignment of all of AT&amp;T's and its Subsidiaries' right, title and interest in and to the AT&amp;T Broadband Assets to AT&amp;T Broadband and (b) AT&amp;T Broadband shall execute and deliver, to AT&amp;T and its respective Subsidiaries such bills of sale, stock powers, certificates of title, assumptions of contracts and other instruments of assumption, as and to the extent necessary to evidence the valid and effective assumption by AT&amp;T Broadband of the AT&amp;T Broadband Liabilities that are not already Liabilities of an AT&amp;T Broadband Entity; provided that any instruments executed and delivered pursuant to this Section 2.06 shall be in form and substance reasonably satisfactory to Comcast.</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2.07. Governmental Approvals and Consents. (a) If and to the extent that the valid, complete and perfected transfer or assignment to AT&amp;T Broadband of any AT&amp;T Broadband Assets (or from the AT&amp;T Broadband Group of any AT&amp;T Communications Assets held by any member of such Group) would be a violation of applicable laws or require any Consent or Governmental Approval in connection with the Separation or the Distribution, then the transfer or assignment to or from the AT&amp;T Communications Group, as the case may be, of such AT&amp;T Broadband Assets or AT&amp;T Communications Assets, respectively, shall be automatically deemed deferred and any such purported transfer or assignment shall be null and void until such time as all legal impediments are removed and/or such Consents or Governmental Approvals have been obtained. Notwithstanding the foregoing, any such Transferred Asset shall be deemed an Asset of the transferee AT&amp;T Communications Group or the AT&amp;T Broadband Group, as applicable, for purposes of determining whether any Liability is a Liability of the AT&amp;T Communications Group or the AT&amp;T Broadband Group.</w:t>
      </w:r>
    </w:p>
    <w:p>
      <w:pPr>
        <w:spacing w:after="0" w:line="202" w:lineRule="exact"/>
        <w:rPr>
          <w:sz w:val="20"/>
          <w:szCs w:val="20"/>
          <w:color w:val="auto"/>
        </w:rPr>
      </w:pPr>
    </w:p>
    <w:p>
      <w:pPr>
        <w:ind w:right="1839" w:firstLine="531"/>
        <w:spacing w:after="0" w:line="251" w:lineRule="auto"/>
        <w:tabs>
          <w:tab w:leader="none" w:pos="943" w:val="left"/>
        </w:tabs>
        <w:numPr>
          <w:ilvl w:val="0"/>
          <w:numId w:val="5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transfer or assignment of any Asset intended to be transferred or assigned hereunder is not consummated prior to or at the Distribution Date, whether as a result of the provisions of Section 2.07(a) or for any other reason, then the Person retaining such Asset shall thereafter hold such Asset for the use and benefit, insofar as reasonably possible, of the Person entitled thereto (at the expense of the Person entitled thereto). In addition, the Person retaining such Asset shall take such other actions as may be reasonably requested by the Person to whom such Asset is to be transferred in order to place such Person, insofar as reasonably possible, in the same position as if such Asset had been transferred as contemplated hereby and so that all the benefits and burdens relating to such AT&amp;T Broadband Asset (or such AT&amp;T Communications Asset, as the case may be), including possession, use, risk of loss, potential for gain, and dominion, control and command over such Asset, are to inure from and after the Distribution Date to the AT&amp;T Broadband Group (or the AT&amp;T Communications Group, as the case may be). To the extent permitted by law and to the extent otherwise permissible in light of any required Consent and/or Governmental Approval, the AT&amp;T Broadband Group shall be entitled to, and shall be responsible for, the management of any AT&amp;T Broadband Asset not yet transferred to it as a result of this Section 2.07(b) and the parties agree to use reasonable commercial efforts to cooperate and coordinate with respect thereto.</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jc w:val="both"/>
        <w:ind w:right="1939" w:firstLine="531"/>
        <w:spacing w:after="0" w:line="252" w:lineRule="auto"/>
        <w:tabs>
          <w:tab w:leader="none" w:pos="943" w:val="left"/>
        </w:tabs>
        <w:numPr>
          <w:ilvl w:val="0"/>
          <w:numId w:val="5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and when the Consents and/or Governmental Approvals, the absence of which caused the deferral of transfer of any Asset pursuant to Section 2.07(a), are obtained, the transfer of the applicable Asset shall be effected in accordance with the terms of this Agreement and/or the other applicable Ancillary Agreement.</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B-20</w:t>
      </w:r>
    </w:p>
    <w:p>
      <w:pPr>
        <w:sectPr>
          <w:pgSz w:w="11900" w:h="16838" w:orient="portrait"/>
          <w:cols w:equalWidth="0" w:num="1">
            <w:col w:w="10219"/>
          </w:cols>
          <w:pgMar w:left="240" w:top="719" w:right="1440" w:bottom="1440" w:gutter="0" w:footer="0" w:header="0"/>
        </w:sectPr>
      </w:pPr>
    </w:p>
    <w:bookmarkStart w:id="499" w:name="page500"/>
    <w:bookmarkEnd w:id="499"/>
    <w:p>
      <w:pPr>
        <w:ind w:right="1939" w:firstLine="531"/>
        <w:spacing w:after="0" w:line="252" w:lineRule="auto"/>
        <w:tabs>
          <w:tab w:leader="none" w:pos="943" w:val="left"/>
        </w:tabs>
        <w:numPr>
          <w:ilvl w:val="0"/>
          <w:numId w:val="5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Person retaining an Asset due to the deferral of the transfer of such Asset shall not be obligated, in connection with the foregoing, to expend any money unless the necessary funds are advanced by the Person entitled to the Asset, other than reasonable out-of-pocket expenses, attorneys' fees and recording or similar fees, all of which shall be promptly reimbursed by the Person entitled to such Asset.</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2.08. Novation of AT&amp;T Broadband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Broadband Liabilities, or to obtain in writing the unconditional release of all parties to such arrangements other than any member of the AT&amp;T Broadband Group, so that, in any such case, the members of the AT&amp;T Broadband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202" w:lineRule="exact"/>
        <w:rPr>
          <w:sz w:val="20"/>
          <w:szCs w:val="20"/>
          <w:color w:val="auto"/>
        </w:rPr>
      </w:pPr>
    </w:p>
    <w:p>
      <w:pPr>
        <w:ind w:right="1839" w:firstLine="531"/>
        <w:spacing w:after="0" w:line="251" w:lineRule="auto"/>
        <w:tabs>
          <w:tab w:leader="none" w:pos="943" w:val="left"/>
        </w:tabs>
        <w:numPr>
          <w:ilvl w:val="0"/>
          <w:numId w:val="5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AT&amp;T or AT&amp;T Broadband is unable to obtain, or to cause to be obtained, any such required release, consent, substitution, approval or amendment, the applicable member of the AT&amp;T Communications Group shall continue to be bound by such agreements, leases, licenses and other obligations and, unless not permitted by law or the terms thereof, AT&amp;T Broadband shall, as agent or subcontractor for such member of the AT&amp;T Communications Group, pay, perform and discharge fully all the obligations or other Liabilities of such member of the AT&amp;T Communications Group thereunder from and after the date hereof. AT&amp;T Broadband shall indemnify each AT&amp;T Indemnitee and hold it harmless against any Liabilities arising in connection therewith. AT&amp;T shall cause each member of the AT&amp;T Communications Group, without further consideration, to pay and remit, or cause to be paid or remitted, to AT&amp;T Broadband or the applicable member of the AT&amp;T Broadband Group promptly all money, rights and other consideration received by it or any member of the AT&amp;T Communications Group in respect of such performance. If and when any such release, consent, substitution, approval or amendment shall be obtained or such agreement, lease, license or other rights or obligations shall otherwise become assignable or able to be novated, AT&amp;T shall promptly assign, or cause to be assigned, all its rights, obligations and other Liabilities thereunder or any rights, obligations or other Liabilities of any member of the AT&amp;T Communications Group to AT&amp;T Broadband or to another member of the AT&amp;T Broadband Group without payment of further consideration and AT&amp;T Broadband, without the payment of any further consideration, shall, or shall cause such other member of the AT&amp;T Broadband Group to, assume such rights and obligations. Notwithstanding the foregoing, unless AT&amp;T shall so elect, AT&amp;T Broadband shall assume all Liabilities of any nature whatsoever that would constitute AT&amp;T Broadband Liabilities as of the Distribution Date, except for Liabilities of another member of the AT&amp;T Broadband Group.</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2.09. Novation of AT&amp;T Communications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Communications Liabilities, or to obtain in writing the unconditional release of all parties to such arrangements other than any member of the AT&amp;T Communications Group, so that, in any such case, the members of the AT&amp;T Communications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202" w:lineRule="exact"/>
        <w:rPr>
          <w:sz w:val="20"/>
          <w:szCs w:val="20"/>
          <w:color w:val="auto"/>
        </w:rPr>
      </w:pPr>
    </w:p>
    <w:p>
      <w:pPr>
        <w:ind w:right="2559" w:firstLine="531"/>
        <w:spacing w:after="0" w:line="254" w:lineRule="auto"/>
        <w:tabs>
          <w:tab w:leader="none" w:pos="943" w:val="left"/>
        </w:tabs>
        <w:numPr>
          <w:ilvl w:val="0"/>
          <w:numId w:val="5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AT&amp;T or AT&amp;T Broadband is unable to obtain, or to cause to be obtained, any such required release, consent, approval, substitution or amendment, the applicable member of the AT&amp;T Broadband</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B-21</w:t>
      </w:r>
    </w:p>
    <w:p>
      <w:pPr>
        <w:sectPr>
          <w:pgSz w:w="11900" w:h="16838" w:orient="portrait"/>
          <w:cols w:equalWidth="0" w:num="1">
            <w:col w:w="10219"/>
          </w:cols>
          <w:pgMar w:left="240" w:top="719" w:right="1440" w:bottom="1061" w:gutter="0" w:footer="0" w:header="0"/>
        </w:sectPr>
      </w:pPr>
    </w:p>
    <w:bookmarkStart w:id="500" w:name="page501"/>
    <w:bookmarkEnd w:id="500"/>
    <w:p>
      <w:pPr>
        <w:ind w:right="1839"/>
        <w:spacing w:after="0" w:line="251" w:lineRule="auto"/>
        <w:rPr>
          <w:sz w:val="20"/>
          <w:szCs w:val="20"/>
          <w:color w:val="auto"/>
        </w:rPr>
      </w:pPr>
      <w:r>
        <w:rPr>
          <w:rFonts w:ascii="Courier New" w:cs="Courier New" w:eastAsia="Courier New" w:hAnsi="Courier New"/>
          <w:sz w:val="17"/>
          <w:szCs w:val="17"/>
          <w:color w:val="auto"/>
        </w:rPr>
        <w:t>Group shall continue to be bound by such agreements, leases, licenses and other obligations and, unless not permitted by law or the terms thereof, AT&amp;T shall, as agent or subcontractor for such member of the AT&amp;T Broadband Group, pay, perform and discharge fully all the obligations or other Liabilities of such member of the AT&amp;T Broadband Group thereunder from and after the date hereof. AT&amp;T shall indemnify each AT&amp;T Broadband Indemnitee and hold each of them harmless against any Liabilities arising in connection therewith. AT&amp;T Broadband shall cause each member of the AT&amp;T Broadband Group, without further consideration, to pay and remit, or cause to be paid or remitted, to AT&amp;T or the applicable member of the AT&amp;T Communications Group promptly all money, rights and other consideration received by it or any member of the AT&amp;T Broadband Group in respect of such performance. If and when any such release, consent, substitution approval or amendment shall be obtained or such agreement, lease, license or other rights or obligations shall otherwise become assignable or able to be novated, AT&amp;T Broadband shall promptly assign, or cause to be assigned, all its rights, obligations and other Liabilities thereunder or any rights, obligations or other Liabilities of any member of the AT&amp;T Broadband Group to AT&amp;T or to another member of the AT&amp;T Communications Group without payment of further consideration and AT&amp;T, without the payment of any further consideration, shall, or shall cause such other member of the AT&amp;T Communications Group to, assume such rights and obligations. Notwithstanding the foregoing, unless AT&amp;T Broadband shall so elect, AT&amp;T shall assume all Liabilities of any nature whatsoever that would constitute AT&amp;T Communications Liabilities as of the Distribution Date, except for Liabilities of another member of the AT&amp;T Communications Group.</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2.10. Joint Purchasing Arrangements. (a) In the case of existing purchasing agreements that prior to the Distribution Date provide the AT&amp;T Broadband Group and the AT&amp;T Communications Group with volume discounts, subject to applicable law, the parties agree to use their respective reasonable best efforts so that, to the extent permitted under the terms of such existing agreements, after the Distribution Date, each Group shall continue to be able to make purchases and obtain the benefits of the volume discounts. In the case of any other such contracts, subject to applicable law, the parties will cooperate reasonably in seeking modifications to such contracts or alternative or substitute arrangements so that, to the extent practicable after the Distribution Date, each Group shall continue to be able to make purchases and obtain the benefits of the volume discounts. Notwithstanding the foregoing, but subject to the terms of any AT&amp;T Broadband Contract or AT&amp;T Communications Contract, none of AT&amp;T, AT&amp;T Broadband or their respective Subsidiaries shall be required to commit to any additional purchases or other obligations, make any payments or waive any rights in order to effect the foregoing. Each party hereby agrees to indemnify and hold harmless the other party, and if applicable, the other party's Subsidiaries, with respect to any losses or claims arising from such first party's, or such first party's Subsidiaries', own purchases, commitments or other obligations under any such contracts.</w:t>
      </w:r>
    </w:p>
    <w:p>
      <w:pPr>
        <w:spacing w:after="0" w:line="202" w:lineRule="exact"/>
        <w:rPr>
          <w:sz w:val="20"/>
          <w:szCs w:val="20"/>
          <w:color w:val="auto"/>
        </w:rPr>
      </w:pPr>
    </w:p>
    <w:p>
      <w:pPr>
        <w:ind w:right="1839" w:firstLine="531"/>
        <w:spacing w:after="0" w:line="251" w:lineRule="auto"/>
        <w:tabs>
          <w:tab w:leader="none" w:pos="943" w:val="left"/>
        </w:tabs>
        <w:numPr>
          <w:ilvl w:val="0"/>
          <w:numId w:val="5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Until December 31, 2003, subject to applicable law, the parties will use reasonable commercial efforts to cooperate with each other and, as applicable, with each other's Subsidiaries, to coordinate and combine their purchases in cases where they purchase common supplies or use the same supplier, in each case to the extent permitted by law from time to time. It is the intent of the parties that this coordination and cooperation will be focused on achieving more favorable pricing and terms for such supplies and from such suppliers by aggregating the combined purchases of the parties and their Subsidiaries. Notwithstanding the foregoing, no party shall be obligated to make, or cause its Subsidiaries to make, any specific purchases or to use any specific supplier except to the extent (i) it or one of its Subsidiaries has previously committed to make a specific purchase or to use a specific supplier, or (ii) subsequent to the date of this Agreement, it or one of its Subsidiaries makes a commitment for a specific purchase or to use a specific supplier. Each party will be responsible for its own and its Subsidiaries' commitments and its own and its Subsidiaries' purchases and other obligations made under any common or shared contracts with suppliers and will, in respect of such commitments, purchases or other obligations, indemnify and hold harmless the other party and the other party's Subsidiaries that use such contracts.</w:t>
      </w:r>
    </w:p>
    <w:p>
      <w:pPr>
        <w:spacing w:after="0" w:line="20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2.11. TWE Arrangements. The parties agree to the terms set forth in Annex I with respect to the partnership interests in TWE held, as of the date hereof, by MediaOne TWE Holdings, Inc., an AT&amp;T Broadband Entity, and the TWE Option held by Media One of Colorado, Inc.</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B-22</w:t>
      </w:r>
    </w:p>
    <w:p>
      <w:pPr>
        <w:sectPr>
          <w:pgSz w:w="11900" w:h="16838" w:orient="portrait"/>
          <w:cols w:equalWidth="0" w:num="1">
            <w:col w:w="10219"/>
          </w:cols>
          <w:pgMar w:left="240" w:top="719" w:right="1440" w:bottom="860" w:gutter="0" w:footer="0" w:header="0"/>
        </w:sectPr>
      </w:pPr>
    </w:p>
    <w:bookmarkStart w:id="501" w:name="page502"/>
    <w:bookmarkEnd w:id="501"/>
    <w:p>
      <w:pPr>
        <w:jc w:val="center"/>
        <w:ind w:right="1939"/>
        <w:spacing w:after="0"/>
        <w:rPr>
          <w:sz w:val="20"/>
          <w:szCs w:val="20"/>
          <w:color w:val="auto"/>
        </w:rPr>
      </w:pPr>
      <w:r>
        <w:rPr>
          <w:rFonts w:ascii="Courier New" w:cs="Courier New" w:eastAsia="Courier New" w:hAnsi="Courier New"/>
          <w:sz w:val="17"/>
          <w:szCs w:val="17"/>
          <w:color w:val="auto"/>
        </w:rPr>
        <w:t>ARTICLE 3</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FINANCIAL RESTRUCTURING</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3.01. Liability Management. The Indebtedness included on the AT&amp;T Broadband Balance Sheet consists of the Indebtedness to third parties (the "SCHEDULED DEBT") and Indebtedness to members of the AT&amp;T Communications Group. Prior to the Distribution Date, the Indebtedness of the AT&amp;T Broadband Group shall consist only of (i) the Scheduled Debt, Indebtedness to third parties reflected on the September 30, 2001 balance sheet included in the AT&amp;T Broadband Financial Statements and the third party Indebtedness identified in Item 3 of Schedule 6.11 to the Merger Agreement (unless any such Indebtedness shall have been discharged) (ii) Indebtedness of the members of the AT&amp;T Broadband Group to members of the AT&amp;T Communications Group and (iii) such other debt as shall have been approved by the Interim Finance Committee. On the Distribution Date, the AT&amp;T Broadband Entities may incur additional Indebtedness to parties (other than to members of the AT&amp;T Communications Group) in an amount sufficient to (i) pay in full at the Effective Time to AT&amp;T an amount equal to the Indebtedness owed by any member of the AT&amp;T Broadband Group to any member of the AT&amp;T Communications Group, (ii) refinance the TOPRS that may be called for redemption at the Effective Time or shortly thereafter and (iii) provide appropriate cash reserves to fund the operations of the AT&amp;T Broadband Entities after the Effective Time. Such Indebtedness shall be incurred in accordance with Section 9.15 of the Merger Agreement.</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3.02. Repayment of Intracompany Indebtedness. AT&amp;T Broadband agrees that it will pay to AT&amp;T, at the Effective Time and in connection with the transfer of assets and liabilities hereunder to AT&amp;T Broadband, an amount of cash equal to the total Indebtedness of all members of the AT&amp;T Broadband Group to any member of the AT&amp;T Communications Group, and AT&amp;T agrees to contribute (or cause its subsidiaries to contribute) such Indebtedness to the capital of AT&amp;T Broadband. AT&amp;T agrees that it will repay or cause to repaid at the Effective Time any Indebtedness of any member of the AT&amp;T Communications Group to any member of the AT&amp;T Broadband Group. AT&amp;T also agrees that it will repay or cause to be repaid at the Effective Time any intercompany receivables owed by AT&amp;T or any AT&amp;T Subsidiary (other than any AT&amp;T Broadband Entity) to Western Ridge.</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SECTION 3.03. Note Consents. Subject to the terms and conditions of the Merger Agreement, AT&amp;T and AT&amp;T Broadband shall each use its reasonable best efforts to obtain the irrevocable consent to the transactions contemplated hereby of the holders of at least a majority in aggregate principal amount of each series of securities at the time outstanding issued under the Indenture, dated as of September 7, 1990, between American Telephone &amp; Telegraph Company and The Bank of New York, as trustee.</w:t>
      </w:r>
    </w:p>
    <w:p>
      <w:pPr>
        <w:spacing w:after="0" w:line="19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4</w:t>
      </w: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THE DISTRIBUTION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4.01. The Distribution. (a) Subject to Section 4.03, on or prior to the Record Date, AT&amp;T will deliver to the Agent for the benefit of holders of record of AT&amp;T Common Stock on the Record Date, a single stock certificate, endorsed by AT&amp;T in blank, representing the shares of AT&amp;T Broadband Common Stock issuable in the Distribution (which, together with the shares to be issued pursuant to the Exchange Agreement, shall constitute all of the shares of AT&amp;T Broadband Common Stock outstanding as of the Distribution Date), and shall cause the transfer agent for the shares of AT&amp;T Common Stock to instruct the Agent to hold in trust (pending conversion of such shares of AT&amp;T Broadband Common Stock into shares of Parent Common Stock pursuant to the AT&amp;T Broadband Merger) the appropriate number of such shares of AT&amp;T Broadband Common Stock (as set forth in Section 4.01(b)) for each such holder or designated transferee or transferees of such holder. For avoidance of doubt, AT&amp;T will not be considered a holder of record of AT&amp;T Common Stock as of the Record Date with respect to any shares of AT&amp;T Common Stock held in its treasury.</w:t>
      </w:r>
    </w:p>
    <w:p>
      <w:pPr>
        <w:spacing w:after="0" w:line="202" w:lineRule="exact"/>
        <w:rPr>
          <w:sz w:val="20"/>
          <w:szCs w:val="20"/>
          <w:color w:val="auto"/>
        </w:rPr>
      </w:pPr>
    </w:p>
    <w:p>
      <w:pPr>
        <w:jc w:val="both"/>
        <w:ind w:right="1839" w:firstLine="531"/>
        <w:spacing w:after="0" w:line="254" w:lineRule="auto"/>
        <w:tabs>
          <w:tab w:leader="none" w:pos="943" w:val="left"/>
        </w:tabs>
        <w:numPr>
          <w:ilvl w:val="0"/>
          <w:numId w:val="5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4.03, each holder of AT&amp;T Common Stock on the Record Date (or such holder's designated transferee or transferees) will be entitled to receive in the Distribution a number of</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B-23</w:t>
      </w:r>
    </w:p>
    <w:p>
      <w:pPr>
        <w:sectPr>
          <w:pgSz w:w="11900" w:h="16838" w:orient="portrait"/>
          <w:cols w:equalWidth="0" w:num="1">
            <w:col w:w="10219"/>
          </w:cols>
          <w:pgMar w:left="240" w:top="719" w:right="1440" w:bottom="1062" w:gutter="0" w:footer="0" w:header="0"/>
        </w:sectPr>
      </w:pPr>
    </w:p>
    <w:bookmarkStart w:id="502" w:name="page503"/>
    <w:bookmarkEnd w:id="502"/>
    <w:p>
      <w:pPr>
        <w:ind w:right="1839"/>
        <w:spacing w:after="0" w:line="252" w:lineRule="auto"/>
        <w:rPr>
          <w:sz w:val="20"/>
          <w:szCs w:val="20"/>
          <w:color w:val="auto"/>
        </w:rPr>
      </w:pPr>
      <w:r>
        <w:rPr>
          <w:rFonts w:ascii="Courier New" w:cs="Courier New" w:eastAsia="Courier New" w:hAnsi="Courier New"/>
          <w:sz w:val="17"/>
          <w:szCs w:val="17"/>
          <w:color w:val="auto"/>
        </w:rPr>
        <w:t>shares of AT&amp;T Broadband Common Stock equal to the number of shares of AT&amp;T Common Stock held by such holder on the Record Date; provided, that no holder of AT&amp;T Common Stock having purported to exercise rights pursuant to Section 910 of the NYBCL in respect of such holder's shares of AT&amp;T Common Stock shall be entitled to receive AT&amp;T Broadband Common Stock in the Distribution.</w:t>
      </w:r>
    </w:p>
    <w:p>
      <w:pPr>
        <w:spacing w:after="0" w:line="197" w:lineRule="exact"/>
        <w:rPr>
          <w:sz w:val="20"/>
          <w:szCs w:val="20"/>
          <w:color w:val="auto"/>
        </w:rPr>
      </w:pPr>
    </w:p>
    <w:p>
      <w:pPr>
        <w:ind w:right="1939" w:firstLine="531"/>
        <w:spacing w:after="0" w:line="254" w:lineRule="auto"/>
        <w:tabs>
          <w:tab w:leader="none" w:pos="943" w:val="left"/>
        </w:tabs>
        <w:numPr>
          <w:ilvl w:val="0"/>
          <w:numId w:val="5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and AT&amp;T, as the case may be, will provide to the Agent all share certificates and any information reasonably required in order to complete the Distribution on the basis specified above.</w:t>
      </w:r>
    </w:p>
    <w:p>
      <w:pPr>
        <w:spacing w:after="0" w:line="194"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5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prior to the Record Date, each of the AT&amp;T Broadband Subsidiaries, in exchange (the "SUBSIDIARY PREFERRED STOCK EXCHANGE") for all of the shares of AT&amp;T Subsidiary Preferred Stock held by such AT&amp;T Broadband Subsidiary immediately prior to the Subsidiary Preferred Stock Exchange, will receive from AT&amp;T a number of shares of AT&amp;T Broadband Common Stock (or, if AT&amp;T and AT&amp;T Broadband agree, shares of another class of AT&amp;T Broadband Stock) that has a value equal to the value of the shares of AT&amp;T Subsidiary Preferred Stock so exchanged.</w:t>
      </w:r>
    </w:p>
    <w:p>
      <w:pPr>
        <w:spacing w:after="0" w:line="201" w:lineRule="exact"/>
        <w:rPr>
          <w:rFonts w:ascii="Courier New" w:cs="Courier New" w:eastAsia="Courier New" w:hAnsi="Courier New"/>
          <w:sz w:val="17"/>
          <w:szCs w:val="17"/>
          <w:color w:val="auto"/>
        </w:rPr>
      </w:pPr>
    </w:p>
    <w:p>
      <w:pPr>
        <w:ind w:right="2139" w:firstLine="531"/>
        <w:spacing w:after="0" w:line="253" w:lineRule="auto"/>
        <w:tabs>
          <w:tab w:leader="none" w:pos="943" w:val="left"/>
        </w:tabs>
        <w:numPr>
          <w:ilvl w:val="0"/>
          <w:numId w:val="5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time of the Distribution, AT&amp;T and AT&amp;T Broadband will comply with their obligations under the Exchange Agreement, including through the transfer of shares of AT&amp;T Broadband Common Stock from AT&amp;T to Microsoft as described therein.</w:t>
      </w:r>
    </w:p>
    <w:p>
      <w:pPr>
        <w:spacing w:after="0" w:line="195" w:lineRule="exact"/>
        <w:rPr>
          <w:rFonts w:ascii="Courier New" w:cs="Courier New" w:eastAsia="Courier New" w:hAnsi="Courier New"/>
          <w:sz w:val="17"/>
          <w:szCs w:val="17"/>
          <w:color w:val="auto"/>
        </w:rPr>
      </w:pPr>
    </w:p>
    <w:p>
      <w:pPr>
        <w:ind w:right="1939" w:firstLine="531"/>
        <w:spacing w:after="0" w:line="257" w:lineRule="auto"/>
        <w:tabs>
          <w:tab w:leader="none" w:pos="943" w:val="left"/>
        </w:tabs>
        <w:numPr>
          <w:ilvl w:val="0"/>
          <w:numId w:val="5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QUIPS Transfer is to occur, AT&amp;T Broadband and AT&amp;T will effect the QUIPS Transfer.</w:t>
      </w:r>
    </w:p>
    <w:p>
      <w:pPr>
        <w:spacing w:after="0" w:line="191" w:lineRule="exact"/>
        <w:rPr>
          <w:rFonts w:ascii="Courier New" w:cs="Courier New" w:eastAsia="Courier New" w:hAnsi="Courier New"/>
          <w:sz w:val="17"/>
          <w:szCs w:val="17"/>
          <w:color w:val="auto"/>
        </w:rPr>
      </w:pPr>
    </w:p>
    <w:p>
      <w:pPr>
        <w:ind w:right="1939" w:firstLine="531"/>
        <w:spacing w:after="0" w:line="253" w:lineRule="auto"/>
        <w:tabs>
          <w:tab w:leader="none" w:pos="943" w:val="left"/>
        </w:tabs>
        <w:numPr>
          <w:ilvl w:val="0"/>
          <w:numId w:val="5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AT&amp;T, and AT&amp;T Broadband agrees that in the event that any holder of shares of AT&amp;T Common Stock purports to exercise any appraisal rights pursuant to Section 910 of the NYBCL, the parties will cooperate to appropriately adjust the provisions hereof.</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4.02. Actions Prior to the Distribution. (a) As promptly as reasonably practicable after the execution of this Agreement, subject to the provisions of the Merger Agreement, AT&amp;T shall prepare and file with the Commission a proxy statement (the "PROXY STATEMENT") to be sent to shareholders of AT&amp;T in connection with their meeting to consider the Distribution (the "AT&amp;T MEETING"), it being understood that the AT&amp;T Meeting may be combined with any other meeting of shareholders regarding a possible business combination involving the AT&amp;T Broadband Group.</w:t>
      </w:r>
    </w:p>
    <w:p>
      <w:pPr>
        <w:spacing w:after="0" w:line="201" w:lineRule="exact"/>
        <w:rPr>
          <w:sz w:val="20"/>
          <w:szCs w:val="20"/>
          <w:color w:val="auto"/>
        </w:rPr>
      </w:pPr>
    </w:p>
    <w:p>
      <w:pPr>
        <w:ind w:right="1939" w:firstLine="531"/>
        <w:spacing w:after="0" w:line="251" w:lineRule="auto"/>
        <w:tabs>
          <w:tab w:leader="none" w:pos="943" w:val="left"/>
        </w:tabs>
        <w:numPr>
          <w:ilvl w:val="0"/>
          <w:numId w:val="5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promptly as reasonably practicable after the execution of this Agreement, subject to the provisions of the Merger Agreement and if required by applicable law to effect the Distribution, AT&amp;T and AT&amp;T Broadband shall prepare, and AT&amp;T Broadband shall file with the Commission a registration statement on Form S-1 or S-4 or any amendment or supplement thereto pursuant to which shares of AT&amp;T Broadband issuable in the Distribution will be registered with the Commission (the "DISTRIBUTION REGISTRATION STATEMENT"). If the Distribution Registration Statement is required by applicable law to be filed with the Commission to effect the Distribution, AT&amp;T and AT&amp;T Broadband shall use their reasonable best efforts to cause the Distribution Registration Statement to become effective under the Exchange Act as soon after such filing as reasonably practicable and to keep the Distribution Registration Statement effective as long as is necessary to consummate the Distribution.</w:t>
      </w:r>
    </w:p>
    <w:p>
      <w:pPr>
        <w:spacing w:after="0" w:line="201" w:lineRule="exact"/>
        <w:rPr>
          <w:rFonts w:ascii="Courier New" w:cs="Courier New" w:eastAsia="Courier New" w:hAnsi="Courier New"/>
          <w:sz w:val="17"/>
          <w:szCs w:val="17"/>
          <w:color w:val="auto"/>
        </w:rPr>
      </w:pPr>
    </w:p>
    <w:p>
      <w:pPr>
        <w:ind w:right="1839" w:firstLine="531"/>
        <w:spacing w:after="0" w:line="253" w:lineRule="auto"/>
        <w:tabs>
          <w:tab w:leader="none" w:pos="943" w:val="left"/>
        </w:tabs>
        <w:numPr>
          <w:ilvl w:val="0"/>
          <w:numId w:val="5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and AT&amp;T Broadband shall take all such actions as are reasonably necessary or appropriate under the federal or state securities or blue sky laws of the United States (and any comparable laws under any foreign jurisdiction) in connection with the Distribution.</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4.03. Timing of the Distribution. AT&amp;T shall consummate the Separation and Distribution as soon as practicable (and, in any event, within five Business Days) after satisfaction (or waiver to the extent permissible) of all of the conditions to the Separation and the Distribution specified below (other than conditions that by their nature are to be satisfied at the time of the Distribution or the Mergers and will in fact be satisfied at such time). The Separation shall occur on the Distribution Date prior to the Distribution which shall occur at a time to be mutually agreed on the Distribution Date. With the consent of Comcast, which consent shall not be unreasonably withheld, AT&amp;T may effect the Separation and/or the Distribution on different dates or different times than provided for in the preceding sentence. The obligation of AT&amp;T to consummate the Separation and the Distribution and the other</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B-24</w:t>
      </w:r>
    </w:p>
    <w:p>
      <w:pPr>
        <w:sectPr>
          <w:pgSz w:w="11900" w:h="16838" w:orient="portrait"/>
          <w:cols w:equalWidth="0" w:num="1">
            <w:col w:w="10219"/>
          </w:cols>
          <w:pgMar w:left="240" w:top="719" w:right="1440" w:bottom="659" w:gutter="0" w:footer="0" w:header="0"/>
        </w:sectPr>
      </w:pPr>
    </w:p>
    <w:bookmarkStart w:id="503" w:name="page504"/>
    <w:bookmarkEnd w:id="503"/>
    <w:p>
      <w:pPr>
        <w:ind w:right="2039"/>
        <w:spacing w:after="0" w:line="257" w:lineRule="auto"/>
        <w:rPr>
          <w:sz w:val="20"/>
          <w:szCs w:val="20"/>
          <w:color w:val="auto"/>
        </w:rPr>
      </w:pPr>
      <w:r>
        <w:rPr>
          <w:rFonts w:ascii="Courier New" w:cs="Courier New" w:eastAsia="Courier New" w:hAnsi="Courier New"/>
          <w:sz w:val="17"/>
          <w:szCs w:val="17"/>
          <w:color w:val="auto"/>
        </w:rPr>
        <w:t>transactions contemplated by this Agreement is subject to the satisfaction (or waiver to the extent permissible) of the following conditions:</w:t>
      </w:r>
    </w:p>
    <w:p>
      <w:pPr>
        <w:spacing w:after="0" w:line="192" w:lineRule="exact"/>
        <w:rPr>
          <w:sz w:val="20"/>
          <w:szCs w:val="20"/>
          <w:color w:val="auto"/>
        </w:rPr>
      </w:pPr>
    </w:p>
    <w:p>
      <w:pPr>
        <w:jc w:val="both"/>
        <w:ind w:left="540" w:right="2259" w:firstLine="515"/>
        <w:spacing w:after="0" w:line="253" w:lineRule="auto"/>
        <w:tabs>
          <w:tab w:leader="none" w:pos="1483" w:val="left"/>
        </w:tabs>
        <w:numPr>
          <w:ilvl w:val="0"/>
          <w:numId w:val="5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required by applicable law to effect the Distribution, the Distribution Registration Statement shall have been filed and declared effective by the Commission, and there shall be no stop-order in effect with respect thereto;</w:t>
      </w:r>
    </w:p>
    <w:p>
      <w:pPr>
        <w:spacing w:after="0" w:line="195" w:lineRule="exact"/>
        <w:rPr>
          <w:rFonts w:ascii="Courier New" w:cs="Courier New" w:eastAsia="Courier New" w:hAnsi="Courier New"/>
          <w:sz w:val="17"/>
          <w:szCs w:val="17"/>
          <w:color w:val="auto"/>
        </w:rPr>
      </w:pPr>
    </w:p>
    <w:p>
      <w:pPr>
        <w:ind w:left="540" w:right="1939" w:firstLine="515"/>
        <w:spacing w:after="0" w:line="253" w:lineRule="auto"/>
        <w:tabs>
          <w:tab w:leader="none" w:pos="1483" w:val="left"/>
        </w:tabs>
        <w:numPr>
          <w:ilvl w:val="0"/>
          <w:numId w:val="5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actions and filings with regard to material federal or state securities and blue sky laws of the United States (and any comparable laws under any foreign jurisdictions) described in Section 4.02(c) shall have been taken and, where applicable, become effective or been accepted;</w:t>
      </w:r>
    </w:p>
    <w:p>
      <w:pPr>
        <w:spacing w:after="0" w:line="195"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5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Governmental Approvals and Consents including those listed on Schedule 4.03(c) necessary to consummate the Distribution in the manner contemplated by this Agreement shall have been obtained and be in full force and effect, except for such Governmental Approvals and Consents the failure of which to obtain would not, individually or in the aggregate, reasonably be expected to have an AT&amp;T Broadband Material Adverse Effect or an AT&amp;T Material Adverse Effect;</w:t>
      </w:r>
    </w:p>
    <w:p>
      <w:pPr>
        <w:spacing w:after="0" w:line="195"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5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conditions to permit the Distribution to qualify as a tax-free distribution to AT&amp;T, AT&amp;T Broadband and shareholders of AT&amp;T shall, to the extent applicable as of the time of the Distribution, be satisfied and there shall be no event or condition that is likely to cause any of such conditions not to be satisfied as of the time of the Distribution or thereafter;</w:t>
      </w:r>
    </w:p>
    <w:p>
      <w:pPr>
        <w:spacing w:after="0" w:line="196"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5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order, injunction or decree issued by any court or agency of competent jurisdiction or other material legal restraint or prohibition preventing the consummation of the Separation or the Distribution or any of the other transactions contemplated by this Agreement or any other Ancillary Agreement shall be in effect and the Separation and Distribution shall be in compliance in all material respects with applicable law;</w:t>
      </w:r>
    </w:p>
    <w:p>
      <w:pPr>
        <w:spacing w:after="0" w:line="196"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5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not have been terminated;</w:t>
      </w:r>
    </w:p>
    <w:p>
      <w:pPr>
        <w:spacing w:after="0" w:line="210" w:lineRule="exact"/>
        <w:rPr>
          <w:rFonts w:ascii="Courier New" w:cs="Courier New" w:eastAsia="Courier New" w:hAnsi="Courier New"/>
          <w:sz w:val="17"/>
          <w:szCs w:val="17"/>
          <w:color w:val="auto"/>
        </w:rPr>
      </w:pPr>
    </w:p>
    <w:p>
      <w:pPr>
        <w:ind w:left="540" w:right="1939" w:firstLine="515"/>
        <w:spacing w:after="0" w:line="254" w:lineRule="auto"/>
        <w:tabs>
          <w:tab w:leader="none" w:pos="1483" w:val="left"/>
        </w:tabs>
        <w:numPr>
          <w:ilvl w:val="0"/>
          <w:numId w:val="5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supplemental private letter ruling or rulings from the IRS or the opinion described in Section 10.01(j) of the Merger Agreement shall have been obtained and shall continue in effect;</w:t>
      </w:r>
    </w:p>
    <w:p>
      <w:pPr>
        <w:spacing w:after="0" w:line="194" w:lineRule="exact"/>
        <w:rPr>
          <w:rFonts w:ascii="Courier New" w:cs="Courier New" w:eastAsia="Courier New" w:hAnsi="Courier New"/>
          <w:sz w:val="17"/>
          <w:szCs w:val="17"/>
          <w:color w:val="auto"/>
        </w:rPr>
      </w:pPr>
    </w:p>
    <w:p>
      <w:pPr>
        <w:ind w:left="540" w:right="1939" w:firstLine="515"/>
        <w:spacing w:after="0" w:line="254" w:lineRule="auto"/>
        <w:tabs>
          <w:tab w:leader="none" w:pos="1483" w:val="left"/>
        </w:tabs>
        <w:numPr>
          <w:ilvl w:val="0"/>
          <w:numId w:val="5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Distribution shall have been approved by the affirmative vote of shareholders holding a majority of the voting power of the issued and outstanding shares of AT&amp;T Common Stock at the AT&amp;T Meeting; and</w:t>
      </w:r>
    </w:p>
    <w:p>
      <w:pPr>
        <w:spacing w:after="0" w:line="194" w:lineRule="exact"/>
        <w:rPr>
          <w:rFonts w:ascii="Courier New" w:cs="Courier New" w:eastAsia="Courier New" w:hAnsi="Courier New"/>
          <w:sz w:val="17"/>
          <w:szCs w:val="17"/>
          <w:color w:val="auto"/>
        </w:rPr>
      </w:pPr>
    </w:p>
    <w:p>
      <w:pPr>
        <w:ind w:left="540" w:right="2039" w:firstLine="515"/>
        <w:spacing w:after="0" w:line="254" w:lineRule="auto"/>
        <w:tabs>
          <w:tab w:leader="none" w:pos="1483" w:val="left"/>
        </w:tabs>
        <w:numPr>
          <w:ilvl w:val="0"/>
          <w:numId w:val="5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conditions specified in Sections 10.01 and 10.02 (other than Section 10.01(i)) of the Merger Agreement shall have been satisfied (or waived to the extent permissible).</w:t>
      </w:r>
    </w:p>
    <w:p>
      <w:pPr>
        <w:spacing w:after="0" w:line="194"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The foregoing conditions are for the sole benefit of AT&amp;T and shall not give rise to or create any duty on the part of AT&amp;T or the Board of Directors of AT&amp;T to waive or not waive any such condition.</w:t>
      </w:r>
    </w:p>
    <w:p>
      <w:pPr>
        <w:spacing w:after="0" w:line="19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5</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MUTUAL RELEASES; INDEMNIFICATION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5.01. Release of Pre-Closing Claims. (a) Except as provided in Section 5.01(c), effective as of the Distribution Date, AT&amp;T shall, for itself and each other wholly owned member of the AT&amp;T Communications Group (other than any member of the AT&amp;T Broadband Group) and their respective successors and assigns, and all shareholders, directors, officers, members, agents or employees of any wholly owned member of the AT&amp;T Communications Group (in each case, in their respective capacities as such), remise, release and forever discharge each of AT&amp;T Broadband and the respective wholly owned members of the AT&amp;T Broadband Group (other than any member of the AT&amp;T Communications Group), their respective successors and assigns, and all shareholders, directors, officers, members, agents or employees of any wholly owned member of the AT&amp;T Broadband Group (in each case, in their respective capacities as such), and their respective heirs, executors, administrators, successors and assigns, from any and all Liabilities whatsoever, whether at law or in equity (including any right of contribution), whether</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B-25</w:t>
      </w:r>
    </w:p>
    <w:p>
      <w:pPr>
        <w:sectPr>
          <w:pgSz w:w="11900" w:h="16838" w:orient="portrait"/>
          <w:cols w:equalWidth="0" w:num="1">
            <w:col w:w="10219"/>
          </w:cols>
          <w:pgMar w:left="240" w:top="719" w:right="1440" w:bottom="659" w:gutter="0" w:footer="0" w:header="0"/>
        </w:sectPr>
      </w:pPr>
    </w:p>
    <w:bookmarkStart w:id="504" w:name="page505"/>
    <w:bookmarkEnd w:id="504"/>
    <w:p>
      <w:pPr>
        <w:ind w:right="1839"/>
        <w:spacing w:after="0" w:line="252" w:lineRule="auto"/>
        <w:rPr>
          <w:sz w:val="20"/>
          <w:szCs w:val="20"/>
          <w:color w:val="auto"/>
        </w:rPr>
      </w:pPr>
      <w:r>
        <w:rPr>
          <w:rFonts w:ascii="Courier New" w:cs="Courier New" w:eastAsia="Courier New" w:hAnsi="Courier New"/>
          <w:sz w:val="17"/>
          <w:szCs w:val="17"/>
          <w:color w:val="auto"/>
        </w:rPr>
        <w:t>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197" w:lineRule="exact"/>
        <w:rPr>
          <w:sz w:val="20"/>
          <w:szCs w:val="20"/>
          <w:color w:val="auto"/>
        </w:rPr>
      </w:pPr>
    </w:p>
    <w:p>
      <w:pPr>
        <w:ind w:right="1839" w:firstLine="531"/>
        <w:spacing w:after="0" w:line="251" w:lineRule="auto"/>
        <w:tabs>
          <w:tab w:leader="none" w:pos="943" w:val="left"/>
        </w:tabs>
        <w:numPr>
          <w:ilvl w:val="0"/>
          <w:numId w:val="5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in Section 5.01(c), effective as of the Distribution Date, AT&amp;T Broadband shall, for itself and each other wholly owned member of the AT&amp;T Broadband Group (other than any member of the AT&amp;T Communications Group) and their respective successors and assigns, and all shareholders, directors, officers, members, agents or employees of any wholly owned member of the AT&amp;T Broadband Group (in each case, in their respective capacities as such), remise, release and forever discharge each of AT&amp;T and the respective wholly owned members of the AT&amp;T Communications Group (other than any member of the AT&amp;T Broadband Group), their respective successors and assigns, and all shareholders, directors, officers, members, agents or employees of any wholly owned member of the AT&amp;T Communications Group (in each case, in their respective capacities as such), and their respective heirs, executors, administrators, successors and assigns, from any and all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201" w:lineRule="exact"/>
        <w:rPr>
          <w:rFonts w:ascii="Courier New" w:cs="Courier New" w:eastAsia="Courier New" w:hAnsi="Courier New"/>
          <w:sz w:val="17"/>
          <w:szCs w:val="17"/>
          <w:color w:val="auto"/>
        </w:rPr>
      </w:pPr>
    </w:p>
    <w:p>
      <w:pPr>
        <w:ind w:right="1939" w:firstLine="531"/>
        <w:spacing w:after="0" w:line="252" w:lineRule="auto"/>
        <w:tabs>
          <w:tab w:leader="none" w:pos="943" w:val="left"/>
        </w:tabs>
        <w:numPr>
          <w:ilvl w:val="0"/>
          <w:numId w:val="5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contained in Section 5.01(a) or 5.01(b) shall impair any right of any Person to enforce this Agreement, any other Ancillary Agreement or any agreements, arrangements, commitments or understandings that are specified in Section 2.04(b) or the applicable Schedules thereto not to terminate as of the Distribution Date, in each case in accordance with its terms. Nothing contained in Section 5.01(a) or 5.01(b) shall release any Person from:</w:t>
      </w:r>
    </w:p>
    <w:p>
      <w:pPr>
        <w:spacing w:after="0" w:line="196"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1"/>
          <w:numId w:val="5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provided in or resulting from any agreement among any members of the AT&amp;T Broadband Group or the AT&amp;T Communications Group that is specified in Section 2.04(b) or the applicable Schedules thereto as not to terminate as of the Distribution Date, or any other Liability specified in such Section 2.04(b) as not to terminate as of the Distribution Date;</w:t>
      </w:r>
    </w:p>
    <w:p>
      <w:pPr>
        <w:spacing w:after="0" w:line="398" w:lineRule="exact"/>
        <w:rPr>
          <w:rFonts w:ascii="Courier New" w:cs="Courier New" w:eastAsia="Courier New" w:hAnsi="Courier New"/>
          <w:sz w:val="17"/>
          <w:szCs w:val="17"/>
          <w:color w:val="auto"/>
        </w:rPr>
      </w:pPr>
    </w:p>
    <w:p>
      <w:pPr>
        <w:ind w:left="540" w:right="2039" w:firstLine="515"/>
        <w:spacing w:after="0" w:line="253" w:lineRule="auto"/>
        <w:tabs>
          <w:tab w:leader="none" w:pos="1587" w:val="left"/>
        </w:tabs>
        <w:numPr>
          <w:ilvl w:val="1"/>
          <w:numId w:val="5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contingent or otherwise, assumed, transferred, assigned or allocated to the Group of which such Person is a member in accordance with, or any other Liability of any member of any Group under, this Agreement or any other Ancillary Agreement;</w:t>
      </w:r>
    </w:p>
    <w:p>
      <w:pPr>
        <w:spacing w:after="0" w:line="195" w:lineRule="exact"/>
        <w:rPr>
          <w:rFonts w:ascii="Courier New" w:cs="Courier New" w:eastAsia="Courier New" w:hAnsi="Courier New"/>
          <w:sz w:val="17"/>
          <w:szCs w:val="17"/>
          <w:color w:val="auto"/>
        </w:rPr>
      </w:pPr>
    </w:p>
    <w:p>
      <w:pPr>
        <w:ind w:left="540" w:right="1939" w:firstLine="515"/>
        <w:spacing w:after="0" w:line="252" w:lineRule="auto"/>
        <w:tabs>
          <w:tab w:leader="none" w:pos="1692" w:val="left"/>
        </w:tabs>
        <w:numPr>
          <w:ilvl w:val="1"/>
          <w:numId w:val="5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arising from or relating to the sale, lease, construction, provision, or receipt of goods, property or services purchased, obtained or used in the ordinary course of business by a member of one Group from a member of any other Group prior to the Distribution Date;</w:t>
      </w:r>
    </w:p>
    <w:p>
      <w:pPr>
        <w:spacing w:after="0" w:line="197" w:lineRule="exact"/>
        <w:rPr>
          <w:rFonts w:ascii="Courier New" w:cs="Courier New" w:eastAsia="Courier New" w:hAnsi="Courier New"/>
          <w:sz w:val="17"/>
          <w:szCs w:val="17"/>
          <w:color w:val="auto"/>
        </w:rPr>
      </w:pPr>
    </w:p>
    <w:p>
      <w:pPr>
        <w:ind w:left="540" w:right="1939" w:firstLine="515"/>
        <w:spacing w:after="0" w:line="253" w:lineRule="auto"/>
        <w:tabs>
          <w:tab w:leader="none" w:pos="1587" w:val="left"/>
        </w:tabs>
        <w:numPr>
          <w:ilvl w:val="1"/>
          <w:numId w:val="5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payment for goods, services or property purchased, obtained or used in the ordinary course of business by a member of one Group from a member of any other Group prior to the Distribution Date or any related refund claims; or</w:t>
      </w:r>
    </w:p>
    <w:p>
      <w:pPr>
        <w:spacing w:after="0" w:line="195"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1"/>
          <w:numId w:val="5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the release of which would result in the release of any Person other than a Person released pursuant to this Section 5.01; provided that the parties agree not to bring suit or permit any of their Subsidiaries to bring suit against any Person with respect to any Liability to the extent that such Person would be released with respect to such Liability by this Section 5.01 but for the provisions of this clause (v).</w:t>
      </w:r>
    </w:p>
    <w:p>
      <w:pPr>
        <w:spacing w:after="0" w:line="196" w:lineRule="exact"/>
        <w:rPr>
          <w:rFonts w:ascii="Courier New" w:cs="Courier New" w:eastAsia="Courier New" w:hAnsi="Courier New"/>
          <w:sz w:val="17"/>
          <w:szCs w:val="17"/>
          <w:color w:val="auto"/>
        </w:rPr>
      </w:pPr>
    </w:p>
    <w:p>
      <w:pPr>
        <w:ind w:right="1939" w:firstLine="531"/>
        <w:spacing w:after="0" w:line="251" w:lineRule="auto"/>
        <w:tabs>
          <w:tab w:leader="none" w:pos="943" w:val="left"/>
        </w:tabs>
        <w:numPr>
          <w:ilvl w:val="0"/>
          <w:numId w:val="5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shall not make, and shall not permit any member of the AT&amp;T Communications Group to make, any claim or demand, or commence any Action asserting any claim or demand, including any claim of contribution or any indemnification, against AT&amp;T Broadband or any wholly owned member of the AT&amp;T Broadband Group, or any other Person released pursuant to Section 5.01(a), with respect to any Liabilities released in respect of such Person pursuant to Section 5.01(a). AT&amp;T Broadband shall not make, and shall not permit any member of the AT&amp;T Broadband Group to make, any claim or demand,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B-26</w:t>
      </w:r>
    </w:p>
    <w:p>
      <w:pPr>
        <w:sectPr>
          <w:pgSz w:w="11900" w:h="16838" w:orient="portrait"/>
          <w:cols w:equalWidth="0" w:num="1">
            <w:col w:w="10219"/>
          </w:cols>
          <w:pgMar w:left="240" w:top="719" w:right="1440" w:bottom="256" w:gutter="0" w:footer="0" w:header="0"/>
        </w:sectPr>
      </w:pPr>
    </w:p>
    <w:bookmarkStart w:id="505" w:name="page506"/>
    <w:bookmarkEnd w:id="505"/>
    <w:p>
      <w:pPr>
        <w:ind w:right="1939"/>
        <w:spacing w:after="0" w:line="252" w:lineRule="auto"/>
        <w:rPr>
          <w:sz w:val="20"/>
          <w:szCs w:val="20"/>
          <w:color w:val="auto"/>
        </w:rPr>
      </w:pPr>
      <w:r>
        <w:rPr>
          <w:rFonts w:ascii="Courier New" w:cs="Courier New" w:eastAsia="Courier New" w:hAnsi="Courier New"/>
          <w:sz w:val="17"/>
          <w:szCs w:val="17"/>
          <w:color w:val="auto"/>
        </w:rPr>
        <w:t>or commence any Action asserting any claim or demand, including any claim of contribution or any indemnification, against AT&amp;T or any wholly owned member of the AT&amp;T Communications Group, or any other Person released pursuant to Section 5.01(b), with respect to any Liabilities in respect of such Person released pursuant to Section 5.01(b).</w:t>
      </w:r>
    </w:p>
    <w:p>
      <w:pPr>
        <w:spacing w:after="0" w:line="197" w:lineRule="exact"/>
        <w:rPr>
          <w:sz w:val="20"/>
          <w:szCs w:val="20"/>
          <w:color w:val="auto"/>
        </w:rPr>
      </w:pPr>
    </w:p>
    <w:p>
      <w:pPr>
        <w:ind w:right="1939" w:firstLine="531"/>
        <w:spacing w:after="0" w:line="254" w:lineRule="auto"/>
        <w:tabs>
          <w:tab w:leader="none" w:pos="943" w:val="left"/>
        </w:tabs>
        <w:numPr>
          <w:ilvl w:val="0"/>
          <w:numId w:val="5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at the request of any other party, each party shall cause each member of its respective Group to execute and deliver releases reflecting the provisions of this Section 5.01.</w:t>
      </w:r>
    </w:p>
    <w:p>
      <w:pPr>
        <w:spacing w:after="0" w:line="194"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SECTION 5.02. Indemnification by AT&amp;T. Except as provided in Section 5.04, following the Distribution Date, AT&amp;T shall indemnify, defend and hold harmless AT&amp;T Broadband, each member of the AT&amp;T Broadband Group and each of their respective directors, officers and employees, and each of the heirs, executors, successors and assigns of any of the foregoing (collectively, the "AT&amp;T BROADBAND INDEMNITEES"), from and against any and all Liabilities (or in the case of subsection (d), 50% of any and all Liabilities) of the AT&amp;T Broadband Indemnitees relating to, arising out of or resulting from any of the following items (without duplication):</w:t>
      </w:r>
    </w:p>
    <w:p>
      <w:pPr>
        <w:spacing w:after="0" w:line="201" w:lineRule="exact"/>
        <w:rPr>
          <w:sz w:val="20"/>
          <w:szCs w:val="20"/>
          <w:color w:val="auto"/>
        </w:rPr>
      </w:pPr>
    </w:p>
    <w:p>
      <w:pPr>
        <w:ind w:left="540" w:right="1839" w:firstLine="515"/>
        <w:spacing w:after="0" w:line="252" w:lineRule="auto"/>
        <w:tabs>
          <w:tab w:leader="none" w:pos="1483" w:val="left"/>
        </w:tabs>
        <w:numPr>
          <w:ilvl w:val="0"/>
          <w:numId w:val="5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of AT&amp;T or any other member of the AT&amp;T Communications Group or any other Person to pay, perform or otherwise promptly discharge any AT&amp;T Communications Liabilities, or AT&amp;T Communications Contract, in accordance with their respective terms, whether prior to or after the Distribution Date or the date hereof;</w:t>
      </w:r>
    </w:p>
    <w:p>
      <w:pPr>
        <w:spacing w:after="0" w:line="197"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5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Communications Business, any AT&amp;T Communications Asset or any AT&amp;T Communications Contract (except to the extent such Liabilities arise out of any breach by AT&amp;T or any of its Subsidiaries prior to the Distribution Date of any AT&amp;T Communications Contract entered into in connection with the separation, divestiture or termination of LMC and its Subsidiaries);</w:t>
      </w:r>
    </w:p>
    <w:p>
      <w:pPr>
        <w:spacing w:after="0" w:line="196" w:lineRule="exact"/>
        <w:rPr>
          <w:rFonts w:ascii="Courier New" w:cs="Courier New" w:eastAsia="Courier New" w:hAnsi="Courier New"/>
          <w:sz w:val="17"/>
          <w:szCs w:val="17"/>
          <w:color w:val="auto"/>
        </w:rPr>
      </w:pPr>
    </w:p>
    <w:p>
      <w:pPr>
        <w:ind w:left="540" w:right="1939" w:firstLine="515"/>
        <w:spacing w:after="0" w:line="257" w:lineRule="auto"/>
        <w:tabs>
          <w:tab w:leader="none" w:pos="1483" w:val="left"/>
        </w:tabs>
        <w:numPr>
          <w:ilvl w:val="0"/>
          <w:numId w:val="5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by AT&amp;T or any member of the AT&amp;T Communications Group of this Agreement or any of the other Ancillary Agreements; and</w:t>
      </w:r>
    </w:p>
    <w:p>
      <w:pPr>
        <w:spacing w:after="0" w:line="191" w:lineRule="exact"/>
        <w:rPr>
          <w:rFonts w:ascii="Courier New" w:cs="Courier New" w:eastAsia="Courier New" w:hAnsi="Courier New"/>
          <w:sz w:val="17"/>
          <w:szCs w:val="17"/>
          <w:color w:val="auto"/>
        </w:rPr>
      </w:pPr>
    </w:p>
    <w:p>
      <w:pPr>
        <w:ind w:left="540" w:right="2039" w:firstLine="515"/>
        <w:spacing w:after="0" w:line="252" w:lineRule="auto"/>
        <w:tabs>
          <w:tab w:leader="none" w:pos="1483" w:val="left"/>
        </w:tabs>
        <w:numPr>
          <w:ilvl w:val="0"/>
          <w:numId w:val="5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(any Action relating to the matters set forth in this Section 5.02(d) or Section 5.03(d), a "REGISTRATION STATEMENT CLAIM").</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5.03. Indemnification by AT&amp;T Broadband. Except as provided in Section 5.04, following the Distribution Date, AT&amp;T Broadband shall indemnify, defend and hold harmless AT&amp;T, each member of the AT&amp;T Communications Group and each of their respective directors, officers and employees, and each of the heirs, executors, successors and assigns of any of the foregoing (collectively, the "AT&amp;T INDEMNITEES"), from and against any and all Liabilities (or in the case of subsection (d), 50% of any and all Liabilities) of the AT&amp;T Indemnitees relating to, arising out of or resulting from any of the following items (without duplication):</w:t>
      </w:r>
    </w:p>
    <w:p>
      <w:pPr>
        <w:spacing w:after="0" w:line="201" w:lineRule="exact"/>
        <w:rPr>
          <w:sz w:val="20"/>
          <w:szCs w:val="20"/>
          <w:color w:val="auto"/>
        </w:rPr>
      </w:pPr>
    </w:p>
    <w:p>
      <w:pPr>
        <w:ind w:left="540" w:right="2039" w:firstLine="515"/>
        <w:spacing w:after="0" w:line="252" w:lineRule="auto"/>
        <w:tabs>
          <w:tab w:leader="none" w:pos="1483" w:val="left"/>
        </w:tabs>
        <w:numPr>
          <w:ilvl w:val="0"/>
          <w:numId w:val="5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of AT&amp;T Broadband or any other member of the AT&amp;T Broadband Group or any other Person to pay, perform or otherwise promptly discharge any AT&amp;T Broadband Liabilities, or AT&amp;T Broadband Contract, in accordance with their respective terms, whether prior to or after the Distribution Date or the date hereof;</w:t>
      </w:r>
    </w:p>
    <w:p>
      <w:pPr>
        <w:spacing w:after="0" w:line="197" w:lineRule="exact"/>
        <w:rPr>
          <w:rFonts w:ascii="Courier New" w:cs="Courier New" w:eastAsia="Courier New" w:hAnsi="Courier New"/>
          <w:sz w:val="17"/>
          <w:szCs w:val="17"/>
          <w:color w:val="auto"/>
        </w:rPr>
      </w:pPr>
    </w:p>
    <w:p>
      <w:pPr>
        <w:ind w:left="540" w:right="1939" w:firstLine="515"/>
        <w:spacing w:after="0" w:line="257" w:lineRule="auto"/>
        <w:tabs>
          <w:tab w:leader="none" w:pos="1483" w:val="left"/>
        </w:tabs>
        <w:numPr>
          <w:ilvl w:val="0"/>
          <w:numId w:val="5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Broadband Business, any AT&amp;T Broadband Asset or any AT&amp;T Broadband Contract;</w:t>
      </w:r>
    </w:p>
    <w:p>
      <w:pPr>
        <w:spacing w:after="0" w:line="191" w:lineRule="exact"/>
        <w:rPr>
          <w:rFonts w:ascii="Courier New" w:cs="Courier New" w:eastAsia="Courier New" w:hAnsi="Courier New"/>
          <w:sz w:val="17"/>
          <w:szCs w:val="17"/>
          <w:color w:val="auto"/>
        </w:rPr>
      </w:pPr>
    </w:p>
    <w:p>
      <w:pPr>
        <w:ind w:left="540" w:right="2039" w:firstLine="515"/>
        <w:spacing w:after="0" w:line="257" w:lineRule="auto"/>
        <w:tabs>
          <w:tab w:leader="none" w:pos="1483" w:val="left"/>
        </w:tabs>
        <w:numPr>
          <w:ilvl w:val="0"/>
          <w:numId w:val="5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by AT&amp;T Broadband or any member of the AT&amp;T Broadband Group of this Agreement or any of the other Ancillary Agreements;</w:t>
      </w:r>
    </w:p>
    <w:p>
      <w:pPr>
        <w:spacing w:after="0" w:line="191" w:lineRule="exact"/>
        <w:rPr>
          <w:rFonts w:ascii="Courier New" w:cs="Courier New" w:eastAsia="Courier New" w:hAnsi="Courier New"/>
          <w:sz w:val="17"/>
          <w:szCs w:val="17"/>
          <w:color w:val="auto"/>
        </w:rPr>
      </w:pPr>
    </w:p>
    <w:p>
      <w:pPr>
        <w:ind w:left="540" w:right="2039" w:firstLine="515"/>
        <w:spacing w:after="0" w:line="252" w:lineRule="auto"/>
        <w:tabs>
          <w:tab w:leader="none" w:pos="1483" w:val="left"/>
        </w:tabs>
        <w:numPr>
          <w:ilvl w:val="0"/>
          <w:numId w:val="5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and</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B-27</w:t>
      </w:r>
    </w:p>
    <w:p>
      <w:pPr>
        <w:sectPr>
          <w:pgSz w:w="11900" w:h="16838" w:orient="portrait"/>
          <w:cols w:equalWidth="0" w:num="1">
            <w:col w:w="10219"/>
          </w:cols>
          <w:pgMar w:left="240" w:top="719" w:right="1440" w:bottom="1062" w:gutter="0" w:footer="0" w:header="0"/>
        </w:sectPr>
      </w:pPr>
    </w:p>
    <w:bookmarkStart w:id="506" w:name="page507"/>
    <w:bookmarkEnd w:id="506"/>
    <w:p>
      <w:pPr>
        <w:ind w:left="540" w:right="1839" w:firstLine="515"/>
        <w:spacing w:after="0" w:line="251" w:lineRule="auto"/>
        <w:tabs>
          <w:tab w:leader="none" w:pos="1483" w:val="left"/>
        </w:tabs>
        <w:numPr>
          <w:ilvl w:val="0"/>
          <w:numId w:val="5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neither the QUIPS Exchange nor the QUIPS Transfer occurs, any Liabilities relating to, arising out of or resulting from any Actions commenced by Microsoft claiming that the transactions contemplated hereby or by the Merger Agreement violate the terms of the QUIPS; provided that for purposes hereof, in the event that AT&amp;T is required to repay the QUIPS as a result of such Action, the indemnified Liability hereunder in respect of such repayment shall be reduced by the amount of the QUIPS Fair Market Value plus any accrued interest on the QUIPS since the date as of which the QUIPS Fair Market Value was determined (any such Action, a "MICROSOFT QUIPS CLAIM").</w:t>
      </w:r>
    </w:p>
    <w:p>
      <w:pPr>
        <w:spacing w:after="0" w:line="201"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Notwithstanding the foregoing, AT&amp;T Broadband shall have no obligation to indemnify, defend and hold harmless any AT&amp;T Indemnitee from and against any Liabilities arising out of any breach by At Home or any of its Subsidiaries of any At Home Contract.</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5.04. Indemnification Obligations Net of Insurance Proceeds and Other Amounts. (a) The parties intend that any indemnification or reimbursement obligation pursuant to this Article 5 will be net of Insurance Proceeds that actually reduce the amount of the Liability. Accordingly, the amount which any party (an "INDEMNIFYING PARTY") is required to pay to any Person entitled to indemnification hereunder (an "INDEMNITEE") will be reduced by any Insurance Proceeds theretofore actually recovered by or on behalf of the Indemnitee in reduction of the related Liability. If an Indemnitee receives a payment (an "INDEMNITY PAYMENT") required by this Agreement from an Indemnifying Party in respect of any Liability and subsequently receives Insurance Proceeds, then the Indemnitee will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202" w:lineRule="exact"/>
        <w:rPr>
          <w:sz w:val="20"/>
          <w:szCs w:val="20"/>
          <w:color w:val="auto"/>
        </w:rPr>
      </w:pPr>
    </w:p>
    <w:p>
      <w:pPr>
        <w:ind w:right="1939" w:firstLine="531"/>
        <w:spacing w:after="0" w:line="252" w:lineRule="auto"/>
        <w:tabs>
          <w:tab w:leader="none" w:pos="943" w:val="left"/>
        </w:tabs>
        <w:numPr>
          <w:ilvl w:val="0"/>
          <w:numId w:val="5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insurer who would otherwise be obligated to defend or make payment in response to any claim shall not be relieved of the responsibility with respect thereto or, solely by virtue of the indemnification provisions hereof, have any subrogation rights with respect thereto, it being expressly understood and agreed that no insurer or any other third party shall be entitled to a "windfall" (i.e., a benefit it would not be entitled to receive in the absence of the indemnification provisions) by virtue of the indemnification provisions hereof.</w:t>
      </w:r>
    </w:p>
    <w:p>
      <w:pPr>
        <w:spacing w:after="0" w:line="397"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5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all policies of insurance with insurance companies other than American Ridge and Western Range, the parties agree to act in good faith and to use their reasonable best efforts to preserve and maximize the insurance benefits due to be provided thereunder and to cooperate with one another as necessary to permit each other to access or obtain the benefits under those policies, provided, however, that nothing in this Section 5.04 shall be construed to prevent any party or any other Person from asserting claims for insurance benefits or accepting insurance benefits provided by the policies. The parties agree to exchange information upon reasonable request of the other party regarding requests that they have made for insurance benefits, notices of claims, occurrences and circumstances that they have submitted to the insurance companies or other entities managing the policies, responses they have received from those insurance companies or entities, including any payments they have received from the insurance companies and any agreements by the insurance companies to make payments, and any other information that the parties may need to determine the status of the insurance policies and the continued availability of benefits thereunder.</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5.05. Procedures for Indemnification of Third Party Claims. (a) If an Indemnitee shall receive notice or otherwise learn of the assertion by a Person (including any Governmental Authority) who is not a member of the AT&amp;T Broadband Group or the AT&amp;T Communications Group of any claim or of the commencement by any such Person of any Action (collectively, a "THIRD PARTY CLAIM") with respect to which an Indemnifying Party may be obligated to provide indemnification to such Indemnitee pursuant to Section 5.02 or 5.03, or any other Section of this Agreement or any Ancillary Agreement (except as otherwise provided therein), such Indemnitee shall give such Indemnifying Party written notice thereof promptly after becoming aware of such Third Party Claim. Any such notice shall describe the Third Party Claim in reasonable detail. Notwithstanding the foregoing, the failure of any Indemnitee to give notice as provided in this Section 5.05(a) shall not relieve the related Indemnifying Party of its obligations under</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B-28</w:t>
      </w:r>
    </w:p>
    <w:p>
      <w:pPr>
        <w:sectPr>
          <w:pgSz w:w="11900" w:h="16838" w:orient="portrait"/>
          <w:cols w:equalWidth="0" w:num="1">
            <w:col w:w="10219"/>
          </w:cols>
          <w:pgMar w:left="240" w:top="719" w:right="1440" w:bottom="659" w:gutter="0" w:footer="0" w:header="0"/>
        </w:sectPr>
      </w:pPr>
    </w:p>
    <w:bookmarkStart w:id="507" w:name="page508"/>
    <w:bookmarkEnd w:id="507"/>
    <w:p>
      <w:pPr>
        <w:ind w:right="2139"/>
        <w:spacing w:after="0" w:line="257" w:lineRule="auto"/>
        <w:rPr>
          <w:sz w:val="20"/>
          <w:szCs w:val="20"/>
          <w:color w:val="auto"/>
        </w:rPr>
      </w:pPr>
      <w:r>
        <w:rPr>
          <w:rFonts w:ascii="Courier New" w:cs="Courier New" w:eastAsia="Courier New" w:hAnsi="Courier New"/>
          <w:sz w:val="17"/>
          <w:szCs w:val="17"/>
          <w:color w:val="auto"/>
        </w:rPr>
        <w:t>this Article 5, except to the extent that such Indemnifying Party is actually prejudiced by such failure to give notice.</w:t>
      </w:r>
    </w:p>
    <w:p>
      <w:pPr>
        <w:spacing w:after="0" w:line="192" w:lineRule="exact"/>
        <w:rPr>
          <w:sz w:val="20"/>
          <w:szCs w:val="20"/>
          <w:color w:val="auto"/>
        </w:rPr>
      </w:pPr>
    </w:p>
    <w:p>
      <w:pPr>
        <w:ind w:right="1839" w:firstLine="531"/>
        <w:spacing w:after="0" w:line="251" w:lineRule="auto"/>
        <w:tabs>
          <w:tab w:leader="none" w:pos="943" w:val="left"/>
        </w:tabs>
        <w:numPr>
          <w:ilvl w:val="0"/>
          <w:numId w:val="5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Indemnifying Party may elect to defend (and, unless the Indemnifying Party has specified any reservations or exceptions, to seek to settle or compromise), at such Indemnifying Party's own expense (including allocated costs of in-house counsel and other personnel) and by such Indemnifying Party's own counsel, any Third Party Claim. Within 30 days after the receipt of notice from an Indemnitee in accordance with Section 5.05(a) (or sooner, if the nature of such Third Party Claim so requires), the Indemnifying Party shall notify the Indemnitee of its election whether the Indemnifying Party will assume responsibility for defending such Third Party Claim, which election shall specify any reservations or exceptions. After notice from an Indemnifying Party to an Indemnitee of its election to assume the defense of a Third Party Claim, such Indemnitee shall have the right to employ separate counsel and to participate in (but not control) the defense, compromise, or settlement thereof, but the fees and expenses of such counsel shall be the expense of such Indemnitee, except as set forth in the next sentence. In the event that the Indemnifying Party has elected to assume the defense of the Third Party Claim but has specified and continues to assert, any reservations or exceptions in such notice, then, in any such case, the reasonable fees and expenses of one separate counsel for all Indemnitees shall be borne by the Indemnifying Party.</w:t>
      </w:r>
    </w:p>
    <w:p>
      <w:pPr>
        <w:spacing w:after="0" w:line="201"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0"/>
          <w:numId w:val="5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Indemnifying Party elects not to assume responsibility for defending a Third Party Claim, or fails to notify an Indemnitee of its election as provided in Section 5.05(b), such Indemnitee may defend such Third Party Claim at the cost and expense (including allocated costs of in-house counsel and other personnel) of the Indemnifying Party.</w:t>
      </w:r>
    </w:p>
    <w:p>
      <w:pPr>
        <w:spacing w:after="0" w:line="197" w:lineRule="exact"/>
        <w:rPr>
          <w:rFonts w:ascii="Courier New" w:cs="Courier New" w:eastAsia="Courier New" w:hAnsi="Courier New"/>
          <w:sz w:val="17"/>
          <w:szCs w:val="17"/>
          <w:color w:val="auto"/>
        </w:rPr>
      </w:pPr>
    </w:p>
    <w:p>
      <w:pPr>
        <w:ind w:right="1939" w:firstLine="531"/>
        <w:spacing w:after="0" w:line="253" w:lineRule="auto"/>
        <w:tabs>
          <w:tab w:leader="none" w:pos="943" w:val="left"/>
        </w:tabs>
        <w:numPr>
          <w:ilvl w:val="0"/>
          <w:numId w:val="5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the Indemnifying Party has failed to assume the defense of the Third Party Claim in accordance with the terms of this Agreement, no Indemnitee may settle or compromise any Third Party Claim without the consent of the Indemnifying Party.</w:t>
      </w:r>
    </w:p>
    <w:p>
      <w:pPr>
        <w:spacing w:after="0" w:line="195" w:lineRule="exact"/>
        <w:rPr>
          <w:rFonts w:ascii="Courier New" w:cs="Courier New" w:eastAsia="Courier New" w:hAnsi="Courier New"/>
          <w:sz w:val="17"/>
          <w:szCs w:val="17"/>
          <w:color w:val="auto"/>
        </w:rPr>
      </w:pPr>
    </w:p>
    <w:p>
      <w:pPr>
        <w:ind w:right="2139" w:firstLine="531"/>
        <w:spacing w:after="0" w:line="253" w:lineRule="auto"/>
        <w:tabs>
          <w:tab w:leader="none" w:pos="943" w:val="left"/>
        </w:tabs>
        <w:numPr>
          <w:ilvl w:val="0"/>
          <w:numId w:val="5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Indemnifying Party shall consent to any settlement of the Third Party Claim without the consent of the Indemnitee if the effect thereof is to permit any injunction, declaratory judgment, other order or other nonmonetary relief to be entered, directly or indirectly, against any Indemnitee.</w:t>
      </w:r>
    </w:p>
    <w:p>
      <w:pPr>
        <w:spacing w:after="0" w:line="195" w:lineRule="exact"/>
        <w:rPr>
          <w:rFonts w:ascii="Courier New" w:cs="Courier New" w:eastAsia="Courier New" w:hAnsi="Courier New"/>
          <w:sz w:val="17"/>
          <w:szCs w:val="17"/>
          <w:color w:val="auto"/>
        </w:rPr>
      </w:pPr>
    </w:p>
    <w:p>
      <w:pPr>
        <w:ind w:right="1939" w:firstLine="531"/>
        <w:spacing w:after="0" w:line="254" w:lineRule="auto"/>
        <w:tabs>
          <w:tab w:leader="none" w:pos="943" w:val="left"/>
        </w:tabs>
        <w:numPr>
          <w:ilvl w:val="0"/>
          <w:numId w:val="5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Section 5.05 and Section 5.06 shall not apply to Taxes (which are covered by the Tax Sharing Agreement) or to matters covered by Sections 6.02 and 6.03.</w:t>
      </w:r>
    </w:p>
    <w:p>
      <w:pPr>
        <w:spacing w:after="0" w:line="194"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5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in this Agreement to the contrary, and subject to any applicable provision of the AWS separation agreements, if either party is named in any Action relating to any At Home Matter, Specified Matter, Specified Transaction or Registration Statement Claim, that party shall be entitled to assume and control its own defense and to employ its own counsel. Neither party shall settle any such Action without the consent of the other party (which consent will not be unreasonably withheld). All legal and other fees (including allocated cost of in-house counsel and other personnel) incurred in connection therewith shall be divided 50/50 between AT&amp;T and AT&amp;T Broadband.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5.06. Additional Matters. (a) Any claim on account of a Liability that does not result from a Third Party Claim shall be asserted by written notice given by the Indemnitee to the related Indemnifying Party. Such Indemnifying Party shall have a period of 30 days after the receipt of such notice within which to respond thereto. If such Indemnifying Party does not respond within such 30-day period, such Indemnifying Party shall be deemed to have refused to accept responsibility to make payment. If such Indemnifying Party does not respond within such 30-day period or rejects such claim in whole or in part, such Indemnitee shall be free to pursue such remedies as may be available to such party as contemplated by this Agreement and the other Ancillary Agreements.</w:t>
      </w:r>
    </w:p>
    <w:p>
      <w:pPr>
        <w:spacing w:after="0" w:line="200" w:lineRule="exact"/>
        <w:rPr>
          <w:sz w:val="20"/>
          <w:szCs w:val="20"/>
          <w:color w:val="auto"/>
        </w:rPr>
      </w:pPr>
    </w:p>
    <w:p>
      <w:pPr>
        <w:spacing w:after="0" w:line="203" w:lineRule="exact"/>
        <w:rPr>
          <w:sz w:val="20"/>
          <w:szCs w:val="20"/>
          <w:color w:val="auto"/>
        </w:rPr>
      </w:pPr>
    </w:p>
    <w:p>
      <w:pPr>
        <w:ind w:right="1839" w:firstLine="531"/>
        <w:spacing w:after="0" w:line="252" w:lineRule="auto"/>
        <w:tabs>
          <w:tab w:leader="none" w:pos="943" w:val="left"/>
        </w:tabs>
        <w:numPr>
          <w:ilvl w:val="0"/>
          <w:numId w:val="5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payment by or on behalf of any Indemnifying Party to any Indemnitee in connection with any Third Party 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but only to the extent related to such</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B-29</w:t>
      </w:r>
    </w:p>
    <w:p>
      <w:pPr>
        <w:sectPr>
          <w:pgSz w:w="11900" w:h="16838" w:orient="portrait"/>
          <w:cols w:equalWidth="0" w:num="1">
            <w:col w:w="10219"/>
          </w:cols>
          <w:pgMar w:left="240" w:top="719" w:right="1440" w:bottom="659" w:gutter="0" w:footer="0" w:header="0"/>
        </w:sectPr>
      </w:pPr>
    </w:p>
    <w:bookmarkStart w:id="508" w:name="page509"/>
    <w:bookmarkEnd w:id="508"/>
    <w:p>
      <w:pPr>
        <w:ind w:right="1839"/>
        <w:spacing w:after="0" w:line="253" w:lineRule="auto"/>
        <w:rPr>
          <w:sz w:val="20"/>
          <w:szCs w:val="20"/>
          <w:color w:val="auto"/>
        </w:rPr>
      </w:pPr>
      <w:r>
        <w:rPr>
          <w:rFonts w:ascii="Courier New" w:cs="Courier New" w:eastAsia="Courier New" w:hAnsi="Courier New"/>
          <w:sz w:val="17"/>
          <w:szCs w:val="17"/>
          <w:color w:val="auto"/>
        </w:rPr>
        <w:t>payment. Such Indemnitee shall cooperate with such Indemnifying Party in a reasonable manner, and at the cost and expense (including allocated costs of in-house counsel and other personnel) of such Indemnifying Party, in prosecuting any subrogated right, defense or claim.</w:t>
      </w:r>
    </w:p>
    <w:p>
      <w:pPr>
        <w:spacing w:after="0" w:line="195" w:lineRule="exact"/>
        <w:rPr>
          <w:sz w:val="20"/>
          <w:szCs w:val="20"/>
          <w:color w:val="auto"/>
        </w:rPr>
      </w:pPr>
    </w:p>
    <w:p>
      <w:pPr>
        <w:ind w:right="1839" w:firstLine="531"/>
        <w:spacing w:after="0" w:line="251" w:lineRule="auto"/>
        <w:tabs>
          <w:tab w:leader="none" w:pos="943" w:val="left"/>
        </w:tabs>
        <w:numPr>
          <w:ilvl w:val="0"/>
          <w:numId w:val="5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an Action in which the Indemnifying Party is not a named defendant, if either the Indemnitee or Indemnifying Party shall so request, the parties shall endeavor to substitute the Indemnifying Party for the named defendant, if at all practicable. If such substitution or addition cannot be achieved for any reason or is not requested, the named defendant shall allow the Indemnifying Party to manage the Action as set forth in this Section 5.06 and the Indemnifying Party shall fully indemnify the named defendant against all reasonable costs of defending the Action (including court costs, sanctions imposed by a court, attorneys' fees, experts' fees and all other external expenses, and the allocated costs of in-house counsel and other personnel), the costs of any judgment or settlement, and the cost of any interest or penalties relating to any judgment or settlement.</w:t>
      </w:r>
    </w:p>
    <w:p>
      <w:pPr>
        <w:spacing w:after="0" w:line="201"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SECTION 5.07. Remedies Cumulative. The remedies provided in this Article 5 shall be cumulative and shall not preclude assertion by any Indemnitee of any other rights or the seeking of any and all other remedies against any Indemnifying Party.</w:t>
      </w:r>
    </w:p>
    <w:p>
      <w:pPr>
        <w:spacing w:after="0" w:line="195"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5.08. Survival of Indemnities. The rights and obligations of each of AT&amp;T, AT&amp;T Broadband and their respective Indemnitees under this Article 5 shall survive the sale or other transfer by any party of any Assets or businesses or the assignment by it of any Liabilities.</w:t>
      </w:r>
    </w:p>
    <w:p>
      <w:pPr>
        <w:spacing w:after="0" w:line="195"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6</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INSURANCE AND CERTAIN OTHER MATTERS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6.01. Insurance Matters. (a) The parties intend that both AT&amp;T and AT&amp;T Broadband and each other member of the AT&amp;T Communications Group and the AT&amp;T Broadband Group, after the Distribution Date, shall be successors-in-interest to and retain all rights and interest (whether known, unknown, contingent or otherwise) that each has as of the Distribution Date under any Insurance Policy issued to and/or providing coverage to AT&amp;T, as it existed immediately prior to the Distribution Date, or any of its Subsidiaries or Affiliates, and any agreements related to such Insurance Policies executed and delivered prior to the Distribution Date, including any rights or interests each has, as an insured, named insured, or additional named insured, Subsidiary, Affiliate, division or department, to avail itself of any benefit under any such Insurance Policy or any such agreement related to such policy as in effect prior to the Distribution Date. The provisions of this Agreement are not intended to relieve any insurer of any Liability under any policy. Notwithstanding the foregoing, no member of the AT&amp;T Broadband Group or the AT&amp;T Communications Group shall be deemed to have made any representation or warranty as to the availability of any Insurance Policy or the rights and benefits provided thereunder.</w:t>
      </w:r>
    </w:p>
    <w:p>
      <w:pPr>
        <w:spacing w:after="0" w:line="200" w:lineRule="exact"/>
        <w:rPr>
          <w:sz w:val="20"/>
          <w:szCs w:val="20"/>
          <w:color w:val="auto"/>
        </w:rPr>
      </w:pPr>
    </w:p>
    <w:p>
      <w:pPr>
        <w:spacing w:after="0" w:line="203" w:lineRule="exact"/>
        <w:rPr>
          <w:sz w:val="20"/>
          <w:szCs w:val="20"/>
          <w:color w:val="auto"/>
        </w:rPr>
      </w:pPr>
    </w:p>
    <w:p>
      <w:pPr>
        <w:ind w:right="1839" w:firstLine="531"/>
        <w:spacing w:after="0" w:line="252" w:lineRule="auto"/>
        <w:tabs>
          <w:tab w:leader="none" w:pos="943" w:val="left"/>
        </w:tabs>
        <w:numPr>
          <w:ilvl w:val="0"/>
          <w:numId w:val="5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not be considered as an attempted assignment (if such an assignment would be prohibited or would otherwise adversely affect the rights of the insured parties under such policies) of any rights or interest under any policy of insurance or as a contract of insurance and shall not be construed to waive any right or remedy of any member of the AT&amp;T Broadband Group or the AT&amp;T Communications Group in respect of any Insurance Policy or any other contract or policy of insurance.</w:t>
      </w:r>
    </w:p>
    <w:p>
      <w:pPr>
        <w:spacing w:after="0" w:line="195" w:lineRule="exact"/>
        <w:rPr>
          <w:rFonts w:ascii="Courier New" w:cs="Courier New" w:eastAsia="Courier New" w:hAnsi="Courier New"/>
          <w:sz w:val="17"/>
          <w:szCs w:val="17"/>
          <w:color w:val="auto"/>
        </w:rPr>
      </w:pPr>
    </w:p>
    <w:p>
      <w:pPr>
        <w:ind w:right="1939" w:firstLine="531"/>
        <w:spacing w:after="0" w:line="253" w:lineRule="auto"/>
        <w:tabs>
          <w:tab w:leader="none" w:pos="943" w:val="left"/>
        </w:tabs>
        <w:numPr>
          <w:ilvl w:val="0"/>
          <w:numId w:val="5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AT&amp;T and AT&amp;T Broadband does hereby, for itself and each other member of the AT&amp;T Communications Group and the AT&amp;T Broadband Group, agree that, as and to the extent necessary to give effect to Section 6.01(a), it will assign any chose in action, claim, right or benefit under an Insurance Policy.</w:t>
      </w:r>
    </w:p>
    <w:p>
      <w:pPr>
        <w:spacing w:after="0" w:line="195"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0"/>
          <w:numId w:val="5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does hereby, for itself and each other member of the AT&amp;T Broadband Group, agree that from and after the Distribution Date, AT&amp;T Broadband and each other member of the AT&amp;T Broadband Group releases any and all insurance or other claims that it may have against American Ridge and Subsidiaries of American Ridge, whether known or unknown.</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B-30</w:t>
      </w:r>
    </w:p>
    <w:p>
      <w:pPr>
        <w:sectPr>
          <w:pgSz w:w="11900" w:h="16838" w:orient="portrait"/>
          <w:cols w:equalWidth="0" w:num="1">
            <w:col w:w="10219"/>
          </w:cols>
          <w:pgMar w:left="240" w:top="719" w:right="1440" w:bottom="1440" w:gutter="0" w:footer="0" w:header="0"/>
        </w:sectPr>
      </w:pPr>
    </w:p>
    <w:bookmarkStart w:id="509" w:name="page510"/>
    <w:bookmarkEnd w:id="509"/>
    <w:p>
      <w:pPr>
        <w:ind w:right="1839" w:firstLine="531"/>
        <w:spacing w:after="0" w:line="251" w:lineRule="auto"/>
        <w:tabs>
          <w:tab w:leader="none" w:pos="943" w:val="left"/>
        </w:tabs>
        <w:numPr>
          <w:ilvl w:val="0"/>
          <w:numId w:val="5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does hereby, for itself and each other member of the AT&amp;T Communications Group, agree that (i) no member of the AT&amp;T Broadband Group or any AT&amp;T Broadband Indemnitee shall have any Liability whatsoever as a result of the insurance policies and practices of AT&amp;T and its Affiliates as in effect or undertaken at any time prior to the Distribution Date, including as a result of the level or scope of any such insurance, the creditworthiness of any insurance carrier, the terms and conditions of any policy, the adequacy or timeliness of any notice to any insurance carrier with respect to any claim or potential claim or otherwise and (ii) from and after the Distribution Date, AT&amp;T and each other member of the AT&amp;T Communications Group releases any and all insurance or other claims that it may have against Western Range and Subsidiaries of Western Range, whether known or unknown.</w:t>
      </w:r>
    </w:p>
    <w:p>
      <w:pPr>
        <w:spacing w:after="0" w:line="201"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5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AT&amp;T and AT&amp;T Broadband does hereby, for itself and each other member of the AT&amp;T Communications Group and the AT&amp;T Broadband Group, agree that all duties and obligations under any Insurance Policy, including the fulfillment of any conditions and the payment of any deductibles, retentions, co-insurance payment or retrospective premiums, that correspond in any way with or may be necessary to perfect, preserve or maintain an insuredIs right to obtain benefits under that Insurance Policy, will be performed by the insured that is seeking the benefits, subject to the indemnification provisions of Article 5. In the event members of both Groups have claims under a given policy, any deductibles, retentions, co-insurance payments, retrospective premiums, caps, limitations on average and similar items will be appropriately allocated between such parties based on the recoveries they would have obtained in the absence of such items.</w:t>
      </w:r>
    </w:p>
    <w:p>
      <w:pPr>
        <w:spacing w:after="0" w:line="201"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SECTION 6.02.</w:t>
        <w:tab/>
        <w:t>Certain Post-Distribution Transactions and Related</w:t>
      </w:r>
    </w:p>
    <w:p>
      <w:pPr>
        <w:spacing w:after="0" w:line="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Matters.</w:t>
        <w:tab/>
        <w:t>(a) Each of AT&amp;T and AT&amp;T Broadband agrees that, until 12 months after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date of the Distribution, it will (i) maintain its status as a company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engaged in the active conduct of a trade or business and (ii) not engage in 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 that would result in it ceasing to be a company engaged in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active conduct of a trade or business, as defined in Section 355(b) of the Code.</w:t>
      </w:r>
    </w:p>
    <w:p>
      <w:pPr>
        <w:spacing w:after="0" w:line="210" w:lineRule="exact"/>
        <w:rPr>
          <w:sz w:val="20"/>
          <w:szCs w:val="20"/>
          <w:color w:val="auto"/>
        </w:rPr>
      </w:pPr>
    </w:p>
    <w:p>
      <w:pPr>
        <w:ind w:right="1839" w:firstLine="531"/>
        <w:spacing w:after="0" w:line="251" w:lineRule="auto"/>
        <w:tabs>
          <w:tab w:leader="none" w:pos="943" w:val="left"/>
        </w:tabs>
        <w:numPr>
          <w:ilvl w:val="0"/>
          <w:numId w:val="5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AT&amp;T and AT&amp;T Broadband further agrees that, until 25 months after the date of the Distribution, it will not, except as expressly contemplated by this Agreement or the Merger Agreement, (i) enter into any Proposed Acquisition Transaction or, to the extent AT&amp;T or AT&amp;T Broadband, as the case may be, has the right to prohibit any Proposed Acquisition Transaction, permit any Proposed Acquisition Transaction to occur (whether by (A) redeeming rights under a shareholders rights plan, (B) finding a tender offer to be a "permitted offer" under any such plan or otherwise causing any such plan to be inapplicable or neutralized with respect to any Proposed Acquisition Transaction, or (C) approving any Proposed Acquisition Transaction, whether for purposes of any interested shareholder statute, any "fair price" or other provision of its respective charter or bylaws or otherwise), (ii) liquidate or partially liquidate, (iii) in a single transaction or series of related transactions, sell or transfer all or substantially all of the assets of AT&amp;T or the assets of the AT&amp;T Broadband Group that were transferred to AT&amp;T Broadband prior to the Distribution, as the case may be, (iv) redeem or otherwise repurchase (directly or through an Affiliate) any of its stock, (v) enter into any transaction or series of transactions as a result of which any Person would acquire, or have the right to acquire, from AT&amp;T or AT&amp;T Broadband, as the case may be, or one of their respective Affiliates, a number of shares of stock that would comprise more than 5% of (A) the value of all outstanding shares of stock of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or (vi) take any other action or actions (including any action or transaction that would be inconsistent with any representation made in the Tax Opinions/Rulings) that in the aggregate (and taking into account any other transactions described in this subparagraph (b)) would be reasonably likely to have the effect of causing or permitting one or more Persons to acquire directly or indirectly stock representing a 50 percent or greater interest (within the meaning of Section 355(e) of the Code) in AT&amp;T or AT&amp;T Broadband or otherwise jeopardize the non-recognition of taxable gain or loss for U.S. federal income tax purposes to AT&amp;T, AT&amp;T Affiliates and shareholders of AT&amp;T in connection with the Separation and Distribution, unless prior to taking any such action set forth in the foregoing clauses (i) through (vi), AT&amp;T (with respect to</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B-31</w:t>
      </w:r>
    </w:p>
    <w:p>
      <w:pPr>
        <w:sectPr>
          <w:pgSz w:w="11900" w:h="16838" w:orient="portrait"/>
          <w:cols w:equalWidth="0" w:num="1">
            <w:col w:w="10219"/>
          </w:cols>
          <w:pgMar w:left="240" w:top="719" w:right="1440" w:bottom="1062" w:gutter="0" w:footer="0" w:header="0"/>
        </w:sectPr>
      </w:pPr>
    </w:p>
    <w:bookmarkStart w:id="510" w:name="page511"/>
    <w:bookmarkEnd w:id="510"/>
    <w:p>
      <w:pPr>
        <w:ind w:right="1839"/>
        <w:spacing w:after="0" w:line="251" w:lineRule="auto"/>
        <w:rPr>
          <w:sz w:val="20"/>
          <w:szCs w:val="20"/>
          <w:color w:val="auto"/>
        </w:rPr>
      </w:pPr>
      <w:r>
        <w:rPr>
          <w:rFonts w:ascii="Courier New" w:cs="Courier New" w:eastAsia="Courier New" w:hAnsi="Courier New"/>
          <w:sz w:val="17"/>
          <w:szCs w:val="17"/>
          <w:color w:val="auto"/>
        </w:rPr>
        <w:t>AT&amp;T Broadband) and AT&amp;T Broadband (with respect to AT&amp;T) has determined, in its sole and absolute discretion, which discretion shall be exercised in good faith solely to preserve the tax-free status of the Separation and Distribution, that such action or actions would not result in a Spin-Off Disqualification. Anything in the preceding sentence to the contrary notwithstanding, a transaction described in clauses (i) through (vi) of the preceding sentence shall not require the determination of the other party in the event that as of the date immediately preceding such transaction there has not been issued and, when taken together with the shares to be issued pursuant to the transaction, there will not be issued, directly or indirectly, pursuant to a Proposed Acquisition Transaction or otherwise, including as a consequence of the Merger Agreement, taking into account for such purpose all share transactions which would be taken into account under Section 355(e) of the Code assuming all such issuances were considered to be "part of a plan or series of related transactions" with the Distribution number of shares in excess of 30 percent of (A) the value of all outstanding shares of stock as of the date of such transaction, or in the case of a series of transactions, the date of the last transaction of such series, or</w:t>
      </w:r>
    </w:p>
    <w:p>
      <w:pPr>
        <w:ind w:right="1839" w:firstLine="7"/>
        <w:spacing w:after="0" w:line="251" w:lineRule="auto"/>
        <w:tabs>
          <w:tab w:leader="none" w:pos="419" w:val="left"/>
        </w:tabs>
        <w:numPr>
          <w:ilvl w:val="0"/>
          <w:numId w:val="5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voting power of the issued and outstanding shares of stock as of the date of such transaction, or in the case of a series of transactions, the date of the last transaction of such series. "PROPOSED ACQUISITION TRANSACTION" means a transaction or series of transactions as a result of which AT&amp;T or AT&amp;T Broadband would merge or consolidate with any other Person or pursuant to which any Person or any group of related Persons would acquire, or have the right to acquire, directly or indirectly, from one or more holders of outstanding shares of stock of a number of shares of stock that would comprise more than 5% of (A) the value of all outstanding shares of stock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"TAX OPINIONS/RULINGS" means, collectively, the opinions of tax counsel and the rulings by the IRS deliverable to AT&amp;T in connection with the transactions contemplated by this Agreement.</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5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one party (the "ISSUING PARTY") notifies the other (the "OTHER PARTY") that it desires to take one of the actions described in clauses (i) through (vi) of Section 6.02(b) (the "NOTIFIED ACTION") and the Other Party declines to exercise its discretion pursuant to Section 6.02(b) to permit the Issuing Party to take such Notified Action, the Issuing Party, in its reasonable discretion, may elect to seek a Subsequent Tax Opinion/Ruling that would permit the Issuing Party to take the Notified Action, and the Other Party shall cooperate in connection with such efforts; provided, however, that the reasonable costs and expenses of obtaining any such Subsequent Tax Opinion/Ruling shall be borne by the Issuing Party. "SUBSEQUENT TAX OPINION/RULING" means either (i) an unqualified opinion of counsel jointly selected by the Issuing Party and the Other Party confirming that, as a consequence of the consummation of the Notified Action, no income, gain or loss for U.S. federal income tax purposes will be recognized by AT&amp;T, the shareholders or former shareholders of AT&amp;T, or any AT&amp;T Affiliate with respect to the Separation and Distribution or (ii) an IRS private letter ruling to the same effect that, after reasonable due diligence conducted by the Other Party, are in form and substance reasonably satisfactory to the Other Party.</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5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herein or any provision of the Tax Sharing Agreement to the contrary, if there is a determination (as defined in Section 1313 of the Code) that a Spin-Off Disqualification has occurred, then AT&amp;T Broadband shall indemnify and hold harmless AT&amp;T and each member of the consolidated group of which AT&amp;T is a member from and against one half of all Tax Related Losses imposed upon or incurred by AT&amp;T or any member of its group as a result of the Spin-Off Disqualification; provided, however, that AT&amp;T Broadband shall indemnify and hold harmless AT&amp;T and each member of the consolidated group of which AT&amp;T is a member from and against any and all Tax Related Losses imposed upon or incurred by AT&amp;T or any member of its group as a result of the Spin-Off Disqualification if such Spin-Off Disqualification would not have occurred but for an AT&amp;T Broadband Action and; provided, further, that AT&amp;T Broadband shall have no obligation to indemnify AT&amp;T or any member of the consolidated group of which AT&amp;T is a member if the Spin-Off Disqualification would not have occurred but for an AT&amp;T Communications Action. "AT&amp;T BROADBAND ACTION" means (i) any transaction with respect to the stock or assets of AT&amp;T Broadband that occurs after the Distribution,</w:t>
      </w:r>
    </w:p>
    <w:p>
      <w:pPr>
        <w:ind w:left="4100"/>
        <w:spacing w:after="0"/>
        <w:rPr>
          <w:sz w:val="20"/>
          <w:szCs w:val="20"/>
          <w:color w:val="auto"/>
        </w:rPr>
      </w:pPr>
      <w:r>
        <w:rPr>
          <w:rFonts w:ascii="Courier New" w:cs="Courier New" w:eastAsia="Courier New" w:hAnsi="Courier New"/>
          <w:sz w:val="17"/>
          <w:szCs w:val="17"/>
          <w:color w:val="auto"/>
        </w:rPr>
        <w:t>B-32</w:t>
      </w:r>
    </w:p>
    <w:p>
      <w:pPr>
        <w:sectPr>
          <w:pgSz w:w="11900" w:h="16838" w:orient="portrait"/>
          <w:cols w:equalWidth="0" w:num="1">
            <w:col w:w="10219"/>
          </w:cols>
          <w:pgMar w:left="240" w:top="719" w:right="1440" w:bottom="1440" w:gutter="0" w:footer="0" w:header="0"/>
        </w:sectPr>
      </w:pPr>
    </w:p>
    <w:bookmarkStart w:id="511" w:name="page512"/>
    <w:bookmarkEnd w:id="511"/>
    <w:p>
      <w:pPr>
        <w:ind w:right="1839" w:firstLine="7"/>
        <w:spacing w:after="0" w:line="251" w:lineRule="auto"/>
        <w:tabs>
          <w:tab w:leader="none" w:pos="524" w:val="left"/>
        </w:tabs>
        <w:numPr>
          <w:ilvl w:val="0"/>
          <w:numId w:val="5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Broadband's failure to maintain its status as a company engaged in the active conduct of a trade or business, and (iii) the failure of any representation made by AT&amp;T Broadband with respect to AT&amp;T Broadband or the AT&amp;T Broadband Business, and the plans, proposals, intentions and policies of AT&amp;T Broadband after the Separation and Distribution in connection with a Subsequent Tax Opinion/ Ruling to be true and correct in all material respects. "AT&amp;T COMMUNICATIONS ACTION" means (i) any transaction with respect to the stock or assets of AT&amp;T that occurs after the Distribution, (ii) AT&amp;T's failure to maintain its status as a company engaged in the active conduct of a trade or business, and (iii) the failure of any representation made by AT&amp;T with respect to AT&amp;T or the AT&amp;T Communications Business and the plans, proposals, intentions and policies of AT&amp;T after the Separation and Distribution in connection with the Tax Opinions/Rulings or a Subsequent Tax Opinion/Ruling to be true and correct in all material respects. The delivery of any Subsequent Tax Opinion/Ruling shall not affect either party's rights and obligations with respect to indemnification under this Section 6.02(d). "TAX RELATED LOSSES" means (A) all federal, state and local Taxes (including interest and penalties thereon) imposed pursuant to any settlement, final determination, judgment or otherwise; (B) all accounting, legal and other professional fees, and court costs incurred in connection with such taxes; and (C) all costs and expenses that may result from adverse tax consequences to AT&amp;T (including all costs, expenses and damages associated with shareholder litigation or controversies) payable by AT&amp;T or AT&amp;T Affiliates.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6.03. Procedure for Indemnification for Tax Liabilities. (a) If AT&amp;T receives notice of the assertion of any claim, suit, arbitration, inquiry, proceeding or investigation by or before any court, governmental or other regulatory or administrative agency or commission or any arbitration tribunal asserted by a Person other than AT&amp;T or any AT&amp;T Affiliate or AT&amp;T Broadband or any AT&amp;T Broadband Affiliate that gives rise to a right of indemnification hereunder (a "THIRD PARTY TAX CLAIM") with respect to which AT&amp;T Broadband may be obligated under Section 6.02(d) to provide indemnification, AT&amp;T shall give AT&amp;T Broadband notice thereof (together with a copy of such Third Party Tax Claim, process or other legal pleading) promptly after becoming aware of such Third Party Tax Claim; provided, however, that the failure of AT&amp;T to give notice as provided in this Section shall not relieve AT&amp;T Broadband of its obligations under Section 6.02(d), except to the extent that AT&amp;T Broadband is actually prejudiced by such failure to give notice. Such notice shall describe such Third-Party Tax Claim in reasonable detail.</w:t>
      </w:r>
    </w:p>
    <w:p>
      <w:pPr>
        <w:spacing w:after="0" w:line="202" w:lineRule="exact"/>
        <w:rPr>
          <w:sz w:val="20"/>
          <w:szCs w:val="20"/>
          <w:color w:val="auto"/>
        </w:rPr>
      </w:pPr>
    </w:p>
    <w:p>
      <w:pPr>
        <w:ind w:right="1839" w:firstLine="531"/>
        <w:spacing w:after="0" w:line="251" w:lineRule="auto"/>
        <w:tabs>
          <w:tab w:leader="none" w:pos="943" w:val="left"/>
        </w:tabs>
        <w:numPr>
          <w:ilvl w:val="0"/>
          <w:numId w:val="5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Notwithstanding any provision to the contrary contained in the Tax Sharing Agreement, AT&amp;T and AT&amp;T Broadband shall jointly control the defense of, and cooperate with each other with respect to defending, any Third Party Tax Claim with respect to which AT&amp;T Broadband may be obligated under Section</w:t>
      </w:r>
    </w:p>
    <w:p>
      <w:pPr>
        <w:ind w:right="20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6.02(d) to provide indemnification; provided that AT&amp;T Broadband shall forfeit such joint control right with respect to a particular Third Party Tax Claim if AT&amp;T Broadband or any AT&amp;T Broadband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Broadband in the Agreement, the Tax Opinions/Rulings, the Representation Letter or a Subsequent Tax Opinion/Ruling and; provided, further, that AT&amp;T shall forfeit such joint control right with respect to a particular Third Party Tax Claim if AT&amp;T or any AT&amp;T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in the Agreement, the Tax Opinions/Rulings, the Representation Letter or a Subsequent Tax Opinion/ Ruling.</w:t>
      </w:r>
    </w:p>
    <w:p>
      <w:pPr>
        <w:spacing w:after="0" w:line="202" w:lineRule="exact"/>
        <w:rPr>
          <w:sz w:val="20"/>
          <w:szCs w:val="20"/>
          <w:color w:val="auto"/>
        </w:rPr>
      </w:pPr>
    </w:p>
    <w:p>
      <w:pPr>
        <w:ind w:right="1839" w:firstLine="531"/>
        <w:spacing w:after="0" w:line="252" w:lineRule="auto"/>
        <w:tabs>
          <w:tab w:leader="none" w:pos="1047" w:val="left"/>
        </w:tabs>
        <w:numPr>
          <w:ilvl w:val="0"/>
          <w:numId w:val="5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and AT&amp;T Broadband shall exercise their rights to jointly control the defense of any such Third Party Tax Claim solely for the purpose of defeating such Third Party Tax Claim and, unless required by applicable law, neither AT&amp;T nor AT&amp;T Broadband shall make any statements or take any actions that could reasonably result in the shifting of liability for any Tax Related Losses arising out of</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B-33</w:t>
      </w:r>
    </w:p>
    <w:p>
      <w:pPr>
        <w:sectPr>
          <w:pgSz w:w="11900" w:h="16838" w:orient="portrait"/>
          <w:cols w:equalWidth="0" w:num="1">
            <w:col w:w="10219"/>
          </w:cols>
          <w:pgMar w:left="240" w:top="719" w:right="1440" w:bottom="1440" w:gutter="0" w:footer="0" w:header="0"/>
        </w:sectPr>
      </w:pPr>
    </w:p>
    <w:bookmarkStart w:id="512" w:name="page513"/>
    <w:bookmarkEnd w:id="512"/>
    <w:p>
      <w:pPr>
        <w:ind w:right="1839"/>
        <w:spacing w:after="0" w:line="257" w:lineRule="auto"/>
        <w:rPr>
          <w:sz w:val="20"/>
          <w:szCs w:val="20"/>
          <w:color w:val="auto"/>
        </w:rPr>
      </w:pPr>
      <w:r>
        <w:rPr>
          <w:rFonts w:ascii="Courier New" w:cs="Courier New" w:eastAsia="Courier New" w:hAnsi="Courier New"/>
          <w:sz w:val="17"/>
          <w:szCs w:val="17"/>
          <w:color w:val="auto"/>
        </w:rPr>
        <w:t>such Third Party Tax Claim from the party making such statement or taking such action (or any of its Affiliates) to the other party (or any of its Affiliates).</w:t>
      </w:r>
    </w:p>
    <w:p>
      <w:pPr>
        <w:spacing w:after="0" w:line="192" w:lineRule="exact"/>
        <w:rPr>
          <w:sz w:val="20"/>
          <w:szCs w:val="20"/>
          <w:color w:val="auto"/>
        </w:rPr>
      </w:pPr>
    </w:p>
    <w:p>
      <w:pPr>
        <w:ind w:right="1939" w:firstLine="531"/>
        <w:spacing w:after="0" w:line="253" w:lineRule="auto"/>
        <w:tabs>
          <w:tab w:leader="none" w:pos="1152" w:val="left"/>
        </w:tabs>
        <w:numPr>
          <w:ilvl w:val="0"/>
          <w:numId w:val="5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Statements made or actions taken by either AT&amp;T or AT&amp;T Broadband in connection with the defense of any such Third Party Tax Claim shall not prejudice the rights of such party in any subsequent action or proceeding between the parties.</w:t>
      </w:r>
    </w:p>
    <w:p>
      <w:pPr>
        <w:spacing w:after="0" w:line="195" w:lineRule="exact"/>
        <w:rPr>
          <w:rFonts w:ascii="Courier New" w:cs="Courier New" w:eastAsia="Courier New" w:hAnsi="Courier New"/>
          <w:sz w:val="17"/>
          <w:szCs w:val="17"/>
          <w:color w:val="auto"/>
        </w:rPr>
      </w:pPr>
    </w:p>
    <w:p>
      <w:pPr>
        <w:ind w:right="1839" w:firstLine="531"/>
        <w:spacing w:after="0" w:line="251" w:lineRule="auto"/>
        <w:tabs>
          <w:tab w:leader="none" w:pos="1047" w:val="left"/>
        </w:tabs>
        <w:numPr>
          <w:ilvl w:val="0"/>
          <w:numId w:val="5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either AT&amp;T or AT&amp;T Broadband fails to jointly defend any such Third Party Tax Claim, the other party shall solely defend such Third Party Tax Claim and the party failing to jointly defend shall use commercially reasonable efforts to cooperate with the other party in its defense of such Third Party Tax Claim; provided, however, that neither party may compromise or settle any such Third Party Tax Claim without the prior written consent of the other party, which consent shall not be unreasonably withheld or delayed. All costs and expenses of either party in connection with, and during the course of, the joint control of the defense of any such Third Party Tax Claim shall be initially paid by the party that incurs such costs and expenses. Such costs and expenses shall be reallocated and reimbursed in accordance with the respective indemnification obligations of the parties at the conclusion of the defense of such Third Party Tax Claim.</w:t>
      </w:r>
    </w:p>
    <w:p>
      <w:pPr>
        <w:spacing w:after="0" w:line="200" w:lineRule="exact"/>
        <w:rPr>
          <w:sz w:val="20"/>
          <w:szCs w:val="20"/>
          <w:color w:val="auto"/>
        </w:rPr>
      </w:pPr>
    </w:p>
    <w:p>
      <w:pPr>
        <w:spacing w:after="0" w:line="203" w:lineRule="exact"/>
        <w:rPr>
          <w:sz w:val="20"/>
          <w:szCs w:val="20"/>
          <w:color w:val="auto"/>
        </w:rPr>
      </w:pPr>
    </w:p>
    <w:p>
      <w:pPr>
        <w:ind w:right="1839" w:firstLine="531"/>
        <w:spacing w:after="0" w:line="251" w:lineRule="auto"/>
        <w:tabs>
          <w:tab w:leader="none" w:pos="943" w:val="left"/>
        </w:tabs>
        <w:numPr>
          <w:ilvl w:val="0"/>
          <w:numId w:val="5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If there is a determination (as defined in Section 1313 of the Code) that a Spin-Off Disqualification has occurred, AT&amp;T and AT&amp;T Broadband shall attempt in good faith to resolve any disagreement with respect to whether there is an indemnification obligation pursuant to Section 6.02(d). If the parties cannot agree by the tenth Business Day following the determination (the "DISPUTE DATE"), then the liability shall initially be determined as follows: Within 20 days of the Dispute Date, AT&amp;T and AT&amp;T Broadband shall each appoint one arbitrator. The two arbitrators so appointed shall appoint a third arbitrator within 30 days of the Dispute Date. If either party shall fail to appoint an arbitrator within such 20-day period, the arbitration shall be conducted by the sole arbitrator appointed by the other party. Whether selected by AT&amp;T, AT&amp;T Broadband or otherwise, each arbitrator selected to resolve such dispute shall be a tax attorney who is generally recognized in the tax community as a qualified and competent tax practitioner with experience in the tax area involved in the issue to be resolved. Such arbitrators shall be empowered to determine initially whether or not AT&amp;T Broadband is required to indemnify AT&amp;T pursuant to Section 6.02(d) hereunder. Each of AT&amp;T and AT&amp;T Broadband shall bear 50% of the aggregate expenses of the arbitrators (or sole arbitrator). The decision of the arbitrators shall be rendered no later than 90 days from the Dispute Date.</w:t>
      </w:r>
    </w:p>
    <w:p>
      <w:pPr>
        <w:spacing w:after="0" w:line="200" w:lineRule="exact"/>
        <w:rPr>
          <w:sz w:val="20"/>
          <w:szCs w:val="20"/>
          <w:color w:val="auto"/>
        </w:rPr>
      </w:pPr>
    </w:p>
    <w:p>
      <w:pPr>
        <w:spacing w:after="0" w:line="203" w:lineRule="exact"/>
        <w:rPr>
          <w:sz w:val="20"/>
          <w:szCs w:val="20"/>
          <w:color w:val="auto"/>
        </w:rPr>
      </w:pPr>
    </w:p>
    <w:p>
      <w:pPr>
        <w:ind w:right="1839" w:firstLine="531"/>
        <w:spacing w:after="0" w:line="251" w:lineRule="auto"/>
        <w:tabs>
          <w:tab w:leader="none" w:pos="1047" w:val="left"/>
        </w:tabs>
        <w:numPr>
          <w:ilvl w:val="0"/>
          <w:numId w:val="5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tenth Business Day following the determination that there has been a Spin-Off Disqualification, if AT&amp;T Broadband agrees that it has an indemnification obligation, AT&amp;T Broadband shall pay in full any amount due and payable to AT&amp;T pursuant to Section 6.02(d), together with interest calculated at the Underpayment Rate from the date of the determination that there was a Spin-Off Disqualification through the date of payment. If AT&amp;T Broadband and AT&amp;T disagree as to whether an indemnity obligation is due, and the arbitration process concludes that AT&amp;T Broadband is liable, AT&amp;T Broadband shall pay any amount that would be due and payable to AT&amp;T if AT&amp;T were entitled to indemnity pursuant to Section 6.02(d), together with interest on such amount calculated at the Underpayment Rate from the date of the determination that there was a Spin-Off Disqualification through the date of the payment. "UNDERPAYMENT RATE" shall mean the annual rate of interest described in Section 6621(c) of the Code for large corporate underpayments of income Tax (or similar provision of state or local income Tax law, as applicable), as determined from time to time.</w:t>
      </w:r>
    </w:p>
    <w:p>
      <w:pPr>
        <w:spacing w:after="0" w:line="201" w:lineRule="exact"/>
        <w:rPr>
          <w:rFonts w:ascii="Courier New" w:cs="Courier New" w:eastAsia="Courier New" w:hAnsi="Courier New"/>
          <w:sz w:val="17"/>
          <w:szCs w:val="17"/>
          <w:color w:val="auto"/>
        </w:rPr>
      </w:pPr>
    </w:p>
    <w:p>
      <w:pPr>
        <w:ind w:right="1839" w:firstLine="531"/>
        <w:spacing w:after="0" w:line="251" w:lineRule="auto"/>
        <w:tabs>
          <w:tab w:leader="none" w:pos="1152" w:val="left"/>
        </w:tabs>
        <w:numPr>
          <w:ilvl w:val="0"/>
          <w:numId w:val="5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pursuant to a final nonappealable order of a court of competent jurisdiction, it is determined that AT&amp;T Broadband is obligated to pay and has not paid amounts payable to AT&amp;T pursuant to Section 6.02(d) or that amounts paid by AT&amp;T Broadband to AT&amp;T should not have been paid, AT&amp;T Broadband shall pay to AT&amp;T the balance due, or AT&amp;T shall repay to the excess amount paid, in either event within five days of the final determination of liability or overpayment, together with interest at the Underpayment Rate calculated (A) from the date of the determination that there was a Spin-Off Disqualification in the case of a payment to be made by AT&amp;T Broadband or (B) from the date of payment by AT&amp;T Broadband to AT&amp;T in the case of a repayment to be made by AT&amp;T. All payments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B-34</w:t>
      </w:r>
    </w:p>
    <w:p>
      <w:pPr>
        <w:sectPr>
          <w:pgSz w:w="11900" w:h="16838" w:orient="portrait"/>
          <w:cols w:equalWidth="0" w:num="1">
            <w:col w:w="10219"/>
          </w:cols>
          <w:pgMar w:left="240" w:top="719" w:right="1440" w:bottom="1061" w:gutter="0" w:footer="0" w:header="0"/>
        </w:sectPr>
      </w:pPr>
    </w:p>
    <w:bookmarkStart w:id="513" w:name="page514"/>
    <w:bookmarkEnd w:id="513"/>
    <w:p>
      <w:pPr>
        <w:ind w:right="2359"/>
        <w:spacing w:after="0" w:line="254" w:lineRule="auto"/>
        <w:rPr>
          <w:sz w:val="20"/>
          <w:szCs w:val="20"/>
          <w:color w:val="auto"/>
        </w:rPr>
      </w:pPr>
      <w:r>
        <w:rPr>
          <w:rFonts w:ascii="Courier New" w:cs="Courier New" w:eastAsia="Courier New" w:hAnsi="Courier New"/>
          <w:sz w:val="17"/>
          <w:szCs w:val="17"/>
          <w:color w:val="auto"/>
        </w:rPr>
        <w:t>pursuant to this Section 6.03(c) shall be made by wire transfer to the bank account designated by AT&amp;T or AT&amp;T Broadband, as the case may be, for such purpose.</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6.04. Other Transactions. (a) Notwithstanding any provision of the Tax Sharing Agreement to the contrary, AT&amp;T Broadband shall indemnify and hold harmless AT&amp;T and each member of the consolidated group of which AT&amp;T is a member from and against one half of all Tax Related Losses imposed upon or incurred by AT&amp;T or any member of its group as a result of (i) the Separation Transactions or the Split-Off failing to qualify as tax-free transactions under the provisions of Sections 355, 361(c) and 368(a)(1)(D) of the Code, or (ii) the shares of AWS or LMC failing to qualify as "qualified property" for purposes of Section 355(c)(2) or 361(c) of the Code by reason of the application of Section 355(e) of the Code (each such failure, a "TRANSACTION DISQUALIFICATION"); provided, however, AT&amp;T Broadband shall indemnify and hold harmless AT&amp;T and each member of the consolidated group of which AT&amp;T is a member from and against any and all Tax Related Losses imposed upon or incurred by AT&amp;T or any member of its group as a result of the Transaction Disqualification if such Transaction Disqualification would not have occurred but for an AT&amp;T Broadband Action and; provided, further, that, AT&amp;T Broadband shall have no obligation to indemnify AT&amp;T or any member of the consolidated group of which AT&amp;T is a member if the Transaction Disqualification would not have occurred but for an AT&amp;T Communications Action.</w:t>
      </w:r>
    </w:p>
    <w:p>
      <w:pPr>
        <w:spacing w:after="0" w:line="200" w:lineRule="exact"/>
        <w:rPr>
          <w:sz w:val="20"/>
          <w:szCs w:val="20"/>
          <w:color w:val="auto"/>
        </w:rPr>
      </w:pPr>
    </w:p>
    <w:p>
      <w:pPr>
        <w:spacing w:after="0" w:line="203" w:lineRule="exact"/>
        <w:rPr>
          <w:sz w:val="20"/>
          <w:szCs w:val="20"/>
          <w:color w:val="auto"/>
        </w:rPr>
      </w:pPr>
    </w:p>
    <w:p>
      <w:pPr>
        <w:ind w:right="1839" w:firstLine="531"/>
        <w:spacing w:after="0" w:line="251" w:lineRule="auto"/>
        <w:tabs>
          <w:tab w:leader="none" w:pos="943" w:val="left"/>
        </w:tabs>
        <w:numPr>
          <w:ilvl w:val="1"/>
          <w:numId w:val="5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indemnity payment required to be made by AT&amp;T Broadband under Section 6.04(a) as a result of a Transaction Disqualification shall be net of AT&amp;T Broadband's Share of any indemnification that AT&amp;T is entitled to receive from AWS or LMC, as the case may be, as a result of such Transaction Disqualification (a "PRIMARY INDEMNITY CLAIM"). AT&amp;T, at AT&amp;T Broadband's direction and expense, shall use reasonable efforts to pursue and collect AT&amp;T Broadband's Share of a Primary Indemnity Claim from AWS or LMC, as the case may be, prior to seeking indemnification from AT&amp;T Broadband for such amount. In the event that AT&amp;T has not received indemnification with respect to AT&amp;T Broadband's Share of a Primary Indemnity Claim at least five days prior to the date on which AT&amp;T is required to make a payment that gives rise to such claim, AT&amp;T shall be entitled to demand payment of AT&amp;T Broadband's Share of a Primary Indemnity Claim from AT&amp;T Broadband, provided that AT&amp;T Broadband shall have no obligation to pay AT&amp;T Broadband's Share of a Primary Indemnity Claim unless AT&amp;T has (i) provided AT&amp;T Broadband with information in reasonable detail describing its efforts to pursue and collect such Primary Indemnity Claim and</w:t>
      </w:r>
    </w:p>
    <w:p>
      <w:pPr>
        <w:ind w:left="540" w:hanging="533"/>
        <w:spacing w:after="0"/>
        <w:tabs>
          <w:tab w:leader="none" w:pos="540" w:val="left"/>
        </w:tabs>
        <w:numPr>
          <w:ilvl w:val="0"/>
          <w:numId w:val="5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afforded AT&amp;T Broadband the opportunity to take reasonable efforts on</w:t>
      </w:r>
    </w:p>
    <w:p>
      <w:pPr>
        <w:spacing w:after="0" w:line="8" w:lineRule="exact"/>
        <w:rPr>
          <w:rFonts w:ascii="Courier New" w:cs="Courier New" w:eastAsia="Courier New" w:hAnsi="Courier New"/>
          <w:sz w:val="17"/>
          <w:szCs w:val="17"/>
          <w:color w:val="auto"/>
        </w:rPr>
      </w:pPr>
    </w:p>
    <w:p>
      <w:pPr>
        <w:ind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behalf of AT&amp;T, at AT&amp;T Broadband's expense, to pursue and collect such Primary Indemnity Claim. "AT&amp;T BROADBAND'S SHARE" means (i) 100% in the event the Transaction Disqualification is attributable to an AT&amp;T Broadband Action or (ii) 50% otherwise. If AT&amp;T Broadband makes payment to AT&amp;T in respect of an amount for which AT&amp;T has a Primary Indemnity Claim, AT&amp;T shall assign AT&amp;T Broadband's Share of such Primary Indemnity Claim to AT&amp;T Broadband and shall cooperate, at AT&amp;T Broadband's direction and expense, with AT&amp;T Broadband in prosecuting such claim. If AT&amp;T receives a payment required by Section 6.04(a) from AT&amp;T Broadband and subsequently receives a payment with respect to a Primary Indemnity Claim that was not previously taken into account, in whole or in part, in determining the amount of AT&amp;T Broadband's payment to AT&amp;T, then AT&amp;T will pay to AT&amp;T Broadband an amount equal to the excess of the payment made by AT&amp;T Broadband over the amount of the payment that AT&amp;T Broadband would have been required to make if payment under the Primary Indemnity Claim had been received by AT&amp;T before payment was made by AT&amp;T Broadband.</w:t>
      </w:r>
    </w:p>
    <w:p>
      <w:pPr>
        <w:spacing w:after="0" w:line="201" w:lineRule="exact"/>
        <w:rPr>
          <w:rFonts w:ascii="Courier New" w:cs="Courier New" w:eastAsia="Courier New" w:hAnsi="Courier New"/>
          <w:sz w:val="17"/>
          <w:szCs w:val="17"/>
          <w:color w:val="auto"/>
        </w:rPr>
      </w:pPr>
    </w:p>
    <w:p>
      <w:pPr>
        <w:ind w:right="1939" w:firstLine="531"/>
        <w:spacing w:after="0" w:line="252" w:lineRule="auto"/>
        <w:tabs>
          <w:tab w:leader="none" w:pos="943" w:val="left"/>
        </w:tabs>
        <w:numPr>
          <w:ilvl w:val="1"/>
          <w:numId w:val="5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there is a determination (as defined in Section 1313 of the Code) that a Transaction Disqualification has occurred and the parties cannot agree whether such a Transaction Disqualification would not have occurred but for an AT&amp;T Communications Action or an AT&amp;T Broadband Action, as the case may be, the procedures set forth in Section 6.03(c) shall apply.</w:t>
      </w:r>
    </w:p>
    <w:p>
      <w:pPr>
        <w:spacing w:after="0" w:line="197"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5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in connection with a Transaction Disqualification that is attributable to an AT&amp;T Broadband Action, AT&amp;T has any rights against or obligations to AWS or LMC that are substantially similar to those set forth in Section 6.03, (i) AT&amp;T shall assign such rights and obligations to AT&amp;T Broadband, if at all practicable, or (ii) if such assignment cannot be achieved for any reason,</w:t>
      </w:r>
    </w:p>
    <w:p>
      <w:pPr>
        <w:ind w:left="4100"/>
        <w:spacing w:after="0"/>
        <w:rPr>
          <w:sz w:val="20"/>
          <w:szCs w:val="20"/>
          <w:color w:val="auto"/>
        </w:rPr>
      </w:pPr>
      <w:r>
        <w:rPr>
          <w:rFonts w:ascii="Courier New" w:cs="Courier New" w:eastAsia="Courier New" w:hAnsi="Courier New"/>
          <w:sz w:val="17"/>
          <w:szCs w:val="17"/>
          <w:color w:val="auto"/>
        </w:rPr>
        <w:t>B-35</w:t>
      </w:r>
    </w:p>
    <w:p>
      <w:pPr>
        <w:sectPr>
          <w:pgSz w:w="11900" w:h="16838" w:orient="portrait"/>
          <w:cols w:equalWidth="0" w:num="1">
            <w:col w:w="10219"/>
          </w:cols>
          <w:pgMar w:left="240" w:top="719" w:right="1440" w:bottom="1440" w:gutter="0" w:footer="0" w:header="0"/>
        </w:sectPr>
      </w:pPr>
    </w:p>
    <w:bookmarkStart w:id="514" w:name="page515"/>
    <w:bookmarkEnd w:id="514"/>
    <w:p>
      <w:pPr>
        <w:ind w:right="1839"/>
        <w:spacing w:after="0" w:line="252" w:lineRule="auto"/>
        <w:rPr>
          <w:sz w:val="20"/>
          <w:szCs w:val="20"/>
          <w:color w:val="auto"/>
        </w:rPr>
      </w:pPr>
      <w:r>
        <w:rPr>
          <w:rFonts w:ascii="Courier New" w:cs="Courier New" w:eastAsia="Courier New" w:hAnsi="Courier New"/>
          <w:sz w:val="17"/>
          <w:szCs w:val="17"/>
          <w:color w:val="auto"/>
        </w:rPr>
        <w:t>AT&amp;T shall exercise such rights and perform such obligations at the direction of AT&amp;T Broadband and AT&amp;T Broadband shall indemnify AT&amp;T for all associated costs. Such costs shall be reallocated and reimbursed in accordance with the respective indemnification obligations as determined under Section 6.04(c). If a Transaction Disqualification is not attributable to an AT&amp;T Communications Action or an AT&amp;T Broadband Action, such rights and obligations shall, to the extent practicable, be exercised and performed jointly and all associated costs shall be shared equally.</w:t>
      </w:r>
    </w:p>
    <w:p>
      <w:pPr>
        <w:spacing w:after="0" w:line="397"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7</w:t>
      </w:r>
    </w:p>
    <w:p>
      <w:pPr>
        <w:spacing w:after="0" w:line="21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EXCHANGE OF INFORMATION; CONFIDENTIALITY</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7.01. Agreement for Exchange of Information. (a) Each of AT&amp;T and AT&amp;T Broadband, on behalf of the AT&amp;T Communications Group and the AT&amp;T Broadband Group, respectively, agrees to provide, or cause to be provided, to each other Group, at any time before or after the Distribution Date, as soon as reasonably practicable after written request therefor, any Information in the possession or under the control of such respective Group that the requesting party reasonably needs (i) to comply with reporting, disclosure, filing or other requirements imposed on the requesting party (including under applicable securities or Tax laws) by a Governmental Authority having jurisdiction over the requesting party, (ii) for use in any other judicial, regulatory, administrative, Tax or other proceeding or in order to satisfy audit, accounting, claims, regulatory, litigation, Tax or other similar requirements, or (iii) to comply with its obligations under this Agreement or any other Ancillary Agreement; provided, however, that in the event that any party determines that any such provision of Information could be commercially detrimental, violate any law or agreement, or waive any attorney-client privilege, the parties shall take all reasonable measures to permit the compliance with such obligations in a manner that avoids any such harm or consequence. AT&amp;T and AT&amp;T Broadband intend that any transfer of Information that would otherwise be within the attorney-client privilege shall not operate as a waiver of any potentially applicable privilege.</w:t>
      </w:r>
    </w:p>
    <w:p>
      <w:pPr>
        <w:spacing w:after="0" w:line="200" w:lineRule="exact"/>
        <w:rPr>
          <w:sz w:val="20"/>
          <w:szCs w:val="20"/>
          <w:color w:val="auto"/>
        </w:rPr>
      </w:pPr>
    </w:p>
    <w:p>
      <w:pPr>
        <w:spacing w:after="0" w:line="203" w:lineRule="exact"/>
        <w:rPr>
          <w:sz w:val="20"/>
          <w:szCs w:val="20"/>
          <w:color w:val="auto"/>
        </w:rPr>
      </w:pPr>
    </w:p>
    <w:p>
      <w:pPr>
        <w:ind w:right="2039" w:firstLine="531"/>
        <w:spacing w:after="0" w:line="253" w:lineRule="auto"/>
        <w:tabs>
          <w:tab w:leader="none" w:pos="943" w:val="left"/>
        </w:tabs>
        <w:numPr>
          <w:ilvl w:val="0"/>
          <w:numId w:val="5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the date hereof, each of AT&amp;T and AT&amp;T Broadband shall maintain in effect adequate systems and controls to the extent necessary to enable the members of the other Group to satisfy their respective reporting, accounting, audit and other obligations.</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7.02. Ownership of Information. Any Information owned by one Group that is provided to a requesting party pursuant to Section 7.01 shall be deemed to remain the property of the providing party. Unless specifically set forth herein, nothing contained in this Agreement shall be construed as granting or conferring rights of license or otherwise in any such Information.</w:t>
      </w:r>
    </w:p>
    <w:p>
      <w:pPr>
        <w:spacing w:after="0" w:line="197"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SECTION 7.03. Compensation for Providing Information. The party requesting such Information agrees to reimburse the other party for the reasonable costs, if any, of creating, gathering and copying such Information, to the extent that such costs are incurred for the benefit of the requesting party. Except as may be otherwise specifically provided elsewhere in this Agreement or in any other agreement between the parties, such costs shall be computed in accordance with the providing party's standard methodology and procedures.</w:t>
      </w:r>
    </w:p>
    <w:p>
      <w:pPr>
        <w:spacing w:after="0" w:line="3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7.04. Record Retention. To facilitate the possible exchange of Information pursuant to this Article 7 and other provisions of this Agreement after the Distribution Date, the parties agree to use their reasonable best efforts to retain all Information in their respective possession or control on the Distribution Date in accordance with their respective record retention policies. No party will destroy, or permit any of its Subsidiaries to destroy, any Information that the other party may have the right to obtain pursuant to this Agreement prior to the third anniversary of the date hereof without first using its reasonable best efforts to notify the other party of the proposed destruction and giving the other party the opportunity to take possession of such information prior to such destruction; provided, however, that in the case of any Information relating to Taxes or to Environmental Liabilities, such period shall be extended to the expiration of the applicable statute of limitations (giving effect to any extensions thereof). Moreover, no party will destroy, or permit any of its Subsidiaries to destroy, any policies of insurance (or records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B-36</w:t>
      </w:r>
    </w:p>
    <w:p>
      <w:pPr>
        <w:sectPr>
          <w:pgSz w:w="11900" w:h="16838" w:orient="portrait"/>
          <w:cols w:equalWidth="0" w:num="1">
            <w:col w:w="10219"/>
          </w:cols>
          <w:pgMar w:left="240" w:top="719" w:right="1440" w:bottom="860" w:gutter="0" w:footer="0" w:header="0"/>
        </w:sectPr>
      </w:pPr>
    </w:p>
    <w:bookmarkStart w:id="515" w:name="page516"/>
    <w:bookmarkEnd w:id="515"/>
    <w:p>
      <w:pPr>
        <w:ind w:right="1939"/>
        <w:spacing w:after="0" w:line="251" w:lineRule="auto"/>
        <w:rPr>
          <w:sz w:val="20"/>
          <w:szCs w:val="20"/>
          <w:color w:val="auto"/>
        </w:rPr>
      </w:pPr>
      <w:r>
        <w:rPr>
          <w:rFonts w:ascii="Courier New" w:cs="Courier New" w:eastAsia="Courier New" w:hAnsi="Courier New"/>
          <w:sz w:val="17"/>
          <w:szCs w:val="17"/>
          <w:color w:val="auto"/>
        </w:rPr>
        <w:t>related to such insurance policies) without first using its reasonable best efforts to notify the other party of the proposed destruction and giving the other party reasonable opportunity to take possession of such information prior to such destruction, if it is possible that the other party may be able to obtain coverage under such policies. (The foregoing includes "occurrence"-based liability policies, which continue to cover liability for alleged harm during their policy period, even if no claim is made based on such alleged harm until after the end of the policy period.)</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SECTION 7.05. Limitation of Liability. No party shall have any liability to any other party in the event that any Information exchanged or provided pursuant to this Agreement that is an estimate or forecast, or that is based on an estimate or forecast, is found to be inaccurate, in the absence of willful misconduct by the party providing such Information. No party shall have any liability to any other party if any Information is destroyed after reasonable best efforts by such party to comply with the provisions of Section 7.04.</w:t>
      </w:r>
    </w:p>
    <w:p>
      <w:pPr>
        <w:spacing w:after="0" w:line="196"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7.06. Other Agreements Providing for Exchange of Information. The rights and obligations granted under this Article 7 are subject to any specific limitations, qualifications or additional provisions on the sharing, exchange or confidential treatment of Information set forth in any Ancillary Agreement.</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7.07. Production of Witnesses; Records; Cooperation. (a) After the Distribution Date, except in the case of an adversarial Action by one party against the other party (which shall be governed by such discovery rules as may be applicable thereto), each party hereto shall take all reasonable steps to make available to the other party, upon written request, the former, current and future directors, officers, employees, other personnel and agents of its respective Group (whether as witnesses or otherwise)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Action (including preparation for such Action) in which the requesting party may from time to time be involved, regardless of whether such Action (or preparation for such action) is a matter with respect to which indemnification may be sought hereunder. The requesting party shall bear all costs and expenses (including allocated costs of in-house counsel and other personnel) in connection therewith.</w:t>
      </w:r>
    </w:p>
    <w:p>
      <w:pPr>
        <w:spacing w:after="0" w:line="200" w:lineRule="exact"/>
        <w:rPr>
          <w:sz w:val="20"/>
          <w:szCs w:val="20"/>
          <w:color w:val="auto"/>
        </w:rPr>
      </w:pPr>
    </w:p>
    <w:p>
      <w:pPr>
        <w:spacing w:after="0" w:line="203" w:lineRule="exact"/>
        <w:rPr>
          <w:sz w:val="20"/>
          <w:szCs w:val="20"/>
          <w:color w:val="auto"/>
        </w:rPr>
      </w:pPr>
    </w:p>
    <w:p>
      <w:pPr>
        <w:ind w:right="1939" w:firstLine="531"/>
        <w:spacing w:after="0" w:line="252" w:lineRule="auto"/>
        <w:tabs>
          <w:tab w:leader="none" w:pos="943" w:val="left"/>
        </w:tabs>
        <w:numPr>
          <w:ilvl w:val="0"/>
          <w:numId w:val="5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Indemnifying Party chooses to defend or to seek to compromise or settle any Third Party Claim, or if any party chooses or is required to prosecute, pursue, otherwise evaluate or defend any Action, the other parties shall cooperate in such defense, settlement or compromise, or such prosecution, evaluation or pursuit, as the case may be.</w:t>
      </w:r>
    </w:p>
    <w:p>
      <w:pPr>
        <w:spacing w:after="0" w:line="197" w:lineRule="exact"/>
        <w:rPr>
          <w:rFonts w:ascii="Courier New" w:cs="Courier New" w:eastAsia="Courier New" w:hAnsi="Courier New"/>
          <w:sz w:val="17"/>
          <w:szCs w:val="17"/>
          <w:color w:val="auto"/>
        </w:rPr>
      </w:pPr>
    </w:p>
    <w:p>
      <w:pPr>
        <w:ind w:right="1839" w:firstLine="531"/>
        <w:spacing w:after="0" w:line="257" w:lineRule="auto"/>
        <w:tabs>
          <w:tab w:leader="none" w:pos="943" w:val="left"/>
        </w:tabs>
        <w:numPr>
          <w:ilvl w:val="0"/>
          <w:numId w:val="5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the foregoing, the parties shall cooperate and consult to the extent reasonably necessary with respect to any Actions.</w:t>
      </w:r>
    </w:p>
    <w:p>
      <w:pPr>
        <w:spacing w:after="0" w:line="191"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0"/>
          <w:numId w:val="5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any provision of this Section 7.07, each of the parties agrees to cooperate, and to cause each member of its respective Group to cooperate, with each other in the defense of any infringement or similar claim with respect to any intellectual property and shall not claim to acknowledge, or permit any member of its respective Group to claim to acknowledge, the validity or infringing use of any intellectual property of a third Person in a manner that would hamper or undermine the defense of such infringement or similar claim.</w:t>
      </w:r>
    </w:p>
    <w:p>
      <w:pPr>
        <w:spacing w:after="0" w:line="397"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5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of the parties to make available former, current and future directors, officers, employees, other personnel and agents pursuant to this Section 7.07 is intended to be interpreted in a manner so as to facilitate cooperation and shall include the obligation to make available inventors and other officers without regard to whether such individual or the employer of such individual could assert a possible business conflict (subject to the exception set forth in the first sentence of Section 7.07(a)). Without limiting the foregoing, each party agrees that (i) neither it nor any member of its respective Group will take adverse action against any employee of its Group based on such employee's provision of assistance or information to the other party pursuant to Section 7.07(a) and (ii) to the extent relevant and</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B-37</w:t>
      </w:r>
    </w:p>
    <w:p>
      <w:pPr>
        <w:sectPr>
          <w:pgSz w:w="11900" w:h="16838" w:orient="portrait"/>
          <w:cols w:equalWidth="0" w:num="1">
            <w:col w:w="10219"/>
          </w:cols>
          <w:pgMar w:left="240" w:top="719" w:right="1440" w:bottom="1440" w:gutter="0" w:footer="0" w:header="0"/>
        </w:sectPr>
      </w:pPr>
    </w:p>
    <w:bookmarkStart w:id="516" w:name="page517"/>
    <w:bookmarkEnd w:id="516"/>
    <w:p>
      <w:pPr>
        <w:ind w:right="1939"/>
        <w:spacing w:after="0" w:line="253" w:lineRule="auto"/>
        <w:rPr>
          <w:sz w:val="20"/>
          <w:szCs w:val="20"/>
          <w:color w:val="auto"/>
        </w:rPr>
      </w:pPr>
      <w:r>
        <w:rPr>
          <w:rFonts w:ascii="Courier New" w:cs="Courier New" w:eastAsia="Courier New" w:hAnsi="Courier New"/>
          <w:sz w:val="17"/>
          <w:szCs w:val="17"/>
          <w:color w:val="auto"/>
        </w:rPr>
        <w:t>necessary, neither it nor any member of its respective Group will enforce any confidentiality agreement against an employee of its Group that would otherwise prevent or hinder such employee from cooperating or providing information to a requesting party pursuant to Section 7.07(a).</w:t>
      </w:r>
    </w:p>
    <w:p>
      <w:pPr>
        <w:spacing w:after="0" w:line="195" w:lineRule="exact"/>
        <w:rPr>
          <w:sz w:val="20"/>
          <w:szCs w:val="20"/>
          <w:color w:val="auto"/>
        </w:rPr>
      </w:pPr>
    </w:p>
    <w:p>
      <w:pPr>
        <w:ind w:right="2039" w:firstLine="531"/>
        <w:spacing w:after="0" w:line="253" w:lineRule="auto"/>
        <w:tabs>
          <w:tab w:leader="none" w:pos="943" w:val="left"/>
        </w:tabs>
        <w:numPr>
          <w:ilvl w:val="0"/>
          <w:numId w:val="5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any matter contemplated by this Section 7.07, the parties will enter into a mutually acceptable joint defense agreement so as to maintain to the extent practicable any applicable attorney-client privilege or work product immunity of either Group.</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7.08. Confidentiality. (a) Subject to Section 7.09, each of AT&amp;T and AT&amp;T Broadband, on behalf of itself and its respective Group, agrees to hold, and to cause its respective directors, officers, employees, agents, accountants, counsel and other advisors and representatives to hold, in strict confidence, with at least the same degree of care that applies to its own confidential and proprietary information pursuant to policies in effect at the relevant time, all Information concerning the other Group that is either in its possession (including Information in its possession prior to any of the date hereof, or the Distribution Date) or furnished by the other Group or its respective directors, officers, employees, agents, accountants, counsel and other advisors and representatives at any time pursuant to this Agreement, any other Ancillary Agreement or otherwise, and shall not use any such Information other than for such purposes as shall be expressly permitted hereunder or thereunder, except, in each case, to the extent that such Information has been</w:t>
      </w:r>
    </w:p>
    <w:p>
      <w:pPr>
        <w:ind w:right="1839" w:firstLine="7"/>
        <w:spacing w:after="0" w:line="252" w:lineRule="auto"/>
        <w:tabs>
          <w:tab w:leader="none" w:pos="419" w:val="left"/>
        </w:tabs>
        <w:numPr>
          <w:ilvl w:val="0"/>
          <w:numId w:val="5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public domain through no fault of such party or such party's Group or any of their respective directors, officers, employees, agents, accountants, counsel and other advisors and representatives, (ii) later lawfully acquired from other sources by such party (or such party's Group), which sources are not themselves bound by a confidentiality obligation, or (iii) independently generated without reference to any proprietary or confidential Information of the other party.</w:t>
      </w:r>
    </w:p>
    <w:p>
      <w:pPr>
        <w:spacing w:after="0" w:line="195"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5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party agrees not to release or disclose, or permit to be released or disclosed, any such Information concerning the other Group to any other Person, except its directors, officers, employees, agents, accountants, counsel and other advisors and representatives who need to know such Information (who shall be advised of their obligations hereunder with respect to such Information), except in compliance with Section 7.09. Without limiting the foregoing, when any Information is no longer needed for the purposes contemplated by this Agreement or any other Ancillary Agreement, each party will promptly after request of the other party either return to the other party all Information in a tangible form (including all copies thereof and all notes, extracts or summaries based thereon) or certify to the other party that it has destroyed such Information (and such copies thereof and such notes, extracts or summaries based thereon).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7.09. Protective Arrangements. In the event that any party or any of its Subsidiaries either determines on the advice of its counsel that it is required to disclose any Information concerning the other Group pursuant to applicable law or receives any demand under lawful process or from any Governmental Authority to disclose or provide Information concerning the other Group that is subject to the confidentiality provisions hereof, such party shall notify the other party of such disclosure at least five days prior to disclosing or providing such Information and shall cooperate at the expense of the requesting party in seeking any reasonable protective arrangements requested by such other party. Subject to the foregoing, after a court of competent jurisdiction has had an opportunity to rule on such protective arrangements, the Person that received such request may thereafter disclose or provide Information to the extent required by such law (as so advised by counsel) or by lawful process or such Governmental Authority.</w:t>
      </w:r>
    </w:p>
    <w:p>
      <w:pPr>
        <w:spacing w:after="0" w:line="202"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8</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FURTHER ASSURANCES AND ADDITIONAL COVENANTS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8.01. Further Assurances. (a) In addition to the actions specifically provided for elsewhere in this Agreement, the other Ancillary Agreements and the Merger Agreement, but subject to the provisions hereof and thereof, each of the parties hereto shall use its reasonable best efforts, prior to, on and after the Distribution Date, to take, or cause to be taken, all actions, and to do, or cause to be</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B-38</w:t>
      </w:r>
    </w:p>
    <w:p>
      <w:pPr>
        <w:sectPr>
          <w:pgSz w:w="11900" w:h="16838" w:orient="portrait"/>
          <w:cols w:equalWidth="0" w:num="1">
            <w:col w:w="10219"/>
          </w:cols>
          <w:pgMar w:left="240" w:top="719" w:right="1440" w:bottom="861" w:gutter="0" w:footer="0" w:header="0"/>
        </w:sectPr>
      </w:pPr>
    </w:p>
    <w:bookmarkStart w:id="517" w:name="page518"/>
    <w:bookmarkEnd w:id="517"/>
    <w:p>
      <w:pPr>
        <w:ind w:right="1939"/>
        <w:spacing w:after="0" w:line="253" w:lineRule="auto"/>
        <w:rPr>
          <w:sz w:val="20"/>
          <w:szCs w:val="20"/>
          <w:color w:val="auto"/>
        </w:rPr>
      </w:pPr>
      <w:r>
        <w:rPr>
          <w:rFonts w:ascii="Courier New" w:cs="Courier New" w:eastAsia="Courier New" w:hAnsi="Courier New"/>
          <w:sz w:val="17"/>
          <w:szCs w:val="17"/>
          <w:color w:val="auto"/>
        </w:rPr>
        <w:t>done, all things, reasonably necessary, proper or advisable under applicable laws, regulations and agreements to consummate and make effective the transactions contemplated by this Agreement, the other Ancillary Agreements and the Merger Agreement.</w:t>
      </w:r>
    </w:p>
    <w:p>
      <w:pPr>
        <w:spacing w:after="0" w:line="195" w:lineRule="exact"/>
        <w:rPr>
          <w:sz w:val="20"/>
          <w:szCs w:val="20"/>
          <w:color w:val="auto"/>
        </w:rPr>
      </w:pPr>
    </w:p>
    <w:p>
      <w:pPr>
        <w:ind w:right="1839" w:firstLine="531"/>
        <w:spacing w:after="0" w:line="251" w:lineRule="auto"/>
        <w:tabs>
          <w:tab w:leader="none" w:pos="943" w:val="left"/>
        </w:tabs>
        <w:numPr>
          <w:ilvl w:val="0"/>
          <w:numId w:val="5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the foregoing, prior to, on and after the Distribution Date, each party hereto shall cooperate with the other party, and without any further consideration, to execute and deliver, or use its reasonable best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indenture or other instrument (including any Consents or Governmental Approvals), and to take all such other actions as such party may reasonably be requested to take by any other party hereto from time to time, consistent with the terms of this Agreement, the other Ancillary Agreements and the Merger Agreement, in order to effectuate the provisions and purposes of this Agreement, the other Ancillary Agreements and the Merger Agreement and the transfers of the AT&amp;T Broadband Assets and the assignment and assumption of the AT&amp;T Broadband Liabilities and the other transactions contemplated hereby and thereby.</w:t>
      </w:r>
    </w:p>
    <w:p>
      <w:pPr>
        <w:spacing w:after="0" w:line="201" w:lineRule="exact"/>
        <w:rPr>
          <w:rFonts w:ascii="Courier New" w:cs="Courier New" w:eastAsia="Courier New" w:hAnsi="Courier New"/>
          <w:sz w:val="17"/>
          <w:szCs w:val="17"/>
          <w:color w:val="auto"/>
        </w:rPr>
      </w:pPr>
    </w:p>
    <w:p>
      <w:pPr>
        <w:ind w:right="1939" w:firstLine="531"/>
        <w:spacing w:after="0" w:line="252" w:lineRule="auto"/>
        <w:tabs>
          <w:tab w:leader="none" w:pos="943" w:val="left"/>
        </w:tabs>
        <w:numPr>
          <w:ilvl w:val="0"/>
          <w:numId w:val="5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or prior to the Distribution Date, AT&amp;T and AT&amp;T Broadband in their respective capacities as direct and indirect shareholders of their respective Subsidiaries, shall each ratify any actions that are reasonably necessary or desirable to be taken by AT&amp;T and AT&amp;T Broadband or any other Subsidiary of AT&amp;T, as the case may be, to effectuate the transactions contemplated by this Agreement.</w:t>
      </w:r>
    </w:p>
    <w:p>
      <w:pPr>
        <w:spacing w:after="0" w:line="197"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9</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TERMINATION</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SECTION 9.01. Termination. This Agreement may be terminated by AT&amp;T prior to the Distribution Date at any time following termination of the Merger Agreement in accordance with its terms.</w:t>
      </w:r>
    </w:p>
    <w:p>
      <w:pPr>
        <w:spacing w:after="0" w:line="194"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9.02. Effect of Termination. In the event of any termination of this Agreement prior to the Distribution Date, no party to this Agreement (or any of its directors or officers) shall have any Liability or further obligation to any other party with respect to this Agreement.</w:t>
      </w:r>
    </w:p>
    <w:p>
      <w:pPr>
        <w:spacing w:after="0" w:line="195"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ARTICLE 10</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DISPUTE RESOLUTION AND ARBITRATION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10.01. Agreement to Arbitrate. Except as otherwise specifically provided in this Agreement (including, without limitation, in Article 6, concerning Third Party Tax Claims) or in any other Ancillary Agreement, the procedures set forth in this Article 10 shall apply to all disputes, controversies or claims (whether sounding in contract, tort or otherwise) that may arise out of or relate to, or arise under or in connection with this Agreement or any other Ancillary Agreement, or the transactions contemplated hereby or thereby (including all actions taken in furtherance of the transactions contemplated hereby or thereby on or prior to the date hereof), or the commercial or economic relationship of the parties relating hereto or thereto, between or among any member of the AT&amp;T Broadband Group, or the AT&amp;T Communications Group. Each party agrees on behalf of itself and each member of its respective Group that the procedures set forth in this Article 10 shall be the sole and exclusive remedy in connection with any dispute, controversy or claim relating to any of the foregoing matters and irrevocably waives any right to commence any Action in or before any Governmental Authority, except as expressly provided in Sections 10.11(c) and 10.12 and except to the extent provided under the Federal Arbitration Act in the case of judicial review of arbitration results or awards. Each party on behalf of itself and each member of its respective Group irrevocably waives any right to any trial by jury with respect to any claim, controversy or dispute set forth in the first sentence of this Section 10.01. The parties agree that claims filed pursuant to this Article 10 may seek direct damages but in no event for</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B-39</w:t>
      </w:r>
    </w:p>
    <w:p>
      <w:pPr>
        <w:sectPr>
          <w:pgSz w:w="11900" w:h="16838" w:orient="portrait"/>
          <w:cols w:equalWidth="0" w:num="1">
            <w:col w:w="10219"/>
          </w:cols>
          <w:pgMar w:left="240" w:top="719" w:right="1440" w:bottom="1440" w:gutter="0" w:footer="0" w:header="0"/>
        </w:sectPr>
      </w:pPr>
    </w:p>
    <w:bookmarkStart w:id="518" w:name="page519"/>
    <w:bookmarkEnd w:id="518"/>
    <w:p>
      <w:pPr>
        <w:jc w:val="both"/>
        <w:ind w:right="2559"/>
        <w:spacing w:after="0" w:line="254" w:lineRule="auto"/>
        <w:rPr>
          <w:sz w:val="20"/>
          <w:szCs w:val="20"/>
          <w:color w:val="auto"/>
        </w:rPr>
      </w:pPr>
      <w:r>
        <w:rPr>
          <w:rFonts w:ascii="Courier New" w:cs="Courier New" w:eastAsia="Courier New" w:hAnsi="Courier New"/>
          <w:sz w:val="17"/>
          <w:szCs w:val="17"/>
          <w:color w:val="auto"/>
        </w:rPr>
        <w:t>such claims shall either party be liable to the other for any incidental, special, reliance, consequential or any other indirect damages or losses (including lost profits or revenues).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10.02. Reasonable Best Efforts to Resolve Disputes; Mediation. It is the intent of the parties to use their respective reasonable best efforts to negotiate and resolve expeditiously any dispute, controversy or claim between or among them that may arise from time to time on a mutually acceptable negotiated basis. The parties may, by mutual consent, retain a mediator to aid in any attempt to informally negotiate resolution of any dispute, although any opinion expressed by a mediator shall be strictly advisory and shall not be binding on the parties, nor shall any opinion expressed by the mediator be admissible in any arbitration proceedings. Costs of a mediation shall be borne equally by the parties involved in the matter, except that each party shall be responsible for its own expenses. Mediation is not a prerequisite to a demand for arbitration under Section 10.03.</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10.03. Demand for Arbitration. At any time before the Applicable Deadline, any party involved in the dispute, controversy or claim may make a written demand (the "ARBITRATION DEMAND NOTICE") that the dispute be resolved by binding arbitration, which Arbitration Demand Notice shall be given to the parties to the dispute, controversy or claim in the manner set forth in Section 11.08. Such Arbitration Demand Notice shall describe in reasonable detail the facts surrounding such dispute, controversy or claim and the basis of such party's claim for relief pursuant to this Article. Except as may be expressly provided in any Ancillary Agreement, any Arbitration Demand Notice must be asserted within one year after the later of the occurrence of the act or event giving rise to the underlying claim or the date on which such act or event was, or should have been, in the exercise of reasonable due diligence, discovered by the party asserting the claim (as applicable and as it may in a particular case be specifically extended by the parties in writing, the "APPLICABLE DEADLINE"; provided that in no event will the Applicable Deadline occur with respect to any matter before the first anniversary of the Distribution). Any discussions, negotiations or mediations between the parties pursuant to this Agreement or otherwise will not toll the Applicable Deadline unless expressly agreed in writing by the parties. Each of the parties agrees on behalf of itself and each member of its Group that if an Arbitration Demand Notice with respect to a dispute, controversy or claim is not given prior to the expiration of the Applicable Deadline, as between or among the parties and the members of their Groups, such dispute, controversy or claim will be barred. Subject to Sections 10.11(c) and 10.12, upon delivery of an Arbitration Demand Notice prior to the Applicable Deadline, the dispute, controversy or claim shall be decided by an Arbitration Panel in accordance with the rules set forth in this Article 10.</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10.04. Arbitration Panel. When an Arbitration Demand Notice is given, the parties involved in the dispute, controversy or claim shall attempt to select a sole arbitrator satisfactory to all such parties. In the event the parties are not able jointly to select a sole arbitrator, such parties shall each appoint an arbitrator within 30 days after delivery of the Arbitration Demand Notice. Only one arbitrator may be appointed for the AT&amp;T Broadband Group and the AT&amp;T Communications Group, respectively. In the event that a sole arbitrator is not selected, the two chosen arbitrators, within 30 days after the appointment of the later of them to be appointed, will in turn choose a third arbitrator, and the three arbitrators thus chosen will constitute the arbitration panel.</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10.05. Commencement and Place of Arbitration. The sole arbitrator or arbitration panel (as applicable, the "ARBITRATION PANEL") will meet within</w:t>
      </w:r>
    </w:p>
    <w:p>
      <w:pPr>
        <w:ind w:right="1839"/>
        <w:spacing w:after="0" w:line="252" w:lineRule="auto"/>
        <w:rPr>
          <w:sz w:val="20"/>
          <w:szCs w:val="20"/>
          <w:color w:val="auto"/>
        </w:rPr>
      </w:pPr>
      <w:r>
        <w:rPr>
          <w:rFonts w:ascii="Courier New" w:cs="Courier New" w:eastAsia="Courier New" w:hAnsi="Courier New"/>
          <w:sz w:val="17"/>
          <w:szCs w:val="17"/>
          <w:color w:val="auto"/>
        </w:rPr>
        <w:t>30 days of the last appointment to commence the arbitration, which period may be extended upon the agreement of the arbitrators. The Arbitration Panel will set a time for the hearing of the matter, which will commence no later than 90 days after the date of the last appointment. The place of any arbitration hereunder will be as agreed upon by the parties, or, if the parties are unable to agree, as set by the Arbitration Panel.</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10.06. Arbitration Hearings. The matter shall be presented to the Arbitration Panel at a hearing by means of written submissions of memoranda and verified witness statements, filed simultaneously, and responses, if necessary in the judgment of the arbitrator or both the parties. If the Arbitration Panel deems it to be appropriate for a fair resolution of the dispute, live cross-examination or direct examination may be permitted. The Arbitration Panel shall actively manage the arbitration with a</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B-40</w:t>
      </w:r>
    </w:p>
    <w:p>
      <w:pPr>
        <w:sectPr>
          <w:pgSz w:w="11900" w:h="16838" w:orient="portrait"/>
          <w:cols w:equalWidth="0" w:num="1">
            <w:col w:w="10219"/>
          </w:cols>
          <w:pgMar w:left="240" w:top="719" w:right="1440" w:bottom="659" w:gutter="0" w:footer="0" w:header="0"/>
        </w:sectPr>
      </w:pPr>
    </w:p>
    <w:bookmarkStart w:id="519" w:name="page520"/>
    <w:bookmarkEnd w:id="519"/>
    <w:p>
      <w:pPr>
        <w:ind w:right="1839"/>
        <w:spacing w:after="0" w:line="251" w:lineRule="auto"/>
        <w:rPr>
          <w:sz w:val="20"/>
          <w:szCs w:val="20"/>
          <w:color w:val="auto"/>
        </w:rPr>
      </w:pPr>
      <w:r>
        <w:rPr>
          <w:rFonts w:ascii="Courier New" w:cs="Courier New" w:eastAsia="Courier New" w:hAnsi="Courier New"/>
          <w:sz w:val="17"/>
          <w:szCs w:val="17"/>
          <w:color w:val="auto"/>
        </w:rPr>
        <w:t>view to achieving a just, speedy and cost-effective resolution of the dispute, claim or controversy. The arbitration hearing will be no longer than 30 full hearing days, unless in the judgment of the Arbitration Panel the matter is complex and sophisticated and thereby requires a longer time; provided, however, that such hearing shall in any event be completed within 180 calendar days. The Arbitration Panel may set time and other limits on the presentation of each party's case, its memoranda or other submissions, and may refuse to receive any proffered evidence, that the Arbitration Panel finds to be cumulative, unnecessary, irrelevant or of low probative nature. Except as otherwise set forth herein, any arbitration hereunder will be conducted in accordance with the CPR Rules for Non-Administered Arbitration of Business Disputes then prevailing (except that the arbitration will not be conducted under the auspices of the CPR and the fee schedule of the CPR will not apply). To the extent that the provisions of this Agreement and the prevailing rules of the CPR conflict, the provisions of this Agreement shall govern.</w:t>
      </w:r>
    </w:p>
    <w:p>
      <w:pPr>
        <w:spacing w:after="0" w:line="20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SECTION 10.07. Arbitration Decision. The final decision of the Arbitration Panel will be rendered in writing to the parties not later than 60 days after the last hearing date, unless otherwise agreed by the parties in writing. The decision of the Arbitration Panel will be final and binding on the parties, and judgment thereon may be had and will be enforceable in any court having jurisdiction over the parties. Arbitration awards will bear interest at an annual rate of the Prime Rate plus 2% per annum.</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10.08. Discovery and Related Matters. Any party involved in the applicable dispute may request limited document production from the other party or parties of specific and expressly relevant documents. Any such discovery shall be conducted expeditiously, and it is intended that discovery shall be limited as compared to the provisions of the Federal Rules of Civil Procedure. Depositions shall not occur except by consent of the parties or by order of the Arbitration Panel. Disputes concerning the document production or other discovery will be determined by written agreement of the parties involved in the applicable dispute or, failing such agreement, will be referred to the Arbitration Panel for resolution. All discovery requests will be subject to the proprietary rights and rights of privilege of the parties, and the Arbitration Panel will adopt procedures to protect such rights and to maintain the confidential treatment of the arbitration proceedings (except as may be required by law). Subject to the foregoing, the Arbitration Panel shall have the power to issue subpoenas to compel the production of documents relevant to the dispute, controversy or claim.</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10.09. Arbitration Panel's Authority. The Arbitration Panel shall have full power and authority to determine issues of arbitrability and to interpret or construe the applicable provisions of this Agreement or any other Ancillary Agreement and to fashion appropriate remedies for breaches of this Agreement (including interim or permanent injunctive relief); provided that the Arbitration Panel shall not have any right or authority (i) in excess of the authority a court having jurisdiction over the parties and the controversy or dispute would have absent these arbitration provisions; (ii) to award incidental, special, reliance, consequential, or other indirect damages (including lost profits or revenues); (iii) to award punitive or treble damages; or (iv) to modify the terms of this Agreement. It is the intention of the parties that in rendering a decision, the Arbitration Panel give effect to the applicable provisions of this Agreement and the other Ancillary Agreements and follow applicable law (it being understood and agreed that this sentence shall not give rise to a right of judicial review of the arbitrator's award).</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10.10. Confidentiality. Except as required by law, the parties agree that the existence and contents of the entire arbitration, including the award, shall be deemed a compromise of a dispute under Rule 408 of the Federal Rules of Evidence, shall not be discoverable in any proceeding, shall not be admissible in any court (except for the enforcement thereof) or arbitration and shall not bind or collaterally estop either party with respect to any claim or defense asserted by any third party. Except as required by law, the parties shall hold, and shall cause their respective officers, directors, employees, agents and other representatives to hold, the existence, content and result of the arbitration or any mediation in confidence in accordance with the provisions of Article 7 and except as may be required in order to enforce any award. Each of the parties shall request that any mediator or arbitrator comply with such confidentiality requirement.</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B-41</w:t>
      </w:r>
    </w:p>
    <w:p>
      <w:pPr>
        <w:sectPr>
          <w:pgSz w:w="11900" w:h="16838" w:orient="portrait"/>
          <w:cols w:equalWidth="0" w:num="1">
            <w:col w:w="10219"/>
          </w:cols>
          <w:pgMar w:left="240" w:top="719" w:right="1440" w:bottom="1062" w:gutter="0" w:footer="0" w:header="0"/>
        </w:sectPr>
      </w:pPr>
    </w:p>
    <w:bookmarkStart w:id="520" w:name="page521"/>
    <w:bookmarkEnd w:id="520"/>
    <w:p>
      <w:pPr>
        <w:ind w:right="1839" w:firstLine="524"/>
        <w:spacing w:after="0" w:line="253" w:lineRule="auto"/>
        <w:rPr>
          <w:sz w:val="20"/>
          <w:szCs w:val="20"/>
          <w:color w:val="auto"/>
        </w:rPr>
      </w:pPr>
      <w:r>
        <w:rPr>
          <w:rFonts w:ascii="Courier New" w:cs="Courier New" w:eastAsia="Courier New" w:hAnsi="Courier New"/>
          <w:sz w:val="17"/>
          <w:szCs w:val="17"/>
          <w:color w:val="auto"/>
        </w:rPr>
        <w:t>SECTION 10.11. Certain Additional Matters. (a) If a party fails or refuses to appear at and participate in an arbitration hearing after due notice, the arbitrator may hear and determine the controversy upon evidence produced by the appearing party.</w:t>
      </w:r>
    </w:p>
    <w:p>
      <w:pPr>
        <w:spacing w:after="0" w:line="195" w:lineRule="exact"/>
        <w:rPr>
          <w:sz w:val="20"/>
          <w:szCs w:val="20"/>
          <w:color w:val="auto"/>
        </w:rPr>
      </w:pPr>
    </w:p>
    <w:p>
      <w:pPr>
        <w:jc w:val="both"/>
        <w:ind w:right="1939" w:firstLine="531"/>
        <w:spacing w:after="0" w:line="253" w:lineRule="auto"/>
        <w:tabs>
          <w:tab w:leader="none" w:pos="943" w:val="left"/>
        </w:tabs>
        <w:numPr>
          <w:ilvl w:val="0"/>
          <w:numId w:val="5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Arbitration costs will be borne equally by each party involved in the matter, except that each party will be responsible for its own attorneys' fees and other costs and expenses, including the costs of witnesses selected by such party.</w:t>
      </w:r>
    </w:p>
    <w:p>
      <w:pPr>
        <w:spacing w:after="0" w:line="195" w:lineRule="exact"/>
        <w:rPr>
          <w:rFonts w:ascii="Courier New" w:cs="Courier New" w:eastAsia="Courier New" w:hAnsi="Courier New"/>
          <w:sz w:val="17"/>
          <w:szCs w:val="17"/>
          <w:color w:val="auto"/>
        </w:rPr>
      </w:pPr>
    </w:p>
    <w:p>
      <w:pPr>
        <w:ind w:right="1939" w:firstLine="531"/>
        <w:spacing w:after="0" w:line="252" w:lineRule="auto"/>
        <w:tabs>
          <w:tab w:leader="none" w:pos="943" w:val="left"/>
        </w:tabs>
        <w:numPr>
          <w:ilvl w:val="0"/>
          <w:numId w:val="5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time at which the Arbitration Panel are appointed, any party may seek one or more temporary restraining orders in a court of competent jurisdiction if necessary in order to preserve and protect the status quo. Neither the request for, or grant or denial of, any such temporary restraining order shall be deemed a waiver of the obligation to arbitrate as set forth herein and the Arbitration Panel may dissolve, continue or modify any such order.</w:t>
      </w:r>
    </w:p>
    <w:p>
      <w:pPr>
        <w:spacing w:after="0" w:line="398"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0"/>
          <w:numId w:val="5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at any time any member of the Arbitration Panel shall fail to serve as an arbitrator for any reason, the appropriate party or the two party-selected arbitrators, as the case may be, shall select a new arbitrator, in accordance with the procedures set forth in Section 10.04. The extent, if any, to which testimony previously given shall be repeated or may be relied upon based on the stenographic record (if there is one), shall be determined by the replacement arbitrator.</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10.12. Limited Court Actions. (a) Notwithstanding anything herein to the contrary, in the event that any party reasonably determines the amount in controversy in any dispute, controversy or claim (or any series of related disputes, controversies or claims) under this Agreement or any other Ancillary Agreement is, or is reasonably likely to be, in excess of $100 million and if such party desires to commence an Action in lieu of complying with the arbitration provisions of this Article 10, such party shall so state in its Arbitration Demand Notice. If the other parties to the arbitration disagree about whether the amount in controversy exceeds $100 million, the Arbitration Panel selected pursuant to Section 10.04 shall decide the issue. The Arbitration Panel shall set a date no later than ten days after the date of its appointment for submissions by the parties with respect to such issue. There shall be no discovery in connection with such issue. The Arbitration Panel shall render its decision on such issue within five days of such date so set by the Arbitration Panel. The parties agree that any statute of limitations applicable to the dispute, controversy or claim before the Arbitration Panel shall be tolled during the pendency of the decision described in the immediately preceding sentence. In the event that the Arbitration Panel determines that the amount in controversy is or is reasonably likely to be in excess of $100 million, the provisions of Sections 10.05, 10.06, 10.07, 10.08, and 10.14 shall not apply, and within 15 days of such decision, any party to the arbitration may elect in lieu of arbitration, to commence an Action with respect to such dispute, controversy or claim (or such series of related disputes, controversies or claims) in any court of competent jurisdiction returned to in Section 11.03. If the Arbitration Panel does determines that the amount in controversy is not in excess of $100 million, the provisions of this Article 10 (including with respect to time periods) shall apply as if no determinations were sought or made pursuant to this Section 10.12(a).</w:t>
      </w:r>
    </w:p>
    <w:p>
      <w:pPr>
        <w:spacing w:after="0" w:line="200" w:lineRule="exact"/>
        <w:rPr>
          <w:sz w:val="20"/>
          <w:szCs w:val="20"/>
          <w:color w:val="auto"/>
        </w:rPr>
      </w:pPr>
    </w:p>
    <w:p>
      <w:pPr>
        <w:spacing w:after="0" w:line="203" w:lineRule="exact"/>
        <w:rPr>
          <w:sz w:val="20"/>
          <w:szCs w:val="20"/>
          <w:color w:val="auto"/>
        </w:rPr>
      </w:pPr>
    </w:p>
    <w:p>
      <w:pPr>
        <w:ind w:right="1839" w:firstLine="531"/>
        <w:spacing w:after="0" w:line="251" w:lineRule="auto"/>
        <w:tabs>
          <w:tab w:leader="none" w:pos="943" w:val="left"/>
        </w:tabs>
        <w:numPr>
          <w:ilvl w:val="0"/>
          <w:numId w:val="5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an arbitration award in excess of $100 million is issued in any arbitration proceeding commenced hereunder, any party may, within 60 days after the date of such award, submit the dispute, controversy or claim (or series of related disputes, controversies or claims) giving rise thereto to a court of competent jurisdiction, regardless of whether such party or any other party sought to commence an Action in lieu of proceeding with arbitration in accordance with Section 10.12(a). In such event, the applicable court may elect to rely on the record developed in the arbitration or, if it determines that it would be advisable in connection with the matter, allow the parties to seek additional discovery or to present additional evidence. Each party shall be entitled to present arguments to the court with respect to whether any such additional discovery or evidence shall be permitted and with respect to all other matters relating to the applicable dispute, controversy or claim (or series of related disputes, controversies or claims).</w:t>
      </w:r>
    </w:p>
    <w:p>
      <w:pPr>
        <w:spacing w:after="0" w:line="202" w:lineRule="exact"/>
        <w:rPr>
          <w:sz w:val="20"/>
          <w:szCs w:val="20"/>
          <w:color w:val="auto"/>
        </w:rPr>
      </w:pPr>
    </w:p>
    <w:p>
      <w:pPr>
        <w:ind w:left="540"/>
        <w:spacing w:after="0"/>
        <w:tabs>
          <w:tab w:leader="none" w:pos="2180" w:val="left"/>
        </w:tabs>
        <w:rPr>
          <w:sz w:val="20"/>
          <w:szCs w:val="20"/>
          <w:color w:val="auto"/>
        </w:rPr>
      </w:pPr>
      <w:r>
        <w:rPr>
          <w:rFonts w:ascii="Courier New" w:cs="Courier New" w:eastAsia="Courier New" w:hAnsi="Courier New"/>
          <w:sz w:val="17"/>
          <w:szCs w:val="17"/>
          <w:color w:val="auto"/>
        </w:rPr>
        <w:t>SECTION 10.13.</w:t>
        <w:tab/>
        <w:t>Continuity of Performance and Remaining</w:t>
      </w:r>
    </w:p>
    <w:p>
      <w:pPr>
        <w:spacing w:after="0" w:line="9"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Obligations. Unless otherwise agreed in writing, the parties will continue to provide service and honor all other commitments under this Agreement</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B-42</w:t>
      </w:r>
    </w:p>
    <w:p>
      <w:pPr>
        <w:sectPr>
          <w:pgSz w:w="11900" w:h="16838" w:orient="portrait"/>
          <w:cols w:equalWidth="0" w:num="1">
            <w:col w:w="10219"/>
          </w:cols>
          <w:pgMar w:left="240" w:top="719" w:right="1440" w:bottom="458" w:gutter="0" w:footer="0" w:header="0"/>
        </w:sectPr>
      </w:pPr>
    </w:p>
    <w:bookmarkStart w:id="521" w:name="page522"/>
    <w:bookmarkEnd w:id="521"/>
    <w:p>
      <w:pPr>
        <w:ind w:right="2139"/>
        <w:spacing w:after="0" w:line="254" w:lineRule="auto"/>
        <w:rPr>
          <w:sz w:val="20"/>
          <w:szCs w:val="20"/>
          <w:color w:val="auto"/>
        </w:rPr>
      </w:pPr>
      <w:r>
        <w:rPr>
          <w:rFonts w:ascii="Courier New" w:cs="Courier New" w:eastAsia="Courier New" w:hAnsi="Courier New"/>
          <w:sz w:val="17"/>
          <w:szCs w:val="17"/>
          <w:color w:val="auto"/>
        </w:rPr>
        <w:t>and each other Ancillary Agreement during the course of dispute resolution pursuant to the provisions of this Article 10 with respect to all matters not subject to such dispute, controversy or claim.</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10.14. Law Governing Arbitration Procedures. The interpretation of the provisions of this Article 10, only insofar as they relate to the agreement to arbitrate and any procedures pursuant thereto, shall be governed by the Federal Arbitration Act and other applicable federal law. In all other respects, the interpretation of this Agreement shall be governed as set forth in Section 11.02.</w:t>
      </w:r>
    </w:p>
    <w:p>
      <w:pPr>
        <w:spacing w:after="0" w:line="399" w:lineRule="exact"/>
        <w:rPr>
          <w:sz w:val="20"/>
          <w:szCs w:val="20"/>
          <w:color w:val="auto"/>
        </w:rPr>
      </w:pPr>
    </w:p>
    <w:p>
      <w:pPr>
        <w:ind w:right="2259" w:firstLine="524"/>
        <w:spacing w:after="0" w:line="251" w:lineRule="auto"/>
        <w:rPr>
          <w:sz w:val="20"/>
          <w:szCs w:val="20"/>
          <w:color w:val="auto"/>
        </w:rPr>
      </w:pPr>
      <w:r>
        <w:rPr>
          <w:rFonts w:ascii="Courier New" w:cs="Courier New" w:eastAsia="Courier New" w:hAnsi="Courier New"/>
          <w:sz w:val="17"/>
          <w:szCs w:val="17"/>
          <w:color w:val="auto"/>
        </w:rPr>
        <w:t>SECTION 10.15. Non-applicability of Article. Notwithstanding anything herein to the contrary, this Article 10 shall not apply to any dispute, controversy or claim or to any other matter whatsoever arising under Section</w:t>
      </w:r>
    </w:p>
    <w:p>
      <w:pPr>
        <w:ind w:right="1939"/>
        <w:spacing w:after="0" w:line="253" w:lineRule="auto"/>
        <w:rPr>
          <w:sz w:val="20"/>
          <w:szCs w:val="20"/>
          <w:color w:val="auto"/>
        </w:rPr>
      </w:pPr>
      <w:r>
        <w:rPr>
          <w:rFonts w:ascii="Courier New" w:cs="Courier New" w:eastAsia="Courier New" w:hAnsi="Courier New"/>
          <w:sz w:val="17"/>
          <w:szCs w:val="17"/>
          <w:color w:val="auto"/>
        </w:rPr>
        <w:t>6.02 or 6.03, the Tax Sharing Agreement, any other Tax sharing agreement or any Third Party Tax Claims or to any other matter relating to Taxes. This Article similarly shall not apply to the extent provided in any other Ancillary Agreement.</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11</w:t>
      </w:r>
    </w:p>
    <w:p>
      <w:pPr>
        <w:spacing w:after="0" w:line="210"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MISCELLANEOUS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11.01. Counterparts; Entire Agreement; Corporate Power. (a) This Agreement and each other Ancillary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97" w:lineRule="exact"/>
        <w:rPr>
          <w:sz w:val="20"/>
          <w:szCs w:val="20"/>
          <w:color w:val="auto"/>
        </w:rPr>
      </w:pPr>
    </w:p>
    <w:p>
      <w:pPr>
        <w:ind w:right="1839" w:firstLine="531"/>
        <w:spacing w:after="0" w:line="252" w:lineRule="auto"/>
        <w:tabs>
          <w:tab w:leader="none" w:pos="943" w:val="left"/>
        </w:tabs>
        <w:numPr>
          <w:ilvl w:val="0"/>
          <w:numId w:val="5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the other Ancillary Agreements and the Exhibits, Schedules and Appendices hereto and thereto contain the entire agreement between the parties with respect to the subject matter hereof or thereof,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195" w:lineRule="exact"/>
        <w:rPr>
          <w:rFonts w:ascii="Courier New" w:cs="Courier New" w:eastAsia="Courier New" w:hAnsi="Courier New"/>
          <w:sz w:val="17"/>
          <w:szCs w:val="17"/>
          <w:color w:val="auto"/>
        </w:rPr>
      </w:pPr>
    </w:p>
    <w:p>
      <w:pPr>
        <w:ind w:right="1839" w:firstLine="531"/>
        <w:spacing w:after="0" w:line="254" w:lineRule="auto"/>
        <w:tabs>
          <w:tab w:leader="none" w:pos="943" w:val="left"/>
        </w:tabs>
        <w:numPr>
          <w:ilvl w:val="0"/>
          <w:numId w:val="5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represents on behalf of itself and each of its Subsidiaries (other than the AT&amp;T Broadband Entities) and AT&amp;T Broadband represents on behalf of itself and each other AT&amp;T Broadband Entity:</w:t>
      </w:r>
    </w:p>
    <w:p>
      <w:pPr>
        <w:spacing w:after="0" w:line="194" w:lineRule="exact"/>
        <w:rPr>
          <w:rFonts w:ascii="Courier New" w:cs="Courier New" w:eastAsia="Courier New" w:hAnsi="Courier New"/>
          <w:sz w:val="17"/>
          <w:szCs w:val="17"/>
          <w:color w:val="auto"/>
        </w:rPr>
      </w:pPr>
    </w:p>
    <w:p>
      <w:pPr>
        <w:ind w:left="540" w:right="1839" w:firstLine="515"/>
        <w:spacing w:after="0" w:line="251" w:lineRule="auto"/>
        <w:tabs>
          <w:tab w:leader="none" w:pos="1483" w:val="left"/>
        </w:tabs>
        <w:numPr>
          <w:ilvl w:val="1"/>
          <w:numId w:val="5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Person is a corporation or other entity duly incorporated or formed, validly existing and in good standing under the laws of the state of its incorporation or formation, has all corporate or other similar powers required to carry on its business as currently conducted and is duly qualified to do business and is in good standing in each jurisdiction where such qualification is necessary, except for those jurisdictions where failure to be so qualified, individually or in the aggregate, has not had and would not reasonably be expected to have an AT&amp;T Material Adverse Effect or an AT&amp;T Broadband Material Adverse Effect, respectively;</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540" w:right="1839" w:firstLine="515"/>
        <w:spacing w:after="0" w:line="252" w:lineRule="auto"/>
        <w:tabs>
          <w:tab w:leader="none" w:pos="1587" w:val="left"/>
        </w:tabs>
        <w:numPr>
          <w:ilvl w:val="1"/>
          <w:numId w:val="5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Person has the requisite corporate or other power and authority and has taken all corporate or other similar action necessary in order to execute, deliver and perform each of this Agreement and each other Ancillary Agreements to which it is a party and to consummate the transactions contemplated hereby and thereby; and</w:t>
      </w:r>
    </w:p>
    <w:p>
      <w:pPr>
        <w:spacing w:after="0" w:line="197" w:lineRule="exact"/>
        <w:rPr>
          <w:rFonts w:ascii="Courier New" w:cs="Courier New" w:eastAsia="Courier New" w:hAnsi="Courier New"/>
          <w:sz w:val="17"/>
          <w:szCs w:val="17"/>
          <w:color w:val="auto"/>
        </w:rPr>
      </w:pPr>
    </w:p>
    <w:p>
      <w:pPr>
        <w:ind w:left="540" w:right="1839" w:firstLine="515"/>
        <w:spacing w:after="0" w:line="253" w:lineRule="auto"/>
        <w:tabs>
          <w:tab w:leader="none" w:pos="1692" w:val="left"/>
        </w:tabs>
        <w:numPr>
          <w:ilvl w:val="1"/>
          <w:numId w:val="5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each other Ancillary Agreement to which any such Person is a party has been duly executed and delivered by such Person and constitutes a valid and binding agreement of such Person enforceable in accordance with the terms thereof.</w:t>
      </w:r>
    </w:p>
    <w:p>
      <w:pPr>
        <w:spacing w:after="0" w:line="195"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0"/>
          <w:numId w:val="5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party hereto acknowledges that it and each other party hereto is executing certain of the Ancillary Agreements by facsimile, stamp or mechanical signature. Each party hereto expressly adopts and confirms each such facsimile, stamp or mechanical signature made in its respective name as if it were a manual signature, agrees that it will not assert that any such signature is not adequate to bind such party to the same extent as if it were signed manually and agrees that at the reasonable request of any other</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B-43</w:t>
      </w:r>
    </w:p>
    <w:p>
      <w:pPr>
        <w:sectPr>
          <w:pgSz w:w="11900" w:h="16838" w:orient="portrait"/>
          <w:cols w:equalWidth="0" w:num="1">
            <w:col w:w="10219"/>
          </w:cols>
          <w:pgMar w:left="240" w:top="719" w:right="1440" w:bottom="1062" w:gutter="0" w:footer="0" w:header="0"/>
        </w:sectPr>
      </w:pPr>
    </w:p>
    <w:bookmarkStart w:id="522" w:name="page523"/>
    <w:bookmarkEnd w:id="522"/>
    <w:p>
      <w:pPr>
        <w:ind w:right="1939"/>
        <w:spacing w:after="0" w:line="254" w:lineRule="auto"/>
        <w:rPr>
          <w:sz w:val="20"/>
          <w:szCs w:val="20"/>
          <w:color w:val="auto"/>
        </w:rPr>
      </w:pPr>
      <w:r>
        <w:rPr>
          <w:rFonts w:ascii="Courier New" w:cs="Courier New" w:eastAsia="Courier New" w:hAnsi="Courier New"/>
          <w:sz w:val="17"/>
          <w:szCs w:val="17"/>
          <w:color w:val="auto"/>
        </w:rPr>
        <w:t>party hereto at any time it will as promptly as reasonably practicable cause each such Ancillary Agreement to be manually executed (any such execution to be as of the date of the initial date thereof).</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SECTION 11.02. Governing Law. This Agreement and, unless expressly provided therein, each other Ancillary Agreement, shall be governed by and construed and interpreted in accordance with the laws of the State of New York, irrespective of the choice of laws principles of the State of New York, as to all matters, including matters of validity, construction, effect, enforceability, performance and remedies.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11.03. Jurisdiction. Except as otherwise expressly provided in this Agreement, the parties hereto agree that any suit, action or proceeding seeking to enforce any provision of, or based on any matter arising out of or in connection with, this Agreement, any of the other Ancillary Agreements or the transactions contemplated hereby or thereby shall be brought in the United States District Court for the Southern District of New York or any New York State court sitting in New York City, so long as one of such courts shall have subject matter jurisdiction over such suit, action or proceeding, and that any cause of action arising out of this Agreement or out of any of the other Ancillary Agreements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11.06 shall be deemed effective service of process on such party.</w:t>
      </w:r>
    </w:p>
    <w:p>
      <w:pPr>
        <w:spacing w:after="0" w:line="200" w:lineRule="exact"/>
        <w:rPr>
          <w:sz w:val="20"/>
          <w:szCs w:val="20"/>
          <w:color w:val="auto"/>
        </w:rPr>
      </w:pPr>
    </w:p>
    <w:p>
      <w:pPr>
        <w:spacing w:after="0" w:line="203"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SECTION 11.04. Waiver of Jury Trial. EACH OF THE PARTIES HERETO HEREBY IRREVOCABLY WAIVES ANY AND ALL RIGHT TO TRIAL BY JURY IN ANY LEGAL PROCEEDING ARISING OUT OF OR RELATED TO THIS AGREEMENT, ANY OF THE OTHER ANCILLARY AGREEMENTS OR THE TRANSACTIONS CONTEMPLATED HEREBY OR THEREBY.</w:t>
      </w:r>
    </w:p>
    <w:p>
      <w:pPr>
        <w:spacing w:after="0" w:line="195"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SECTION 11.05. Assignability. Except as set forth in any Ancillary Agreement, this Agreement and each other Ancillary Agreement shall be binding upon and inure to the benefit of the parties hereto and thereto, respectively, and their respective successors and assigns; provided, however, that no party hereto or thereto may assign its respective rights or delegate its respective obligations under this Agreement or any other Ancillary Agreement without the express prior written consent of each of the other parties hereto or thereto.</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11.06. AT&amp;T Restructuring. AT&amp;T and AT&amp;T Broadband recognize that AT&amp;T is contemplating creating a tracking stock with respect to its consumer services business. Subject to AT&amp;T's obligations under the Merger Agreement, including Section 9.06(b) thereof, nothing in this Agreement shall prevent the creation by AT&amp;T of any tracking stock with respect to such business or otherwise. In the event of the creation of such a tracking stock, (i) references in this Agreement to AT&amp;T Common Stock shall be adjusted as necessary to accommodate the existence of such tracking stock and (ii) AT&amp;T may, but is not required to, distribute all or a portion of the shares of such tracking stock in the Distribution. In the event any such tracking stock is distributed in connection with the Distribution, Article 4 shall be revised to appropriately account for such distribution. Any adjustment or revision pursuant to the preceding sentence shall be reasonably satisfactory to Comcast.</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11.07. Third Party Beneficiaries. Except for Comcast, which prior to any termination of this Agreement shall be a third party beneficiary of AT&amp;T Broadband's rights under to this Agreement and each other Ancillary Agreement, and except for the indemnification rights under this Agreement of any AT&amp;T Indemnitee or AT&amp;T Broadband Indemnitee in their respective capacities as such, and except as specifically provided in the Employee Benefits Agreement, (i) the provisions of this Agreement and each other Ancillary Agreement are solely for the benefit of the parties and are not intended to confer upon any Person except the parties any rights or remedies hereunder, and (ii) there are no third party</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B-44</w:t>
      </w:r>
    </w:p>
    <w:p>
      <w:pPr>
        <w:sectPr>
          <w:pgSz w:w="11900" w:h="16838" w:orient="portrait"/>
          <w:cols w:equalWidth="0" w:num="1">
            <w:col w:w="10219"/>
          </w:cols>
          <w:pgMar w:left="240" w:top="719" w:right="1440" w:bottom="861" w:gutter="0" w:footer="0" w:header="0"/>
        </w:sectPr>
      </w:pPr>
    </w:p>
    <w:bookmarkStart w:id="523" w:name="page524"/>
    <w:bookmarkEnd w:id="523"/>
    <w:p>
      <w:pPr>
        <w:ind w:right="1839"/>
        <w:spacing w:after="0" w:line="252" w:lineRule="auto"/>
        <w:rPr>
          <w:sz w:val="20"/>
          <w:szCs w:val="20"/>
          <w:color w:val="auto"/>
        </w:rPr>
      </w:pPr>
      <w:r>
        <w:rPr>
          <w:rFonts w:ascii="Courier New" w:cs="Courier New" w:eastAsia="Courier New" w:hAnsi="Courier New"/>
          <w:sz w:val="17"/>
          <w:szCs w:val="17"/>
          <w:color w:val="auto"/>
        </w:rPr>
        <w:t>beneficiaries of this Agreement or any other Ancillary Agreement and neither this Agreement nor any other Ancillary Agreement shall provide any third person with any remedy, claim, liability, reimbursement, claim of action or other right in excess of those existing without reference to this Agreement or any other Ancillary Agreement.</w:t>
      </w:r>
    </w:p>
    <w:p>
      <w:pPr>
        <w:spacing w:after="0" w:line="197"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SECTION 11.08. Notices. All notices or other communications under this Agreement or any other Ancillary Agreement shall be in writing and shall be deemed to be duly given when (a) delivered in person or (b) deposited in the United States mail or private express mail, postage prepaid, addressed as follows:</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If to AT&amp;T, to:</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295 North Maple Avenue</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Basking Ridge, New Jersey 07920</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Attention: Marilyn J. Wasser</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Fax: (908) 953-8360</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with a copy to:</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Wachtell, Lipton, Rosen &amp; Katz</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51 West 52nd Street</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New York, New York 10019</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Attention: Richard D. Katcher</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Steven A. Rosenblum</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Stephanie J. Seligman</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Fax: (212) 403-2000</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If to AT&amp;T Broadband, to:</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 Broadband Corp.</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295 North Maple Avenue</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Basking Ridge, New Jersey 07920</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Attention: Marilyn J. Wasser</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Fax: (908) 953-8360</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with a copy to:</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Comcast Corporation</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1500 Market Street</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Philadelphia, Pennsylvania 19102</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Attention: General Counsel</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Fax: (215) 981-7794</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and:</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Davis Polk &amp; Wardwell</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450 Lexington Avenue</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New York, New York 10017</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Attention: Dennis S. Hersch</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William L. Taylor</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Fax: (212) 450-4800</w:t>
      </w:r>
    </w:p>
    <w:p>
      <w:pPr>
        <w:spacing w:after="0" w:line="210"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Any party may, by notice to the other party, change the address to which such notices are to be given.</w:t>
      </w:r>
    </w:p>
    <w:p>
      <w:pPr>
        <w:spacing w:after="0" w:line="192"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SECTION 11.09. Severability. If any provision of this Agreement or any other Ancillary Agreement or the application thereof to any Person or circumstance is determined by a court of competent jurisdiction</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B-45</w:t>
      </w:r>
    </w:p>
    <w:p>
      <w:pPr>
        <w:sectPr>
          <w:pgSz w:w="11900" w:h="16838" w:orient="portrait"/>
          <w:cols w:equalWidth="0" w:num="1">
            <w:col w:w="10219"/>
          </w:cols>
          <w:pgMar w:left="240" w:top="719" w:right="1440" w:bottom="1440" w:gutter="0" w:footer="0" w:header="0"/>
        </w:sectPr>
      </w:pPr>
    </w:p>
    <w:bookmarkStart w:id="524" w:name="page525"/>
    <w:bookmarkEnd w:id="524"/>
    <w:p>
      <w:pPr>
        <w:ind w:right="1839"/>
        <w:spacing w:after="0" w:line="251" w:lineRule="auto"/>
        <w:rPr>
          <w:sz w:val="20"/>
          <w:szCs w:val="20"/>
          <w:color w:val="auto"/>
        </w:rPr>
      </w:pPr>
      <w:r>
        <w:rPr>
          <w:rFonts w:ascii="Courier New" w:cs="Courier New" w:eastAsia="Courier New" w:hAnsi="Courier New"/>
          <w:sz w:val="17"/>
          <w:szCs w:val="17"/>
          <w:color w:val="auto"/>
        </w:rPr>
        <w:t>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or thereby, as the case may be, is not affected in any manner adverse to any party. Upon such determination, the parties shall negotiate in good faith in an effort to agree upon such a suitable and equitable provision to effect the original intent of the parties.</w:t>
      </w:r>
    </w:p>
    <w:p>
      <w:pPr>
        <w:spacing w:after="0" w:line="201"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SECTION 11.10. Expenses. The provisions of Sections 11.03(a)-(c) of the Merger Agreement are hereby incorporated by reference.</w:t>
      </w:r>
    </w:p>
    <w:p>
      <w:pPr>
        <w:spacing w:after="0" w:line="192" w:lineRule="exact"/>
        <w:rPr>
          <w:sz w:val="20"/>
          <w:szCs w:val="20"/>
          <w:color w:val="auto"/>
        </w:rPr>
      </w:pPr>
    </w:p>
    <w:p>
      <w:pPr>
        <w:ind w:right="2359" w:firstLine="524"/>
        <w:spacing w:after="0" w:line="253" w:lineRule="auto"/>
        <w:rPr>
          <w:sz w:val="20"/>
          <w:szCs w:val="20"/>
          <w:color w:val="auto"/>
        </w:rPr>
      </w:pPr>
      <w:r>
        <w:rPr>
          <w:rFonts w:ascii="Courier New" w:cs="Courier New" w:eastAsia="Courier New" w:hAnsi="Courier New"/>
          <w:sz w:val="17"/>
          <w:szCs w:val="17"/>
          <w:color w:val="auto"/>
        </w:rPr>
        <w:t>SECTION 11.11. Headings. The Article, Section and paragraph headings contained in this Agreement and in the other Ancillary Agreements are for reference purposes only and shall not affect in any way the meaning or interpretation of this Agreement or any other Ancillary Agreement.</w:t>
      </w:r>
    </w:p>
    <w:p>
      <w:pPr>
        <w:spacing w:after="0" w:line="195"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11.12. Waivers of Default. Waiver by any party of any default by the other party of any provision of this Agreement or any other Ancillary Agreement shall not be deemed a waiver by the waiving party of any subsequent or other default, nor shall it prejudice the rights of the other party.</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11.13. Specific Performance. In the event of any actual or threatened default in, or breach of, any of the terms, conditions and provisions of this Agreement or any other Ancillary Agreement, the party or parties who are or are to be thereby aggrieved shall have the right to specific performance and injunctive or other equitable relief of its rights under this Agreement or such other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11.14. Amendments. No provisions of this Agreement or any other Ancillary Agreement shall be deemed waived, amended, supplemented or modified by any party, unless such waiver, amendment, supplement or modification is in writing and signed by the authorized representative of the party against whom such waiver, amendment, supplement or modification it is sought to be enforced.</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SECTION 11.15. Late Payments. Except as expressly provided to the contrary in this Agreement or in any other Ancillary Agreement, any amount not paid when due pursuant to this Agreement or any other Ancillary Agreement (and any amounts billed or otherwise invoiced or demanded and properly payable that are not paid within 30 days of such bill, invoice or other demand) shall accrue interest at a rate per annum equal to the Prime Rate plus 2%.</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11.16. Interpretation. Words in the singular shall be held to include the plural and vice versa and words of one gender shall be held to include the other genders as the context requires. The terms "hereof," "herein," and "herewith" and words of similar import herein (or in any Ancillary Agreement) shall, unless otherwise stated, be construed to refer to this Agreement (or the applicable other Ancillary Agreement) taken as a whole (including all of the Schedules, Exhibits and Appendices hereto and thereto) and not to any particular provision of this Agreement (or such other Ancillary Agreement). Article, Section, Exhibit, Schedule and Appendix references are to the Articles, Sections, Exhibits, Schedules and Appendices to this Agreement (or the applicable other Ancillary Agreement) unless otherwise specified. The word "including" and words of similar import when used in this Agreement (or the applicable other Ancillary Agreement) means "including, without limitation," unless the context otherwise requires or unless otherwise specified. The word "or" shall not be exclusive. Unless expressly stated to the contrary in this Agreement or in any other Ancillary Agreement, all references to "the date hereof," "the date of this Agreement," "hereby" and "hereupon" and words of similar import shall all be references to December 19, 2001 (or the date of which the relevant Ancillary Agreement is first entered into, as the case may be) regardless of any amendment or restatement hereof (or thereof). References to a "member" of either Group shall be held to include any corporation or other Person within the definition of</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B-46</w:t>
      </w:r>
    </w:p>
    <w:p>
      <w:pPr>
        <w:sectPr>
          <w:pgSz w:w="11900" w:h="16838" w:orient="portrait"/>
          <w:cols w:equalWidth="0" w:num="1">
            <w:col w:w="10219"/>
          </w:cols>
          <w:pgMar w:left="240" w:top="719" w:right="1440" w:bottom="861" w:gutter="0" w:footer="0" w:header="0"/>
        </w:sectPr>
      </w:pPr>
    </w:p>
    <w:bookmarkStart w:id="525" w:name="page526"/>
    <w:bookmarkEnd w:id="525"/>
    <w:p>
      <w:pPr>
        <w:ind w:right="1839"/>
        <w:spacing w:after="0" w:line="252" w:lineRule="auto"/>
        <w:rPr>
          <w:sz w:val="20"/>
          <w:szCs w:val="20"/>
          <w:color w:val="auto"/>
        </w:rPr>
      </w:pPr>
      <w:r>
        <w:rPr>
          <w:rFonts w:ascii="Courier New" w:cs="Courier New" w:eastAsia="Courier New" w:hAnsi="Courier New"/>
          <w:sz w:val="17"/>
          <w:szCs w:val="17"/>
          <w:color w:val="auto"/>
        </w:rPr>
        <w:t>such Group. References to "legal fees" shall include allocated costs of in-house counsel. The parties hereto have participated jointly in the negotiation and drafting of this Agreement, and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B-47</w:t>
      </w:r>
    </w:p>
    <w:p>
      <w:pPr>
        <w:sectPr>
          <w:pgSz w:w="11900" w:h="16838" w:orient="portrait"/>
          <w:cols w:equalWidth="0" w:num="1">
            <w:col w:w="10219"/>
          </w:cols>
          <w:pgMar w:left="240" w:top="718" w:right="1440" w:bottom="1440" w:gutter="0" w:footer="0" w:header="0"/>
        </w:sectPr>
      </w:pPr>
    </w:p>
    <w:bookmarkStart w:id="526" w:name="page527"/>
    <w:bookmarkEnd w:id="526"/>
    <w:p>
      <w:pPr>
        <w:ind w:right="1939" w:firstLine="524"/>
        <w:spacing w:after="0" w:line="257" w:lineRule="auto"/>
        <w:rPr>
          <w:sz w:val="20"/>
          <w:szCs w:val="20"/>
          <w:color w:val="auto"/>
        </w:rPr>
      </w:pPr>
      <w:r>
        <w:rPr>
          <w:rFonts w:ascii="Courier New" w:cs="Courier New" w:eastAsia="Courier New" w:hAnsi="Courier New"/>
          <w:sz w:val="17"/>
          <w:szCs w:val="17"/>
          <w:color w:val="auto"/>
        </w:rPr>
        <w:t>IN WITNESS WHEREOF, the parties have caused this Separation and Distribution Agreement to be executed by their duly authorized representatives.</w:t>
      </w:r>
    </w:p>
    <w:p>
      <w:pPr>
        <w:spacing w:after="0" w:line="192"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AT&amp;T CORP.</w:t>
      </w:r>
    </w:p>
    <w:p>
      <w:pPr>
        <w:spacing w:after="0" w:line="210" w:lineRule="exact"/>
        <w:rPr>
          <w:sz w:val="20"/>
          <w:szCs w:val="20"/>
          <w:color w:val="auto"/>
        </w:rPr>
      </w:pPr>
    </w:p>
    <w:p>
      <w:pPr>
        <w:ind w:left="4400"/>
        <w:spacing w:after="0"/>
        <w:tabs>
          <w:tab w:leader="none" w:pos="52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MARILYN J. WASSER</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Name: Marilyn J. Wasser</w:t>
      </w:r>
    </w:p>
    <w:p>
      <w:pPr>
        <w:spacing w:after="0" w:line="9" w:lineRule="exact"/>
        <w:rPr>
          <w:sz w:val="20"/>
          <w:szCs w:val="20"/>
          <w:color w:val="auto"/>
        </w:rPr>
      </w:pPr>
    </w:p>
    <w:p>
      <w:pPr>
        <w:ind w:left="4820"/>
        <w:spacing w:after="0"/>
        <w:tabs>
          <w:tab w:leader="none" w:pos="5740" w:val="left"/>
        </w:tabs>
        <w:rPr>
          <w:sz w:val="20"/>
          <w:szCs w:val="20"/>
          <w:color w:val="auto"/>
        </w:rPr>
      </w:pPr>
      <w:r>
        <w:rPr>
          <w:rFonts w:ascii="Courier New" w:cs="Courier New" w:eastAsia="Courier New" w:hAnsi="Courier New"/>
          <w:sz w:val="17"/>
          <w:szCs w:val="17"/>
          <w:color w:val="auto"/>
        </w:rPr>
        <w:t>Title:</w:t>
        <w:tab/>
        <w:t>Vice President -- Law and</w:t>
      </w:r>
    </w:p>
    <w:p>
      <w:pPr>
        <w:spacing w:after="0" w:line="9" w:lineRule="exact"/>
        <w:rPr>
          <w:sz w:val="20"/>
          <w:szCs w:val="20"/>
          <w:color w:val="auto"/>
        </w:rPr>
      </w:pPr>
    </w:p>
    <w:p>
      <w:pPr>
        <w:ind w:left="5760"/>
        <w:spacing w:after="0"/>
        <w:rPr>
          <w:sz w:val="20"/>
          <w:szCs w:val="20"/>
          <w:color w:val="auto"/>
        </w:rPr>
      </w:pPr>
      <w:r>
        <w:rPr>
          <w:rFonts w:ascii="Courier New" w:cs="Courier New" w:eastAsia="Courier New" w:hAnsi="Courier New"/>
          <w:sz w:val="17"/>
          <w:szCs w:val="17"/>
          <w:color w:val="auto"/>
        </w:rPr>
        <w:t>Secretary</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AT&amp;T BROADBAND CORP.</w:t>
      </w:r>
    </w:p>
    <w:p>
      <w:pPr>
        <w:spacing w:after="0" w:line="210" w:lineRule="exact"/>
        <w:rPr>
          <w:sz w:val="20"/>
          <w:szCs w:val="20"/>
          <w:color w:val="auto"/>
        </w:rPr>
      </w:pPr>
    </w:p>
    <w:p>
      <w:pPr>
        <w:ind w:left="4400"/>
        <w:spacing w:after="0"/>
        <w:tabs>
          <w:tab w:leader="none" w:pos="53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ROBERT S. FEIT</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Name: Robert S. Feit</w:t>
      </w:r>
    </w:p>
    <w:p>
      <w:pPr>
        <w:spacing w:after="0" w:line="9" w:lineRule="exact"/>
        <w:rPr>
          <w:sz w:val="20"/>
          <w:szCs w:val="20"/>
          <w:color w:val="auto"/>
        </w:rPr>
      </w:pPr>
    </w:p>
    <w:p>
      <w:pPr>
        <w:ind w:left="4820"/>
        <w:spacing w:after="0"/>
        <w:tabs>
          <w:tab w:leader="none" w:pos="5740" w:val="left"/>
        </w:tabs>
        <w:rPr>
          <w:sz w:val="20"/>
          <w:szCs w:val="20"/>
          <w:color w:val="auto"/>
        </w:rPr>
      </w:pPr>
      <w:r>
        <w:rPr>
          <w:rFonts w:ascii="Courier New" w:cs="Courier New" w:eastAsia="Courier New" w:hAnsi="Courier New"/>
          <w:sz w:val="17"/>
          <w:szCs w:val="17"/>
          <w:color w:val="auto"/>
        </w:rPr>
        <w:t>Title:</w:t>
        <w:tab/>
        <w:t>Vice President and</w:t>
      </w:r>
    </w:p>
    <w:p>
      <w:pPr>
        <w:spacing w:after="0" w:line="9" w:lineRule="exact"/>
        <w:rPr>
          <w:sz w:val="20"/>
          <w:szCs w:val="20"/>
          <w:color w:val="auto"/>
        </w:rPr>
      </w:pPr>
    </w:p>
    <w:p>
      <w:pPr>
        <w:ind w:left="5760"/>
        <w:spacing w:after="0"/>
        <w:rPr>
          <w:sz w:val="20"/>
          <w:szCs w:val="20"/>
          <w:color w:val="auto"/>
        </w:rPr>
      </w:pPr>
      <w:r>
        <w:rPr>
          <w:rFonts w:ascii="Courier New" w:cs="Courier New" w:eastAsia="Courier New" w:hAnsi="Courier New"/>
          <w:sz w:val="17"/>
          <w:szCs w:val="17"/>
          <w:color w:val="auto"/>
        </w:rPr>
        <w:t>Assistant Secretary</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B-48</w:t>
      </w:r>
    </w:p>
    <w:p>
      <w:pPr>
        <w:sectPr>
          <w:pgSz w:w="11900" w:h="16838" w:orient="portrait"/>
          <w:cols w:equalWidth="0" w:num="1">
            <w:col w:w="10219"/>
          </w:cols>
          <w:pgMar w:left="240" w:top="719" w:right="1440" w:bottom="1440" w:gutter="0" w:footer="0" w:header="0"/>
        </w:sectPr>
      </w:pPr>
    </w:p>
    <w:bookmarkStart w:id="527" w:name="page528"/>
    <w:bookmarkEnd w:id="527"/>
    <w:p>
      <w:pPr>
        <w:ind w:left="7660"/>
        <w:spacing w:after="0"/>
        <w:rPr>
          <w:sz w:val="20"/>
          <w:szCs w:val="20"/>
          <w:color w:val="auto"/>
        </w:rPr>
      </w:pPr>
      <w:r>
        <w:rPr>
          <w:rFonts w:ascii="Courier New" w:cs="Courier New" w:eastAsia="Courier New" w:hAnsi="Courier New"/>
          <w:sz w:val="17"/>
          <w:szCs w:val="17"/>
          <w:color w:val="auto"/>
        </w:rPr>
        <w:t>ANNEX I</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following provisions set forth the parties' understandings with respect to the disposition of all or any portion of the interest in TWE (the "TWE INTEREST") held, as of the date hereof, by MediaOne TWE Holdings, Inc. and its affiliates at any time or from time to time whether prior to or after the Closing Date:</w:t>
      </w:r>
    </w:p>
    <w:p>
      <w:pPr>
        <w:spacing w:after="0" w:line="197" w:lineRule="exact"/>
        <w:rPr>
          <w:sz w:val="20"/>
          <w:szCs w:val="20"/>
          <w:color w:val="auto"/>
        </w:rPr>
      </w:pPr>
    </w:p>
    <w:p>
      <w:pPr>
        <w:ind w:left="960" w:hanging="429"/>
        <w:spacing w:after="0"/>
        <w:tabs>
          <w:tab w:leader="none" w:pos="960" w:val="left"/>
        </w:tabs>
        <w:numPr>
          <w:ilvl w:val="0"/>
          <w:numId w:val="5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terms, as used in this Annex I, have the following</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meanings: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"CLOSING DATE" has the meaning set forth in the Merger Agreement.</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"CONTINGENT PAYMENT" means (i) 50% of the excess, if any, of (A) the Determined Value over (B) the Threshold Amount, reduced by (ii) an amount equal to the product of 50% of such excess and the rate set forth in subparagraph (e) hereof.</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"DETERMINED VALUE" means the Fair Market Value of the TWE Interest or portion thereof disposed of, as the case may be; provided, however, that if all or any portion of the TWE Interest is disposed of within the TWE Disposition Period under Article XIII of the TWE Partnership Agreement or pursuant to one or more negotiated dispositions or public or private market dispositions, then the Determined Value with respect to such portion shall be the Proceeds from such disposition(s).</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"FAIR MARKET VALUE" means with respect to all or any portion of the TWE Interest, the Proceeds that would be received in a public offering of such interest (or corresponding equity securities of a corporation into which TWE is converted or that holds the TWE interest) (after deducting (i) reasonable expenses, including underwriters' discounts and commissions and (ii) in the event such offering is an initial public offering, an appropriate initial public offering discount) based on the then prevailing market conditions.</w:t>
      </w:r>
    </w:p>
    <w:p>
      <w:pPr>
        <w:spacing w:after="0" w:line="196"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"PARENT" has the meaning set forth in the Merger Agreement.</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"PROCEEDS" means (subject to clause (d) below) (a) if the proceeds are paid in cash, the amount of the cash actually received;</w:t>
      </w:r>
    </w:p>
    <w:p>
      <w:pPr>
        <w:spacing w:after="0" w:line="192" w:lineRule="exact"/>
        <w:rPr>
          <w:sz w:val="20"/>
          <w:szCs w:val="20"/>
          <w:color w:val="auto"/>
        </w:rPr>
      </w:pPr>
    </w:p>
    <w:p>
      <w:pPr>
        <w:ind w:left="960" w:hanging="429"/>
        <w:spacing w:after="0"/>
        <w:tabs>
          <w:tab w:leader="none" w:pos="960" w:val="left"/>
        </w:tabs>
        <w:numPr>
          <w:ilvl w:val="0"/>
          <w:numId w:val="5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proceeds are paid in securities, assets or rights:</w:t>
      </w:r>
    </w:p>
    <w:p>
      <w:pPr>
        <w:spacing w:after="0" w:line="210"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1"/>
          <w:numId w:val="5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securities, assets or rights listed on any established stock exchange or a national market system including the National Market System of the National Association of Securities Dealers, Inc. Automated Quotation ("NASDAQ") System, Proceeds means the average of the closing sales price for such item (or the closing bid, if no sales were reported) reported in the Wall Street Journal for the 20 consecutive trading day period prior to such date;</w:t>
      </w:r>
    </w:p>
    <w:p>
      <w:pPr>
        <w:spacing w:after="0" w:line="195" w:lineRule="exact"/>
        <w:rPr>
          <w:rFonts w:ascii="Courier New" w:cs="Courier New" w:eastAsia="Courier New" w:hAnsi="Courier New"/>
          <w:sz w:val="17"/>
          <w:szCs w:val="17"/>
          <w:color w:val="auto"/>
        </w:rPr>
      </w:pPr>
    </w:p>
    <w:p>
      <w:pPr>
        <w:ind w:left="540" w:right="1839" w:firstLine="515"/>
        <w:spacing w:after="0" w:line="252" w:lineRule="auto"/>
        <w:tabs>
          <w:tab w:leader="none" w:pos="1587" w:val="left"/>
        </w:tabs>
        <w:numPr>
          <w:ilvl w:val="1"/>
          <w:numId w:val="5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securities, assets or rights quoted on the NASDAQ System (but not on the National Market System thereof) or regularly quoted by a recognized securities dealer but selling prices are not reported, Proceeds means the average of the means between the high and low asked prices for the item for the 20 consecutive trading day period prior to such date; or</w:t>
      </w:r>
    </w:p>
    <w:p>
      <w:pPr>
        <w:spacing w:after="0" w:line="196" w:lineRule="exact"/>
        <w:rPr>
          <w:rFonts w:ascii="Courier New" w:cs="Courier New" w:eastAsia="Courier New" w:hAnsi="Courier New"/>
          <w:sz w:val="17"/>
          <w:szCs w:val="17"/>
          <w:color w:val="auto"/>
        </w:rPr>
      </w:pPr>
    </w:p>
    <w:p>
      <w:pPr>
        <w:ind w:left="540" w:right="1939" w:firstLine="515"/>
        <w:spacing w:after="0" w:line="253" w:lineRule="auto"/>
        <w:tabs>
          <w:tab w:leader="none" w:pos="1692" w:val="left"/>
        </w:tabs>
        <w:numPr>
          <w:ilvl w:val="1"/>
          <w:numId w:val="5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absence of an established market for the securities, assets or rights (including the rights embodied in this Annex I), Proceeds means the fair value thereof as determined in good faith by a mutually acceptable investment banking firm.</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"THRESHOLD AMOUNT" means at any given time, an amount, which will initially be $10.2 billion and shall be reduced by the aggregate Proceeds of previous dispositions of the TWE Interest received from time to time, provided that from the date the Merger Agreement is entered into, the outstanding balance of the Threshold Amount from time to time shall bear simple interest at a rate of 7% per annum and such interest shall be added to the Threshold Amount.</w:t>
      </w:r>
    </w:p>
    <w:p>
      <w:pPr>
        <w:spacing w:after="0" w:line="197"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"TWE DISPOSITION PERIOD" has the meaning set forth in clause (b) of this Annex I.</w:t>
      </w:r>
    </w:p>
    <w:p>
      <w:pPr>
        <w:spacing w:after="0" w:line="192" w:lineRule="exact"/>
        <w:rPr>
          <w:sz w:val="20"/>
          <w:szCs w:val="20"/>
          <w:color w:val="auto"/>
        </w:rPr>
      </w:pPr>
    </w:p>
    <w:p>
      <w:pPr>
        <w:ind w:left="960" w:hanging="429"/>
        <w:spacing w:after="0"/>
        <w:tabs>
          <w:tab w:leader="none" w:pos="960" w:val="left"/>
        </w:tabs>
        <w:numPr>
          <w:ilvl w:val="0"/>
          <w:numId w:val="5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all or any part of the TWE Interest is disposed of by AT&amp;T</w:t>
      </w:r>
    </w:p>
    <w:p>
      <w:pPr>
        <w:spacing w:after="0" w:line="8" w:lineRule="exact"/>
        <w:rPr>
          <w:rFonts w:ascii="Courier New" w:cs="Courier New" w:eastAsia="Courier New" w:hAnsi="Courier New"/>
          <w:sz w:val="17"/>
          <w:szCs w:val="17"/>
          <w:color w:val="auto"/>
        </w:rPr>
      </w:pPr>
    </w:p>
    <w:p>
      <w:pPr>
        <w:ind w:right="19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Broadband, Parent or their respective successors during the period beginning on the date the Merger Agreement is signed and ending on the last day of the 54th month after the Closing Date (the "TWE DISPOSITION PERIOD"), and the</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B-I-49</w:t>
      </w:r>
    </w:p>
    <w:p>
      <w:pPr>
        <w:sectPr>
          <w:pgSz w:w="11900" w:h="16838" w:orient="portrait"/>
          <w:cols w:equalWidth="0" w:num="1">
            <w:col w:w="10219"/>
          </w:cols>
          <w:pgMar w:left="240" w:top="719" w:right="1440" w:bottom="55" w:gutter="0" w:footer="0" w:header="0"/>
        </w:sectPr>
      </w:pPr>
    </w:p>
    <w:bookmarkStart w:id="528" w:name="page529"/>
    <w:bookmarkEnd w:id="528"/>
    <w:p>
      <w:pPr>
        <w:ind w:right="1839"/>
        <w:spacing w:after="0" w:line="252" w:lineRule="auto"/>
        <w:rPr>
          <w:sz w:val="20"/>
          <w:szCs w:val="20"/>
          <w:color w:val="auto"/>
        </w:rPr>
      </w:pPr>
      <w:r>
        <w:rPr>
          <w:rFonts w:ascii="Courier New" w:cs="Courier New" w:eastAsia="Courier New" w:hAnsi="Courier New"/>
          <w:sz w:val="17"/>
          <w:szCs w:val="17"/>
          <w:color w:val="auto"/>
        </w:rPr>
        <w:t>Closing occurs, AT&amp;T Broadband shall pay to AT&amp;T on behalf of the AT&amp;T Communications Group, an amount equal to the Contingent Payment. Any Contingent Payment shall be paid in the same proportion of cash, securities, assets and rights as was received in the disposition and no Contingent Payment shall be made until amounts equal to the Threshold Amount have been received as Proceeds. For the avoidance of doubt, the transactions contemplated by the Merger Agreement and this Agreement shall not be considered a disposition for purposes hereof.</w:t>
      </w:r>
    </w:p>
    <w:p>
      <w:pPr>
        <w:spacing w:after="0" w:line="397" w:lineRule="exact"/>
        <w:rPr>
          <w:sz w:val="20"/>
          <w:szCs w:val="20"/>
          <w:color w:val="auto"/>
        </w:rPr>
      </w:pPr>
    </w:p>
    <w:p>
      <w:pPr>
        <w:ind w:right="1839" w:firstLine="531"/>
        <w:spacing w:after="0" w:line="251" w:lineRule="auto"/>
        <w:tabs>
          <w:tab w:leader="none" w:pos="943" w:val="left"/>
        </w:tabs>
        <w:numPr>
          <w:ilvl w:val="0"/>
          <w:numId w:val="5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TWE Interest has not been fully disposed of within the TWE Disposition Period, the remaining interest shall be appraised by a mutually acceptable investment banking firm on the basis of Fair Market Value. To the extent that the Proceeds that would be received if such remaining interest were disposed of for Fair Market Value exceeds the Threshold Amount, AT&amp;T Broadband shall pay to AT&amp;T on behalf of the AT&amp;T Communications Group an amount in cash equal to 50% of such excess, reduced by an amount equal to the product at 50% of such excess and the tax rate set forth in subparagraph (e) hereof, and AT&amp;T Broadband shall have no further obligations under this Annex I. If no payment is required to be made pursuant to the preceding sentence, AT&amp;T Broadband shall have no further obligations under this Annex I.</w:t>
      </w:r>
    </w:p>
    <w:p>
      <w:pPr>
        <w:spacing w:after="0" w:line="201"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5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before the Closing Date, AT&amp;T (subject to Section 8.01(xii) of the Merger Agreement), or after the Closing Date, Parent, effects a disposition of the TWE Interest on a Tax deferred basis, the payment to be made to AT&amp;T (taking into account the present value of the deferred Tax, the direct and indirect costs of executing the transaction (including the detriment of any guarantees required to be given) and the risk of the transaction) shall be determined in good faith by the Board of Directors of AT&amp;T Broadband or Parent, as applicable.</w:t>
      </w:r>
    </w:p>
    <w:p>
      <w:pPr>
        <w:spacing w:after="0" w:line="201" w:lineRule="exact"/>
        <w:rPr>
          <w:rFonts w:ascii="Courier New" w:cs="Courier New" w:eastAsia="Courier New" w:hAnsi="Courier New"/>
          <w:sz w:val="17"/>
          <w:szCs w:val="17"/>
          <w:color w:val="auto"/>
        </w:rPr>
      </w:pPr>
    </w:p>
    <w:p>
      <w:pPr>
        <w:ind w:right="1939" w:firstLine="531"/>
        <w:spacing w:after="0" w:line="254" w:lineRule="auto"/>
        <w:tabs>
          <w:tab w:leader="none" w:pos="943" w:val="left"/>
        </w:tabs>
        <w:numPr>
          <w:ilvl w:val="0"/>
          <w:numId w:val="5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Annex I, the Tax rate will be assumed to be the highest combined federal, state and local marginal corporate Tax rate in effect at the relevant time.</w:t>
      </w:r>
    </w:p>
    <w:p>
      <w:pPr>
        <w:spacing w:after="0" w:line="194"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0"/>
          <w:numId w:val="5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all Tax purposes (unless required by a change in applicable Tax law or resolution of a contest conducted in good faith and not settled, compromised and/or conceded without the other party's consent, which shall not be unreasonably withheld), the parties hereto agree to treat, and to cause their respective affiliates to treat any payment hereunder as a distribution by AT&amp;T Broadband to AT&amp;T, as the case may be, occurring immediately prior to the Distribution and in connection with the Distribution.</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B-I-50</w:t>
      </w:r>
    </w:p>
    <w:p>
      <w:pPr>
        <w:sectPr>
          <w:pgSz w:w="11900" w:h="16838" w:orient="portrait"/>
          <w:cols w:equalWidth="0" w:num="1">
            <w:col w:w="10219"/>
          </w:cols>
          <w:pgMar w:left="240" w:top="719" w:right="1440" w:bottom="1440" w:gutter="0" w:footer="0" w:header="0"/>
        </w:sectPr>
      </w:pPr>
    </w:p>
    <w:bookmarkStart w:id="529" w:name="page530"/>
    <w:bookmarkEnd w:id="529"/>
    <w:p>
      <w:pPr>
        <w:ind w:left="7660"/>
        <w:spacing w:after="0"/>
        <w:rPr>
          <w:sz w:val="20"/>
          <w:szCs w:val="20"/>
          <w:color w:val="auto"/>
        </w:rPr>
      </w:pPr>
      <w:r>
        <w:rPr>
          <w:rFonts w:ascii="Courier New" w:cs="Courier New" w:eastAsia="Courier New" w:hAnsi="Courier New"/>
          <w:sz w:val="17"/>
          <w:szCs w:val="17"/>
          <w:color w:val="auto"/>
        </w:rPr>
        <w:t>ANNEX C</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FORM OF AMENDED AND RESTATED ARTICLES OF INCORPORATION OF AT&amp;T COMCAST</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CORPORATION</w:t>
      </w:r>
    </w:p>
    <w:p>
      <w:pPr>
        <w:spacing w:after="0" w:line="210"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The Articles of Incorporation of the Corporation shall be amended and restated in their entirety so as to read as follows:</w:t>
      </w:r>
    </w:p>
    <w:p>
      <w:pPr>
        <w:spacing w:after="0" w:line="192" w:lineRule="exact"/>
        <w:rPr>
          <w:sz w:val="20"/>
          <w:szCs w:val="20"/>
          <w:color w:val="auto"/>
        </w:rPr>
      </w:pPr>
    </w:p>
    <w:p>
      <w:pPr>
        <w:ind w:right="2559" w:firstLine="524"/>
        <w:spacing w:after="0" w:line="257" w:lineRule="auto"/>
        <w:rPr>
          <w:sz w:val="20"/>
          <w:szCs w:val="20"/>
          <w:color w:val="auto"/>
        </w:rPr>
      </w:pPr>
      <w:r>
        <w:rPr>
          <w:rFonts w:ascii="Courier New" w:cs="Courier New" w:eastAsia="Courier New" w:hAnsi="Courier New"/>
          <w:sz w:val="17"/>
          <w:szCs w:val="17"/>
          <w:color w:val="auto"/>
        </w:rPr>
        <w:t>FIRST: The name of the Corporation is AT&amp;T Comcast Corporation (the "CORPORATION").</w:t>
      </w:r>
    </w:p>
    <w:p>
      <w:pPr>
        <w:spacing w:after="0" w:line="192"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SECOND: The location and post office address of the Corporation's current registered office in this Commonwealth is:</w:t>
      </w:r>
    </w:p>
    <w:p>
      <w:pPr>
        <w:spacing w:after="0" w:line="192"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1500 Market Street, 35th floor</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Philadelphia, PA 19102-2148</w:t>
      </w:r>
    </w:p>
    <w:p>
      <w:pPr>
        <w:spacing w:after="0" w:line="210" w:lineRule="exact"/>
        <w:rPr>
          <w:sz w:val="20"/>
          <w:szCs w:val="20"/>
          <w:color w:val="auto"/>
        </w:rPr>
      </w:pPr>
    </w:p>
    <w:p>
      <w:pPr>
        <w:ind w:right="2679" w:firstLine="524"/>
        <w:spacing w:after="0" w:line="254" w:lineRule="auto"/>
        <w:rPr>
          <w:sz w:val="20"/>
          <w:szCs w:val="20"/>
          <w:color w:val="auto"/>
        </w:rPr>
      </w:pPr>
      <w:r>
        <w:rPr>
          <w:rFonts w:ascii="Courier New" w:cs="Courier New" w:eastAsia="Courier New" w:hAnsi="Courier New"/>
          <w:sz w:val="17"/>
          <w:szCs w:val="17"/>
          <w:color w:val="auto"/>
        </w:rPr>
        <w:t>THIRD: The Corporation is incorporated under the provisions of the Business Corporation Law of 1988. The purpose or purposes for which the Corporation is organized are:</w:t>
      </w:r>
    </w:p>
    <w:p>
      <w:pPr>
        <w:spacing w:after="0" w:line="194"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To have unlimited power to engage in and to do any lawful act concerning any or all lawful business for which corporations may be incorporated under the Business Corporation Law.</w:t>
      </w:r>
    </w:p>
    <w:p>
      <w:pPr>
        <w:spacing w:after="0" w:line="19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7"/>
          <w:szCs w:val="17"/>
          <w:color w:val="auto"/>
        </w:rPr>
        <w:t>FOURTH:</w:t>
        <w:tab/>
        <w:t>The term of its existence is perpetual.</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FIFTH: The aggregate number of shares which the Corporation shall have authority to issue is SEVEN BILLION FIVE HUNDRED MILLION (7,500,000,000) shares of Class A Common Stock, par value $0.01 per share, SEVEN BILLION FIVE HUNDRED MILLION (7,500,000,000) shares of Class A Special Common Stock, par value $0.01 per share, SEVENTY 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201" w:lineRule="exact"/>
        <w:rPr>
          <w:sz w:val="20"/>
          <w:szCs w:val="20"/>
          <w:color w:val="auto"/>
        </w:rPr>
      </w:pPr>
    </w:p>
    <w:p>
      <w:pPr>
        <w:ind w:right="1839" w:firstLine="531"/>
        <w:spacing w:after="0" w:line="254" w:lineRule="auto"/>
        <w:tabs>
          <w:tab w:leader="none" w:pos="943" w:val="left"/>
        </w:tabs>
        <w:numPr>
          <w:ilvl w:val="0"/>
          <w:numId w:val="5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descriptions, preferences, qualifications, limitations, restrictions and the voting, special or relative rights in respect of the shares of each class of Common Stock are as follows:</w:t>
      </w:r>
    </w:p>
    <w:p>
      <w:pPr>
        <w:spacing w:after="0" w:line="194" w:lineRule="exact"/>
        <w:rPr>
          <w:rFonts w:ascii="Courier New" w:cs="Courier New" w:eastAsia="Courier New" w:hAnsi="Courier New"/>
          <w:sz w:val="17"/>
          <w:szCs w:val="17"/>
          <w:color w:val="auto"/>
        </w:rPr>
      </w:pPr>
    </w:p>
    <w:p>
      <w:pPr>
        <w:ind w:left="540" w:right="1839" w:firstLine="515"/>
        <w:spacing w:after="0" w:line="251" w:lineRule="auto"/>
        <w:tabs>
          <w:tab w:leader="none" w:pos="1483" w:val="left"/>
        </w:tabs>
        <w:numPr>
          <w:ilvl w:val="1"/>
          <w:numId w:val="5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Subject to paragraph (B)(1)(c) of this Article FIFTH, each share of Class A Common Stock shall entitle the holder thereof to 0.2254 of a vote and each share of Class B Common Stock shall entitle the holder thereof to fifteen (15) votes. Holders of shares of Class A Special Common Stock shall not be entitled to vote for the election of directors or any other matter except as may be required by applicable law, in which case each share of Class A Special Common Stock shall entitle the holder thereof to 0.2254 of a vote.</w:t>
      </w:r>
    </w:p>
    <w:p>
      <w:pPr>
        <w:spacing w:after="0" w:line="201" w:lineRule="exact"/>
        <w:rPr>
          <w:sz w:val="20"/>
          <w:szCs w:val="20"/>
          <w:color w:val="auto"/>
        </w:rPr>
      </w:pPr>
    </w:p>
    <w:p>
      <w:pPr>
        <w:ind w:left="540" w:right="1839" w:firstLine="515"/>
        <w:spacing w:after="0" w:line="251" w:lineRule="auto"/>
        <w:tabs>
          <w:tab w:leader="none" w:pos="1483" w:val="left"/>
        </w:tabs>
        <w:numPr>
          <w:ilvl w:val="0"/>
          <w:numId w:val="5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Articles of Incorporation, or the By-Laws of the Corporation. Whenever applicable law, these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Articles of Incorporation or the By-Laws of the Corporation.</w:t>
      </w:r>
    </w:p>
    <w:p>
      <w:pPr>
        <w:spacing w:after="0" w:line="201"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5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these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C-1</w:t>
      </w:r>
    </w:p>
    <w:p>
      <w:pPr>
        <w:sectPr>
          <w:pgSz w:w="11900" w:h="16838" w:orient="portrait"/>
          <w:cols w:equalWidth="0" w:num="1">
            <w:col w:w="10219"/>
          </w:cols>
          <w:pgMar w:left="240" w:top="719" w:right="1440" w:bottom="458" w:gutter="0" w:footer="0" w:header="0"/>
        </w:sectPr>
      </w:pPr>
    </w:p>
    <w:bookmarkStart w:id="530" w:name="page531"/>
    <w:bookmarkEnd w:id="530"/>
    <w:p>
      <w:pPr>
        <w:ind w:right="1839"/>
        <w:spacing w:after="0" w:line="251" w:lineRule="auto"/>
        <w:rPr>
          <w:sz w:val="20"/>
          <w:szCs w:val="20"/>
          <w:color w:val="auto"/>
        </w:rPr>
      </w:pPr>
      <w:r>
        <w:rPr>
          <w:rFonts w:ascii="Courier New" w:cs="Courier New" w:eastAsia="Courier New" w:hAnsi="Courier New"/>
          <w:sz w:val="17"/>
          <w:szCs w:val="17"/>
          <w:color w:val="auto"/>
        </w:rPr>
        <w:t>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 three and one-third (33 1/3) per cent of the total votes cast by all such holders. If at any time after the Effective Time for any reason whatsoever the number of shares of Class B Common Stock outstanding at such time is reduced below the number of shares of Class B Common Stock outstanding at the Effective Time (appropriately adjusted for any stock dividend paid in Class B Common Stock, stock splits of the Class B Common Stock or combinations, consolidations or reclassifications of the Class B Common Stock), the percentage specified in the preceding sentence shall be reduced to a percentage equal to the product of (i) thirty three and one-third (33 1/3) and (ii) the fraction obtained by dividing the number of shares of Class B Common Stock outstanding at such time by the number of shares of Class B Common Stock outstanding at the Effective Time (appropriately adjusted for any stock dividend paid in Class B Common Stock,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202" w:lineRule="exact"/>
        <w:rPr>
          <w:sz w:val="20"/>
          <w:szCs w:val="20"/>
          <w:color w:val="auto"/>
        </w:rPr>
      </w:pPr>
    </w:p>
    <w:p>
      <w:pPr>
        <w:ind w:right="1839" w:firstLine="515"/>
        <w:spacing w:after="0" w:line="252" w:lineRule="auto"/>
        <w:tabs>
          <w:tab w:leader="none" w:pos="943" w:val="left"/>
        </w:tabs>
        <w:numPr>
          <w:ilvl w:val="0"/>
          <w:numId w:val="5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Class A Common Stock, the holders of 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195" w:lineRule="exact"/>
        <w:rPr>
          <w:rFonts w:ascii="Courier New" w:cs="Courier New" w:eastAsia="Courier New" w:hAnsi="Courier New"/>
          <w:sz w:val="17"/>
          <w:szCs w:val="17"/>
          <w:color w:val="auto"/>
        </w:rPr>
      </w:pPr>
    </w:p>
    <w:p>
      <w:pPr>
        <w:ind w:right="1839" w:firstLine="515"/>
        <w:spacing w:after="0" w:line="251" w:lineRule="auto"/>
        <w:tabs>
          <w:tab w:leader="none" w:pos="943" w:val="left"/>
        </w:tabs>
        <w:numPr>
          <w:ilvl w:val="0"/>
          <w:numId w:val="5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Class A Common Stock, the holders of Class A Special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Special Common Stock. Any decrease in the number of shares of any class of Common Stock resulting from a combination or consolidation of shares or other capital reclassification shall not be permitted unless parallel action is taken with respect to each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the holders of Class A Special 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w:t>
      </w:r>
    </w:p>
    <w:p>
      <w:pPr>
        <w:spacing w:after="0" w:line="200" w:lineRule="exact"/>
        <w:rPr>
          <w:sz w:val="20"/>
          <w:szCs w:val="20"/>
          <w:color w:val="auto"/>
        </w:rPr>
      </w:pPr>
    </w:p>
    <w:p>
      <w:pPr>
        <w:spacing w:after="0" w:line="203"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C-2</w:t>
      </w:r>
    </w:p>
    <w:p>
      <w:pPr>
        <w:sectPr>
          <w:pgSz w:w="11900" w:h="16838" w:orient="portrait"/>
          <w:cols w:equalWidth="0" w:num="1">
            <w:col w:w="9679"/>
          </w:cols>
          <w:pgMar w:left="780" w:top="718" w:right="1440" w:bottom="458" w:gutter="0" w:footer="0" w:header="0"/>
        </w:sectPr>
      </w:pPr>
    </w:p>
    <w:bookmarkStart w:id="531" w:name="page532"/>
    <w:bookmarkEnd w:id="531"/>
    <w:p>
      <w:pPr>
        <w:ind w:right="1939"/>
        <w:spacing w:after="0" w:line="252" w:lineRule="auto"/>
        <w:rPr>
          <w:sz w:val="20"/>
          <w:szCs w:val="20"/>
          <w:color w:val="auto"/>
        </w:rPr>
      </w:pPr>
      <w:r>
        <w:rPr>
          <w:rFonts w:ascii="Courier New" w:cs="Courier New" w:eastAsia="Courier New" w:hAnsi="Courier New"/>
          <w:sz w:val="17"/>
          <w:szCs w:val="17"/>
          <w:color w:val="auto"/>
        </w:rPr>
        <w:t>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197" w:lineRule="exact"/>
        <w:rPr>
          <w:sz w:val="20"/>
          <w:szCs w:val="20"/>
          <w:color w:val="auto"/>
        </w:rPr>
      </w:pPr>
    </w:p>
    <w:p>
      <w:pPr>
        <w:ind w:right="1939" w:firstLine="515"/>
        <w:spacing w:after="0" w:line="253" w:lineRule="auto"/>
        <w:tabs>
          <w:tab w:leader="none" w:pos="943" w:val="left"/>
        </w:tabs>
        <w:numPr>
          <w:ilvl w:val="0"/>
          <w:numId w:val="5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Class B Common Stock shall be convertible at the option of the holder thereof into one share of Class A Common Stock or one share of Class A Special Common Stock. Each share of Class B Common Stock shall be cancelled after it has been converted as provided herein.</w:t>
      </w:r>
    </w:p>
    <w:p>
      <w:pPr>
        <w:spacing w:after="0" w:line="195" w:lineRule="exact"/>
        <w:rPr>
          <w:rFonts w:ascii="Courier New" w:cs="Courier New" w:eastAsia="Courier New" w:hAnsi="Courier New"/>
          <w:sz w:val="17"/>
          <w:szCs w:val="17"/>
          <w:color w:val="auto"/>
        </w:rPr>
      </w:pPr>
    </w:p>
    <w:p>
      <w:pPr>
        <w:ind w:right="1939" w:firstLine="515"/>
        <w:spacing w:after="0" w:line="251" w:lineRule="auto"/>
        <w:tabs>
          <w:tab w:leader="none" w:pos="943" w:val="left"/>
        </w:tabs>
        <w:numPr>
          <w:ilvl w:val="0"/>
          <w:numId w:val="5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Article SEVENTH and except as otherwise permitted by applicable law, each and any provision of these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201" w:lineRule="exact"/>
        <w:rPr>
          <w:rFonts w:ascii="Courier New" w:cs="Courier New" w:eastAsia="Courier New" w:hAnsi="Courier New"/>
          <w:sz w:val="17"/>
          <w:szCs w:val="17"/>
          <w:color w:val="auto"/>
        </w:rPr>
      </w:pPr>
    </w:p>
    <w:p>
      <w:pPr>
        <w:ind w:right="1839" w:firstLine="515"/>
        <w:spacing w:after="0" w:line="251" w:lineRule="auto"/>
        <w:tabs>
          <w:tab w:leader="none" w:pos="943" w:val="left"/>
        </w:tabs>
        <w:numPr>
          <w:ilvl w:val="0"/>
          <w:numId w:val="5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there should be any merger, consolidation, purchase or acquisition of property or stock, separation, reorganization, division or share exchange, the Board of Directors shall take such action as may be necessary to enable the holders of the Class B Common Stock to receive upon any subsequent conversion of their stock into Class A Common Stock or Class A Special Common Stock (as the case may be), in whole or in part, in lieu of any shares of Class A Common Stock or Class A Special Common Stock (as the case may be) of the Corporation, the shares of stock, securities, or other assets as would be issuable or payable upon such merger, consolidation, purchase, or acquisition of property or stock, separation, reorganization, division or share exchange in respect of or in exchange for such share or shares of Class A Common Stock or Class A Special Common Stock (as the case may be).</w:t>
      </w:r>
    </w:p>
    <w:p>
      <w:pPr>
        <w:spacing w:after="0" w:line="201" w:lineRule="exact"/>
        <w:rPr>
          <w:rFonts w:ascii="Courier New" w:cs="Courier New" w:eastAsia="Courier New" w:hAnsi="Courier New"/>
          <w:sz w:val="17"/>
          <w:szCs w:val="17"/>
          <w:color w:val="auto"/>
        </w:rPr>
      </w:pPr>
    </w:p>
    <w:p>
      <w:pPr>
        <w:ind w:right="1839" w:firstLine="515"/>
        <w:spacing w:after="0" w:line="252" w:lineRule="auto"/>
        <w:tabs>
          <w:tab w:leader="none" w:pos="943" w:val="left"/>
        </w:tabs>
        <w:numPr>
          <w:ilvl w:val="0"/>
          <w:numId w:val="5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any liquidation, dissolution or 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196" w:lineRule="exact"/>
        <w:rPr>
          <w:rFonts w:ascii="Courier New" w:cs="Courier New" w:eastAsia="Courier New" w:hAnsi="Courier New"/>
          <w:sz w:val="17"/>
          <w:szCs w:val="17"/>
          <w:color w:val="auto"/>
        </w:rPr>
      </w:pPr>
    </w:p>
    <w:p>
      <w:pPr>
        <w:ind w:right="1839" w:firstLine="515"/>
        <w:spacing w:after="0" w:line="252" w:lineRule="auto"/>
        <w:tabs>
          <w:tab w:leader="none" w:pos="943" w:val="left"/>
        </w:tabs>
        <w:numPr>
          <w:ilvl w:val="0"/>
          <w:numId w:val="5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197" w:lineRule="exact"/>
        <w:rPr>
          <w:rFonts w:ascii="Courier New" w:cs="Courier New" w:eastAsia="Courier New" w:hAnsi="Courier New"/>
          <w:sz w:val="17"/>
          <w:szCs w:val="17"/>
          <w:color w:val="auto"/>
        </w:rPr>
      </w:pPr>
    </w:p>
    <w:p>
      <w:pPr>
        <w:ind w:right="2039" w:firstLine="515"/>
        <w:spacing w:after="0" w:line="252" w:lineRule="auto"/>
        <w:tabs>
          <w:tab w:leader="none" w:pos="943" w:val="left"/>
        </w:tabs>
        <w:numPr>
          <w:ilvl w:val="0"/>
          <w:numId w:val="5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expressly set forth in these Articles of Incorporation (including, without limitation, this Article FIFTH and Article SEVENTH), the rights of the holders of Class A Common Stock, the rights of the holders of Class A Special Common Stock and the rights of the holders of Class B Common Stock shall be in all respects identical.</w:t>
      </w:r>
    </w:p>
    <w:p>
      <w:pPr>
        <w:spacing w:after="0" w:line="197" w:lineRule="exact"/>
        <w:rPr>
          <w:rFonts w:ascii="Courier New" w:cs="Courier New" w:eastAsia="Courier New" w:hAnsi="Courier New"/>
          <w:sz w:val="17"/>
          <w:szCs w:val="17"/>
          <w:color w:val="auto"/>
        </w:rPr>
      </w:pPr>
    </w:p>
    <w:p>
      <w:pPr>
        <w:ind w:right="1839" w:firstLine="515"/>
        <w:spacing w:after="0" w:line="252" w:lineRule="auto"/>
        <w:tabs>
          <w:tab w:leader="none" w:pos="1047" w:val="left"/>
        </w:tabs>
        <w:numPr>
          <w:ilvl w:val="0"/>
          <w:numId w:val="5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holders of the Class A Common Stock nor the holders of the Class B Common Stock nor the holders of any other class or series of Common Stock, Preferred Stock or other class of capital stock of the Corporation, whether issued prior to or after the Effective Time, shall have cumulative voting rights.</w:t>
      </w:r>
    </w:p>
    <w:p>
      <w:pPr>
        <w:spacing w:after="0" w:line="197"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C-3</w:t>
      </w:r>
    </w:p>
    <w:p>
      <w:pPr>
        <w:sectPr>
          <w:pgSz w:w="11900" w:h="16838" w:orient="portrait"/>
          <w:cols w:equalWidth="0" w:num="1">
            <w:col w:w="9679"/>
          </w:cols>
          <w:pgMar w:left="780" w:top="719" w:right="1440" w:bottom="1440" w:gutter="0" w:footer="0" w:header="0"/>
        </w:sectPr>
      </w:pPr>
    </w:p>
    <w:bookmarkStart w:id="532" w:name="page533"/>
    <w:bookmarkEnd w:id="532"/>
    <w:p>
      <w:pPr>
        <w:ind w:left="9"/>
        <w:spacing w:after="0"/>
        <w:tabs>
          <w:tab w:leader="none" w:pos="809" w:val="left"/>
        </w:tabs>
        <w:rPr>
          <w:sz w:val="20"/>
          <w:szCs w:val="20"/>
          <w:color w:val="auto"/>
        </w:rPr>
      </w:pPr>
      <w:r>
        <w:rPr>
          <w:rFonts w:ascii="Courier New" w:cs="Courier New" w:eastAsia="Courier New" w:hAnsi="Courier New"/>
          <w:sz w:val="17"/>
          <w:szCs w:val="17"/>
          <w:color w:val="auto"/>
        </w:rPr>
        <w:t>SIXTH:</w:t>
        <w:tab/>
        <w:t>Governance</w:t>
      </w:r>
    </w:p>
    <w:p>
      <w:pPr>
        <w:spacing w:after="0" w:line="210" w:lineRule="exact"/>
        <w:rPr>
          <w:sz w:val="20"/>
          <w:szCs w:val="20"/>
          <w:color w:val="auto"/>
        </w:rPr>
      </w:pPr>
    </w:p>
    <w:p>
      <w:pPr>
        <w:ind w:left="429" w:hanging="429"/>
        <w:spacing w:after="0"/>
        <w:tabs>
          <w:tab w:leader="none" w:pos="429" w:val="left"/>
        </w:tabs>
        <w:numPr>
          <w:ilvl w:val="0"/>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w:t>
      </w:r>
    </w:p>
    <w:p>
      <w:pPr>
        <w:spacing w:after="0" w:line="210" w:lineRule="exact"/>
        <w:rPr>
          <w:rFonts w:ascii="Courier New" w:cs="Courier New" w:eastAsia="Courier New" w:hAnsi="Courier New"/>
          <w:sz w:val="17"/>
          <w:szCs w:val="17"/>
          <w:color w:val="auto"/>
        </w:rPr>
      </w:pPr>
    </w:p>
    <w:p>
      <w:pPr>
        <w:ind w:left="949" w:hanging="425"/>
        <w:spacing w:after="0"/>
        <w:tabs>
          <w:tab w:leader="none" w:pos="949"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means AT&amp;T Corp., a New York corporation.</w:t>
      </w:r>
    </w:p>
    <w:p>
      <w:pPr>
        <w:spacing w:after="0" w:line="210" w:lineRule="exact"/>
        <w:rPr>
          <w:rFonts w:ascii="Courier New" w:cs="Courier New" w:eastAsia="Courier New" w:hAnsi="Courier New"/>
          <w:sz w:val="17"/>
          <w:szCs w:val="17"/>
          <w:color w:val="auto"/>
        </w:rPr>
      </w:pPr>
    </w:p>
    <w:p>
      <w:pPr>
        <w:ind w:left="9" w:right="1939" w:firstLine="515"/>
        <w:spacing w:after="0" w:line="253" w:lineRule="auto"/>
        <w:tabs>
          <w:tab w:leader="none" w:pos="952"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DIRECTORS" means (i) those five (5) Directors designated by AT&amp;T to serve as members of the Board of Directors pursuant to a contractual right of AT&amp;T to designate such Directors and (ii) any Replacement AT&amp;T Director.</w:t>
      </w:r>
    </w:p>
    <w:p>
      <w:pPr>
        <w:spacing w:after="0" w:line="195" w:lineRule="exact"/>
        <w:rPr>
          <w:rFonts w:ascii="Courier New" w:cs="Courier New" w:eastAsia="Courier New" w:hAnsi="Courier New"/>
          <w:sz w:val="17"/>
          <w:szCs w:val="17"/>
          <w:color w:val="auto"/>
        </w:rPr>
      </w:pPr>
    </w:p>
    <w:p>
      <w:pPr>
        <w:ind w:left="9" w:right="2879" w:firstLine="515"/>
        <w:spacing w:after="0" w:line="257" w:lineRule="auto"/>
        <w:tabs>
          <w:tab w:leader="none" w:pos="952"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"BOARD OF DIRECTORS" means the Board of Directors of the Corporation.</w:t>
      </w:r>
    </w:p>
    <w:p>
      <w:pPr>
        <w:spacing w:after="0" w:line="191" w:lineRule="exact"/>
        <w:rPr>
          <w:rFonts w:ascii="Courier New" w:cs="Courier New" w:eastAsia="Courier New" w:hAnsi="Courier New"/>
          <w:sz w:val="17"/>
          <w:szCs w:val="17"/>
          <w:color w:val="auto"/>
        </w:rPr>
      </w:pPr>
    </w:p>
    <w:p>
      <w:pPr>
        <w:ind w:left="949" w:hanging="425"/>
        <w:spacing w:after="0"/>
        <w:tabs>
          <w:tab w:leader="none" w:pos="949"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"CEO" means the Chief Executive Officer of the Corporation.</w:t>
      </w:r>
    </w:p>
    <w:p>
      <w:pPr>
        <w:spacing w:after="0" w:line="210" w:lineRule="exact"/>
        <w:rPr>
          <w:rFonts w:ascii="Courier New" w:cs="Courier New" w:eastAsia="Courier New" w:hAnsi="Courier New"/>
          <w:sz w:val="17"/>
          <w:szCs w:val="17"/>
          <w:color w:val="auto"/>
        </w:rPr>
      </w:pPr>
    </w:p>
    <w:p>
      <w:pPr>
        <w:ind w:left="949" w:hanging="425"/>
        <w:spacing w:after="0"/>
        <w:tabs>
          <w:tab w:leader="none" w:pos="949"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"CHAIRMAN" means the Chairman of the Board of Directors.</w:t>
      </w:r>
    </w:p>
    <w:p>
      <w:pPr>
        <w:spacing w:after="0" w:line="210" w:lineRule="exact"/>
        <w:rPr>
          <w:rFonts w:ascii="Courier New" w:cs="Courier New" w:eastAsia="Courier New" w:hAnsi="Courier New"/>
          <w:sz w:val="17"/>
          <w:szCs w:val="17"/>
          <w:color w:val="auto"/>
        </w:rPr>
      </w:pPr>
    </w:p>
    <w:p>
      <w:pPr>
        <w:ind w:left="949" w:hanging="425"/>
        <w:spacing w:after="0"/>
        <w:tabs>
          <w:tab w:leader="none" w:pos="949"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means Comcast Corporation, a Pennsylvania corporation.</w:t>
      </w:r>
    </w:p>
    <w:p>
      <w:pPr>
        <w:spacing w:after="0" w:line="210" w:lineRule="exact"/>
        <w:rPr>
          <w:rFonts w:ascii="Courier New" w:cs="Courier New" w:eastAsia="Courier New" w:hAnsi="Courier New"/>
          <w:sz w:val="17"/>
          <w:szCs w:val="17"/>
          <w:color w:val="auto"/>
        </w:rPr>
      </w:pPr>
    </w:p>
    <w:p>
      <w:pPr>
        <w:ind w:left="9" w:right="1939" w:firstLine="515"/>
        <w:spacing w:after="0" w:line="253" w:lineRule="auto"/>
        <w:tabs>
          <w:tab w:leader="none" w:pos="952"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DIRECTORS" means (i) those five (5) Directors designated by Comcast to serve as members of the Board of Directors pursuant to a contractual right of Comcast to designate such Directors and (ii) any Replacement Comcast Director.</w:t>
      </w:r>
    </w:p>
    <w:p>
      <w:pPr>
        <w:spacing w:after="0" w:line="195" w:lineRule="exact"/>
        <w:rPr>
          <w:rFonts w:ascii="Courier New" w:cs="Courier New" w:eastAsia="Courier New" w:hAnsi="Courier New"/>
          <w:sz w:val="17"/>
          <w:szCs w:val="17"/>
          <w:color w:val="auto"/>
        </w:rPr>
      </w:pPr>
    </w:p>
    <w:p>
      <w:pPr>
        <w:ind w:left="949" w:hanging="425"/>
        <w:spacing w:after="0"/>
        <w:tabs>
          <w:tab w:leader="none" w:pos="949"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means a director of the Corporation.</w:t>
      </w:r>
    </w:p>
    <w:p>
      <w:pPr>
        <w:spacing w:after="0" w:line="210" w:lineRule="exact"/>
        <w:rPr>
          <w:rFonts w:ascii="Courier New" w:cs="Courier New" w:eastAsia="Courier New" w:hAnsi="Courier New"/>
          <w:sz w:val="17"/>
          <w:szCs w:val="17"/>
          <w:color w:val="auto"/>
        </w:rPr>
      </w:pPr>
    </w:p>
    <w:p>
      <w:pPr>
        <w:ind w:left="9" w:right="2359" w:firstLine="515"/>
        <w:spacing w:after="0" w:line="257" w:lineRule="auto"/>
        <w:tabs>
          <w:tab w:leader="none" w:pos="952"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NOMINATING COMMITTEE" has the meaning specified in paragraph (E) of this Article SIXTH.</w:t>
      </w:r>
    </w:p>
    <w:p>
      <w:pPr>
        <w:spacing w:after="0" w:line="191" w:lineRule="exact"/>
        <w:rPr>
          <w:rFonts w:ascii="Courier New" w:cs="Courier New" w:eastAsia="Courier New" w:hAnsi="Courier New"/>
          <w:sz w:val="17"/>
          <w:szCs w:val="17"/>
          <w:color w:val="auto"/>
        </w:rPr>
      </w:pPr>
    </w:p>
    <w:p>
      <w:pPr>
        <w:ind w:left="9" w:right="1839" w:firstLine="515"/>
        <w:spacing w:after="0" w:line="254" w:lineRule="auto"/>
        <w:tabs>
          <w:tab w:leader="none" w:pos="1056"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TIME" means the date and time at which these Amended and Restated Articles of Incorporation become effective with the Department of State of the Commonwealth of Pennsylvania.</w:t>
      </w:r>
    </w:p>
    <w:p>
      <w:pPr>
        <w:spacing w:after="0" w:line="194" w:lineRule="exact"/>
        <w:rPr>
          <w:rFonts w:ascii="Courier New" w:cs="Courier New" w:eastAsia="Courier New" w:hAnsi="Courier New"/>
          <w:sz w:val="17"/>
          <w:szCs w:val="17"/>
          <w:color w:val="auto"/>
        </w:rPr>
      </w:pPr>
    </w:p>
    <w:p>
      <w:pPr>
        <w:ind w:left="9" w:right="2039" w:firstLine="515"/>
        <w:spacing w:after="0" w:line="257" w:lineRule="auto"/>
        <w:tabs>
          <w:tab w:leader="none" w:pos="1056"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"HOLIDAY" has the meaning specified in paragraph (B)(4) of this Article SIXTH.</w:t>
      </w:r>
    </w:p>
    <w:p>
      <w:pPr>
        <w:spacing w:after="0" w:line="191" w:lineRule="exact"/>
        <w:rPr>
          <w:rFonts w:ascii="Courier New" w:cs="Courier New" w:eastAsia="Courier New" w:hAnsi="Courier New"/>
          <w:sz w:val="17"/>
          <w:szCs w:val="17"/>
          <w:color w:val="auto"/>
        </w:rPr>
      </w:pPr>
    </w:p>
    <w:p>
      <w:pPr>
        <w:ind w:left="9" w:right="2039" w:firstLine="515"/>
        <w:spacing w:after="0" w:line="253" w:lineRule="auto"/>
        <w:tabs>
          <w:tab w:leader="none" w:pos="1056"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"INDEPENDENT DIRECTOR" means (i) those two (2) Independent Persons jointly designated by AT&amp;T and Comcast to serve as members of the Board of Directors pursuant to a contractual right of AT&amp;T and Comcast to designate such Directors and (ii) any Replacement Independent Director.</w:t>
      </w:r>
    </w:p>
    <w:p>
      <w:pPr>
        <w:spacing w:after="0" w:line="195" w:lineRule="exact"/>
        <w:rPr>
          <w:rFonts w:ascii="Courier New" w:cs="Courier New" w:eastAsia="Courier New" w:hAnsi="Courier New"/>
          <w:sz w:val="17"/>
          <w:szCs w:val="17"/>
          <w:color w:val="auto"/>
        </w:rPr>
      </w:pPr>
    </w:p>
    <w:p>
      <w:pPr>
        <w:ind w:left="9" w:right="2139" w:firstLine="515"/>
        <w:spacing w:after="0" w:line="251" w:lineRule="auto"/>
        <w:tabs>
          <w:tab w:leader="none" w:pos="1056"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"INDEPENDENT PERSON" means a disinterested, independent person (determined in accordance with customary standards for independent directors applicable to U.S. public companies), it being understood that</w:t>
      </w:r>
    </w:p>
    <w:p>
      <w:pPr>
        <w:ind w:left="9"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 each individual who was a member of the Board of Directors of AT&amp;T as of December 19, 2001 (other than Mr. C. Michael Armstrong) was deemed to be an Independent Person as of December 19, 2001, (ii) none of the Comcast Directors (other than Decker Anstrom) as of December 19, 2001 was deemed to be an Independent Person as of December 19, 2001 and (iii) none of the spouse, parents, siblings, lineal descendants, aunts, uncles, cousins and other close relatives (or their respective spouses) of Mr. Brian L. Roberts will be deemed Independent Persons at any time.</w:t>
      </w:r>
    </w:p>
    <w:p>
      <w:pPr>
        <w:spacing w:after="0" w:line="201" w:lineRule="exact"/>
        <w:rPr>
          <w:rFonts w:ascii="Courier New" w:cs="Courier New" w:eastAsia="Courier New" w:hAnsi="Courier New"/>
          <w:sz w:val="17"/>
          <w:szCs w:val="17"/>
          <w:color w:val="auto"/>
        </w:rPr>
      </w:pPr>
    </w:p>
    <w:p>
      <w:pPr>
        <w:jc w:val="both"/>
        <w:ind w:left="9" w:right="2039" w:firstLine="515"/>
        <w:spacing w:after="0" w:line="257" w:lineRule="auto"/>
        <w:tabs>
          <w:tab w:leader="none" w:pos="1056"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"INITIAL TERM" means the period beginning at the Effective Time and ending at the 2005 annual meeting of shareholders of the Corporation.</w:t>
      </w:r>
    </w:p>
    <w:p>
      <w:pPr>
        <w:spacing w:after="0" w:line="191" w:lineRule="exact"/>
        <w:rPr>
          <w:rFonts w:ascii="Courier New" w:cs="Courier New" w:eastAsia="Courier New" w:hAnsi="Courier New"/>
          <w:sz w:val="17"/>
          <w:szCs w:val="17"/>
          <w:color w:val="auto"/>
        </w:rPr>
      </w:pPr>
    </w:p>
    <w:p>
      <w:pPr>
        <w:ind w:left="9" w:right="2779" w:firstLine="515"/>
        <w:spacing w:after="0" w:line="257" w:lineRule="auto"/>
        <w:tabs>
          <w:tab w:leader="none" w:pos="1056"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"REPLACEMENT AT&amp;T DIRECTOR" has the meaning specified in paragraph (B)(2) of this Article SIXTH.</w:t>
      </w:r>
    </w:p>
    <w:p>
      <w:pPr>
        <w:spacing w:after="0" w:line="191" w:lineRule="exact"/>
        <w:rPr>
          <w:rFonts w:ascii="Courier New" w:cs="Courier New" w:eastAsia="Courier New" w:hAnsi="Courier New"/>
          <w:sz w:val="17"/>
          <w:szCs w:val="17"/>
          <w:color w:val="auto"/>
        </w:rPr>
      </w:pPr>
    </w:p>
    <w:p>
      <w:pPr>
        <w:ind w:left="9" w:right="2459" w:firstLine="515"/>
        <w:spacing w:after="0" w:line="257" w:lineRule="auto"/>
        <w:tabs>
          <w:tab w:leader="none" w:pos="1056"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"REPLACEMENT COMCAST DIRECTOR" has the meaning specified in paragraph (B)(2) of this Article SIXTH.</w:t>
      </w:r>
    </w:p>
    <w:p>
      <w:pPr>
        <w:spacing w:after="0" w:line="191" w:lineRule="exact"/>
        <w:rPr>
          <w:rFonts w:ascii="Courier New" w:cs="Courier New" w:eastAsia="Courier New" w:hAnsi="Courier New"/>
          <w:sz w:val="17"/>
          <w:szCs w:val="17"/>
          <w:color w:val="auto"/>
        </w:rPr>
      </w:pPr>
    </w:p>
    <w:p>
      <w:pPr>
        <w:ind w:left="9" w:right="2259" w:firstLine="515"/>
        <w:spacing w:after="0" w:line="257" w:lineRule="auto"/>
        <w:tabs>
          <w:tab w:leader="none" w:pos="1056"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"REPLACEMENT DIRECTOR" has the meaning specified in paragraph (B)(2) of this Article SIXTH.</w:t>
      </w:r>
    </w:p>
    <w:p>
      <w:pPr>
        <w:spacing w:after="0" w:line="191" w:lineRule="exact"/>
        <w:rPr>
          <w:rFonts w:ascii="Courier New" w:cs="Courier New" w:eastAsia="Courier New" w:hAnsi="Courier New"/>
          <w:sz w:val="17"/>
          <w:szCs w:val="17"/>
          <w:color w:val="auto"/>
        </w:rPr>
      </w:pPr>
    </w:p>
    <w:p>
      <w:pPr>
        <w:ind w:left="9" w:right="2039" w:firstLine="515"/>
        <w:spacing w:after="0" w:line="257" w:lineRule="auto"/>
        <w:tabs>
          <w:tab w:leader="none" w:pos="1056" w:val="left"/>
        </w:tabs>
        <w:numPr>
          <w:ilvl w:val="1"/>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"REPLACEMENT INDEPENDENT DIRECTOR" has the meaning specified in paragraph (B)(2) of this Article SIXTH.</w:t>
      </w:r>
    </w:p>
    <w:p>
      <w:pPr>
        <w:spacing w:after="0" w:line="192"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C-4</w:t>
      </w:r>
    </w:p>
    <w:p>
      <w:pPr>
        <w:sectPr>
          <w:pgSz w:w="11900" w:h="16838" w:orient="portrait"/>
          <w:cols w:equalWidth="0" w:num="1">
            <w:col w:w="9688"/>
          </w:cols>
          <w:pgMar w:left="771" w:top="718" w:right="1440" w:bottom="1440" w:gutter="0" w:footer="0" w:header="0"/>
        </w:sectPr>
      </w:pPr>
    </w:p>
    <w:bookmarkStart w:id="533" w:name="page534"/>
    <w:bookmarkEnd w:id="533"/>
    <w:p>
      <w:pPr>
        <w:ind w:left="9" w:right="2139" w:firstLine="515"/>
        <w:spacing w:after="0" w:line="253" w:lineRule="auto"/>
        <w:tabs>
          <w:tab w:leader="none" w:pos="1056" w:val="left"/>
        </w:tabs>
        <w:numPr>
          <w:ilvl w:val="1"/>
          <w:numId w:val="5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"SPECIFIED PERIOD" means the period beginning at the Effective Time and ending at the 2005 annual meeting of shareholders of the Corporation or, if earlier, the date on which Mr. C. Michael Armstrong ceases to be the Chairman.</w:t>
      </w:r>
    </w:p>
    <w:p>
      <w:pPr>
        <w:spacing w:after="0" w:line="195" w:lineRule="exact"/>
        <w:rPr>
          <w:rFonts w:ascii="Courier New" w:cs="Courier New" w:eastAsia="Courier New" w:hAnsi="Courier New"/>
          <w:sz w:val="17"/>
          <w:szCs w:val="17"/>
          <w:color w:val="auto"/>
        </w:rPr>
      </w:pPr>
    </w:p>
    <w:p>
      <w:pPr>
        <w:ind w:left="429" w:hanging="429"/>
        <w:spacing w:after="0"/>
        <w:tabs>
          <w:tab w:leader="none" w:pos="429" w:val="left"/>
        </w:tabs>
        <w:numPr>
          <w:ilvl w:val="0"/>
          <w:numId w:val="5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w:t>
      </w:r>
    </w:p>
    <w:p>
      <w:pPr>
        <w:spacing w:after="0" w:line="210" w:lineRule="exact"/>
        <w:rPr>
          <w:rFonts w:ascii="Courier New" w:cs="Courier New" w:eastAsia="Courier New" w:hAnsi="Courier New"/>
          <w:sz w:val="17"/>
          <w:szCs w:val="17"/>
          <w:color w:val="auto"/>
        </w:rPr>
      </w:pPr>
    </w:p>
    <w:p>
      <w:pPr>
        <w:ind w:left="9" w:right="1939" w:firstLine="515"/>
        <w:spacing w:after="0" w:line="252" w:lineRule="auto"/>
        <w:tabs>
          <w:tab w:leader="none" w:pos="952" w:val="left"/>
        </w:tabs>
        <w:numPr>
          <w:ilvl w:val="1"/>
          <w:numId w:val="5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the Effective Time until the expiration of the Initial Term, the Board of Directors shall consist of twelve (12) Directors. From the Effective Time until the expiration of the Initial Term, the Board of Directors shall consist of the Comcast Directors, the AT&amp;T Directors and the Independent Directors. At all times, the Board of Directors shall consist of a majority of Independent Persons.</w:t>
      </w:r>
    </w:p>
    <w:p>
      <w:pPr>
        <w:spacing w:after="0" w:line="196" w:lineRule="exact"/>
        <w:rPr>
          <w:rFonts w:ascii="Courier New" w:cs="Courier New" w:eastAsia="Courier New" w:hAnsi="Courier New"/>
          <w:sz w:val="17"/>
          <w:szCs w:val="17"/>
          <w:color w:val="auto"/>
        </w:rPr>
      </w:pPr>
    </w:p>
    <w:p>
      <w:pPr>
        <w:ind w:left="9" w:right="1839" w:firstLine="515"/>
        <w:spacing w:after="0" w:line="251" w:lineRule="auto"/>
        <w:tabs>
          <w:tab w:leader="none" w:pos="952" w:val="left"/>
        </w:tabs>
        <w:numPr>
          <w:ilvl w:val="1"/>
          <w:numId w:val="5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the Effective Time until the expiration of the Initial Term, the Board of Directors shall take all action necessary to ensure that any seat on the Board of Directors held by (i) a Comcast Director which becomes vacant is filled promptly by a person designated by a majority of the Comcast Directors remaining on the Board of Directors; provided that at all times one of the Comcast Directors must be an Independent Person (such person, a "REPLACEMENT COMCAST DIRECTOR"), (ii) an AT&amp;T Director which becomes vacant is filled promptly by a person designated by a majority of the AT&amp;T Directors remaining on the Board of Directors (such person, a "REPLACEMENT AT&amp;T DIRECTOR") and (iii) an Independent Director which becomes vacant is filled promptly by an Independent Person designated by the Independent Director remaining on the Board of Directors or, if at such time, there is no Independent Director remaining on the Board of Directors, by the Board of Directors (such person, a "REPLACEMENT INDEPENDENT DIRECTOR" and, together with any Replacement Comcast Director and any Replacement AT&amp;T Director, a "REPLACEMENT DIRECTOR"); provided that the designation of any Replacement Independent Director by the Independent Director remaining on the Board of Directors shall be subject to the approval of the Board of Directors prior to such person becoming a Replacement Independent Director.</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9" w:right="2039" w:firstLine="515"/>
        <w:spacing w:after="0" w:line="252" w:lineRule="auto"/>
        <w:tabs>
          <w:tab w:leader="none" w:pos="952" w:val="left"/>
        </w:tabs>
        <w:numPr>
          <w:ilvl w:val="1"/>
          <w:numId w:val="5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Comcast Directors, AT&amp;T Directors and Independent Directors at the Effective Time, and each Replacement Director elected to the Board of Directors in accordance with this Article SIXTH during the Initial Term, shall hold office until the expiration of the Initial Term and until such Director's successor has been selected and qualified or until such Director's earlier death, resignation or removal.</w:t>
      </w:r>
    </w:p>
    <w:p>
      <w:pPr>
        <w:spacing w:after="0" w:line="196" w:lineRule="exact"/>
        <w:rPr>
          <w:rFonts w:ascii="Courier New" w:cs="Courier New" w:eastAsia="Courier New" w:hAnsi="Courier New"/>
          <w:sz w:val="17"/>
          <w:szCs w:val="17"/>
          <w:color w:val="auto"/>
        </w:rPr>
      </w:pPr>
    </w:p>
    <w:p>
      <w:pPr>
        <w:ind w:left="9" w:right="1839" w:firstLine="515"/>
        <w:spacing w:after="0" w:line="252" w:lineRule="auto"/>
        <w:tabs>
          <w:tab w:leader="none" w:pos="952" w:val="left"/>
        </w:tabs>
        <w:numPr>
          <w:ilvl w:val="1"/>
          <w:numId w:val="5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first annual meeting of shareholders of the Corporation shall occur on such date and at such time in April 2005 as the Board of Directors may determine, or if the Board of Directors fails to set a date and time, on the second Thursday of April 2005 at 9:00 o'clock a.m., if, in either case, not a holiday on which national banks are or may elect to be closed ("HOLIDAY"), and if such day is a Holiday, then such meeting shall be held on the next business day at such time.</w:t>
      </w:r>
    </w:p>
    <w:p>
      <w:pPr>
        <w:spacing w:after="0" w:line="195" w:lineRule="exact"/>
        <w:rPr>
          <w:rFonts w:ascii="Courier New" w:cs="Courier New" w:eastAsia="Courier New" w:hAnsi="Courier New"/>
          <w:sz w:val="17"/>
          <w:szCs w:val="17"/>
          <w:color w:val="auto"/>
        </w:rPr>
      </w:pPr>
    </w:p>
    <w:p>
      <w:pPr>
        <w:ind w:left="429" w:hanging="429"/>
        <w:spacing w:after="0"/>
        <w:tabs>
          <w:tab w:leader="none" w:pos="429" w:val="left"/>
        </w:tabs>
        <w:numPr>
          <w:ilvl w:val="0"/>
          <w:numId w:val="5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Office of the Chairman</w:t>
      </w:r>
    </w:p>
    <w:p>
      <w:pPr>
        <w:spacing w:after="0" w:line="210" w:lineRule="exact"/>
        <w:rPr>
          <w:rFonts w:ascii="Courier New" w:cs="Courier New" w:eastAsia="Courier New" w:hAnsi="Courier New"/>
          <w:sz w:val="17"/>
          <w:szCs w:val="17"/>
          <w:color w:val="auto"/>
        </w:rPr>
      </w:pPr>
    </w:p>
    <w:p>
      <w:pPr>
        <w:ind w:left="9" w:right="1839" w:firstLine="515"/>
        <w:spacing w:after="0" w:line="254" w:lineRule="auto"/>
        <w:tabs>
          <w:tab w:leader="none" w:pos="952" w:val="left"/>
        </w:tabs>
        <w:numPr>
          <w:ilvl w:val="1"/>
          <w:numId w:val="5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and during the Specified Period, there shall be an Office of the Chairman which shall be comprised of the Chairman and the CEO.</w:t>
      </w:r>
    </w:p>
    <w:p>
      <w:pPr>
        <w:spacing w:after="0" w:line="194" w:lineRule="exact"/>
        <w:rPr>
          <w:rFonts w:ascii="Courier New" w:cs="Courier New" w:eastAsia="Courier New" w:hAnsi="Courier New"/>
          <w:sz w:val="17"/>
          <w:szCs w:val="17"/>
          <w:color w:val="auto"/>
        </w:rPr>
      </w:pPr>
    </w:p>
    <w:p>
      <w:pPr>
        <w:ind w:left="9" w:right="1939" w:firstLine="515"/>
        <w:spacing w:after="0" w:line="252" w:lineRule="auto"/>
        <w:tabs>
          <w:tab w:leader="none" w:pos="952" w:val="left"/>
        </w:tabs>
        <w:numPr>
          <w:ilvl w:val="1"/>
          <w:numId w:val="5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Office of the Chairman shall be the Corporation's principal executive deliberative body with responsibility for corporate strategy, policy and direction, governmental affairs and other matters of significance to the Corporation. The Chairman and the CEO shall advise and consult with each other with respect to each of the foregoing matters.</w:t>
      </w:r>
    </w:p>
    <w:p>
      <w:pPr>
        <w:spacing w:after="0" w:line="197" w:lineRule="exact"/>
        <w:rPr>
          <w:rFonts w:ascii="Courier New" w:cs="Courier New" w:eastAsia="Courier New" w:hAnsi="Courier New"/>
          <w:sz w:val="17"/>
          <w:szCs w:val="17"/>
          <w:color w:val="auto"/>
        </w:rPr>
      </w:pPr>
    </w:p>
    <w:p>
      <w:pPr>
        <w:ind w:left="429" w:hanging="429"/>
        <w:spacing w:after="0"/>
        <w:tabs>
          <w:tab w:leader="none" w:pos="429" w:val="left"/>
        </w:tabs>
        <w:numPr>
          <w:ilvl w:val="0"/>
          <w:numId w:val="5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Officers</w:t>
      </w:r>
    </w:p>
    <w:p>
      <w:pPr>
        <w:spacing w:after="0" w:line="210" w:lineRule="exact"/>
        <w:rPr>
          <w:rFonts w:ascii="Courier New" w:cs="Courier New" w:eastAsia="Courier New" w:hAnsi="Courier New"/>
          <w:sz w:val="17"/>
          <w:szCs w:val="17"/>
          <w:color w:val="auto"/>
        </w:rPr>
      </w:pPr>
    </w:p>
    <w:p>
      <w:pPr>
        <w:ind w:left="949" w:hanging="425"/>
        <w:spacing w:after="0"/>
        <w:tabs>
          <w:tab w:leader="none" w:pos="949" w:val="left"/>
        </w:tabs>
        <w:numPr>
          <w:ilvl w:val="1"/>
          <w:numId w:val="5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Chairman.</w:t>
      </w:r>
    </w:p>
    <w:p>
      <w:pPr>
        <w:spacing w:after="0" w:line="210" w:lineRule="exact"/>
        <w:rPr>
          <w:sz w:val="20"/>
          <w:szCs w:val="20"/>
          <w:color w:val="auto"/>
        </w:rPr>
      </w:pPr>
    </w:p>
    <w:p>
      <w:pPr>
        <w:ind w:left="9" w:right="2039" w:firstLine="515"/>
        <w:spacing w:after="0" w:line="252" w:lineRule="auto"/>
        <w:tabs>
          <w:tab w:leader="none" w:pos="952" w:val="left"/>
        </w:tabs>
        <w:numPr>
          <w:ilvl w:val="0"/>
          <w:numId w:val="5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and during the Specified Period, the Chairman shall be Mr. C. Michael Armstrong if he is willing and available to serve; provided that from and after April 1, 2004, if the Specified Period has not expired, Mr. C. Michael Armstrong shall be non-executive Chairman for the remainder of the Specified Period. After the Specified Period, the Chairman shall be Mr. Brian L. Roberts if he is willing and available to serve.</w:t>
      </w:r>
    </w:p>
    <w:p>
      <w:pPr>
        <w:spacing w:after="0" w:line="196"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C-5</w:t>
      </w:r>
    </w:p>
    <w:p>
      <w:pPr>
        <w:sectPr>
          <w:pgSz w:w="11900" w:h="16838" w:orient="portrait"/>
          <w:cols w:equalWidth="0" w:num="1">
            <w:col w:w="9688"/>
          </w:cols>
          <w:pgMar w:left="771" w:top="719" w:right="1440" w:bottom="458" w:gutter="0" w:footer="0" w:header="0"/>
        </w:sectPr>
      </w:pPr>
    </w:p>
    <w:bookmarkStart w:id="534" w:name="page535"/>
    <w:bookmarkEnd w:id="534"/>
    <w:p>
      <w:pPr>
        <w:ind w:left="533" w:right="1939" w:firstLine="515"/>
        <w:spacing w:after="0" w:line="253" w:lineRule="auto"/>
        <w:tabs>
          <w:tab w:leader="none" w:pos="1475" w:val="left"/>
        </w:tabs>
        <w:numPr>
          <w:ilvl w:val="1"/>
          <w:numId w:val="5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195" w:lineRule="exact"/>
        <w:rPr>
          <w:rFonts w:ascii="Courier New" w:cs="Courier New" w:eastAsia="Courier New" w:hAnsi="Courier New"/>
          <w:sz w:val="17"/>
          <w:szCs w:val="17"/>
          <w:color w:val="auto"/>
        </w:rPr>
      </w:pPr>
    </w:p>
    <w:p>
      <w:pPr>
        <w:ind w:left="533" w:right="1939" w:firstLine="515"/>
        <w:spacing w:after="0" w:line="254" w:lineRule="auto"/>
        <w:tabs>
          <w:tab w:leader="none" w:pos="1475" w:val="left"/>
        </w:tabs>
        <w:numPr>
          <w:ilvl w:val="1"/>
          <w:numId w:val="5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Chairman shall have the authority to call special meetings of the Board of Directors, in the manner provided by the By-Laws of the Corporation.</w:t>
      </w:r>
    </w:p>
    <w:p>
      <w:pPr>
        <w:spacing w:after="0" w:line="194" w:lineRule="exact"/>
        <w:rPr>
          <w:rFonts w:ascii="Courier New" w:cs="Courier New" w:eastAsia="Courier New" w:hAnsi="Courier New"/>
          <w:sz w:val="17"/>
          <w:szCs w:val="17"/>
          <w:color w:val="auto"/>
        </w:rPr>
      </w:pPr>
    </w:p>
    <w:p>
      <w:pPr>
        <w:ind w:left="533" w:right="2039" w:firstLine="515"/>
        <w:spacing w:after="0" w:line="251" w:lineRule="auto"/>
        <w:tabs>
          <w:tab w:leader="none" w:pos="1475" w:val="left"/>
        </w:tabs>
        <w:numPr>
          <w:ilvl w:val="1"/>
          <w:numId w:val="5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Removal of the Chairman shall require the affirmative vote of at least 75% of the entire Board of Directors until the earlier to occur of</w:t>
      </w:r>
    </w:p>
    <w:p>
      <w:pPr>
        <w:ind w:left="953" w:hanging="429"/>
        <w:spacing w:after="0"/>
        <w:tabs>
          <w:tab w:leader="none" w:pos="953" w:val="left"/>
        </w:tabs>
        <w:numPr>
          <w:ilvl w:val="0"/>
          <w:numId w:val="5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on which neither Mr. C. Michael Armstrong nor Mr. Brian L.</w:t>
      </w:r>
    </w:p>
    <w:p>
      <w:pPr>
        <w:spacing w:after="0" w:line="8" w:lineRule="exact"/>
        <w:rPr>
          <w:rFonts w:ascii="Courier New" w:cs="Courier New" w:eastAsia="Courier New" w:hAnsi="Courier New"/>
          <w:sz w:val="17"/>
          <w:szCs w:val="17"/>
          <w:color w:val="auto"/>
        </w:rPr>
      </w:pPr>
    </w:p>
    <w:p>
      <w:pPr>
        <w:ind w:left="533" w:right="18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Roberts is the Chairman and (ii) the fifth anniversary of the expiration of the Initial Term.</w:t>
      </w:r>
    </w:p>
    <w:p>
      <w:pPr>
        <w:spacing w:after="0" w:line="192" w:lineRule="exact"/>
        <w:rPr>
          <w:sz w:val="20"/>
          <w:szCs w:val="20"/>
          <w:color w:val="auto"/>
        </w:rPr>
      </w:pPr>
    </w:p>
    <w:p>
      <w:pPr>
        <w:ind w:left="1473" w:hanging="425"/>
        <w:spacing w:after="0"/>
        <w:tabs>
          <w:tab w:leader="none" w:pos="1473" w:val="left"/>
        </w:tabs>
        <w:numPr>
          <w:ilvl w:val="0"/>
          <w:numId w:val="5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Chief Executive Officer and President.</w:t>
      </w:r>
    </w:p>
    <w:p>
      <w:pPr>
        <w:spacing w:after="0" w:line="210" w:lineRule="exact"/>
        <w:rPr>
          <w:sz w:val="20"/>
          <w:szCs w:val="20"/>
          <w:color w:val="auto"/>
        </w:rPr>
      </w:pPr>
    </w:p>
    <w:p>
      <w:pPr>
        <w:ind w:left="533" w:right="1839" w:firstLine="515"/>
        <w:spacing w:after="0" w:line="254" w:lineRule="auto"/>
        <w:tabs>
          <w:tab w:leader="none" w:pos="1475" w:val="left"/>
        </w:tabs>
        <w:numPr>
          <w:ilvl w:val="2"/>
          <w:numId w:val="5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the CEO shall be Mr. Brian L. Roberts if he is willing and available to serve. For so long as Mr. Brian L. Roberts shall be the CEO, he shall also be the President of the Corporation.</w:t>
      </w:r>
    </w:p>
    <w:p>
      <w:pPr>
        <w:spacing w:after="0" w:line="194" w:lineRule="exact"/>
        <w:rPr>
          <w:rFonts w:ascii="Courier New" w:cs="Courier New" w:eastAsia="Courier New" w:hAnsi="Courier New"/>
          <w:sz w:val="17"/>
          <w:szCs w:val="17"/>
          <w:color w:val="auto"/>
        </w:rPr>
      </w:pPr>
    </w:p>
    <w:p>
      <w:pPr>
        <w:ind w:left="533" w:right="2139" w:firstLine="515"/>
        <w:spacing w:after="0" w:line="254" w:lineRule="auto"/>
        <w:tabs>
          <w:tab w:leader="none" w:pos="1475" w:val="left"/>
        </w:tabs>
        <w:numPr>
          <w:ilvl w:val="2"/>
          <w:numId w:val="5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powers, rights, functions and responsibilities of the CEO shall include, without limitation, the following, subject to the control and direction of the Board of Directors:</w:t>
      </w:r>
    </w:p>
    <w:p>
      <w:pPr>
        <w:spacing w:after="0" w:line="194" w:lineRule="exact"/>
        <w:rPr>
          <w:rFonts w:ascii="Courier New" w:cs="Courier New" w:eastAsia="Courier New" w:hAnsi="Courier New"/>
          <w:sz w:val="17"/>
          <w:szCs w:val="17"/>
          <w:color w:val="auto"/>
        </w:rPr>
      </w:pPr>
    </w:p>
    <w:p>
      <w:pPr>
        <w:ind w:left="833" w:right="2039" w:firstLine="529"/>
        <w:spacing w:after="0" w:line="254" w:lineRule="auto"/>
        <w:tabs>
          <w:tab w:leader="none" w:pos="1775" w:val="left"/>
        </w:tabs>
        <w:numPr>
          <w:ilvl w:val="3"/>
          <w:numId w:val="5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supervision, coordination and management of the Corporation's business, operations, activities, operating expenses and capital allocation;</w:t>
      </w:r>
    </w:p>
    <w:p>
      <w:pPr>
        <w:spacing w:after="0" w:line="194" w:lineRule="exact"/>
        <w:rPr>
          <w:rFonts w:ascii="Courier New" w:cs="Courier New" w:eastAsia="Courier New" w:hAnsi="Courier New"/>
          <w:sz w:val="17"/>
          <w:szCs w:val="17"/>
          <w:color w:val="auto"/>
        </w:rPr>
      </w:pPr>
    </w:p>
    <w:p>
      <w:pPr>
        <w:ind w:left="833" w:right="1839" w:firstLine="529"/>
        <w:spacing w:after="0" w:line="251" w:lineRule="auto"/>
        <w:tabs>
          <w:tab w:leader="none" w:pos="1880" w:val="left"/>
        </w:tabs>
        <w:numPr>
          <w:ilvl w:val="3"/>
          <w:numId w:val="5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matters relating to officers (other than the Chairman) and employees, including, without limitation, hiring, terminating, changing positions and allocating responsibilities of such officers and employees; provided that, if the Chairman and the CEO are not the same person, the CEO shall consult with the Chairman in connection with the foregoing as it relates to the senior executives of the Corporation; provided, further, that following the initial designation of officers by the CEO (in consultation with the Chairman) as provided herein, the election of officers shall be as provided in the By-Laws of the Corporation;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833" w:right="2259" w:firstLine="529"/>
        <w:spacing w:after="0" w:line="254" w:lineRule="auto"/>
        <w:tabs>
          <w:tab w:leader="none" w:pos="1985" w:val="left"/>
        </w:tabs>
        <w:numPr>
          <w:ilvl w:val="3"/>
          <w:numId w:val="5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powers, rights, functions and responsibilities typically exercised by a chief executive officer and president of a corporation; and</w:t>
      </w:r>
    </w:p>
    <w:p>
      <w:pPr>
        <w:spacing w:after="0" w:line="194" w:lineRule="exact"/>
        <w:rPr>
          <w:rFonts w:ascii="Courier New" w:cs="Courier New" w:eastAsia="Courier New" w:hAnsi="Courier New"/>
          <w:sz w:val="17"/>
          <w:szCs w:val="17"/>
          <w:color w:val="auto"/>
        </w:rPr>
      </w:pPr>
    </w:p>
    <w:p>
      <w:pPr>
        <w:ind w:left="833" w:right="2259" w:firstLine="529"/>
        <w:spacing w:after="0" w:line="257" w:lineRule="auto"/>
        <w:tabs>
          <w:tab w:leader="none" w:pos="1880" w:val="left"/>
        </w:tabs>
        <w:numPr>
          <w:ilvl w:val="3"/>
          <w:numId w:val="5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authority to call special meetings of the Board of Directors, in the manner provided by the By-Laws of the Corporation.</w:t>
      </w:r>
    </w:p>
    <w:p>
      <w:pPr>
        <w:spacing w:after="0" w:line="191" w:lineRule="exact"/>
        <w:rPr>
          <w:rFonts w:ascii="Courier New" w:cs="Courier New" w:eastAsia="Courier New" w:hAnsi="Courier New"/>
          <w:sz w:val="17"/>
          <w:szCs w:val="17"/>
          <w:color w:val="auto"/>
        </w:rPr>
      </w:pPr>
    </w:p>
    <w:p>
      <w:pPr>
        <w:jc w:val="both"/>
        <w:ind w:left="533" w:right="1939" w:firstLine="515"/>
        <w:spacing w:after="0" w:line="253" w:lineRule="auto"/>
        <w:tabs>
          <w:tab w:leader="none" w:pos="1475" w:val="left"/>
        </w:tabs>
        <w:numPr>
          <w:ilvl w:val="2"/>
          <w:numId w:val="5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Removal of the CEO shall require the affirmative vote of at least 75% of the entire Board of Directors until the earlier to occur of (i) the date on which Mr. Brian L. Roberts ceases to be the CEO and (ii) the fifth anniversary of the expiration of the Initial Term.</w:t>
      </w:r>
    </w:p>
    <w:p>
      <w:pPr>
        <w:spacing w:after="0" w:line="195" w:lineRule="exact"/>
        <w:rPr>
          <w:rFonts w:ascii="Courier New" w:cs="Courier New" w:eastAsia="Courier New" w:hAnsi="Courier New"/>
          <w:sz w:val="17"/>
          <w:szCs w:val="17"/>
          <w:color w:val="auto"/>
        </w:rPr>
      </w:pPr>
    </w:p>
    <w:p>
      <w:pPr>
        <w:ind w:left="-7" w:right="1839" w:firstLine="531"/>
        <w:spacing w:after="0" w:line="251" w:lineRule="auto"/>
        <w:tabs>
          <w:tab w:leader="none" w:pos="935" w:val="left"/>
        </w:tabs>
        <w:numPr>
          <w:ilvl w:val="1"/>
          <w:numId w:val="5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Nominating Committee. The Directors Nominating Committee (the "DIRECTORS NOMINATING COMMITTEE") shall have the power to nominate individuals for election by the shareholders of the Corporation as Directors at the 2005 annual meeting of shareholders of the Corporation and thereafter. During the Initial Term, the Directors Nominating Committee shall consist of Mr. Brian L. Roberts, if he is the Chairman or the CEO, one (1) Comcast Director who is an Independent Person selected by the Comcast Directors and three (3) Directors who are Independent Persons selected from the AT&amp;T Directors and the Independent Directors by the Comcast Directors. During the Initial Term, if Mr. Brian L. Roberts is not the Chairman or the CEO, the Directors Nominating Committee shall consist of two (2) Comcast Directors selected by the Comcast Directors one of whom shall be an Independent Person and three (3) Independent Persons selected from the AT&amp;T Directors and the Independent Directors by the Comcast Directors. After the Initial Term, the Directors Nominating Committee shall consist of Mr. Brian L. Roberts, if he is the Chairman or CEO, and four</w:t>
      </w:r>
    </w:p>
    <w:p>
      <w:pPr>
        <w:ind w:left="-7" w:right="1939" w:firstLine="7"/>
        <w:spacing w:after="0" w:line="252" w:lineRule="auto"/>
        <w:tabs>
          <w:tab w:leader="none" w:pos="412" w:val="left"/>
        </w:tabs>
        <w:numPr>
          <w:ilvl w:val="0"/>
          <w:numId w:val="5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who are Independent Persons selected by Mr. Brian L. Roberts; provided that no Director who was a Comcast Director may be selected by Mr. Brian L. Roberts as a member of the Directors Nominating Committee pursuant to this sentence prior to the seventh anniversary of the date that such Director was initially elected to the Board of Directors. After the Initial Term, if Mr. Brian L. Roberts is not the Chairman or</w:t>
      </w:r>
    </w:p>
    <w:p>
      <w:pPr>
        <w:spacing w:after="0" w:line="197"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C-6</w:t>
      </w:r>
    </w:p>
    <w:p>
      <w:pPr>
        <w:sectPr>
          <w:pgSz w:w="11900" w:h="16838" w:orient="portrait"/>
          <w:cols w:equalWidth="0" w:num="1">
            <w:col w:w="10212"/>
          </w:cols>
          <w:pgMar w:left="247" w:top="719" w:right="1440" w:bottom="457" w:gutter="0" w:footer="0" w:header="0"/>
        </w:sectPr>
      </w:pPr>
    </w:p>
    <w:bookmarkStart w:id="535" w:name="page536"/>
    <w:bookmarkEnd w:id="535"/>
    <w:p>
      <w:pPr>
        <w:ind w:right="1839"/>
        <w:spacing w:after="0" w:line="251" w:lineRule="auto"/>
        <w:rPr>
          <w:sz w:val="20"/>
          <w:szCs w:val="20"/>
          <w:color w:val="auto"/>
        </w:rPr>
      </w:pPr>
      <w:r>
        <w:rPr>
          <w:rFonts w:ascii="Courier New" w:cs="Courier New" w:eastAsia="Courier New" w:hAnsi="Courier New"/>
          <w:sz w:val="17"/>
          <w:szCs w:val="17"/>
          <w:color w:val="auto"/>
        </w:rPr>
        <w:t>CEO, the Directors Nominating Committee shall be constituted as determined by the Board of Directors. At any time that Mr. Brian L. Roberts is a member of the Directors Nominating Committee, he shall be the Chairman of the Directors Nominating Committee. All powers otherwise held by the Board of Directors to nominate individuals for election by the shareholders of the Corporation as Directors shall reside exclusively in the Directors Nominating Committee, no such nominations shall be made by the Board of Directors and all nominations of the Directors Nominating Committee shall be submitted directly to the shareholders of the Corporation without any requirement that such nominations be submitted to the Board of Directors for its approval or ratification.</w:t>
      </w:r>
    </w:p>
    <w:p>
      <w:pPr>
        <w:spacing w:after="0" w:line="201" w:lineRule="exact"/>
        <w:rPr>
          <w:sz w:val="20"/>
          <w:szCs w:val="20"/>
          <w:color w:val="auto"/>
        </w:rPr>
      </w:pPr>
    </w:p>
    <w:p>
      <w:pPr>
        <w:ind w:right="1839" w:firstLine="531"/>
        <w:spacing w:after="0" w:line="253" w:lineRule="auto"/>
        <w:tabs>
          <w:tab w:leader="none" w:pos="943" w:val="left"/>
        </w:tabs>
        <w:numPr>
          <w:ilvl w:val="1"/>
          <w:numId w:val="5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195" w:lineRule="exact"/>
        <w:rPr>
          <w:rFonts w:ascii="Courier New" w:cs="Courier New" w:eastAsia="Courier New" w:hAnsi="Courier New"/>
          <w:sz w:val="17"/>
          <w:szCs w:val="17"/>
          <w:color w:val="auto"/>
        </w:rPr>
      </w:pPr>
    </w:p>
    <w:p>
      <w:pPr>
        <w:ind w:right="1939" w:firstLine="531"/>
        <w:spacing w:after="0" w:line="252" w:lineRule="auto"/>
        <w:tabs>
          <w:tab w:leader="none" w:pos="943" w:val="left"/>
        </w:tabs>
        <w:numPr>
          <w:ilvl w:val="1"/>
          <w:numId w:val="5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Subject to paragraph (H) of this Article SIXTH, until the earlier to occur of (i) the date on which Mr. Brian L. Roberts is no longer serving as the Chairman or the CEO and (ii) the fifth anniversary of the expiration of the Initial Term, the provisions of this Article SIXTH and the provisions of Article 9 of the By-Laws may not be amended, altered, repealed or waived in any respect without the prior approval of at least 75% of the entire Board of Directors.</w:t>
      </w:r>
    </w:p>
    <w:p>
      <w:pPr>
        <w:spacing w:after="0" w:line="195"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5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If Mr. Brian L. Roberts is no longer serving as the Chairman or the CEO, the provisions of this Article SIXTH (other than paragraphs</w:t>
      </w:r>
    </w:p>
    <w:p>
      <w:pPr>
        <w:ind w:right="1939" w:firstLine="7"/>
        <w:spacing w:after="0" w:line="252" w:lineRule="auto"/>
        <w:tabs>
          <w:tab w:leader="none" w:pos="419" w:val="left"/>
        </w:tabs>
        <w:numPr>
          <w:ilvl w:val="0"/>
          <w:numId w:val="5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(E) and the last sentence of paragraph (B)(1), in each case of this Article SIXTH) shall terminate automatically without any further action of the Board of Directors or the shareholders of the Corporation; provided that notwithstanding the foregoing, in the event that Mr. Brian L. Roberts ceases to serve as the Chairman or the CEO prior to the 2005 annual meeting of shareholders of the Corporation, the provisions of paragraphs (A), (B), (C), (D)(1)(a)-(c) and (E) of this Article SIXTH shall survive through the close of such annual meeting.</w:t>
      </w:r>
    </w:p>
    <w:p>
      <w:pPr>
        <w:spacing w:after="0" w:line="3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SEVENTH: In addition to any other approval required by law or by these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Articles of Incorporation, and notwithstanding any provision of Article FIFTH, the approval of the holder of any class or series of shares of the Corporation shall be necessary to approve any amendment to these Articles of Incorporation which would make any change in the preferences, limitations or rights of the shares of such class or series adverse to such class or series.</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EIGHTH: Special meetings of shareholders may be called only by the Board of Directors and may not be called by shareholders of the Corporation.</w:t>
      </w:r>
    </w:p>
    <w:p>
      <w:pPr>
        <w:spacing w:after="0" w:line="192"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NINTH: The shareholders of the Corporation shall not be permitted to act by written consent in lieu of a meeting; provided that notwithstanding the foregoing, the holders of a majority of the Class B</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C-7</w:t>
      </w:r>
    </w:p>
    <w:p>
      <w:pPr>
        <w:sectPr>
          <w:pgSz w:w="11900" w:h="16838" w:orient="portrait"/>
          <w:cols w:equalWidth="0" w:num="1">
            <w:col w:w="10219"/>
          </w:cols>
          <w:pgMar w:left="240" w:top="719" w:right="1440" w:bottom="256" w:gutter="0" w:footer="0" w:header="0"/>
        </w:sectPr>
      </w:pPr>
    </w:p>
    <w:bookmarkStart w:id="536" w:name="page537"/>
    <w:bookmarkEnd w:id="536"/>
    <w:p>
      <w:pPr>
        <w:ind w:right="2039"/>
        <w:spacing w:after="0" w:line="257" w:lineRule="auto"/>
        <w:rPr>
          <w:sz w:val="20"/>
          <w:szCs w:val="20"/>
          <w:color w:val="auto"/>
        </w:rPr>
      </w:pPr>
      <w:r>
        <w:rPr>
          <w:rFonts w:ascii="Courier New" w:cs="Courier New" w:eastAsia="Courier New" w:hAnsi="Courier New"/>
          <w:sz w:val="17"/>
          <w:szCs w:val="17"/>
          <w:color w:val="auto"/>
        </w:rPr>
        <w:t>Common Stock shall be permitted to act by written consent in lieu of a meeting in the exercise of their approval rights under Article SEVENTH.</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201" w:lineRule="exact"/>
        <w:rPr>
          <w:sz w:val="20"/>
          <w:szCs w:val="20"/>
          <w:color w:val="auto"/>
        </w:rPr>
      </w:pPr>
    </w:p>
    <w:p>
      <w:pPr>
        <w:jc w:val="both"/>
        <w:ind w:right="1839" w:firstLine="524"/>
        <w:spacing w:after="0" w:line="254" w:lineRule="auto"/>
        <w:rPr>
          <w:sz w:val="20"/>
          <w:szCs w:val="20"/>
          <w:color w:val="auto"/>
        </w:rPr>
      </w:pPr>
      <w:r>
        <w:rPr>
          <w:rFonts w:ascii="Courier New" w:cs="Courier New" w:eastAsia="Courier New" w:hAnsi="Courier New"/>
          <w:sz w:val="17"/>
          <w:szCs w:val="17"/>
          <w:color w:val="auto"/>
        </w:rPr>
        <w:t>FOURTEENTH: Subchapters E, F, G, H, I and J and Section 2538 of Subchapter D, in each case of Chapter 25 of the Business Corporation Law of 1988, shall not be applicable to the Corporation.</w:t>
      </w:r>
    </w:p>
    <w:p>
      <w:pPr>
        <w:spacing w:after="0" w:line="194"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FIFTEENTH: Henceforth, these Articles supersede the original Articles and all amendments filed thereto.</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C-8</w:t>
      </w:r>
    </w:p>
    <w:p>
      <w:pPr>
        <w:sectPr>
          <w:pgSz w:w="11900" w:h="16838" w:orient="portrait"/>
          <w:cols w:equalWidth="0" w:num="1">
            <w:col w:w="10219"/>
          </w:cols>
          <w:pgMar w:left="240" w:top="719" w:right="1440" w:bottom="1440" w:gutter="0" w:footer="0" w:header="0"/>
        </w:sectPr>
      </w:pPr>
    </w:p>
    <w:bookmarkStart w:id="537" w:name="page538"/>
    <w:bookmarkEnd w:id="537"/>
    <w:p>
      <w:pPr>
        <w:jc w:val="right"/>
        <w:ind w:right="1839"/>
        <w:spacing w:after="0"/>
        <w:rPr>
          <w:sz w:val="20"/>
          <w:szCs w:val="20"/>
          <w:color w:val="auto"/>
        </w:rPr>
      </w:pPr>
      <w:r>
        <w:rPr>
          <w:rFonts w:ascii="Courier New" w:cs="Courier New" w:eastAsia="Courier New" w:hAnsi="Courier New"/>
          <w:sz w:val="17"/>
          <w:szCs w:val="17"/>
          <w:color w:val="auto"/>
        </w:rPr>
        <w:t>ANNEX D</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TERM SHEET FOR THE ARTICLES OF INCORPORATION</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(ALTERNATIVE STRUCTURE)</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Articles of Incorporation of AT&amp;T Comcast Corporation (the "CORPORATION"; each term used but not defined herein shall have the meaning assigned to such term in the Agreement and Plan of Merger dated as of December 19, 2001 among Comcast Corporation, AT&amp;T Corp., the Corporation and the other parties referred to therein) if the A Shareholder Approval is not obtained will be identical in all respects to the Articles of Incorporation of the Corporation if the A Shareholder Approval is obtained, except that:</w:t>
      </w:r>
    </w:p>
    <w:p>
      <w:pPr>
        <w:spacing w:after="0" w:line="196" w:lineRule="exact"/>
        <w:rPr>
          <w:sz w:val="20"/>
          <w:szCs w:val="20"/>
          <w:color w:val="auto"/>
        </w:rPr>
      </w:pPr>
    </w:p>
    <w:p>
      <w:pPr>
        <w:ind w:left="740" w:right="1839" w:hanging="209"/>
        <w:spacing w:after="0" w:line="251" w:lineRule="auto"/>
        <w:tabs>
          <w:tab w:leader="none" w:pos="740" w:val="left"/>
        </w:tabs>
        <w:numPr>
          <w:ilvl w:val="0"/>
          <w:numId w:val="5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(A) of Article FIFTH shall provide the Corporation with the authority to issue two hundred million (200,000,000) shares of Parent Class A Common Stock and seven billion five hundred million (7,500,000,000) shares of Parent Class C Common Stock (in addition to the seven billion five hundred million (7,500,000,000) shares of Parent Class A Special Common Stock, the seventy-five million (75,000,000) shares of Parent Class B Common Stock and the twenty million (20,000,000) shares of Parent Preferred Stock).</w:t>
      </w:r>
    </w:p>
    <w:p>
      <w:pPr>
        <w:spacing w:after="0" w:line="201" w:lineRule="exact"/>
        <w:rPr>
          <w:rFonts w:ascii="Courier New" w:cs="Courier New" w:eastAsia="Courier New" w:hAnsi="Courier New"/>
          <w:sz w:val="17"/>
          <w:szCs w:val="17"/>
          <w:color w:val="auto"/>
        </w:rPr>
      </w:pPr>
    </w:p>
    <w:p>
      <w:pPr>
        <w:jc w:val="both"/>
        <w:ind w:left="740" w:right="2259" w:hanging="209"/>
        <w:spacing w:after="0" w:line="251" w:lineRule="auto"/>
        <w:tabs>
          <w:tab w:leader="none" w:pos="740" w:val="left"/>
        </w:tabs>
        <w:numPr>
          <w:ilvl w:val="0"/>
          <w:numId w:val="5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(B)(1)(a) of Article FIFTH shall provide that each share of Parent Class A Common Stock shall entitle the holder to one (1) vote, each share of Parent Class C Common Stock shall entitle the holder to</w:t>
      </w:r>
    </w:p>
    <w:p>
      <w:pPr>
        <w:jc w:val="both"/>
        <w:ind w:left="740" w:right="18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0.2117 of a vote and, when entitled to vote by applicable law, each share of Parent Class A Special Common Stock shall entitle the holder to 0.2117 of a vote.</w:t>
      </w:r>
    </w:p>
    <w:p>
      <w:pPr>
        <w:spacing w:after="0" w:line="194"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5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(B)(1)(b) of Article FIFTH shall provide that the holders of Parent Class C Common Stock shall vote as a single class with the holders of the other classes of capital stock of the Corporation with voting rights.</w:t>
      </w:r>
    </w:p>
    <w:p>
      <w:pPr>
        <w:spacing w:after="0" w:line="195" w:lineRule="exact"/>
        <w:rPr>
          <w:rFonts w:ascii="Courier New" w:cs="Courier New" w:eastAsia="Courier New" w:hAnsi="Courier New"/>
          <w:sz w:val="17"/>
          <w:szCs w:val="17"/>
          <w:color w:val="auto"/>
        </w:rPr>
      </w:pPr>
    </w:p>
    <w:p>
      <w:pPr>
        <w:ind w:left="740" w:right="1839" w:hanging="209"/>
        <w:spacing w:after="0" w:line="251" w:lineRule="auto"/>
        <w:tabs>
          <w:tab w:leader="none" w:pos="740" w:val="left"/>
        </w:tabs>
        <w:numPr>
          <w:ilvl w:val="0"/>
          <w:numId w:val="5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(B)(1)(c) of Article FIFTH shall provide that the holders of Parent Class A Common Stock and Parent Class B Common Stock will initially hold 5.14% and 33 1/3%, respectively, of the combined voting power of Parent's capital stock. Paragraph (B)(1)(c) of Article FIFTH shall also provide that the voting interests of Parent Class A Common Stock and Parent Class B Common Stock will remain at 5.14% and 33 1/3%, respectively, regardless of any future issuances of Parent voting stock, subject to the following two exceptions. First, if the number of shares of either class outstanding at the Effective Time is reduced for any reason after the Effective Time (e.g., by repurchase or, in the case of the Parent Class B Common Stock only, by conversion), the voting interest of that class will be proportionately reduced. Second, if the number of shares of either class outstanding at the Effective Time is increased by additional issuances after the Effective Time, the voting interest of the applicable class will increase relative to the other class, but both classes in the aggregate will still hold, subject to any previous reduction as described in the immediately preceding sentence, 38 47/100% of the combined voting power of Parent's capital stock.</w:t>
      </w:r>
    </w:p>
    <w:p>
      <w:pPr>
        <w:spacing w:after="0" w:line="201" w:lineRule="exact"/>
        <w:rPr>
          <w:rFonts w:ascii="Courier New" w:cs="Courier New" w:eastAsia="Courier New" w:hAnsi="Courier New"/>
          <w:sz w:val="17"/>
          <w:szCs w:val="17"/>
          <w:color w:val="auto"/>
        </w:rPr>
      </w:pPr>
    </w:p>
    <w:p>
      <w:pPr>
        <w:jc w:val="both"/>
        <w:ind w:left="740" w:right="1839" w:hanging="209"/>
        <w:spacing w:after="0" w:line="254" w:lineRule="auto"/>
        <w:tabs>
          <w:tab w:leader="none" w:pos="740" w:val="left"/>
        </w:tabs>
        <w:numPr>
          <w:ilvl w:val="0"/>
          <w:numId w:val="5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(B)(2) of Article FIFTH shall provide holders of Parent Class C Common Stock with the same right to receive cash dividends as the holders of each other class of Parent Common Stock.</w:t>
      </w:r>
    </w:p>
    <w:p>
      <w:pPr>
        <w:spacing w:after="0" w:line="194" w:lineRule="exact"/>
        <w:rPr>
          <w:rFonts w:ascii="Courier New" w:cs="Courier New" w:eastAsia="Courier New" w:hAnsi="Courier New"/>
          <w:sz w:val="17"/>
          <w:szCs w:val="17"/>
          <w:color w:val="auto"/>
        </w:rPr>
      </w:pPr>
    </w:p>
    <w:p>
      <w:pPr>
        <w:ind w:left="740" w:right="1839" w:hanging="209"/>
        <w:spacing w:after="0" w:line="252" w:lineRule="auto"/>
        <w:tabs>
          <w:tab w:leader="none" w:pos="740" w:val="left"/>
        </w:tabs>
        <w:numPr>
          <w:ilvl w:val="0"/>
          <w:numId w:val="5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(B)(3) of Article FIFTH shall provide that holders of Parent Class C Common Stock, like the holders of each other class of Parent Common Stock, may receive dividends of stock or other property. Paragraph (B)(3) of Article FIFTH shall further provide the holders of Parent Class C Common Stock with the same relative rights as the holders of each other class of Parent Common Stock upon the occurrence of the transactions specified in the last two sentences of Paragraph (B)(3) of Article FIFTH.</w:t>
      </w:r>
    </w:p>
    <w:p>
      <w:pPr>
        <w:spacing w:after="0" w:line="195" w:lineRule="exact"/>
        <w:rPr>
          <w:rFonts w:ascii="Courier New" w:cs="Courier New" w:eastAsia="Courier New" w:hAnsi="Courier New"/>
          <w:sz w:val="17"/>
          <w:szCs w:val="17"/>
          <w:color w:val="auto"/>
        </w:rPr>
      </w:pPr>
    </w:p>
    <w:p>
      <w:pPr>
        <w:ind w:left="740" w:right="1839" w:hanging="209"/>
        <w:spacing w:after="0" w:line="253" w:lineRule="auto"/>
        <w:tabs>
          <w:tab w:leader="none" w:pos="740" w:val="left"/>
        </w:tabs>
        <w:numPr>
          <w:ilvl w:val="0"/>
          <w:numId w:val="5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(B)(4) of Article FIFTH shall provide that each share of Parent Class B Common Stock shall be convertible into one share of Parent Class A Common Stock, Parent Class A Special Common Stock or Parent Class C Common Stock.</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D-1</w:t>
      </w:r>
    </w:p>
    <w:p>
      <w:pPr>
        <w:sectPr>
          <w:pgSz w:w="11900" w:h="16838" w:orient="portrait"/>
          <w:cols w:equalWidth="0" w:num="1">
            <w:col w:w="10219"/>
          </w:cols>
          <w:pgMar w:left="240" w:top="719" w:right="1440" w:bottom="1440" w:gutter="0" w:footer="0" w:header="0"/>
        </w:sectPr>
      </w:pPr>
    </w:p>
    <w:bookmarkStart w:id="538" w:name="page539"/>
    <w:bookmarkEnd w:id="538"/>
    <w:p>
      <w:pPr>
        <w:ind w:left="209" w:right="1839" w:hanging="209"/>
        <w:spacing w:after="0" w:line="251" w:lineRule="auto"/>
        <w:tabs>
          <w:tab w:leader="none" w:pos="209" w:val="left"/>
        </w:tabs>
        <w:numPr>
          <w:ilvl w:val="0"/>
          <w:numId w:val="5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(B)(6) of Article FIFTH shall provide, in addition to the other provisions thereof, that in the event of a merger or any similar fundamental transaction, the Board of Directors shall take action to enable holders of Parent Class B Common Stock who subsequently convert their Parent Class B Common Stock into Parent Class C Common Stock to receive, in lieu of shares of Parent Class C Common Stock, the stock, securities or other property that holders of Parent Class C Common Stock receive in such merger or other transaction.</w:t>
      </w:r>
    </w:p>
    <w:p>
      <w:pPr>
        <w:spacing w:after="0" w:line="201" w:lineRule="exact"/>
        <w:rPr>
          <w:rFonts w:ascii="Courier New" w:cs="Courier New" w:eastAsia="Courier New" w:hAnsi="Courier New"/>
          <w:sz w:val="17"/>
          <w:szCs w:val="17"/>
          <w:color w:val="auto"/>
        </w:rPr>
      </w:pPr>
    </w:p>
    <w:p>
      <w:pPr>
        <w:ind w:left="209" w:right="1839" w:hanging="209"/>
        <w:spacing w:after="0" w:line="252" w:lineRule="auto"/>
        <w:tabs>
          <w:tab w:leader="none" w:pos="209" w:val="left"/>
        </w:tabs>
        <w:numPr>
          <w:ilvl w:val="0"/>
          <w:numId w:val="5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(B)(7) of Article FIFTH shall provide that upon any liquidation or other similar event, the holders of Parent Class C Common Stock, like the holders of each other class of Parent Common Stock, shall be entitled to receive any distributions in proportion to the number of shares they hold, without regard to class.</w:t>
      </w:r>
    </w:p>
    <w:p>
      <w:pPr>
        <w:spacing w:after="0" w:line="197" w:lineRule="exact"/>
        <w:rPr>
          <w:rFonts w:ascii="Courier New" w:cs="Courier New" w:eastAsia="Courier New" w:hAnsi="Courier New"/>
          <w:sz w:val="17"/>
          <w:szCs w:val="17"/>
          <w:color w:val="auto"/>
        </w:rPr>
      </w:pPr>
    </w:p>
    <w:p>
      <w:pPr>
        <w:ind w:left="209" w:right="1839" w:hanging="209"/>
        <w:spacing w:after="0" w:line="253" w:lineRule="auto"/>
        <w:tabs>
          <w:tab w:leader="none" w:pos="209" w:val="left"/>
        </w:tabs>
        <w:numPr>
          <w:ilvl w:val="0"/>
          <w:numId w:val="5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(B)(9) of Article FIFTH shall provide that, except as otherwise provided in the Articles of Incorporation, the rights of the holders of Parent Class C Common Stock shall be in all respects identical to the rights of the holders of each other class of Parent Common Stock.</w:t>
      </w:r>
    </w:p>
    <w:p>
      <w:pPr>
        <w:spacing w:after="0" w:line="195" w:lineRule="exact"/>
        <w:rPr>
          <w:rFonts w:ascii="Courier New" w:cs="Courier New" w:eastAsia="Courier New" w:hAnsi="Courier New"/>
          <w:sz w:val="17"/>
          <w:szCs w:val="17"/>
          <w:color w:val="auto"/>
        </w:rPr>
      </w:pPr>
    </w:p>
    <w:p>
      <w:pPr>
        <w:jc w:val="both"/>
        <w:ind w:left="209" w:right="2359" w:hanging="209"/>
        <w:spacing w:after="0" w:line="257" w:lineRule="auto"/>
        <w:tabs>
          <w:tab w:leader="none" w:pos="209" w:val="left"/>
        </w:tabs>
        <w:numPr>
          <w:ilvl w:val="0"/>
          <w:numId w:val="5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(B)(10) of Article FIFTH shall provide that the holders of Parent Class C Common Stock shall not have cumulative voting rights.</w:t>
      </w:r>
    </w:p>
    <w:p>
      <w:pPr>
        <w:spacing w:after="0" w:line="191" w:lineRule="exact"/>
        <w:rPr>
          <w:rFonts w:ascii="Courier New" w:cs="Courier New" w:eastAsia="Courier New" w:hAnsi="Courier New"/>
          <w:sz w:val="17"/>
          <w:szCs w:val="17"/>
          <w:color w:val="auto"/>
        </w:rPr>
      </w:pPr>
    </w:p>
    <w:p>
      <w:pPr>
        <w:ind w:left="209" w:right="1839" w:hanging="209"/>
        <w:spacing w:after="0" w:line="251" w:lineRule="auto"/>
        <w:tabs>
          <w:tab w:leader="none" w:pos="209" w:val="left"/>
        </w:tabs>
        <w:numPr>
          <w:ilvl w:val="0"/>
          <w:numId w:val="5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Article SEVENTH shall provide that, except as provided in the last sentence thereof regarding separate class or series votes, the approval by a majority of the votes cast by the holders of Parent Class A Common Stock and the holders of Parent Class B Common Stock, voting together as a separate class, will be necessary to approve the actions specified in Article SEVENTH. In addition, the holders of Parent Class A Common Stock and the holders of Parent Class B Common Stock, voting together as a separate class, will have an approval right over the issuance of shares of Parent Class A Common Stock or any securities exercisable or exchangeable for or convertible into shares of Parent Class A Common Stock. Article SEVENTH shall also provide that in any such vote the voting interest of the holders of Parent Class B Common Stock relative to that of the holders of Parent Class A Common Stock will be the percentage obtained by dividing (x) the voting interest of the Parent Class B Common Stock at such time by (y) the sum of the voting interests of the Parent Class B Common Stock and the Parent Class A Common Stock at such time (each such voting interest as determined by, and subject to, the provisions of paragraph (B)(3)(c) of Article FIFTH). Likewise, Article SEVENTH shall also provide that in any such vote the voting interest of the holders of Parent Class A Common Stock relative to that of the holders of Parent Class B Common Stock will be the percentage obtained by dividing (x) the voting interest of the Parent Class A Common Stock at such time by (y) the sum of the voting interests of the Parent Class B Common Stock and the Parent Class A Common Stock at such time (each such voting interest as determined by, and subject to, the provisions of paragraph (B)(3)(c) of Article FIFTH).</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209" w:right="1939" w:hanging="209"/>
        <w:spacing w:after="0" w:line="253" w:lineRule="auto"/>
        <w:tabs>
          <w:tab w:leader="none" w:pos="209" w:val="left"/>
        </w:tabs>
        <w:numPr>
          <w:ilvl w:val="0"/>
          <w:numId w:val="5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Article NINTH shall provide that the holders of a majority of the voting power of the Parent Class A Common Stock and the Parent Class B Common Stock shall be permitted to act by written consent in the exercise of their approval rights under Article SEVENTH.</w:t>
      </w:r>
    </w:p>
    <w:p>
      <w:pPr>
        <w:spacing w:after="0" w:line="195"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D-2</w:t>
      </w:r>
    </w:p>
    <w:p>
      <w:pPr>
        <w:sectPr>
          <w:pgSz w:w="11900" w:h="16838" w:orient="portrait"/>
          <w:cols w:equalWidth="0" w:num="1">
            <w:col w:w="9688"/>
          </w:cols>
          <w:pgMar w:left="771" w:top="719" w:right="1440" w:bottom="1440" w:gutter="0" w:footer="0" w:header="0"/>
        </w:sectPr>
      </w:pPr>
    </w:p>
    <w:bookmarkStart w:id="539" w:name="page540"/>
    <w:bookmarkEnd w:id="539"/>
    <w:p>
      <w:pPr>
        <w:ind w:left="7660"/>
        <w:spacing w:after="0"/>
        <w:rPr>
          <w:sz w:val="20"/>
          <w:szCs w:val="20"/>
          <w:color w:val="auto"/>
        </w:rPr>
      </w:pPr>
      <w:r>
        <w:rPr>
          <w:rFonts w:ascii="Courier New" w:cs="Courier New" w:eastAsia="Courier New" w:hAnsi="Courier New"/>
          <w:sz w:val="17"/>
          <w:szCs w:val="17"/>
          <w:color w:val="auto"/>
        </w:rPr>
        <w:t>ANNEX 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Microfilm Number -------- Filed with the Department of State on ----------------</w:t>
      </w:r>
    </w:p>
    <w:p>
      <w:pPr>
        <w:spacing w:after="0" w:line="210"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7"/>
          <w:szCs w:val="17"/>
          <w:color w:val="auto"/>
        </w:rPr>
        <w:t>Entity Number 74263</w:t>
      </w:r>
      <w:r>
        <w:rPr>
          <w:sz w:val="20"/>
          <w:szCs w:val="20"/>
          <w:color w:val="auto"/>
        </w:rPr>
        <w:tab/>
      </w:r>
      <w:r>
        <w:rPr>
          <w:rFonts w:ascii="Courier New" w:cs="Courier New" w:eastAsia="Courier New" w:hAnsi="Courier New"/>
          <w:sz w:val="17"/>
          <w:szCs w:val="17"/>
          <w:color w:val="auto"/>
        </w:rPr>
        <w: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Secretary of the Commonwealth</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ARTICLES OF AMENDMENT -- DOMESTIC BUSINESS CORPORATION</w:t>
      </w:r>
    </w:p>
    <w:p>
      <w:pPr>
        <w:spacing w:after="0" w:line="2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DSCB:15-1915 (Rev 90)</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In compliance with the requirements of 15 Pa.C.S. sec. 1915 (relating to articles of amendment), the undersigned business corporation, desiring to amend its Articles, hereby states that: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name of the corporation is: Comcast Corporation</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The (a) address of this corporation's current registered office in this Commonwealth or (b) name of its commercial registered office provider and the county of venue is (the Department is hereby authorized to correct the following information to conform to the records of the Department):</w:t>
      </w:r>
    </w:p>
    <w:p>
      <w:pPr>
        <w:spacing w:after="0" w:line="195" w:lineRule="exact"/>
        <w:rPr>
          <w:sz w:val="20"/>
          <w:szCs w:val="20"/>
          <w:color w:val="auto"/>
        </w:rPr>
      </w:pPr>
    </w:p>
    <w:p>
      <w:pPr>
        <w:jc w:val="center"/>
        <w:ind w:right="1599"/>
        <w:spacing w:after="0"/>
        <w:tabs>
          <w:tab w:leader="none" w:pos="280" w:val="left"/>
          <w:tab w:leader="none" w:pos="300" w:val="left"/>
          <w:tab w:leader="none" w:pos="280" w:val="left"/>
        </w:tabs>
        <w:rPr>
          <w:sz w:val="20"/>
          <w:szCs w:val="20"/>
          <w:color w:val="auto"/>
        </w:rPr>
      </w:pPr>
      <w:r>
        <w:rPr>
          <w:rFonts w:ascii="Courier New" w:cs="Courier New" w:eastAsia="Courier New" w:hAnsi="Courier New"/>
          <w:sz w:val="17"/>
          <w:szCs w:val="17"/>
          <w:color w:val="auto"/>
        </w:rPr>
        <w:t>(a) 1500 Market Street, 35th Floor</w:t>
        <w:tab/>
        <w:t>Philadelphia</w:t>
      </w:r>
      <w:r>
        <w:rPr>
          <w:sz w:val="20"/>
          <w:szCs w:val="20"/>
          <w:color w:val="auto"/>
        </w:rPr>
        <w:tab/>
      </w:r>
      <w:r>
        <w:rPr>
          <w:rFonts w:ascii="Courier New" w:cs="Courier New" w:eastAsia="Courier New" w:hAnsi="Courier New"/>
          <w:sz w:val="17"/>
          <w:szCs w:val="17"/>
          <w:color w:val="auto"/>
        </w:rPr>
        <w:t>Pennsylvania</w:t>
        <w:tab/>
        <w:t>19102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060"/>
        <w:spacing w:after="0"/>
        <w:tabs>
          <w:tab w:leader="none" w:pos="4900" w:val="left"/>
          <w:tab w:leader="none" w:pos="6580" w:val="left"/>
          <w:tab w:leader="none" w:pos="7940" w:val="left"/>
        </w:tabs>
        <w:rPr>
          <w:sz w:val="20"/>
          <w:szCs w:val="20"/>
          <w:color w:val="auto"/>
        </w:rPr>
      </w:pPr>
      <w:r>
        <w:rPr>
          <w:rFonts w:ascii="Courier New" w:cs="Courier New" w:eastAsia="Courier New" w:hAnsi="Courier New"/>
          <w:sz w:val="17"/>
          <w:szCs w:val="17"/>
          <w:color w:val="auto"/>
        </w:rPr>
        <w:t>Number and Street</w:t>
      </w:r>
      <w:r>
        <w:rPr>
          <w:sz w:val="20"/>
          <w:szCs w:val="20"/>
          <w:color w:val="auto"/>
        </w:rPr>
        <w:tab/>
      </w:r>
      <w:r>
        <w:rPr>
          <w:rFonts w:ascii="Courier New" w:cs="Courier New" w:eastAsia="Courier New" w:hAnsi="Courier New"/>
          <w:sz w:val="17"/>
          <w:szCs w:val="17"/>
          <w:color w:val="auto"/>
        </w:rPr>
        <w:t>City</w:t>
      </w:r>
      <w:r>
        <w:rPr>
          <w:sz w:val="20"/>
          <w:szCs w:val="20"/>
          <w:color w:val="auto"/>
        </w:rPr>
        <w:tab/>
      </w:r>
      <w:r>
        <w:rPr>
          <w:rFonts w:ascii="Courier New" w:cs="Courier New" w:eastAsia="Courier New" w:hAnsi="Courier New"/>
          <w:sz w:val="17"/>
          <w:szCs w:val="17"/>
          <w:color w:val="auto"/>
        </w:rPr>
        <w:t>State</w:t>
      </w:r>
      <w:r>
        <w:rPr>
          <w:sz w:val="20"/>
          <w:szCs w:val="20"/>
          <w:color w:val="auto"/>
        </w:rPr>
        <w:tab/>
      </w:r>
      <w:r>
        <w:rPr>
          <w:rFonts w:ascii="Courier New" w:cs="Courier New" w:eastAsia="Courier New" w:hAnsi="Courier New"/>
          <w:sz w:val="17"/>
          <w:szCs w:val="17"/>
          <w:color w:val="auto"/>
        </w:rPr>
        <w:t>Zip</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Philadelphia</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County</w:t>
      </w:r>
    </w:p>
    <w:p>
      <w:pPr>
        <w:spacing w:after="0" w:line="210" w:lineRule="exact"/>
        <w:rPr>
          <w:sz w:val="20"/>
          <w:szCs w:val="20"/>
          <w:color w:val="auto"/>
        </w:rPr>
      </w:pPr>
    </w:p>
    <w:p>
      <w:pPr>
        <w:ind w:left="960" w:hanging="429"/>
        <w:spacing w:after="0"/>
        <w:tabs>
          <w:tab w:leader="none" w:pos="960" w:val="left"/>
        </w:tabs>
        <w:numPr>
          <w:ilvl w:val="0"/>
          <w:numId w:val="5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w:t>
      </w:r>
    </w:p>
    <w:p>
      <w:pPr>
        <w:spacing w:after="0" w:line="8"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6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Commercial Registered Office Provider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County</w:t>
      </w:r>
    </w:p>
    <w:p>
      <w:pPr>
        <w:spacing w:after="0" w:line="210" w:lineRule="exact"/>
        <w:rPr>
          <w:sz w:val="20"/>
          <w:szCs w:val="20"/>
          <w:color w:val="auto"/>
        </w:rPr>
      </w:pPr>
    </w:p>
    <w:p>
      <w:pPr>
        <w:ind w:left="540" w:right="2039"/>
        <w:spacing w:after="0" w:line="254" w:lineRule="auto"/>
        <w:rPr>
          <w:sz w:val="20"/>
          <w:szCs w:val="20"/>
          <w:color w:val="auto"/>
        </w:rPr>
      </w:pPr>
      <w:r>
        <w:rPr>
          <w:rFonts w:ascii="Courier New" w:cs="Courier New" w:eastAsia="Courier New" w:hAnsi="Courier New"/>
          <w:sz w:val="17"/>
          <w:szCs w:val="17"/>
          <w:color w:val="auto"/>
        </w:rPr>
        <w:t>For a corporation represented by a commercial registered office provider, the county in (b) shall be deemed the county in which the corporation is located for venue and official publication purposes.</w:t>
      </w:r>
    </w:p>
    <w:p>
      <w:pPr>
        <w:spacing w:after="0" w:line="194" w:lineRule="exact"/>
        <w:rPr>
          <w:sz w:val="20"/>
          <w:szCs w:val="20"/>
          <w:color w:val="auto"/>
        </w:rPr>
      </w:pPr>
    </w:p>
    <w:p>
      <w:pPr>
        <w:ind w:right="2359"/>
        <w:spacing w:after="0" w:line="257" w:lineRule="auto"/>
        <w:rPr>
          <w:sz w:val="20"/>
          <w:szCs w:val="20"/>
          <w:color w:val="auto"/>
        </w:rPr>
      </w:pPr>
      <w:r>
        <w:rPr>
          <w:rFonts w:ascii="Courier New" w:cs="Courier New" w:eastAsia="Courier New" w:hAnsi="Courier New"/>
          <w:sz w:val="17"/>
          <w:szCs w:val="17"/>
          <w:color w:val="auto"/>
        </w:rPr>
        <w:t>The statute by or under which it was incorporated is: Pennsylvania Business Corporations Law</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date of its incorporation is: March 5, 1969</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(Check, and if appropriate complete, one of the following):</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 The amendment shall be effective upon filing these Articles of</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Amendment in the Department of State.</w:t>
      </w:r>
    </w:p>
    <w:p>
      <w:pPr>
        <w:sectPr>
          <w:pgSz w:w="11900" w:h="16838" w:orient="portrait"/>
          <w:cols w:equalWidth="0" w:num="1">
            <w:col w:w="10219"/>
          </w:cols>
          <w:pgMar w:left="240" w:top="719" w:right="1440" w:bottom="0" w:gutter="0" w:footer="0" w:header="0"/>
        </w:sectPr>
      </w:pP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amendment shall be effective on: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w:t>
      </w:r>
    </w:p>
    <w:p>
      <w:pPr>
        <w:spacing w:after="0" w:line="9" w:lineRule="exact"/>
        <w:rPr>
          <w:sz w:val="20"/>
          <w:szCs w:val="20"/>
          <w:color w:val="auto"/>
        </w:rPr>
      </w:pPr>
    </w:p>
    <w:p>
      <w:pPr>
        <w:sectPr>
          <w:pgSz w:w="11900" w:h="16838" w:orient="portrait"/>
          <w:cols w:equalWidth="0" w:num="3">
            <w:col w:w="740" w:space="220"/>
            <w:col w:w="4400" w:space="720"/>
            <w:col w:w="4139"/>
          </w:cols>
          <w:pgMar w:left="240" w:top="719" w:right="1440" w:bottom="0" w:gutter="0" w:footer="0" w:header="0"/>
          <w:type w:val="continuous"/>
        </w:sect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Hour</w:t>
      </w:r>
    </w:p>
    <w:p>
      <w:pPr>
        <w:spacing w:after="0" w:line="200" w:lineRule="exact"/>
        <w:rPr>
          <w:sz w:val="20"/>
          <w:szCs w:val="20"/>
          <w:color w:val="auto"/>
        </w:rPr>
      </w:pPr>
    </w:p>
    <w:p>
      <w:pPr>
        <w:sectPr>
          <w:pgSz w:w="11900" w:h="16838" w:orient="portrait"/>
          <w:cols w:equalWidth="0" w:num="3">
            <w:col w:w="4000" w:space="720"/>
            <w:col w:w="1260" w:space="520"/>
            <w:col w:w="3719"/>
          </w:cols>
          <w:pgMar w:left="240" w:top="719"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(Check one of the following):</w:t>
      </w:r>
    </w:p>
    <w:p>
      <w:pPr>
        <w:spacing w:after="0" w:line="210" w:lineRule="exact"/>
        <w:rPr>
          <w:sz w:val="20"/>
          <w:szCs w:val="20"/>
          <w:color w:val="auto"/>
        </w:rPr>
      </w:pPr>
    </w:p>
    <w:p>
      <w:pPr>
        <w:ind w:left="960" w:hanging="324"/>
        <w:spacing w:after="0"/>
        <w:tabs>
          <w:tab w:leader="none" w:pos="960" w:val="left"/>
        </w:tabs>
        <w:numPr>
          <w:ilvl w:val="0"/>
          <w:numId w:val="5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amendment was adopted by the shareholders (or members) pursuant to</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 Pa.C.S. sec. 1914(a) and (b).</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The amendment was adopted by the board of directors pursuant to 15</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Pa.C.S. sec. 1914(c).</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(Check, and if appropriate complete, one of the following):</w:t>
      </w:r>
    </w:p>
    <w:p>
      <w:pPr>
        <w:spacing w:after="0" w:line="210" w:lineRule="exact"/>
        <w:rPr>
          <w:sz w:val="20"/>
          <w:szCs w:val="20"/>
          <w:color w:val="auto"/>
        </w:rPr>
      </w:pPr>
    </w:p>
    <w:p>
      <w:pPr>
        <w:ind w:left="960" w:hanging="324"/>
        <w:spacing w:after="0"/>
        <w:tabs>
          <w:tab w:leader="none" w:pos="960" w:val="left"/>
        </w:tabs>
        <w:numPr>
          <w:ilvl w:val="0"/>
          <w:numId w:val="5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amendment adopted by the corporation, set forth in full, is as</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follows:</w:t>
      </w:r>
    </w:p>
    <w:p>
      <w:pPr>
        <w:spacing w:after="0" w:line="200" w:lineRule="exact"/>
        <w:rPr>
          <w:sz w:val="20"/>
          <w:szCs w:val="20"/>
          <w:color w:val="auto"/>
        </w:rPr>
      </w:pPr>
    </w:p>
    <w:p>
      <w:pPr>
        <w:spacing w:after="0" w:line="212" w:lineRule="exact"/>
        <w:rPr>
          <w:sz w:val="20"/>
          <w:szCs w:val="20"/>
          <w:color w:val="auto"/>
        </w:rPr>
      </w:pPr>
    </w:p>
    <w:p>
      <w:pPr>
        <w:ind w:left="1060" w:right="1839"/>
        <w:spacing w:after="0" w:line="251" w:lineRule="auto"/>
        <w:rPr>
          <w:sz w:val="20"/>
          <w:szCs w:val="20"/>
          <w:color w:val="auto"/>
        </w:rPr>
      </w:pPr>
      <w:r>
        <w:rPr>
          <w:rFonts w:ascii="Courier New" w:cs="Courier New" w:eastAsia="Courier New" w:hAnsi="Courier New"/>
          <w:sz w:val="17"/>
          <w:szCs w:val="17"/>
          <w:color w:val="auto"/>
        </w:rPr>
        <w:t>The following phrase is inserted in the last sentence of Article 5(c), immediately after the phrase "Except as provided above,": "and except as provided in the Agreement and Plan of Merger dated as of</w:t>
      </w:r>
    </w:p>
    <w:p>
      <w:pPr>
        <w:ind w:left="1060"/>
        <w:spacing w:after="0"/>
        <w:rPr>
          <w:sz w:val="20"/>
          <w:szCs w:val="20"/>
          <w:color w:val="auto"/>
        </w:rPr>
      </w:pPr>
      <w:r>
        <w:rPr>
          <w:rFonts w:ascii="Courier New" w:cs="Courier New" w:eastAsia="Courier New" w:hAnsi="Courier New"/>
          <w:sz w:val="17"/>
          <w:szCs w:val="17"/>
          <w:color w:val="auto"/>
        </w:rPr>
        <w:t>----------, 200------, by and among Comcast Corporation, ----------,</w:t>
      </w:r>
    </w:p>
    <w:p>
      <w:pPr>
        <w:spacing w:after="0" w:line="9" w:lineRule="exact"/>
        <w:rPr>
          <w:sz w:val="20"/>
          <w:szCs w:val="20"/>
          <w:color w:val="auto"/>
        </w:rPr>
      </w:pPr>
    </w:p>
    <w:p>
      <w:pPr>
        <w:ind w:left="1060" w:right="2039"/>
        <w:spacing w:after="0" w:line="254" w:lineRule="auto"/>
        <w:rPr>
          <w:sz w:val="20"/>
          <w:szCs w:val="20"/>
          <w:color w:val="auto"/>
        </w:rPr>
      </w:pPr>
      <w:r>
        <w:rPr>
          <w:rFonts w:ascii="Courier New" w:cs="Courier New" w:eastAsia="Courier New" w:hAnsi="Courier New"/>
          <w:sz w:val="17"/>
          <w:szCs w:val="17"/>
          <w:color w:val="auto"/>
        </w:rPr>
        <w:t>and others (the full text of which is on file at the principal place of business of the corporation, 1500 Market Street, 35th Floor, Philadelphia, Pennsylvania 19102),".</w:t>
      </w:r>
    </w:p>
    <w:p>
      <w:pPr>
        <w:sectPr>
          <w:pgSz w:w="11900" w:h="16838" w:orient="portrait"/>
          <w:cols w:equalWidth="0" w:num="1">
            <w:col w:w="10219"/>
          </w:cols>
          <w:pgMar w:left="240" w:top="719" w:right="1440" w:bottom="0" w:gutter="0" w:footer="0" w:header="0"/>
          <w:type w:val="continuous"/>
        </w:sectPr>
      </w:pPr>
    </w:p>
    <w:bookmarkStart w:id="540" w:name="page541"/>
    <w:bookmarkEnd w:id="540"/>
    <w:p>
      <w:pPr>
        <w:spacing w:after="0"/>
        <w:rPr>
          <w:sz w:val="20"/>
          <w:szCs w:val="20"/>
          <w:color w:val="auto"/>
        </w:rPr>
      </w:pPr>
      <w:r>
        <w:rPr>
          <w:rFonts w:ascii="Courier New" w:cs="Courier New" w:eastAsia="Courier New" w:hAnsi="Courier New"/>
          <w:sz w:val="17"/>
          <w:szCs w:val="17"/>
          <w:color w:val="auto"/>
        </w:rPr>
        <w:t>--------- The amendment adopted by the corporation is set forth in full in</w:t>
      </w:r>
    </w:p>
    <w:p>
      <w:pPr>
        <w:spacing w:after="0" w:line="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Exhibit A attached hereto and made a part hereof.</w:t>
      </w:r>
    </w:p>
    <w:p>
      <w:pPr>
        <w:spacing w:after="0" w:line="21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E-1</w:t>
      </w:r>
    </w:p>
    <w:p>
      <w:pPr>
        <w:sectPr>
          <w:pgSz w:w="11900" w:h="16838" w:orient="portrait"/>
          <w:cols w:equalWidth="0" w:num="1">
            <w:col w:w="9679"/>
          </w:cols>
          <w:pgMar w:left="780" w:top="142" w:right="1440" w:bottom="1440" w:gutter="0" w:footer="0" w:header="0"/>
        </w:sectPr>
      </w:pPr>
    </w:p>
    <w:bookmarkStart w:id="541" w:name="page542"/>
    <w:bookmarkEnd w:id="541"/>
    <w:p>
      <w:pPr>
        <w:spacing w:after="0"/>
        <w:rPr>
          <w:sz w:val="20"/>
          <w:szCs w:val="20"/>
          <w:color w:val="auto"/>
        </w:rPr>
      </w:pPr>
      <w:r>
        <w:rPr>
          <w:rFonts w:ascii="Courier New" w:cs="Courier New" w:eastAsia="Courier New" w:hAnsi="Courier New"/>
          <w:sz w:val="17"/>
          <w:szCs w:val="17"/>
          <w:color w:val="auto"/>
        </w:rPr>
        <w:t>(Check if the amendment restates the Articles):</w:t>
      </w:r>
    </w:p>
    <w:p>
      <w:pPr>
        <w:spacing w:after="0" w:line="210" w:lineRule="exact"/>
        <w:rPr>
          <w:sz w:val="20"/>
          <w:szCs w:val="20"/>
          <w:color w:val="auto"/>
        </w:rPr>
      </w:pPr>
    </w:p>
    <w:p>
      <w:pPr>
        <w:ind w:right="2679" w:firstLine="628"/>
        <w:spacing w:after="0" w:line="257" w:lineRule="auto"/>
        <w:rPr>
          <w:sz w:val="20"/>
          <w:szCs w:val="20"/>
          <w:color w:val="auto"/>
        </w:rPr>
      </w:pPr>
      <w:r>
        <w:rPr>
          <w:rFonts w:ascii="Courier New" w:cs="Courier New" w:eastAsia="Courier New" w:hAnsi="Courier New"/>
          <w:sz w:val="17"/>
          <w:szCs w:val="17"/>
          <w:color w:val="auto"/>
        </w:rPr>
        <w:t>___ The restated Articles of Incorporation supersede the original Articles and all amendments thereto.</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TESTIMONY WHEREOF, the undersigned corporation has caused these Articles of Amendment to be signed by a duly authorized officer thereof this ______ day</w:t>
      </w:r>
    </w:p>
    <w:p>
      <w:pPr>
        <w:spacing w:after="0"/>
        <w:tabs>
          <w:tab w:leader="none" w:pos="1880" w:val="left"/>
          <w:tab w:leader="none" w:pos="2600" w:val="left"/>
        </w:tabs>
        <w:rPr>
          <w:sz w:val="20"/>
          <w:szCs w:val="20"/>
          <w:color w:val="auto"/>
        </w:rPr>
      </w:pPr>
      <w:r>
        <w:rPr>
          <w:rFonts w:ascii="Courier New" w:cs="Courier New" w:eastAsia="Courier New" w:hAnsi="Courier New"/>
          <w:sz w:val="17"/>
          <w:szCs w:val="17"/>
          <w:color w:val="auto"/>
        </w:rPr>
        <w:t>of</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Comcast Corporation</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(Name of Corporation)</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TITLE:</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E-2</w:t>
      </w:r>
    </w:p>
    <w:p>
      <w:pPr>
        <w:sectPr>
          <w:pgSz w:w="11900" w:h="16838" w:orient="portrait"/>
          <w:cols w:equalWidth="0" w:num="1">
            <w:col w:w="10219"/>
          </w:cols>
          <w:pgMar w:left="240" w:top="719" w:right="1440" w:bottom="1440" w:gutter="0" w:footer="0" w:header="0"/>
        </w:sectPr>
      </w:pPr>
    </w:p>
    <w:bookmarkStart w:id="542" w:name="page543"/>
    <w:bookmarkEnd w:id="542"/>
    <w:p>
      <w:pPr>
        <w:jc w:val="right"/>
        <w:ind w:right="1839"/>
        <w:spacing w:after="0"/>
        <w:rPr>
          <w:sz w:val="20"/>
          <w:szCs w:val="20"/>
          <w:color w:val="auto"/>
        </w:rPr>
      </w:pPr>
      <w:r>
        <w:rPr>
          <w:rFonts w:ascii="Courier New" w:cs="Courier New" w:eastAsia="Courier New" w:hAnsi="Courier New"/>
          <w:sz w:val="17"/>
          <w:szCs w:val="17"/>
          <w:color w:val="auto"/>
        </w:rPr>
        <w:t>ANNEX F</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FORM OF BY-LAWS OF AT&amp;T COMCAST CORPORATION</w:t>
      </w:r>
    </w:p>
    <w:p>
      <w:pPr>
        <w:spacing w:after="0" w:line="210"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The By-Laws of the Corporation shall be amended and restated in their entirety so as to read as follows:</w:t>
      </w:r>
    </w:p>
    <w:p>
      <w:pPr>
        <w:spacing w:after="0" w:line="192"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1</w:t>
      </w:r>
    </w:p>
    <w:p>
      <w:pPr>
        <w:spacing w:after="0" w:line="21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OFFICES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1.01. Registered Office. The registered office of the Corporation shall be located within the Commonwealth of Pennsylvania at such place as the Board of Directors (hereinafter referred to as the "BOARD OF DIRECTORS" or the "BOARD") shall determine from time to time.</w:t>
      </w:r>
    </w:p>
    <w:p>
      <w:pPr>
        <w:spacing w:after="0" w:line="195"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SECTION 1.02. Other Offices. The Corporation may also have offices at such other places, within or without the Commonwealth of Pennsylvania, as the Board of Directors may determine from time to time.</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2</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MEETINGS OF SHAREHOLDERS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2.01. Place of Meetings of Shareholders.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by held at a particular geographic location.</w:t>
      </w:r>
    </w:p>
    <w:p>
      <w:pPr>
        <w:spacing w:after="0" w:line="200" w:lineRule="exact"/>
        <w:rPr>
          <w:sz w:val="20"/>
          <w:szCs w:val="20"/>
          <w:color w:val="auto"/>
        </w:rPr>
      </w:pPr>
    </w:p>
    <w:p>
      <w:pPr>
        <w:spacing w:after="0" w:line="203"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SECTION 2.02.</w:t>
        <w:tab/>
        <w:t>Annual Meetings of Shareholders.</w:t>
      </w:r>
    </w:p>
    <w:p>
      <w:pPr>
        <w:spacing w:after="0" w:line="210" w:lineRule="exact"/>
        <w:rPr>
          <w:sz w:val="20"/>
          <w:szCs w:val="20"/>
          <w:color w:val="auto"/>
        </w:rPr>
      </w:pPr>
    </w:p>
    <w:p>
      <w:pPr>
        <w:ind w:right="1939" w:firstLine="531"/>
        <w:spacing w:after="0" w:line="252" w:lineRule="auto"/>
        <w:tabs>
          <w:tab w:leader="none" w:pos="943" w:val="left"/>
        </w:tabs>
        <w:numPr>
          <w:ilvl w:val="0"/>
          <w:numId w:val="5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("HOLIDAY"), and if such day is a Holiday, then such meeting shall be held on the next business day at such time.</w:t>
      </w:r>
    </w:p>
    <w:p>
      <w:pPr>
        <w:spacing w:after="0" w:line="195" w:lineRule="exact"/>
        <w:rPr>
          <w:rFonts w:ascii="Courier New" w:cs="Courier New" w:eastAsia="Courier New" w:hAnsi="Courier New"/>
          <w:sz w:val="17"/>
          <w:szCs w:val="17"/>
          <w:color w:val="auto"/>
        </w:rPr>
      </w:pPr>
    </w:p>
    <w:p>
      <w:pPr>
        <w:ind w:right="1939" w:firstLine="531"/>
        <w:spacing w:after="0" w:line="253" w:lineRule="auto"/>
        <w:tabs>
          <w:tab w:leader="none" w:pos="943" w:val="left"/>
        </w:tabs>
        <w:numPr>
          <w:ilvl w:val="0"/>
          <w:numId w:val="5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of Directors. At each such annual meeting, there shall be held an election of Directors to serve for the ensuing year and until their successors shall have been selected and qualified or until their earlier death, resignation or removal.</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2.03. Special Meetings of Shareholders.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96"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SECTION 2.04. Notices of Meetings of Shareholders. Written notice, complying with Article 6 of these By-Laws, of any meeting of the shareholders, shall be given to each shareholder of record entitled to vote at the meeting, other than those excepted by Section 1707 of the Pennsylvania Business Corporation Law of 1988, as amended (the "PENNSYLVANIA BCL"), at least twenty days prior to the day named for the</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F-1</w:t>
      </w:r>
    </w:p>
    <w:p>
      <w:pPr>
        <w:sectPr>
          <w:pgSz w:w="11900" w:h="16838" w:orient="portrait"/>
          <w:cols w:equalWidth="0" w:num="1">
            <w:col w:w="10219"/>
          </w:cols>
          <w:pgMar w:left="240" w:top="719" w:right="1440" w:bottom="1440" w:gutter="0" w:footer="0" w:header="0"/>
        </w:sectPr>
      </w:pPr>
    </w:p>
    <w:bookmarkStart w:id="543" w:name="page544"/>
    <w:bookmarkEnd w:id="543"/>
    <w:p>
      <w:pPr>
        <w:ind w:right="1839"/>
        <w:spacing w:after="0" w:line="257" w:lineRule="auto"/>
        <w:rPr>
          <w:sz w:val="20"/>
          <w:szCs w:val="20"/>
          <w:color w:val="auto"/>
        </w:rPr>
      </w:pPr>
      <w:r>
        <w:rPr>
          <w:rFonts w:ascii="Courier New" w:cs="Courier New" w:eastAsia="Courier New" w:hAnsi="Courier New"/>
          <w:sz w:val="17"/>
          <w:szCs w:val="17"/>
          <w:color w:val="auto"/>
        </w:rPr>
        <w:t>meeting, except as provided in Section 6.07. Such notices may be given by, or at the direction of, the Secretary or other authorized person.</w:t>
      </w:r>
    </w:p>
    <w:p>
      <w:pPr>
        <w:spacing w:after="0" w:line="192"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SECTION 2.05.</w:t>
        <w:tab/>
        <w:t>Quorum of and Action by Shareholders.</w:t>
      </w:r>
    </w:p>
    <w:p>
      <w:pPr>
        <w:spacing w:after="0" w:line="210" w:lineRule="exact"/>
        <w:rPr>
          <w:sz w:val="20"/>
          <w:szCs w:val="20"/>
          <w:color w:val="auto"/>
        </w:rPr>
      </w:pPr>
    </w:p>
    <w:p>
      <w:pPr>
        <w:ind w:right="1939" w:firstLine="531"/>
        <w:spacing w:after="0" w:line="251" w:lineRule="auto"/>
        <w:tabs>
          <w:tab w:leader="none" w:pos="943" w:val="left"/>
        </w:tabs>
        <w:numPr>
          <w:ilvl w:val="0"/>
          <w:numId w:val="5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Rule. A meeting of shareholders duly called shall not be organized for the transaction of business unless a quorum is present, in person or by proxy, as to at least one of the matters to be considered. Except as provided in subsections (c), (d) and (e) of this Section 2.05, the presence, in person or by proxy,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201"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5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provided that in no event may the required shareholder vote be reduced below that provided above.</w:t>
      </w:r>
    </w:p>
    <w:p>
      <w:pPr>
        <w:spacing w:after="0" w:line="201" w:lineRule="exact"/>
        <w:rPr>
          <w:rFonts w:ascii="Courier New" w:cs="Courier New" w:eastAsia="Courier New" w:hAnsi="Courier New"/>
          <w:sz w:val="17"/>
          <w:szCs w:val="17"/>
          <w:color w:val="auto"/>
        </w:rPr>
      </w:pPr>
    </w:p>
    <w:p>
      <w:pPr>
        <w:ind w:right="2459" w:firstLine="531"/>
        <w:spacing w:after="0" w:line="254" w:lineRule="auto"/>
        <w:tabs>
          <w:tab w:leader="none" w:pos="943" w:val="left"/>
        </w:tabs>
        <w:numPr>
          <w:ilvl w:val="0"/>
          <w:numId w:val="5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Quorum. The shareholders present at a duly organized meeting can continue to do business until adjournment, notwithstanding the withdrawal of enough shareholders to leave less than a quorum.</w:t>
      </w:r>
    </w:p>
    <w:p>
      <w:pPr>
        <w:spacing w:after="0" w:line="194" w:lineRule="exact"/>
        <w:rPr>
          <w:rFonts w:ascii="Courier New" w:cs="Courier New" w:eastAsia="Courier New" w:hAnsi="Courier New"/>
          <w:sz w:val="17"/>
          <w:szCs w:val="17"/>
          <w:color w:val="auto"/>
        </w:rPr>
      </w:pPr>
    </w:p>
    <w:p>
      <w:pPr>
        <w:ind w:right="1939" w:firstLine="531"/>
        <w:spacing w:after="0" w:line="252" w:lineRule="auto"/>
        <w:tabs>
          <w:tab w:leader="none" w:pos="943" w:val="left"/>
        </w:tabs>
        <w:numPr>
          <w:ilvl w:val="0"/>
          <w:numId w:val="5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of Directors at Adjourned Meetings. Those shareholders entitled to vote who attend a meeting called for the election of Directors that has been previously adjourned for one or more periods aggregating at least 5 days for lack of a quorum (whether with respect to a particular matter or all matters to be considered and acted upon at such meeting), although less than a quorum as fixed in subsection (a), shall nevertheless constitute a quorum for the purpose of electing Directors at such reconvened meeting.</w:t>
      </w:r>
    </w:p>
    <w:p>
      <w:pPr>
        <w:spacing w:after="0" w:line="195"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5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Conduct of Other Business at Adjourned Meetings. Those shareholders entitled to vote who attend a meeting of shareholders that has been previously adjourned for one or more periods aggregating at least 15 days because of an absence of a quorum (whether with respect to a particular matter or all matters to be considered and acted upon at such meeting), although less than a quorum as fixed in subsection (a), shall nevertheless constitute a quorum for the purpose of acting upon any matter set forth in the notice of meeting if the notice states that those shareholders who attend the adjourned meeting shall nevertheless constitute a quorum for the purpose of acting upon the matter.</w:t>
      </w:r>
    </w:p>
    <w:p>
      <w:pPr>
        <w:spacing w:after="0" w:line="201"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SECTION 2.06.</w:t>
        <w:tab/>
        <w:t>Adjournments.</w:t>
      </w:r>
    </w:p>
    <w:p>
      <w:pPr>
        <w:spacing w:after="0" w:line="210" w:lineRule="exact"/>
        <w:rPr>
          <w:sz w:val="20"/>
          <w:szCs w:val="20"/>
          <w:color w:val="auto"/>
        </w:rPr>
      </w:pPr>
    </w:p>
    <w:p>
      <w:pPr>
        <w:ind w:right="1939" w:firstLine="531"/>
        <w:spacing w:after="0" w:line="254" w:lineRule="auto"/>
        <w:tabs>
          <w:tab w:leader="none" w:pos="943" w:val="left"/>
        </w:tabs>
        <w:numPr>
          <w:ilvl w:val="0"/>
          <w:numId w:val="5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94"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5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Lack of Quorum. Without limiting the generality of Section 2.06(c), if a meeting cannot be organized because a quorum has not attended, those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present may determine, and the balance of the matters to be considered at such meeting for which a quorum was present may be considered and acted upon at the initial meeting.</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F-2</w:t>
      </w:r>
    </w:p>
    <w:p>
      <w:pPr>
        <w:sectPr>
          <w:pgSz w:w="11900" w:h="16838" w:orient="portrait"/>
          <w:cols w:equalWidth="0" w:num="1">
            <w:col w:w="10219"/>
          </w:cols>
          <w:pgMar w:left="240" w:top="719" w:right="1440" w:bottom="1440" w:gutter="0" w:footer="0" w:header="0"/>
        </w:sectPr>
      </w:pPr>
    </w:p>
    <w:bookmarkStart w:id="544" w:name="page545"/>
    <w:bookmarkEnd w:id="544"/>
    <w:p>
      <w:pPr>
        <w:ind w:right="1839" w:firstLine="531"/>
        <w:spacing w:after="0" w:line="252" w:lineRule="auto"/>
        <w:tabs>
          <w:tab w:leader="none" w:pos="943" w:val="left"/>
        </w:tabs>
        <w:numPr>
          <w:ilvl w:val="0"/>
          <w:numId w:val="5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96"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SECTION 2.07.</w:t>
        <w:tab/>
        <w:t>Voting List, Voting and Proxies.</w:t>
      </w:r>
    </w:p>
    <w:p>
      <w:pPr>
        <w:spacing w:after="0" w:line="210" w:lineRule="exact"/>
        <w:rPr>
          <w:sz w:val="20"/>
          <w:szCs w:val="20"/>
          <w:color w:val="auto"/>
        </w:rPr>
      </w:pPr>
    </w:p>
    <w:p>
      <w:pPr>
        <w:ind w:right="1839" w:firstLine="531"/>
        <w:spacing w:after="0" w:line="251" w:lineRule="auto"/>
        <w:tabs>
          <w:tab w:leader="none" w:pos="943" w:val="left"/>
        </w:tabs>
        <w:numPr>
          <w:ilvl w:val="0"/>
          <w:numId w:val="5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201" w:lineRule="exact"/>
        <w:rPr>
          <w:rFonts w:ascii="Courier New" w:cs="Courier New" w:eastAsia="Courier New" w:hAnsi="Courier New"/>
          <w:sz w:val="17"/>
          <w:szCs w:val="17"/>
          <w:color w:val="auto"/>
        </w:rPr>
      </w:pPr>
    </w:p>
    <w:p>
      <w:pPr>
        <w:ind w:right="1939" w:firstLine="531"/>
        <w:spacing w:after="0" w:line="251" w:lineRule="auto"/>
        <w:tabs>
          <w:tab w:leader="none" w:pos="943" w:val="left"/>
        </w:tabs>
        <w:numPr>
          <w:ilvl w:val="0"/>
          <w:numId w:val="5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201" w:lineRule="exact"/>
        <w:rPr>
          <w:rFonts w:ascii="Courier New" w:cs="Courier New" w:eastAsia="Courier New" w:hAnsi="Courier New"/>
          <w:sz w:val="17"/>
          <w:szCs w:val="17"/>
          <w:color w:val="auto"/>
        </w:rPr>
      </w:pPr>
    </w:p>
    <w:p>
      <w:pPr>
        <w:ind w:right="1939" w:firstLine="531"/>
        <w:spacing w:after="0" w:line="251" w:lineRule="auto"/>
        <w:tabs>
          <w:tab w:leader="none" w:pos="943" w:val="left"/>
        </w:tabs>
        <w:numPr>
          <w:ilvl w:val="0"/>
          <w:numId w:val="5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of the Corporation or its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of the Corporation or its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of the Corporation or its designated agent in writing or by electronic transmission.</w:t>
      </w:r>
    </w:p>
    <w:p>
      <w:pPr>
        <w:spacing w:after="0" w:line="201"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5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jc w:val="both"/>
        <w:ind w:right="1939" w:firstLine="531"/>
        <w:spacing w:after="0" w:line="254" w:lineRule="auto"/>
        <w:tabs>
          <w:tab w:leader="none" w:pos="943" w:val="left"/>
        </w:tabs>
        <w:numPr>
          <w:ilvl w:val="0"/>
          <w:numId w:val="5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Action by Written Consent in Lieu of a Meeting. Subject to Article NINTH of the Articles of Incorporation, the shareholders shall not be permitted to act by written consent in lieu of a meeting.</w:t>
      </w:r>
    </w:p>
    <w:p>
      <w:pPr>
        <w:spacing w:after="0" w:line="194"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2.08. Participation in Meetings by Electronic Means. The Board of Directors may permit, by resolution with respect to a particular meeting of the shareholders, or the presiding officer of such meeting may permit, one or more persons to participate in that meeting, count for the purposes of</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F-3</w:t>
      </w:r>
    </w:p>
    <w:p>
      <w:pPr>
        <w:sectPr>
          <w:pgSz w:w="11900" w:h="16838" w:orient="portrait"/>
          <w:cols w:equalWidth="0" w:num="1">
            <w:col w:w="10219"/>
          </w:cols>
          <w:pgMar w:left="240" w:top="719" w:right="1440" w:bottom="659" w:gutter="0" w:footer="0" w:header="0"/>
        </w:sectPr>
      </w:pPr>
    </w:p>
    <w:bookmarkStart w:id="545" w:name="page546"/>
    <w:bookmarkEnd w:id="545"/>
    <w:p>
      <w:pPr>
        <w:ind w:right="1839"/>
        <w:spacing w:after="0" w:line="252" w:lineRule="auto"/>
        <w:rPr>
          <w:sz w:val="20"/>
          <w:szCs w:val="20"/>
          <w:color w:val="auto"/>
        </w:rPr>
      </w:pPr>
      <w:r>
        <w:rPr>
          <w:rFonts w:ascii="Courier New" w:cs="Courier New" w:eastAsia="Courier New" w:hAnsi="Courier New"/>
          <w:sz w:val="17"/>
          <w:szCs w:val="17"/>
          <w:color w:val="auto"/>
        </w:rPr>
        <w:t>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2.09. Business at Meetings of Shareholders.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of the Corporation, by or on behalf of any shareholder who shall have been a shareholder of record on the record date for such meeting and who shall continue to be entitled to vote thereat (the "SHAREHOLDER NOTICE"), in accordance with all of the following requirements:</w:t>
      </w:r>
    </w:p>
    <w:p>
      <w:pPr>
        <w:spacing w:after="0" w:line="200" w:lineRule="exact"/>
        <w:rPr>
          <w:sz w:val="20"/>
          <w:szCs w:val="20"/>
          <w:color w:val="auto"/>
        </w:rPr>
      </w:pPr>
    </w:p>
    <w:p>
      <w:pPr>
        <w:spacing w:after="0" w:line="203" w:lineRule="exact"/>
        <w:rPr>
          <w:sz w:val="20"/>
          <w:szCs w:val="20"/>
          <w:color w:val="auto"/>
        </w:rPr>
      </w:pPr>
    </w:p>
    <w:p>
      <w:pPr>
        <w:ind w:left="540" w:right="1939" w:firstLine="515"/>
        <w:spacing w:after="0" w:line="251" w:lineRule="auto"/>
        <w:tabs>
          <w:tab w:leader="none" w:pos="1483" w:val="left"/>
        </w:tabs>
        <w:numPr>
          <w:ilvl w:val="0"/>
          <w:numId w:val="5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201" w:lineRule="exact"/>
        <w:rPr>
          <w:rFonts w:ascii="Courier New" w:cs="Courier New" w:eastAsia="Courier New" w:hAnsi="Courier New"/>
          <w:sz w:val="17"/>
          <w:szCs w:val="17"/>
          <w:color w:val="auto"/>
        </w:rPr>
      </w:pPr>
    </w:p>
    <w:p>
      <w:pPr>
        <w:ind w:left="540" w:right="1939" w:firstLine="515"/>
        <w:spacing w:after="0" w:line="251" w:lineRule="auto"/>
        <w:tabs>
          <w:tab w:leader="none" w:pos="1587" w:val="left"/>
        </w:tabs>
        <w:numPr>
          <w:ilvl w:val="0"/>
          <w:numId w:val="5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Shareholder Notice must set forth: (A) the name and address of the shareholder who intends to bring the business before the meeting; (B) 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201"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SECTION 2.10.</w:t>
        <w:tab/>
        <w:t>Conduct of Meetings of Shareholders.</w:t>
      </w:r>
    </w:p>
    <w:p>
      <w:pPr>
        <w:spacing w:after="0" w:line="210" w:lineRule="exact"/>
        <w:rPr>
          <w:sz w:val="20"/>
          <w:szCs w:val="20"/>
          <w:color w:val="auto"/>
        </w:rPr>
      </w:pPr>
    </w:p>
    <w:p>
      <w:pPr>
        <w:ind w:right="1839" w:firstLine="531"/>
        <w:spacing w:after="0" w:line="252" w:lineRule="auto"/>
        <w:tabs>
          <w:tab w:leader="none" w:pos="943" w:val="left"/>
        </w:tabs>
        <w:numPr>
          <w:ilvl w:val="0"/>
          <w:numId w:val="5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Presiding Officer. There shall be a presiding officer at every meeting of the shareholders. Subject to Article SIXTH of the Articles of Incorporation, the presiding officer shall be appointed by the Board of Directors or in the manner authorized by the Board of Directors; provided that if a presiding officer is not designated by the Board of Directors or in the manner authorized by the Board of Directors, the Chairman of the Board shall be the presiding officer.</w:t>
      </w:r>
    </w:p>
    <w:p>
      <w:pPr>
        <w:spacing w:after="0" w:line="398" w:lineRule="exact"/>
        <w:rPr>
          <w:rFonts w:ascii="Courier New" w:cs="Courier New" w:eastAsia="Courier New" w:hAnsi="Courier New"/>
          <w:sz w:val="17"/>
          <w:szCs w:val="17"/>
          <w:color w:val="auto"/>
        </w:rPr>
      </w:pPr>
    </w:p>
    <w:p>
      <w:pPr>
        <w:ind w:right="1839" w:firstLine="531"/>
        <w:spacing w:after="0" w:line="253" w:lineRule="auto"/>
        <w:tabs>
          <w:tab w:leader="none" w:pos="943" w:val="left"/>
        </w:tabs>
        <w:numPr>
          <w:ilvl w:val="0"/>
          <w:numId w:val="5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195" w:lineRule="exact"/>
        <w:rPr>
          <w:rFonts w:ascii="Courier New" w:cs="Courier New" w:eastAsia="Courier New" w:hAnsi="Courier New"/>
          <w:sz w:val="17"/>
          <w:szCs w:val="17"/>
          <w:color w:val="auto"/>
        </w:rPr>
      </w:pPr>
    </w:p>
    <w:p>
      <w:pPr>
        <w:ind w:right="1839" w:firstLine="531"/>
        <w:spacing w:after="0" w:line="253" w:lineRule="auto"/>
        <w:tabs>
          <w:tab w:leader="none" w:pos="943" w:val="left"/>
        </w:tabs>
        <w:numPr>
          <w:ilvl w:val="0"/>
          <w:numId w:val="5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Procedural Standard. Any action by the presiding officer in adopting rules for, and in conducting, a meeting of the shareholders shall be fair to the shareholders. The conduct of the meeting need not follow Robert's Rules of Order or any other published rules for the conduct of a meeting.</w:t>
      </w:r>
    </w:p>
    <w:p>
      <w:pPr>
        <w:spacing w:after="0" w:line="195" w:lineRule="exact"/>
        <w:rPr>
          <w:rFonts w:ascii="Courier New" w:cs="Courier New" w:eastAsia="Courier New" w:hAnsi="Courier New"/>
          <w:sz w:val="17"/>
          <w:szCs w:val="17"/>
          <w:color w:val="auto"/>
        </w:rPr>
      </w:pPr>
    </w:p>
    <w:p>
      <w:pPr>
        <w:ind w:right="1939" w:firstLine="531"/>
        <w:spacing w:after="0" w:line="254" w:lineRule="auto"/>
        <w:tabs>
          <w:tab w:leader="none" w:pos="943" w:val="left"/>
        </w:tabs>
        <w:numPr>
          <w:ilvl w:val="0"/>
          <w:numId w:val="5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Closing of the Polls. The presiding officer shall announce at the meeting of the shareholders when the polls close for each matter voted upon. If no announcement is made, the polls shall be deemed</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F-4</w:t>
      </w:r>
    </w:p>
    <w:p>
      <w:pPr>
        <w:sectPr>
          <w:pgSz w:w="11900" w:h="16838" w:orient="portrait"/>
          <w:cols w:equalWidth="0" w:num="1">
            <w:col w:w="10219"/>
          </w:cols>
          <w:pgMar w:left="240" w:top="719" w:right="1440" w:bottom="457" w:gutter="0" w:footer="0" w:header="0"/>
        </w:sectPr>
      </w:pPr>
    </w:p>
    <w:bookmarkStart w:id="546" w:name="page547"/>
    <w:bookmarkEnd w:id="546"/>
    <w:p>
      <w:pPr>
        <w:ind w:right="1839"/>
        <w:spacing w:after="0" w:line="254" w:lineRule="auto"/>
        <w:rPr>
          <w:sz w:val="20"/>
          <w:szCs w:val="20"/>
          <w:color w:val="auto"/>
        </w:rPr>
      </w:pPr>
      <w:r>
        <w:rPr>
          <w:rFonts w:ascii="Courier New" w:cs="Courier New" w:eastAsia="Courier New" w:hAnsi="Courier New"/>
          <w:sz w:val="17"/>
          <w:szCs w:val="17"/>
          <w:color w:val="auto"/>
        </w:rPr>
        <w:t>to have closed upon the final adjournment of the meeting. After the polls close, no ballots, proxies or votes, nor any revocations or changes thereto, may be accepted.</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3</w:t>
      </w: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BOARD OF DIRECTORS</w:t>
      </w:r>
    </w:p>
    <w:p>
      <w:pPr>
        <w:spacing w:after="0" w:line="210"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SECTION 3.01.</w:t>
        <w:tab/>
        <w:t>Board of Directors.</w:t>
      </w:r>
    </w:p>
    <w:p>
      <w:pPr>
        <w:spacing w:after="0" w:line="210" w:lineRule="exact"/>
        <w:rPr>
          <w:sz w:val="20"/>
          <w:szCs w:val="20"/>
          <w:color w:val="auto"/>
        </w:rPr>
      </w:pPr>
    </w:p>
    <w:p>
      <w:pPr>
        <w:ind w:right="1839" w:firstLine="531"/>
        <w:spacing w:after="0" w:line="252" w:lineRule="auto"/>
        <w:tabs>
          <w:tab w:leader="none" w:pos="943" w:val="left"/>
        </w:tabs>
        <w:numPr>
          <w:ilvl w:val="0"/>
          <w:numId w:val="5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 Unless the Pennsylvania BCL permits otherwise, this Section 3.01(a) may be modified only by a By-Law amendment adopted by the shareholders.</w:t>
      </w:r>
    </w:p>
    <w:p>
      <w:pPr>
        <w:spacing w:after="0" w:line="196" w:lineRule="exact"/>
        <w:rPr>
          <w:rFonts w:ascii="Courier New" w:cs="Courier New" w:eastAsia="Courier New" w:hAnsi="Courier New"/>
          <w:sz w:val="17"/>
          <w:szCs w:val="17"/>
          <w:color w:val="auto"/>
        </w:rPr>
      </w:pPr>
    </w:p>
    <w:p>
      <w:pPr>
        <w:ind w:right="1839" w:firstLine="531"/>
        <w:spacing w:after="0" w:line="254" w:lineRule="auto"/>
        <w:tabs>
          <w:tab w:leader="none" w:pos="943" w:val="left"/>
        </w:tabs>
        <w:numPr>
          <w:ilvl w:val="0"/>
          <w:numId w:val="5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Number. Subject to Article SIXTH of the Articles of Incorporation, the number of Directors shall be as determined by the Board of Directors from time to time.</w:t>
      </w:r>
    </w:p>
    <w:p>
      <w:pPr>
        <w:spacing w:after="0" w:line="194"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5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201" w:lineRule="exact"/>
        <w:rPr>
          <w:rFonts w:ascii="Courier New" w:cs="Courier New" w:eastAsia="Courier New" w:hAnsi="Courier New"/>
          <w:sz w:val="17"/>
          <w:szCs w:val="17"/>
          <w:color w:val="auto"/>
        </w:rPr>
      </w:pPr>
    </w:p>
    <w:p>
      <w:pPr>
        <w:ind w:right="1939" w:firstLine="531"/>
        <w:spacing w:after="0" w:line="254" w:lineRule="auto"/>
        <w:tabs>
          <w:tab w:leader="none" w:pos="943" w:val="left"/>
        </w:tabs>
        <w:numPr>
          <w:ilvl w:val="0"/>
          <w:numId w:val="5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Removal. The entire Board of Directors or any individual Director may be removed from office only for cause by the vote of the shareholders entitled to elect directors.</w:t>
      </w:r>
    </w:p>
    <w:p>
      <w:pPr>
        <w:spacing w:after="0" w:line="194" w:lineRule="exact"/>
        <w:rPr>
          <w:rFonts w:ascii="Courier New" w:cs="Courier New" w:eastAsia="Courier New" w:hAnsi="Courier New"/>
          <w:sz w:val="17"/>
          <w:szCs w:val="17"/>
          <w:color w:val="auto"/>
        </w:rPr>
      </w:pPr>
    </w:p>
    <w:p>
      <w:pPr>
        <w:ind w:left="960" w:hanging="429"/>
        <w:spacing w:after="0"/>
        <w:tabs>
          <w:tab w:leader="none" w:pos="960" w:val="left"/>
        </w:tabs>
        <w:numPr>
          <w:ilvl w:val="0"/>
          <w:numId w:val="5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Qualification.  A Director must be a natural person at least 18 years</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age.</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3.02. Place of Meetings. Meetings of the Board of Directors may be held at such place within or without the Commonwealth of Pennsylvania as the Board of Directors may appoint from time to time or as may be designated in the notice of the meeting.</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3.03. Regular Meetings.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3.04. Special Meetings.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3.05. Participation in Meetings by Electronic Means.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F-5</w:t>
      </w:r>
    </w:p>
    <w:p>
      <w:pPr>
        <w:sectPr>
          <w:pgSz w:w="11900" w:h="16838" w:orient="portrait"/>
          <w:cols w:equalWidth="0" w:num="1">
            <w:col w:w="10219"/>
          </w:cols>
          <w:pgMar w:left="240" w:top="719" w:right="1440" w:bottom="1062" w:gutter="0" w:footer="0" w:header="0"/>
        </w:sectPr>
      </w:pPr>
    </w:p>
    <w:bookmarkStart w:id="547" w:name="page548"/>
    <w:bookmarkEnd w:id="547"/>
    <w:p>
      <w:pPr>
        <w:ind w:left="540"/>
        <w:spacing w:after="0"/>
        <w:tabs>
          <w:tab w:leader="none" w:pos="2080" w:val="left"/>
        </w:tabs>
        <w:rPr>
          <w:sz w:val="20"/>
          <w:szCs w:val="20"/>
          <w:color w:val="auto"/>
        </w:rPr>
      </w:pPr>
      <w:r>
        <w:rPr>
          <w:rFonts w:ascii="Courier New" w:cs="Courier New" w:eastAsia="Courier New" w:hAnsi="Courier New"/>
          <w:sz w:val="17"/>
          <w:szCs w:val="17"/>
          <w:color w:val="auto"/>
        </w:rPr>
        <w:t>SECTION 3.06.</w:t>
        <w:tab/>
        <w:t>Notices of Meetings of Board of Directors.</w:t>
      </w:r>
    </w:p>
    <w:p>
      <w:pPr>
        <w:spacing w:after="0" w:line="210" w:lineRule="exact"/>
        <w:rPr>
          <w:sz w:val="20"/>
          <w:szCs w:val="20"/>
          <w:color w:val="auto"/>
        </w:rPr>
      </w:pPr>
    </w:p>
    <w:p>
      <w:pPr>
        <w:ind w:right="1839" w:firstLine="531"/>
        <w:spacing w:after="0" w:line="252" w:lineRule="auto"/>
        <w:tabs>
          <w:tab w:leader="none" w:pos="943" w:val="left"/>
        </w:tabs>
        <w:numPr>
          <w:ilvl w:val="0"/>
          <w:numId w:val="5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97" w:lineRule="exact"/>
        <w:rPr>
          <w:rFonts w:ascii="Courier New" w:cs="Courier New" w:eastAsia="Courier New" w:hAnsi="Courier New"/>
          <w:sz w:val="17"/>
          <w:szCs w:val="17"/>
          <w:color w:val="auto"/>
        </w:rPr>
      </w:pPr>
    </w:p>
    <w:p>
      <w:pPr>
        <w:ind w:right="1939" w:firstLine="531"/>
        <w:spacing w:after="0" w:line="253" w:lineRule="auto"/>
        <w:tabs>
          <w:tab w:leader="none" w:pos="943" w:val="left"/>
        </w:tabs>
        <w:numPr>
          <w:ilvl w:val="0"/>
          <w:numId w:val="5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3.07. Quorum; Action by the Board of Directors.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3.08. Informal Action by the Board of Directors. Any action required or permitted to be taken at a meeting of the Board of Directors may be taken without a meeting if, prior or subsequent to the action, a written consent or consents thereto by all of the Directors in office is filed with the Secretary of the Corporation. In addition to other means of filing with the Secretary, insertion in the minute book of the Corporation shall be deemed filing with the Secretary regardless of whether the Secretary or some other authorized person has actual possession of the minute book. Written consents by all the Directors, executed pursuant to this Section 3.08, may be executed in any number of counterparts and shall be deemed effective as of the date set forth therein.</w:t>
      </w:r>
    </w:p>
    <w:p>
      <w:pPr>
        <w:spacing w:after="0" w:line="200" w:lineRule="exact"/>
        <w:rPr>
          <w:sz w:val="20"/>
          <w:szCs w:val="20"/>
          <w:color w:val="auto"/>
        </w:rPr>
      </w:pPr>
    </w:p>
    <w:p>
      <w:pPr>
        <w:spacing w:after="0" w:line="203"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SECTION 3.09.</w:t>
        <w:tab/>
        <w:t>Committees.</w:t>
      </w:r>
    </w:p>
    <w:p>
      <w:pPr>
        <w:spacing w:after="0" w:line="210" w:lineRule="exact"/>
        <w:rPr>
          <w:sz w:val="20"/>
          <w:szCs w:val="20"/>
          <w:color w:val="auto"/>
        </w:rPr>
      </w:pPr>
    </w:p>
    <w:p>
      <w:pPr>
        <w:ind w:right="1939" w:firstLine="531"/>
        <w:spacing w:after="0" w:line="252" w:lineRule="auto"/>
        <w:tabs>
          <w:tab w:leader="none" w:pos="943" w:val="left"/>
        </w:tabs>
        <w:numPr>
          <w:ilvl w:val="0"/>
          <w:numId w:val="5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195" w:lineRule="exact"/>
        <w:rPr>
          <w:rFonts w:ascii="Courier New" w:cs="Courier New" w:eastAsia="Courier New" w:hAnsi="Courier New"/>
          <w:sz w:val="17"/>
          <w:szCs w:val="17"/>
          <w:color w:val="auto"/>
        </w:rPr>
      </w:pPr>
    </w:p>
    <w:p>
      <w:pPr>
        <w:ind w:left="540" w:right="1839" w:firstLine="515"/>
        <w:spacing w:after="0" w:line="257" w:lineRule="auto"/>
        <w:tabs>
          <w:tab w:leader="none" w:pos="1483" w:val="left"/>
        </w:tabs>
        <w:numPr>
          <w:ilvl w:val="1"/>
          <w:numId w:val="5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submission to shareholders of any action requiring approval of shareholders under the Pennsylvania BCL.</w:t>
      </w:r>
    </w:p>
    <w:p>
      <w:pPr>
        <w:spacing w:after="0" w:line="191" w:lineRule="exact"/>
        <w:rPr>
          <w:rFonts w:ascii="Courier New" w:cs="Courier New" w:eastAsia="Courier New" w:hAnsi="Courier New"/>
          <w:sz w:val="17"/>
          <w:szCs w:val="17"/>
          <w:color w:val="auto"/>
        </w:rPr>
      </w:pPr>
    </w:p>
    <w:p>
      <w:pPr>
        <w:ind w:left="1580" w:hanging="525"/>
        <w:spacing w:after="0"/>
        <w:tabs>
          <w:tab w:leader="none" w:pos="1580" w:val="left"/>
        </w:tabs>
        <w:numPr>
          <w:ilvl w:val="1"/>
          <w:numId w:val="5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creation or filling of vacancies in the Board of Directors.</w:t>
      </w:r>
    </w:p>
    <w:p>
      <w:pPr>
        <w:spacing w:after="0" w:line="210" w:lineRule="exact"/>
        <w:rPr>
          <w:rFonts w:ascii="Courier New" w:cs="Courier New" w:eastAsia="Courier New" w:hAnsi="Courier New"/>
          <w:sz w:val="17"/>
          <w:szCs w:val="17"/>
          <w:color w:val="auto"/>
        </w:rPr>
      </w:pPr>
    </w:p>
    <w:p>
      <w:pPr>
        <w:ind w:left="1680" w:hanging="625"/>
        <w:spacing w:after="0"/>
        <w:tabs>
          <w:tab w:leader="none" w:pos="1680" w:val="left"/>
        </w:tabs>
        <w:numPr>
          <w:ilvl w:val="1"/>
          <w:numId w:val="5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adoption, amendment or repeal of the By-Laws.</w:t>
      </w:r>
    </w:p>
    <w:p>
      <w:pPr>
        <w:spacing w:after="0" w:line="210" w:lineRule="exact"/>
        <w:rPr>
          <w:rFonts w:ascii="Courier New" w:cs="Courier New" w:eastAsia="Courier New" w:hAnsi="Courier New"/>
          <w:sz w:val="17"/>
          <w:szCs w:val="17"/>
          <w:color w:val="auto"/>
        </w:rPr>
      </w:pPr>
    </w:p>
    <w:p>
      <w:pPr>
        <w:ind w:left="540" w:right="1839" w:firstLine="515"/>
        <w:spacing w:after="0" w:line="254" w:lineRule="auto"/>
        <w:tabs>
          <w:tab w:leader="none" w:pos="1587" w:val="left"/>
        </w:tabs>
        <w:numPr>
          <w:ilvl w:val="1"/>
          <w:numId w:val="5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amendment or repeal of any resolution of the Board of Directors that by its terms is amendable or repealable only by the Board of Directors.</w:t>
      </w:r>
    </w:p>
    <w:p>
      <w:pPr>
        <w:spacing w:after="0" w:line="194" w:lineRule="exact"/>
        <w:rPr>
          <w:rFonts w:ascii="Courier New" w:cs="Courier New" w:eastAsia="Courier New" w:hAnsi="Courier New"/>
          <w:sz w:val="17"/>
          <w:szCs w:val="17"/>
          <w:color w:val="auto"/>
        </w:rPr>
      </w:pPr>
    </w:p>
    <w:p>
      <w:pPr>
        <w:ind w:left="540" w:right="1839" w:firstLine="515"/>
        <w:spacing w:after="0" w:line="254" w:lineRule="auto"/>
        <w:tabs>
          <w:tab w:leader="none" w:pos="1483" w:val="left"/>
        </w:tabs>
        <w:numPr>
          <w:ilvl w:val="1"/>
          <w:numId w:val="5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Action on matters committed by the Articles of Incorporation, the By-Laws or resolution of the Board of Directors to another committee of the Board of Directors.</w:t>
      </w:r>
    </w:p>
    <w:p>
      <w:pPr>
        <w:spacing w:after="0" w:line="194" w:lineRule="exact"/>
        <w:rPr>
          <w:rFonts w:ascii="Courier New" w:cs="Courier New" w:eastAsia="Courier New" w:hAnsi="Courier New"/>
          <w:sz w:val="17"/>
          <w:szCs w:val="17"/>
          <w:color w:val="auto"/>
        </w:rPr>
      </w:pPr>
    </w:p>
    <w:p>
      <w:pPr>
        <w:ind w:right="1939" w:firstLine="531"/>
        <w:spacing w:after="0" w:line="251" w:lineRule="auto"/>
        <w:tabs>
          <w:tab w:leader="none" w:pos="943" w:val="left"/>
        </w:tabs>
        <w:numPr>
          <w:ilvl w:val="0"/>
          <w:numId w:val="5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201" w:lineRule="exact"/>
        <w:rPr>
          <w:rFonts w:ascii="Courier New" w:cs="Courier New" w:eastAsia="Courier New" w:hAnsi="Courier New"/>
          <w:sz w:val="17"/>
          <w:szCs w:val="17"/>
          <w:color w:val="auto"/>
        </w:rPr>
      </w:pPr>
    </w:p>
    <w:p>
      <w:pPr>
        <w:ind w:right="2359" w:firstLine="531"/>
        <w:spacing w:after="0" w:line="257" w:lineRule="auto"/>
        <w:tabs>
          <w:tab w:leader="none" w:pos="943" w:val="left"/>
        </w:tabs>
        <w:numPr>
          <w:ilvl w:val="0"/>
          <w:numId w:val="5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Each committee of the Board of Directors shall serve at the pleasure of the Board of Directors.</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F-6</w:t>
      </w:r>
    </w:p>
    <w:p>
      <w:pPr>
        <w:sectPr>
          <w:pgSz w:w="11900" w:h="16838" w:orient="portrait"/>
          <w:cols w:equalWidth="0" w:num="1">
            <w:col w:w="10219"/>
          </w:cols>
          <w:pgMar w:left="240" w:top="719" w:right="1440" w:bottom="861" w:gutter="0" w:footer="0" w:header="0"/>
        </w:sectPr>
      </w:pPr>
    </w:p>
    <w:bookmarkStart w:id="548" w:name="page549"/>
    <w:bookmarkEnd w:id="548"/>
    <w:p>
      <w:pPr>
        <w:ind w:right="1839" w:firstLine="531"/>
        <w:spacing w:after="0" w:line="251" w:lineRule="auto"/>
        <w:tabs>
          <w:tab w:leader="none" w:pos="943" w:val="left"/>
        </w:tabs>
        <w:numPr>
          <w:ilvl w:val="0"/>
          <w:numId w:val="5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Status of Committee Action. The term "BOARD OF DIRECTORS" or "BOARD",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3.10. Nomination. Nominations for the election of Directors may be made only (A) on behalf of the Corporation by the Directors Nominating Committee pursuant to Article SIXTH of the Articles of Incorporation or, if Article SIXTH of the Articles of Incorporation shall have terminated,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President,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w:t>
      </w:r>
    </w:p>
    <w:p>
      <w:pPr>
        <w:spacing w:after="0" w:line="202" w:lineRule="exact"/>
        <w:rPr>
          <w:sz w:val="20"/>
          <w:szCs w:val="20"/>
          <w:color w:val="auto"/>
        </w:rPr>
      </w:pPr>
    </w:p>
    <w:p>
      <w:pPr>
        <w:ind w:right="1839" w:firstLine="7"/>
        <w:spacing w:after="0" w:line="251" w:lineRule="auto"/>
        <w:tabs>
          <w:tab w:leader="none" w:pos="419" w:val="left"/>
        </w:tabs>
        <w:numPr>
          <w:ilvl w:val="0"/>
          <w:numId w:val="5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20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4</w:t>
      </w:r>
    </w:p>
    <w:p>
      <w:pPr>
        <w:spacing w:after="0" w:line="21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OFFICERS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4.01. Election and Office.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of the Board, one or more Vice Presidents, and one or more other officers or assistant officers. Any number of offices may be held by the same person. The Chairman of the Board and any Vice Chairman of the Board must be a Director of the Corporation. The initial officers of the Corporation (other than the Chairman of the Board) shall be selected by the Chief Executive Officer in consultation with the Chairman of the Board.</w:t>
      </w:r>
    </w:p>
    <w:p>
      <w:pPr>
        <w:spacing w:after="0" w:line="201" w:lineRule="exact"/>
        <w:rPr>
          <w:sz w:val="20"/>
          <w:szCs w:val="20"/>
          <w:color w:val="auto"/>
        </w:rPr>
      </w:pPr>
    </w:p>
    <w:p>
      <w:pPr>
        <w:ind w:right="2259" w:firstLine="524"/>
        <w:spacing w:after="0" w:line="254" w:lineRule="auto"/>
        <w:rPr>
          <w:sz w:val="20"/>
          <w:szCs w:val="20"/>
          <w:color w:val="auto"/>
        </w:rPr>
      </w:pPr>
      <w:r>
        <w:rPr>
          <w:rFonts w:ascii="Courier New" w:cs="Courier New" w:eastAsia="Courier New" w:hAnsi="Courier New"/>
          <w:sz w:val="17"/>
          <w:szCs w:val="17"/>
          <w:color w:val="auto"/>
        </w:rPr>
        <w:t>SECTION 4.02. Term. Each officer of the Corporation shall hold office until his successor is selected and qualified or until his earlier death, resignation or removal. Subject to Article SIXTH of the</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F-7</w:t>
      </w:r>
    </w:p>
    <w:p>
      <w:pPr>
        <w:sectPr>
          <w:pgSz w:w="11900" w:h="16838" w:orient="portrait"/>
          <w:cols w:equalWidth="0" w:num="1">
            <w:col w:w="10219"/>
          </w:cols>
          <w:pgMar w:left="240" w:top="719" w:right="1440" w:bottom="1440" w:gutter="0" w:footer="0" w:header="0"/>
        </w:sectPr>
      </w:pPr>
    </w:p>
    <w:bookmarkStart w:id="549" w:name="page550"/>
    <w:bookmarkEnd w:id="549"/>
    <w:p>
      <w:pPr>
        <w:ind w:right="1839"/>
        <w:spacing w:after="0" w:line="253" w:lineRule="auto"/>
        <w:rPr>
          <w:sz w:val="20"/>
          <w:szCs w:val="20"/>
          <w:color w:val="auto"/>
        </w:rPr>
      </w:pPr>
      <w:r>
        <w:rPr>
          <w:rFonts w:ascii="Courier New" w:cs="Courier New" w:eastAsia="Courier New" w:hAnsi="Courier New"/>
          <w:sz w:val="17"/>
          <w:szCs w:val="17"/>
          <w:color w:val="auto"/>
        </w:rPr>
        <w:t>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195"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SECTION 4.03. Powers and Duties of the Chairman of the Board. The Chairman of the Board shall have such powers and shall perform such duties as are provided in Article SIXTH of the Articles of Incorporation.</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SECTION 4.04. Powers and Duties of the Chief Executive Officer. The Chief Executive Officer shall have such powers and shall perform such duties as are provided in Article SIXTH of the Articles of Incorporation.</w:t>
      </w:r>
    </w:p>
    <w:p>
      <w:pPr>
        <w:spacing w:after="0" w:line="194"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4.05. Powers and Duties of the President. The President shall have such powers and shall perform such duties as may, subject to Article SIXTH of the Articles of Incorporation, from time to time be assigned to the President by the Board of Directors.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4.06. Powers and Duties of the Secretary.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4.07. Powers and Duties of the Treasurer.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4.08. Powers and Duties of the Vice Chairmen, Vice Presidents and Assistant Officers. Unless otherwise determined by the Board of Directors and subject to Article SIXTH of the Articles of Incorporation, each Vice Chairman, Executive Vice President, Senior Vice President, Vice President and each assistant officer shall have the powers and perform the duties of his or her respective superior officer, except to the extent such powers and duties are limited by such superior officer or by the Board of Directors. Executive Vice Presidents, Senior Vice Presidents, Vice Presidents and assistant officers shall have such rank as may be designated by the Board of Directors, with Executive Vice Presidents serving as superior officers to Senior Vice Presidents and Senior Vice Presidents serving as superior officers to Vice Presidents. Executive Vice Presidents, Senior Vice Presidents and Vice Presidents may be designated as having responsibility for a specific area of the Corporation's affairs, in which event such Executive Vice Presidents, Senior Vice Presidents or Vice Presidents shall be superior to the other Executive Vice Presidents, Senior Vice Presidents or Vice Presidents, respectively, in relation to matters within his or her area. The President shall be the superior officer of the Executive Vice Presidents, Senior Vice Presidents, Vice Presidents and all other officer positions created by the Board of Directors unless the Board of Directors provides otherwise. The Treasurer and Secretary shall be the superior officers of the Assistant Treasurers and Assistant Secretaries, respectively.</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F-8</w:t>
      </w:r>
    </w:p>
    <w:p>
      <w:pPr>
        <w:sectPr>
          <w:pgSz w:w="11900" w:h="16838" w:orient="portrait"/>
          <w:cols w:equalWidth="0" w:num="1">
            <w:col w:w="10219"/>
          </w:cols>
          <w:pgMar w:left="240" w:top="719" w:right="1440" w:bottom="1440" w:gutter="0" w:footer="0" w:header="0"/>
        </w:sectPr>
      </w:pPr>
    </w:p>
    <w:bookmarkStart w:id="550" w:name="page551"/>
    <w:bookmarkEnd w:id="550"/>
    <w:p>
      <w:pPr>
        <w:ind w:right="1839" w:firstLine="524"/>
        <w:spacing w:after="0" w:line="254" w:lineRule="auto"/>
        <w:rPr>
          <w:sz w:val="20"/>
          <w:szCs w:val="20"/>
          <w:color w:val="auto"/>
        </w:rPr>
      </w:pPr>
      <w:r>
        <w:rPr>
          <w:rFonts w:ascii="Courier New" w:cs="Courier New" w:eastAsia="Courier New" w:hAnsi="Courier New"/>
          <w:sz w:val="17"/>
          <w:szCs w:val="17"/>
          <w:color w:val="auto"/>
        </w:rPr>
        <w:t>SECTION 4.09. Vacancies. Subject to Article SIXTH of the Articles of Incorporation, the Board of Directors shall have the power to fill any vacancies in any office occurring for any reason.</w:t>
      </w:r>
    </w:p>
    <w:p>
      <w:pPr>
        <w:spacing w:after="0" w:line="194"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SECTION 4.10. Delegation of Office. Subject to Article SIXTH of the Articles of Incorporation, the Board of Directors may delegate the powers or duties of any officer of the Corporation to any other person from time to time.</w:t>
      </w:r>
    </w:p>
    <w:p>
      <w:pPr>
        <w:spacing w:after="0" w:line="19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5</w:t>
      </w:r>
    </w:p>
    <w:p>
      <w:pPr>
        <w:spacing w:after="0" w:line="210"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CAPITAL STOCK</w:t>
      </w:r>
    </w:p>
    <w:p>
      <w:pPr>
        <w:spacing w:after="0" w:line="210"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SECTION 5.01.</w:t>
        <w:tab/>
        <w:t>Share Certificates.</w:t>
      </w:r>
    </w:p>
    <w:p>
      <w:pPr>
        <w:spacing w:after="0" w:line="210" w:lineRule="exact"/>
        <w:rPr>
          <w:sz w:val="20"/>
          <w:szCs w:val="20"/>
          <w:color w:val="auto"/>
        </w:rPr>
      </w:pPr>
    </w:p>
    <w:p>
      <w:pPr>
        <w:ind w:right="1839" w:firstLine="531"/>
        <w:spacing w:after="0" w:line="251" w:lineRule="auto"/>
        <w:tabs>
          <w:tab w:leader="none" w:pos="943" w:val="left"/>
        </w:tabs>
        <w:numPr>
          <w:ilvl w:val="0"/>
          <w:numId w:val="6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Execution. Except as otherwise provided in Section 5.05, the shares of the Corporation shall be represented by certificates.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201"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6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201" w:lineRule="exact"/>
        <w:rPr>
          <w:rFonts w:ascii="Courier New" w:cs="Courier New" w:eastAsia="Courier New" w:hAnsi="Courier New"/>
          <w:sz w:val="17"/>
          <w:szCs w:val="17"/>
          <w:color w:val="auto"/>
        </w:rPr>
      </w:pPr>
    </w:p>
    <w:p>
      <w:pPr>
        <w:ind w:right="2139" w:firstLine="531"/>
        <w:spacing w:after="0" w:line="252" w:lineRule="auto"/>
        <w:tabs>
          <w:tab w:leader="none" w:pos="943" w:val="left"/>
        </w:tabs>
        <w:numPr>
          <w:ilvl w:val="0"/>
          <w:numId w:val="6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1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5.02. Transfer of Shares. Transfer of shares shall be made on the books of the Corporation only upon surrender of the share certificate, duly endorsed or with duly executed stock powers attached and otherwise in proper form for transfer, which certificate shall be canceled at the time of the transfer.</w:t>
      </w:r>
    </w:p>
    <w:p>
      <w:pPr>
        <w:spacing w:after="0" w:line="396"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SECTION 5.03.</w:t>
        <w:tab/>
        <w:t>Determination of Shareholders of Record.</w:t>
      </w:r>
    </w:p>
    <w:p>
      <w:pPr>
        <w:spacing w:after="0" w:line="210" w:lineRule="exact"/>
        <w:rPr>
          <w:sz w:val="20"/>
          <w:szCs w:val="20"/>
          <w:color w:val="auto"/>
        </w:rPr>
      </w:pPr>
    </w:p>
    <w:p>
      <w:pPr>
        <w:ind w:right="1839" w:firstLine="531"/>
        <w:spacing w:after="0" w:line="251" w:lineRule="auto"/>
        <w:tabs>
          <w:tab w:leader="none" w:pos="943" w:val="left"/>
        </w:tabs>
        <w:numPr>
          <w:ilvl w:val="0"/>
          <w:numId w:val="6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Fixing Record Date.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F-9</w:t>
      </w:r>
    </w:p>
    <w:p>
      <w:pPr>
        <w:sectPr>
          <w:pgSz w:w="11900" w:h="16838" w:orient="portrait"/>
          <w:cols w:equalWidth="0" w:num="1">
            <w:col w:w="10219"/>
          </w:cols>
          <w:pgMar w:left="240" w:top="719" w:right="1440" w:bottom="1440" w:gutter="0" w:footer="0" w:header="0"/>
        </w:sectPr>
      </w:pPr>
    </w:p>
    <w:bookmarkStart w:id="551" w:name="page552"/>
    <w:bookmarkEnd w:id="551"/>
    <w:p>
      <w:pPr>
        <w:ind w:left="960" w:hanging="429"/>
        <w:spacing w:after="0"/>
        <w:tabs>
          <w:tab w:leader="none" w:pos="960" w:val="left"/>
        </w:tabs>
        <w:numPr>
          <w:ilvl w:val="0"/>
          <w:numId w:val="6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Determination when No Record Date Fixed.  If a record date is not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fixed:</w:t>
      </w:r>
    </w:p>
    <w:p>
      <w:pPr>
        <w:spacing w:after="0" w:line="210"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1"/>
          <w:numId w:val="6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97" w:lineRule="exact"/>
        <w:rPr>
          <w:rFonts w:ascii="Courier New" w:cs="Courier New" w:eastAsia="Courier New" w:hAnsi="Courier New"/>
          <w:sz w:val="17"/>
          <w:szCs w:val="17"/>
          <w:color w:val="auto"/>
        </w:rPr>
      </w:pPr>
    </w:p>
    <w:p>
      <w:pPr>
        <w:ind w:left="540" w:right="1939" w:firstLine="515"/>
        <w:spacing w:after="0" w:line="254" w:lineRule="auto"/>
        <w:tabs>
          <w:tab w:leader="none" w:pos="1587" w:val="left"/>
        </w:tabs>
        <w:numPr>
          <w:ilvl w:val="1"/>
          <w:numId w:val="6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record date for determining shareholders for any other purpose shall be at the close of business on the day on which the Board of Directors adopts the resolution relating thereto.</w:t>
      </w:r>
    </w:p>
    <w:p>
      <w:pPr>
        <w:spacing w:after="0" w:line="194"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0"/>
          <w:numId w:val="6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197" w:lineRule="exact"/>
        <w:rPr>
          <w:rFonts w:ascii="Courier New" w:cs="Courier New" w:eastAsia="Courier New" w:hAnsi="Courier New"/>
          <w:sz w:val="17"/>
          <w:szCs w:val="17"/>
          <w:color w:val="auto"/>
        </w:rPr>
      </w:pPr>
    </w:p>
    <w:p>
      <w:pPr>
        <w:ind w:left="1480" w:hanging="425"/>
        <w:spacing w:after="0"/>
        <w:tabs>
          <w:tab w:leader="none" w:pos="1480" w:val="left"/>
        </w:tabs>
        <w:numPr>
          <w:ilvl w:val="1"/>
          <w:numId w:val="6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classification of shareholder who may certify;</w:t>
      </w:r>
    </w:p>
    <w:p>
      <w:pPr>
        <w:spacing w:after="0" w:line="210" w:lineRule="exact"/>
        <w:rPr>
          <w:rFonts w:ascii="Courier New" w:cs="Courier New" w:eastAsia="Courier New" w:hAnsi="Courier New"/>
          <w:sz w:val="17"/>
          <w:szCs w:val="17"/>
          <w:color w:val="auto"/>
        </w:rPr>
      </w:pPr>
    </w:p>
    <w:p>
      <w:pPr>
        <w:ind w:left="1580" w:hanging="525"/>
        <w:spacing w:after="0"/>
        <w:tabs>
          <w:tab w:leader="none" w:pos="1580" w:val="left"/>
        </w:tabs>
        <w:numPr>
          <w:ilvl w:val="1"/>
          <w:numId w:val="6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purpose or purposes for which the certification may be made;</w:t>
      </w:r>
    </w:p>
    <w:p>
      <w:pPr>
        <w:spacing w:after="0" w:line="210" w:lineRule="exact"/>
        <w:rPr>
          <w:rFonts w:ascii="Courier New" w:cs="Courier New" w:eastAsia="Courier New" w:hAnsi="Courier New"/>
          <w:sz w:val="17"/>
          <w:szCs w:val="17"/>
          <w:color w:val="auto"/>
        </w:rPr>
      </w:pPr>
    </w:p>
    <w:p>
      <w:pPr>
        <w:ind w:left="1680" w:hanging="625"/>
        <w:spacing w:after="0"/>
        <w:tabs>
          <w:tab w:leader="none" w:pos="1680" w:val="left"/>
        </w:tabs>
        <w:numPr>
          <w:ilvl w:val="1"/>
          <w:numId w:val="6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of certification and information to be contained</w:t>
      </w:r>
    </w:p>
    <w:p>
      <w:pPr>
        <w:spacing w:after="0" w:line="8"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therein;</w:t>
      </w:r>
    </w:p>
    <w:p>
      <w:pPr>
        <w:spacing w:after="0" w:line="210" w:lineRule="exact"/>
        <w:rPr>
          <w:rFonts w:ascii="Courier New" w:cs="Courier New" w:eastAsia="Courier New" w:hAnsi="Courier New"/>
          <w:sz w:val="17"/>
          <w:szCs w:val="17"/>
          <w:color w:val="auto"/>
        </w:rPr>
      </w:pPr>
    </w:p>
    <w:p>
      <w:pPr>
        <w:ind w:left="540" w:right="2039" w:firstLine="515"/>
        <w:spacing w:after="0" w:line="254" w:lineRule="auto"/>
        <w:tabs>
          <w:tab w:leader="none" w:pos="1587" w:val="left"/>
        </w:tabs>
        <w:numPr>
          <w:ilvl w:val="1"/>
          <w:numId w:val="6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certification is with respect to a record date, the time after the record date within which the certification must be received by the Corporation; and</w:t>
      </w:r>
    </w:p>
    <w:p>
      <w:pPr>
        <w:spacing w:after="0" w:line="194" w:lineRule="exact"/>
        <w:rPr>
          <w:rFonts w:ascii="Courier New" w:cs="Courier New" w:eastAsia="Courier New" w:hAnsi="Courier New"/>
          <w:sz w:val="17"/>
          <w:szCs w:val="17"/>
          <w:color w:val="auto"/>
        </w:rPr>
      </w:pPr>
    </w:p>
    <w:p>
      <w:pPr>
        <w:ind w:left="540" w:right="1939" w:firstLine="515"/>
        <w:spacing w:after="0" w:line="257" w:lineRule="auto"/>
        <w:tabs>
          <w:tab w:leader="none" w:pos="1483" w:val="left"/>
        </w:tabs>
        <w:numPr>
          <w:ilvl w:val="1"/>
          <w:numId w:val="6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other provisions with respect to the procedure as are deemed necessary or desirable.</w:t>
      </w:r>
    </w:p>
    <w:p>
      <w:pPr>
        <w:spacing w:after="0" w:line="19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SECTION 5.04. Lost Share Certificates.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provided that the request therefor and issuance thereof have been made before the Corporation has notice that such shares have been acquired by a bona fide purchaser.</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5.05. Uncertificated Shares. Notwithstanding anything herein to the contrary, any or all classes and series of shares,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 Notwithstanding anything herein to the contrary, the provisions of Section 5.02 shall be inapplicable to uncertificated shares and in lieu thereof the Board of Directors shall adopt alternative procedures for registration of transfers.</w:t>
      </w:r>
    </w:p>
    <w:p>
      <w:pPr>
        <w:spacing w:after="0" w:line="202"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6</w:t>
      </w:r>
    </w:p>
    <w:p>
      <w:pPr>
        <w:spacing w:after="0" w:line="210"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NOTICES; COMPUTING TIME PERIODS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6.01. Contents of Notice. Whenever any notice of a meeting of the Board of Directors or of shareholders is required to be given pursuant to these By-Laws or the Articles of Incorporation of the Corporation, as the same may be amended from time to time, or otherwise, the notice shall specify the</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F-10</w:t>
      </w:r>
    </w:p>
    <w:p>
      <w:pPr>
        <w:sectPr>
          <w:pgSz w:w="11900" w:h="16838" w:orient="portrait"/>
          <w:cols w:equalWidth="0" w:num="1">
            <w:col w:w="10219"/>
          </w:cols>
          <w:pgMar w:left="240" w:top="719" w:right="1440" w:bottom="256" w:gutter="0" w:footer="0" w:header="0"/>
        </w:sectPr>
      </w:pPr>
    </w:p>
    <w:bookmarkStart w:id="552" w:name="page553"/>
    <w:bookmarkEnd w:id="552"/>
    <w:p>
      <w:pPr>
        <w:ind w:right="2139"/>
        <w:spacing w:after="0" w:line="253" w:lineRule="auto"/>
        <w:rPr>
          <w:sz w:val="20"/>
          <w:szCs w:val="20"/>
          <w:color w:val="auto"/>
        </w:rPr>
      </w:pPr>
      <w:r>
        <w:rPr>
          <w:rFonts w:ascii="Courier New" w:cs="Courier New" w:eastAsia="Courier New" w:hAnsi="Courier New"/>
          <w:sz w:val="17"/>
          <w:szCs w:val="17"/>
          <w:color w:val="auto"/>
        </w:rPr>
        <w:t>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6.02. Method of Notice.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200" w:lineRule="exact"/>
        <w:rPr>
          <w:sz w:val="20"/>
          <w:szCs w:val="20"/>
          <w:color w:val="auto"/>
        </w:rPr>
      </w:pPr>
    </w:p>
    <w:p>
      <w:pPr>
        <w:spacing w:after="0" w:line="203"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SECTION 6.03.</w:t>
        <w:tab/>
        <w:t>Computing Time Periods.</w:t>
      </w:r>
    </w:p>
    <w:p>
      <w:pPr>
        <w:spacing w:after="0" w:line="210" w:lineRule="exact"/>
        <w:rPr>
          <w:sz w:val="20"/>
          <w:szCs w:val="20"/>
          <w:color w:val="auto"/>
        </w:rPr>
      </w:pPr>
    </w:p>
    <w:p>
      <w:pPr>
        <w:ind w:right="1939" w:firstLine="531"/>
        <w:spacing w:after="0" w:line="252" w:lineRule="auto"/>
        <w:tabs>
          <w:tab w:leader="none" w:pos="943" w:val="left"/>
        </w:tabs>
        <w:numPr>
          <w:ilvl w:val="0"/>
          <w:numId w:val="6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to be Counted. In computing the number of days for purposes of these By-Laws, all days shall be counted, including Saturdays, Sundays and any Holiday; provided, however,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95" w:lineRule="exact"/>
        <w:rPr>
          <w:rFonts w:ascii="Courier New" w:cs="Courier New" w:eastAsia="Courier New" w:hAnsi="Courier New"/>
          <w:sz w:val="17"/>
          <w:szCs w:val="17"/>
          <w:color w:val="auto"/>
        </w:rPr>
      </w:pPr>
    </w:p>
    <w:p>
      <w:pPr>
        <w:ind w:right="2139" w:firstLine="531"/>
        <w:spacing w:after="0" w:line="253" w:lineRule="auto"/>
        <w:tabs>
          <w:tab w:leader="none" w:pos="943" w:val="left"/>
        </w:tabs>
        <w:numPr>
          <w:ilvl w:val="0"/>
          <w:numId w:val="6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6.04. Waiver of Notice.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SECTION 6.05. Modification of Proposal Contained in Notice.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6.06. Bulk Mail.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96"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6.07. Shareholders Without Forwarding Addresses. Notice or other communications need not be sent to any shareholder with whom the Corporation has been unable to communicate for more than 24 consecutive months because communications to the shareholder have been returned unclaimed or the</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F-11</w:t>
      </w:r>
    </w:p>
    <w:p>
      <w:pPr>
        <w:sectPr>
          <w:pgSz w:w="11900" w:h="16838" w:orient="portrait"/>
          <w:cols w:equalWidth="0" w:num="1">
            <w:col w:w="10219"/>
          </w:cols>
          <w:pgMar w:left="240" w:top="719" w:right="1440" w:bottom="659" w:gutter="0" w:footer="0" w:header="0"/>
        </w:sectPr>
      </w:pPr>
    </w:p>
    <w:bookmarkStart w:id="553" w:name="page554"/>
    <w:bookmarkEnd w:id="553"/>
    <w:p>
      <w:pPr>
        <w:ind w:right="1839"/>
        <w:spacing w:after="0" w:line="253" w:lineRule="auto"/>
        <w:rPr>
          <w:sz w:val="20"/>
          <w:szCs w:val="20"/>
          <w:color w:val="auto"/>
        </w:rPr>
      </w:pPr>
      <w:r>
        <w:rPr>
          <w:rFonts w:ascii="Courier New" w:cs="Courier New" w:eastAsia="Courier New" w:hAnsi="Courier New"/>
          <w:sz w:val="17"/>
          <w:szCs w:val="17"/>
          <w:color w:val="auto"/>
        </w:rPr>
        <w:t>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195"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7</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LIMITATION OF DIRECTORS' LIABILITY AND INDEMNIFICATION OF DIRECTORS,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OFFICERS AND OTHER PERSONS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7.01. Limitation of Directors' Liability. No Director of the Corporation shall be personally liable for monetary damages as such for any action taken or any failure to take any action unless: (a) the Director has breached or failed to perform the duties of his or her office under Subchapter B of Chapter 17 of the Pennsylvania BCL (relating to standard of care and justifiable reliance), and (b) the breach or failure to perform constitutes self-dealing, wilful misconduct or recklessness; provided, however, that the provisions of this Section shall not apply to the responsibility or liability of a Director pursuant to any criminal statute, or to the liability of a Director for the payment of taxes pursuant to local, state or federal law.</w:t>
      </w:r>
    </w:p>
    <w:p>
      <w:pPr>
        <w:spacing w:after="0" w:line="201"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SECTION 7.02.</w:t>
        <w:tab/>
        <w:t>Indemnification and Insurance.</w:t>
      </w:r>
    </w:p>
    <w:p>
      <w:pPr>
        <w:spacing w:after="0" w:line="210" w:lineRule="exact"/>
        <w:rPr>
          <w:sz w:val="20"/>
          <w:szCs w:val="20"/>
          <w:color w:val="auto"/>
        </w:rPr>
      </w:pPr>
    </w:p>
    <w:p>
      <w:pPr>
        <w:ind w:left="960" w:hanging="429"/>
        <w:spacing w:after="0"/>
        <w:tabs>
          <w:tab w:leader="none" w:pos="960" w:val="left"/>
        </w:tabs>
        <w:numPr>
          <w:ilvl w:val="0"/>
          <w:numId w:val="6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of Directors and Officers.</w:t>
      </w:r>
    </w:p>
    <w:p>
      <w:pPr>
        <w:spacing w:after="0" w:line="210" w:lineRule="exact"/>
        <w:rPr>
          <w:rFonts w:ascii="Courier New" w:cs="Courier New" w:eastAsia="Courier New" w:hAnsi="Courier New"/>
          <w:sz w:val="17"/>
          <w:szCs w:val="17"/>
          <w:color w:val="auto"/>
        </w:rPr>
      </w:pPr>
    </w:p>
    <w:p>
      <w:pPr>
        <w:ind w:left="540" w:right="1839" w:firstLine="515"/>
        <w:spacing w:after="0" w:line="251" w:lineRule="auto"/>
        <w:tabs>
          <w:tab w:leader="none" w:pos="1483" w:val="left"/>
        </w:tabs>
        <w:numPr>
          <w:ilvl w:val="1"/>
          <w:numId w:val="6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Indemnitee (as defined below) shall be indemnified and held harmless by the Corporation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No indemnification pursuant to this Section shall be made, however, in any case where the act or failure to act giving rise to the claim for indemnification is determined by a court to have constituted wilful misconduct or recklessness.</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540" w:right="1839" w:firstLine="515"/>
        <w:spacing w:after="0" w:line="251" w:lineRule="auto"/>
        <w:tabs>
          <w:tab w:leader="none" w:pos="1587" w:val="left"/>
        </w:tabs>
        <w:numPr>
          <w:ilvl w:val="1"/>
          <w:numId w:val="6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 to indemnification provided in this Section shall include the right to have the expenses incurred by the Indemnitee in defending any Proceeding paid by the Corporation in advance of the final disposition of the Proceeding to the fullest extent permitted by Pennsylvania law; provided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201" w:lineRule="exact"/>
        <w:rPr>
          <w:rFonts w:ascii="Courier New" w:cs="Courier New" w:eastAsia="Courier New" w:hAnsi="Courier New"/>
          <w:sz w:val="17"/>
          <w:szCs w:val="17"/>
          <w:color w:val="auto"/>
        </w:rPr>
      </w:pPr>
    </w:p>
    <w:p>
      <w:pPr>
        <w:ind w:left="540" w:right="1839" w:firstLine="515"/>
        <w:spacing w:after="0" w:line="252" w:lineRule="auto"/>
        <w:tabs>
          <w:tab w:leader="none" w:pos="1692" w:val="left"/>
        </w:tabs>
        <w:numPr>
          <w:ilvl w:val="1"/>
          <w:numId w:val="6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an Indemnitee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w:t>
      </w:r>
    </w:p>
    <w:p>
      <w:pPr>
        <w:spacing w:after="0" w:line="197" w:lineRule="exact"/>
        <w:rPr>
          <w:rFonts w:ascii="Courier New" w:cs="Courier New" w:eastAsia="Courier New" w:hAnsi="Courier New"/>
          <w:sz w:val="17"/>
          <w:szCs w:val="17"/>
          <w:color w:val="auto"/>
        </w:rPr>
      </w:pPr>
    </w:p>
    <w:p>
      <w:pPr>
        <w:ind w:left="540" w:right="1939" w:firstLine="515"/>
        <w:spacing w:after="0" w:line="254" w:lineRule="auto"/>
        <w:tabs>
          <w:tab w:leader="none" w:pos="1587" w:val="left"/>
        </w:tabs>
        <w:numPr>
          <w:ilvl w:val="1"/>
          <w:numId w:val="6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pursuant to this Section shall continue as to an Indemnitee who has ceased to be a Director or officer and shall inure to the benefit of his or her heirs, executors and administrators.</w:t>
      </w:r>
    </w:p>
    <w:p>
      <w:pPr>
        <w:spacing w:after="0" w:line="194" w:lineRule="exact"/>
        <w:rPr>
          <w:rFonts w:ascii="Courier New" w:cs="Courier New" w:eastAsia="Courier New" w:hAnsi="Courier New"/>
          <w:sz w:val="17"/>
          <w:szCs w:val="17"/>
          <w:color w:val="auto"/>
        </w:rPr>
      </w:pPr>
    </w:p>
    <w:p>
      <w:pPr>
        <w:ind w:left="540" w:right="2039" w:firstLine="515"/>
        <w:spacing w:after="0" w:line="251" w:lineRule="auto"/>
        <w:tabs>
          <w:tab w:leader="none" w:pos="1483" w:val="left"/>
        </w:tabs>
        <w:numPr>
          <w:ilvl w:val="1"/>
          <w:numId w:val="6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Article, (A) "INDEMNITEE" shall mean each Director and each officer of the Corporation who was or is a party to, or is threatened to be made a party to, or is otherwise involved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partnership, joint venture, trust, employee benefit plan, or other enterprise; and (B) "PROCEEDING" shall mean any threatened, pending or completed action, suit or proceeding</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F-12</w:t>
      </w:r>
    </w:p>
    <w:p>
      <w:pPr>
        <w:sectPr>
          <w:pgSz w:w="11900" w:h="16838" w:orient="portrait"/>
          <w:cols w:equalWidth="0" w:num="1">
            <w:col w:w="10219"/>
          </w:cols>
          <w:pgMar w:left="240" w:top="719" w:right="1440" w:bottom="1062" w:gutter="0" w:footer="0" w:header="0"/>
        </w:sectPr>
      </w:pPr>
    </w:p>
    <w:bookmarkStart w:id="554" w:name="page555"/>
    <w:bookmarkEnd w:id="554"/>
    <w:p>
      <w:pPr>
        <w:ind w:left="540" w:right="2139"/>
        <w:spacing w:after="0" w:line="254" w:lineRule="auto"/>
        <w:rPr>
          <w:sz w:val="20"/>
          <w:szCs w:val="20"/>
          <w:color w:val="auto"/>
        </w:rPr>
      </w:pPr>
      <w:r>
        <w:rPr>
          <w:rFonts w:ascii="Courier New" w:cs="Courier New" w:eastAsia="Courier New" w:hAnsi="Courier New"/>
          <w:sz w:val="17"/>
          <w:szCs w:val="17"/>
          <w:color w:val="auto"/>
        </w:rPr>
        <w:t>(including without limitation an action, suit or proceeding by or in the right of the Corporation), whether civil, criminal, administrative or investigative.</w:t>
      </w:r>
    </w:p>
    <w:p>
      <w:pPr>
        <w:spacing w:after="0" w:line="194" w:lineRule="exact"/>
        <w:rPr>
          <w:sz w:val="20"/>
          <w:szCs w:val="20"/>
          <w:color w:val="auto"/>
        </w:rPr>
      </w:pPr>
    </w:p>
    <w:p>
      <w:pPr>
        <w:ind w:right="1839" w:firstLine="531"/>
        <w:spacing w:after="0" w:line="251" w:lineRule="auto"/>
        <w:tabs>
          <w:tab w:leader="none" w:pos="943" w:val="left"/>
        </w:tabs>
        <w:numPr>
          <w:ilvl w:val="0"/>
          <w:numId w:val="6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201" w:lineRule="exact"/>
        <w:rPr>
          <w:rFonts w:ascii="Courier New" w:cs="Courier New" w:eastAsia="Courier New" w:hAnsi="Courier New"/>
          <w:sz w:val="17"/>
          <w:szCs w:val="17"/>
          <w:color w:val="auto"/>
        </w:rPr>
      </w:pPr>
    </w:p>
    <w:p>
      <w:pPr>
        <w:ind w:right="2139" w:firstLine="531"/>
        <w:spacing w:after="0" w:line="252" w:lineRule="auto"/>
        <w:tabs>
          <w:tab w:leader="none" w:pos="943" w:val="left"/>
        </w:tabs>
        <w:numPr>
          <w:ilvl w:val="0"/>
          <w:numId w:val="6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97"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0"/>
          <w:numId w:val="6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95" w:lineRule="exact"/>
        <w:rPr>
          <w:rFonts w:ascii="Courier New" w:cs="Courier New" w:eastAsia="Courier New" w:hAnsi="Courier New"/>
          <w:sz w:val="17"/>
          <w:szCs w:val="17"/>
          <w:color w:val="auto"/>
        </w:rPr>
      </w:pPr>
    </w:p>
    <w:p>
      <w:pPr>
        <w:ind w:right="1839" w:firstLine="531"/>
        <w:spacing w:after="0" w:line="252" w:lineRule="auto"/>
        <w:tabs>
          <w:tab w:leader="none" w:pos="943" w:val="left"/>
        </w:tabs>
        <w:numPr>
          <w:ilvl w:val="0"/>
          <w:numId w:val="6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7.03. Amendment. The provisions of this Article 7 relating to the limitation of Directors' and officers' liability, to indemnification and to the advancement of expenses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7 which is adverse to any Director or officer shall apply to such Director or officer only on a prospective basis, and shall not reduce any limitation on the personal liability of a Director of the Corporation,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the limitation of Directors' liability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provided that no such amendment shall have retroactive effect inconsistent with the preceding sentence.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7.04. Changes in Pennsylvania Law. References in this Article to Pennsylvania law or to any provision thereof shall be to such law, as it existed on the date this Article was adopted or as such law thereafter may be changed; provided that (a) in the case of any change which expands the liability of Directors or limits the indemnification rights or the rights to advancement of expenses which the Corporation may provide, the rights to limited liability, to indemnification and to the advancement of expenses provided in this Article shall continue as theretofore to the extent permitted by law; and (b) if such change permits the Corporation without the requirement of any further action by shareholders or</w:t>
      </w:r>
    </w:p>
    <w:p>
      <w:pPr>
        <w:ind w:left="4100"/>
        <w:spacing w:after="0"/>
        <w:rPr>
          <w:sz w:val="20"/>
          <w:szCs w:val="20"/>
          <w:color w:val="auto"/>
        </w:rPr>
      </w:pPr>
      <w:r>
        <w:rPr>
          <w:rFonts w:ascii="Courier New" w:cs="Courier New" w:eastAsia="Courier New" w:hAnsi="Courier New"/>
          <w:sz w:val="17"/>
          <w:szCs w:val="17"/>
          <w:color w:val="auto"/>
        </w:rPr>
        <w:t>F-13</w:t>
      </w:r>
    </w:p>
    <w:p>
      <w:pPr>
        <w:sectPr>
          <w:pgSz w:w="11900" w:h="16838" w:orient="portrait"/>
          <w:cols w:equalWidth="0" w:num="1">
            <w:col w:w="10219"/>
          </w:cols>
          <w:pgMar w:left="240" w:top="719" w:right="1440" w:bottom="861" w:gutter="0" w:footer="0" w:header="0"/>
        </w:sectPr>
      </w:pPr>
    </w:p>
    <w:bookmarkStart w:id="555" w:name="page556"/>
    <w:bookmarkEnd w:id="555"/>
    <w:p>
      <w:pPr>
        <w:ind w:right="1839"/>
        <w:spacing w:after="0" w:line="252" w:lineRule="auto"/>
        <w:rPr>
          <w:sz w:val="20"/>
          <w:szCs w:val="20"/>
          <w:color w:val="auto"/>
        </w:rPr>
      </w:pPr>
      <w:r>
        <w:rPr>
          <w:rFonts w:ascii="Courier New" w:cs="Courier New" w:eastAsia="Courier New" w:hAnsi="Courier New"/>
          <w:sz w:val="17"/>
          <w:szCs w:val="17"/>
          <w:color w:val="auto"/>
        </w:rPr>
        <w:t>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97"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8</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FISCAL YEAR</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8.01. Determination of Fiscal Year. Determination of Fiscal Year. The Board of Directors shall have the power by resolution to fix the fiscal year of the Corporation. If the Board of Directors shall fail to do so, the Chief Executive Officer shall fix the fiscal year.</w:t>
      </w:r>
    </w:p>
    <w:p>
      <w:pPr>
        <w:spacing w:after="0" w:line="195"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9</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ARTICLES OF INCORPORATION</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SECTION 9.01. Inconsistent Provisions.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19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10</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AMENDMENTS</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SECTION 10.01. Amendments. Except as otherwise provided in these By-Laws or in the Articles of Incorporation, including Article SIXTH, Article SEVENTH and Article TENTH of the Articles of Incorporation:</w:t>
      </w:r>
    </w:p>
    <w:p>
      <w:pPr>
        <w:spacing w:after="0" w:line="194" w:lineRule="exact"/>
        <w:rPr>
          <w:sz w:val="20"/>
          <w:szCs w:val="20"/>
          <w:color w:val="auto"/>
        </w:rPr>
      </w:pPr>
    </w:p>
    <w:p>
      <w:pPr>
        <w:ind w:right="1839" w:firstLine="531"/>
        <w:spacing w:after="0" w:line="251" w:lineRule="auto"/>
        <w:tabs>
          <w:tab w:leader="none" w:pos="943" w:val="left"/>
        </w:tabs>
        <w:numPr>
          <w:ilvl w:val="0"/>
          <w:numId w:val="6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201" w:lineRule="exact"/>
        <w:rPr>
          <w:rFonts w:ascii="Courier New" w:cs="Courier New" w:eastAsia="Courier New" w:hAnsi="Courier New"/>
          <w:sz w:val="17"/>
          <w:szCs w:val="17"/>
          <w:color w:val="auto"/>
        </w:rPr>
      </w:pPr>
    </w:p>
    <w:p>
      <w:pPr>
        <w:ind w:right="1939" w:firstLine="531"/>
        <w:spacing w:after="0" w:line="252" w:lineRule="auto"/>
        <w:tabs>
          <w:tab w:leader="none" w:pos="943" w:val="left"/>
        </w:tabs>
        <w:numPr>
          <w:ilvl w:val="0"/>
          <w:numId w:val="6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provided, however, that the Board of Directors shall not have the power to amend these By-Laws on any subject that is expressly committed to the shareholders by the express terms hereof, by the Pennsylvania BCL or otherwise.</w:t>
      </w:r>
    </w:p>
    <w:p>
      <w:pPr>
        <w:spacing w:after="0" w:line="196"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ARTICLE 11</w:t>
      </w:r>
    </w:p>
    <w:p>
      <w:pPr>
        <w:spacing w:after="0" w:line="21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INTERPRETATION OF BY-LAWS; SEPARABILITY</w:t>
      </w:r>
    </w:p>
    <w:p>
      <w:pPr>
        <w:spacing w:after="0" w:line="210"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SECTION 11.01. Interpretation. All words, terms and provisions of these By-Laws shall be interpreted and defined by and in accordance with the Pennsylvania BCL.</w:t>
      </w:r>
    </w:p>
    <w:p>
      <w:pPr>
        <w:spacing w:after="0" w:line="194"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SECTION 11.02. Separability.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F-14</w:t>
      </w:r>
    </w:p>
    <w:p>
      <w:pPr>
        <w:sectPr>
          <w:pgSz w:w="11900" w:h="16838" w:orient="portrait"/>
          <w:cols w:equalWidth="0" w:num="1">
            <w:col w:w="10219"/>
          </w:cols>
          <w:pgMar w:left="240" w:top="719" w:right="1440" w:bottom="1440" w:gutter="0" w:footer="0" w:header="0"/>
        </w:sectPr>
      </w:pPr>
    </w:p>
    <w:bookmarkStart w:id="556" w:name="page557"/>
    <w:bookmarkEnd w:id="556"/>
    <w:p>
      <w:pPr>
        <w:ind w:left="3680"/>
        <w:spacing w:after="0"/>
        <w:rPr>
          <w:sz w:val="20"/>
          <w:szCs w:val="20"/>
          <w:color w:val="auto"/>
        </w:rPr>
      </w:pPr>
      <w:r>
        <w:rPr>
          <w:rFonts w:ascii="Courier New" w:cs="Courier New" w:eastAsia="Courier New" w:hAnsi="Courier New"/>
          <w:sz w:val="17"/>
          <w:szCs w:val="17"/>
          <w:color w:val="auto"/>
        </w:rPr>
        <w:t>ARTICLE 12</w:t>
      </w: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DETERMINATIONS BY THE BOARD</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SECTION 12.01. Effect of Board Determinations. Any determination involving interpretation or application of these By-Laws made in good faith by the Board of Directors shall be final, binding and conclusive on all parties in interest.</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F-15</w:t>
      </w:r>
    </w:p>
    <w:p>
      <w:pPr>
        <w:sectPr>
          <w:pgSz w:w="11900" w:h="16838" w:orient="portrait"/>
          <w:cols w:equalWidth="0" w:num="1">
            <w:col w:w="10219"/>
          </w:cols>
          <w:pgMar w:left="240" w:top="719" w:right="1440" w:bottom="1440" w:gutter="0" w:footer="0" w:header="0"/>
        </w:sectPr>
      </w:pPr>
    </w:p>
    <w:bookmarkStart w:id="557" w:name="page558"/>
    <w:bookmarkEnd w:id="557"/>
    <w:p>
      <w:pPr>
        <w:jc w:val="right"/>
        <w:ind w:right="1839"/>
        <w:spacing w:after="0"/>
        <w:rPr>
          <w:sz w:val="20"/>
          <w:szCs w:val="20"/>
          <w:color w:val="auto"/>
        </w:rPr>
      </w:pPr>
      <w:r>
        <w:rPr>
          <w:rFonts w:ascii="Courier New" w:cs="Courier New" w:eastAsia="Courier New" w:hAnsi="Courier New"/>
          <w:sz w:val="17"/>
          <w:szCs w:val="17"/>
          <w:color w:val="auto"/>
        </w:rPr>
        <w:t>ANNEX G</w:t>
      </w:r>
    </w:p>
    <w:p>
      <w:pPr>
        <w:spacing w:after="0" w:line="210"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1585 Broadway</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New York, NY 10036</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tel 212 761 4000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[Morgan Stanley Logo]</w:t>
      </w:r>
    </w:p>
    <w:p>
      <w:pPr>
        <w:spacing w:after="0" w:line="9"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7"/>
          <w:szCs w:val="17"/>
          <w:color w:val="auto"/>
        </w:rPr>
        <w:t>December 19, 2001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 Market Street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PA 19102-2148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understand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Merger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201" w:lineRule="exact"/>
        <w:rPr>
          <w:sz w:val="20"/>
          <w:szCs w:val="20"/>
          <w:color w:val="auto"/>
        </w:rPr>
      </w:pPr>
    </w:p>
    <w:p>
      <w:pPr>
        <w:ind w:left="540" w:right="2039" w:firstLine="515"/>
        <w:spacing w:after="0" w:line="253" w:lineRule="auto"/>
        <w:tabs>
          <w:tab w:leader="none" w:pos="1483" w:val="left"/>
        </w:tabs>
        <w:numPr>
          <w:ilvl w:val="0"/>
          <w:numId w:val="6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195" w:lineRule="exact"/>
        <w:rPr>
          <w:rFonts w:ascii="Courier New" w:cs="Courier New" w:eastAsia="Courier New" w:hAnsi="Courier New"/>
          <w:sz w:val="17"/>
          <w:szCs w:val="17"/>
          <w:color w:val="auto"/>
        </w:rPr>
      </w:pPr>
    </w:p>
    <w:p>
      <w:pPr>
        <w:ind w:left="540" w:right="1839" w:firstLine="515"/>
        <w:spacing w:after="0" w:line="251" w:lineRule="auto"/>
        <w:tabs>
          <w:tab w:leader="none" w:pos="1587" w:val="left"/>
        </w:tabs>
        <w:numPr>
          <w:ilvl w:val="0"/>
          <w:numId w:val="6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AT&amp;T Common Stock so held, in accordance with the terms and conditions of the Separation and Distribution Agreement;</w:t>
      </w:r>
    </w:p>
    <w:p>
      <w:pPr>
        <w:spacing w:after="0" w:line="201" w:lineRule="exact"/>
        <w:rPr>
          <w:rFonts w:ascii="Courier New" w:cs="Courier New" w:eastAsia="Courier New" w:hAnsi="Courier New"/>
          <w:sz w:val="17"/>
          <w:szCs w:val="17"/>
          <w:color w:val="auto"/>
        </w:rPr>
      </w:pPr>
    </w:p>
    <w:p>
      <w:pPr>
        <w:ind w:left="540" w:right="1839" w:firstLine="515"/>
        <w:spacing w:after="0" w:line="251" w:lineRule="auto"/>
        <w:tabs>
          <w:tab w:leader="none" w:pos="1692" w:val="left"/>
        </w:tabs>
        <w:numPr>
          <w:ilvl w:val="0"/>
          <w:numId w:val="6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1" w:lineRule="exact"/>
        <w:rPr>
          <w:rFonts w:ascii="Courier New" w:cs="Courier New" w:eastAsia="Courier New" w:hAnsi="Courier New"/>
          <w:sz w:val="17"/>
          <w:szCs w:val="17"/>
          <w:color w:val="auto"/>
        </w:rPr>
      </w:pPr>
    </w:p>
    <w:p>
      <w:pPr>
        <w:ind w:left="540" w:right="1939" w:firstLine="515"/>
        <w:spacing w:after="0" w:line="252" w:lineRule="auto"/>
        <w:tabs>
          <w:tab w:leader="none" w:pos="1587" w:val="left"/>
        </w:tabs>
        <w:numPr>
          <w:ilvl w:val="0"/>
          <w:numId w:val="6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 each outstanding share of AT&amp;T Broadband Common Stock, other than shares of AT&amp;T Broadband</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G-1</w:t>
      </w:r>
    </w:p>
    <w:p>
      <w:pPr>
        <w:sectPr>
          <w:pgSz w:w="11900" w:h="16838" w:orient="portrait"/>
          <w:cols w:equalWidth="0" w:num="1">
            <w:col w:w="10219"/>
          </w:cols>
          <w:pgMar w:left="240" w:top="719" w:right="1440" w:bottom="1440" w:gutter="0" w:footer="0" w:header="0"/>
        </w:sectPr>
      </w:pPr>
    </w:p>
    <w:bookmarkStart w:id="558" w:name="page559"/>
    <w:bookmarkEnd w:id="558"/>
    <w:p>
      <w:pPr>
        <w:ind w:left="540" w:right="2359"/>
        <w:spacing w:after="0" w:line="257" w:lineRule="auto"/>
        <w:rPr>
          <w:sz w:val="20"/>
          <w:szCs w:val="20"/>
          <w:color w:val="auto"/>
        </w:rPr>
      </w:pPr>
      <w:r>
        <w:rPr>
          <w:rFonts w:ascii="Courier New" w:cs="Courier New" w:eastAsia="Courier New" w:hAnsi="Courier New"/>
          <w:sz w:val="17"/>
          <w:szCs w:val="17"/>
          <w:color w:val="auto"/>
        </w:rPr>
        <w:t>Common Stock owned by AT&amp;T Broadband (which will be canceled), will be converted into the right to receive:</w:t>
      </w:r>
    </w:p>
    <w:p>
      <w:pPr>
        <w:spacing w:after="0" w:line="192" w:lineRule="exact"/>
        <w:rPr>
          <w:sz w:val="20"/>
          <w:szCs w:val="20"/>
          <w:color w:val="auto"/>
        </w:rPr>
      </w:pPr>
    </w:p>
    <w:p>
      <w:pPr>
        <w:ind w:left="840" w:right="1839" w:firstLine="529"/>
        <w:spacing w:after="0" w:line="252" w:lineRule="auto"/>
        <w:tabs>
          <w:tab w:leader="none" w:pos="1783" w:val="left"/>
        </w:tabs>
        <w:numPr>
          <w:ilvl w:val="0"/>
          <w:numId w:val="6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 Shareholder Approval has been obtained, the Exchange Ratio of a share of Parent Class A Common Stock, or if the A Shareholder Approval has not been obtained, the Exchange Ratio of a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95" w:lineRule="exact"/>
        <w:rPr>
          <w:rFonts w:ascii="Courier New" w:cs="Courier New" w:eastAsia="Courier New" w:hAnsi="Courier New"/>
          <w:sz w:val="17"/>
          <w:szCs w:val="17"/>
          <w:color w:val="auto"/>
        </w:rPr>
      </w:pPr>
    </w:p>
    <w:p>
      <w:pPr>
        <w:ind w:left="840" w:right="1839" w:firstLine="529"/>
        <w:spacing w:after="0" w:line="254" w:lineRule="auto"/>
        <w:tabs>
          <w:tab w:leader="none" w:pos="1783" w:val="left"/>
        </w:tabs>
        <w:numPr>
          <w:ilvl w:val="0"/>
          <w:numId w:val="6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solely under the circumstances set forth in Section 4.03 of the Agreement, the additional shares of Parent Common Stock, if any, contemplated by such Section (the "Section 355(e) Top-up"); and</w:t>
      </w:r>
    </w:p>
    <w:p>
      <w:pPr>
        <w:spacing w:after="0" w:line="194" w:lineRule="exact"/>
        <w:rPr>
          <w:rFonts w:ascii="Courier New" w:cs="Courier New" w:eastAsia="Courier New" w:hAnsi="Courier New"/>
          <w:sz w:val="17"/>
          <w:szCs w:val="17"/>
          <w:color w:val="auto"/>
        </w:rPr>
      </w:pPr>
    </w:p>
    <w:p>
      <w:pPr>
        <w:ind w:left="840" w:right="1839" w:firstLine="529"/>
        <w:spacing w:after="0" w:line="252" w:lineRule="auto"/>
        <w:tabs>
          <w:tab w:leader="none" w:pos="1783" w:val="left"/>
        </w:tabs>
        <w:numPr>
          <w:ilvl w:val="0"/>
          <w:numId w:val="6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197"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terms and conditions of the Transaction are more fully set forth in the Agreement and the Separation and Distribution Agreement.</w:t>
      </w:r>
    </w:p>
    <w:p>
      <w:pPr>
        <w:spacing w:after="0" w:line="192"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You have asked for our opinion as to whether the Comcast Conversion Ratios in the Comcast Merger, in the aggregate, are fair, from a financial point of view, to the holders of Comcast Common Stock, taken together.</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For purposes of the opinion set forth herein, we have, among other things:</w:t>
      </w:r>
    </w:p>
    <w:p>
      <w:pPr>
        <w:spacing w:after="0" w:line="210" w:lineRule="exact"/>
        <w:rPr>
          <w:sz w:val="20"/>
          <w:szCs w:val="20"/>
          <w:color w:val="auto"/>
        </w:rPr>
      </w:pPr>
    </w:p>
    <w:p>
      <w:pPr>
        <w:jc w:val="both"/>
        <w:ind w:left="540" w:right="1839" w:firstLine="515"/>
        <w:spacing w:after="0" w:line="254" w:lineRule="auto"/>
        <w:tabs>
          <w:tab w:leader="none" w:pos="1483" w:val="left"/>
        </w:tabs>
        <w:numPr>
          <w:ilvl w:val="0"/>
          <w:numId w:val="6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publicly available financial statements and other business and financial information of or relating to Comcast, AT&amp;T and AT&amp;T Broadband;</w:t>
      </w:r>
    </w:p>
    <w:p>
      <w:pPr>
        <w:spacing w:after="0" w:line="194" w:lineRule="exact"/>
        <w:rPr>
          <w:rFonts w:ascii="Courier New" w:cs="Courier New" w:eastAsia="Courier New" w:hAnsi="Courier New"/>
          <w:sz w:val="17"/>
          <w:szCs w:val="17"/>
          <w:color w:val="auto"/>
        </w:rPr>
      </w:pPr>
    </w:p>
    <w:p>
      <w:pPr>
        <w:ind w:left="540" w:right="1939" w:firstLine="515"/>
        <w:spacing w:after="0" w:line="254" w:lineRule="auto"/>
        <w:tabs>
          <w:tab w:leader="none" w:pos="1587" w:val="left"/>
        </w:tabs>
        <w:numPr>
          <w:ilvl w:val="0"/>
          <w:numId w:val="6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internal financial statements and other financial and operating data concerning Comcast prepared by the management of Comcast;</w:t>
      </w:r>
    </w:p>
    <w:p>
      <w:pPr>
        <w:spacing w:after="0" w:line="194" w:lineRule="exact"/>
        <w:rPr>
          <w:rFonts w:ascii="Courier New" w:cs="Courier New" w:eastAsia="Courier New" w:hAnsi="Courier New"/>
          <w:sz w:val="17"/>
          <w:szCs w:val="17"/>
          <w:color w:val="auto"/>
        </w:rPr>
      </w:pPr>
    </w:p>
    <w:p>
      <w:pPr>
        <w:ind w:left="540" w:right="2139" w:firstLine="515"/>
        <w:spacing w:after="0" w:line="254" w:lineRule="auto"/>
        <w:tabs>
          <w:tab w:leader="none" w:pos="1692" w:val="left"/>
        </w:tabs>
        <w:numPr>
          <w:ilvl w:val="0"/>
          <w:numId w:val="6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financial forecasts, including information relating to certain strategic, financial and operational benefits anticipated from the Transaction, prepared by the management of Comcast;</w:t>
      </w:r>
    </w:p>
    <w:p>
      <w:pPr>
        <w:spacing w:after="0" w:line="194" w:lineRule="exact"/>
        <w:rPr>
          <w:rFonts w:ascii="Courier New" w:cs="Courier New" w:eastAsia="Courier New" w:hAnsi="Courier New"/>
          <w:sz w:val="17"/>
          <w:szCs w:val="17"/>
          <w:color w:val="auto"/>
        </w:rPr>
      </w:pPr>
    </w:p>
    <w:p>
      <w:pPr>
        <w:ind w:left="540" w:right="1839" w:firstLine="515"/>
        <w:spacing w:after="0" w:line="253" w:lineRule="auto"/>
        <w:tabs>
          <w:tab w:leader="none" w:pos="1587" w:val="left"/>
        </w:tabs>
        <w:numPr>
          <w:ilvl w:val="0"/>
          <w:numId w:val="6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discussed the past and current operations and financial condition and the prospects of Comcast, including the strategic, financial and operational benefits anticipated from the Transaction, with the management of Comcast;</w:t>
      </w:r>
    </w:p>
    <w:p>
      <w:pPr>
        <w:spacing w:after="0" w:line="195"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6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internal financial statements and other financial operating data concerning AT&amp;T and AT&amp;T Broadband (including, without limitation, the structure, composition, operations, assets, liabilities and pro forma historical balance sheets and income statements of AT&amp;T Broadband) prepared by the managements of AT&amp;T and AT&amp;T Broadband and Comcast;</w:t>
      </w:r>
    </w:p>
    <w:p>
      <w:pPr>
        <w:spacing w:after="0" w:line="398" w:lineRule="exact"/>
        <w:rPr>
          <w:rFonts w:ascii="Courier New" w:cs="Courier New" w:eastAsia="Courier New" w:hAnsi="Courier New"/>
          <w:sz w:val="17"/>
          <w:szCs w:val="17"/>
          <w:color w:val="auto"/>
        </w:rPr>
      </w:pPr>
    </w:p>
    <w:p>
      <w:pPr>
        <w:ind w:left="540" w:right="1939" w:firstLine="515"/>
        <w:spacing w:after="0" w:line="252" w:lineRule="auto"/>
        <w:tabs>
          <w:tab w:leader="none" w:pos="1587" w:val="left"/>
        </w:tabs>
        <w:numPr>
          <w:ilvl w:val="0"/>
          <w:numId w:val="6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financial forecasts (including, without limitation, as to the pro forma forecasted balance sheets and income statements of AT&amp;T Broadband), and including information relating to certain strategic, financial and operational benefits anticipated from the Transaction, prepared by the managements of AT&amp;T and AT&amp;T Broadband and of Comcast;</w:t>
      </w:r>
    </w:p>
    <w:p>
      <w:pPr>
        <w:spacing w:after="0" w:line="196" w:lineRule="exact"/>
        <w:rPr>
          <w:rFonts w:ascii="Courier New" w:cs="Courier New" w:eastAsia="Courier New" w:hAnsi="Courier New"/>
          <w:sz w:val="17"/>
          <w:szCs w:val="17"/>
          <w:color w:val="auto"/>
        </w:rPr>
      </w:pPr>
    </w:p>
    <w:p>
      <w:pPr>
        <w:ind w:left="540" w:right="2039" w:firstLine="515"/>
        <w:spacing w:after="0" w:line="253" w:lineRule="auto"/>
        <w:tabs>
          <w:tab w:leader="none" w:pos="1692" w:val="left"/>
        </w:tabs>
        <w:numPr>
          <w:ilvl w:val="0"/>
          <w:numId w:val="6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discussed the past and current operations and financial condition and the prospects of AT&amp;T Broadband, including the strategic, financial and operational benefits anticipated from the Transaction, with the managements of AT&amp;T, AT&amp;T Broadband and Comcast;</w:t>
      </w:r>
    </w:p>
    <w:p>
      <w:pPr>
        <w:spacing w:after="0" w:line="195" w:lineRule="exact"/>
        <w:rPr>
          <w:rFonts w:ascii="Courier New" w:cs="Courier New" w:eastAsia="Courier New" w:hAnsi="Courier New"/>
          <w:sz w:val="17"/>
          <w:szCs w:val="17"/>
          <w:color w:val="auto"/>
        </w:rPr>
      </w:pPr>
    </w:p>
    <w:p>
      <w:pPr>
        <w:ind w:left="540" w:right="2039" w:firstLine="515"/>
        <w:spacing w:after="0" w:line="257" w:lineRule="auto"/>
        <w:tabs>
          <w:tab w:leader="none" w:pos="1797" w:val="left"/>
        </w:tabs>
        <w:numPr>
          <w:ilvl w:val="0"/>
          <w:numId w:val="6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reported prices and trading activity for Comcast Common Stock and AT&amp;T Common Stock;</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G-2</w:t>
      </w:r>
    </w:p>
    <w:p>
      <w:pPr>
        <w:sectPr>
          <w:pgSz w:w="11900" w:h="16838" w:orient="portrait"/>
          <w:cols w:equalWidth="0" w:num="1">
            <w:col w:w="10219"/>
          </w:cols>
          <w:pgMar w:left="240" w:top="719" w:right="1440" w:bottom="1440" w:gutter="0" w:footer="0" w:header="0"/>
        </w:sectPr>
      </w:pPr>
    </w:p>
    <w:bookmarkStart w:id="559" w:name="page560"/>
    <w:bookmarkEnd w:id="559"/>
    <w:p>
      <w:pPr>
        <w:ind w:left="540" w:right="1939" w:firstLine="515"/>
        <w:spacing w:after="0" w:line="254" w:lineRule="auto"/>
        <w:tabs>
          <w:tab w:leader="none" w:pos="1587" w:val="left"/>
        </w:tabs>
        <w:numPr>
          <w:ilvl w:val="0"/>
          <w:numId w:val="6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financial performance of Comcast and the prices and trading activity of Comcast Common Stock with that of certain other comparable publicly-traded companies and their securities;</w:t>
      </w:r>
    </w:p>
    <w:p>
      <w:pPr>
        <w:spacing w:after="0" w:line="194" w:lineRule="exact"/>
        <w:rPr>
          <w:rFonts w:ascii="Courier New" w:cs="Courier New" w:eastAsia="Courier New" w:hAnsi="Courier New"/>
          <w:sz w:val="17"/>
          <w:szCs w:val="17"/>
          <w:color w:val="auto"/>
        </w:rPr>
      </w:pPr>
    </w:p>
    <w:p>
      <w:pPr>
        <w:ind w:left="540" w:right="2039" w:firstLine="515"/>
        <w:spacing w:after="0" w:line="254" w:lineRule="auto"/>
        <w:tabs>
          <w:tab w:leader="none" w:pos="1483" w:val="left"/>
        </w:tabs>
        <w:numPr>
          <w:ilvl w:val="0"/>
          <w:numId w:val="6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financial performance of AT&amp;T Broadband and the prices and trading activity of the AT&amp;T Common Stock with that of certain other comparable publicly-traded companies and their securities;</w:t>
      </w:r>
    </w:p>
    <w:p>
      <w:pPr>
        <w:spacing w:after="0" w:line="194" w:lineRule="exact"/>
        <w:rPr>
          <w:rFonts w:ascii="Courier New" w:cs="Courier New" w:eastAsia="Courier New" w:hAnsi="Courier New"/>
          <w:sz w:val="17"/>
          <w:szCs w:val="17"/>
          <w:color w:val="auto"/>
        </w:rPr>
      </w:pPr>
    </w:p>
    <w:p>
      <w:pPr>
        <w:ind w:left="540" w:right="2039" w:firstLine="515"/>
        <w:spacing w:after="0" w:line="257" w:lineRule="auto"/>
        <w:tabs>
          <w:tab w:leader="none" w:pos="1587" w:val="left"/>
        </w:tabs>
        <w:numPr>
          <w:ilvl w:val="0"/>
          <w:numId w:val="6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financial terms, to the extent publicly available, of certain comparable transactions;</w:t>
      </w:r>
    </w:p>
    <w:p>
      <w:pPr>
        <w:spacing w:after="0" w:line="191" w:lineRule="exact"/>
        <w:rPr>
          <w:rFonts w:ascii="Courier New" w:cs="Courier New" w:eastAsia="Courier New" w:hAnsi="Courier New"/>
          <w:sz w:val="17"/>
          <w:szCs w:val="17"/>
          <w:color w:val="auto"/>
        </w:rPr>
      </w:pPr>
    </w:p>
    <w:p>
      <w:pPr>
        <w:ind w:left="1680" w:hanging="625"/>
        <w:spacing w:after="0"/>
        <w:tabs>
          <w:tab w:leader="none" w:pos="1680" w:val="left"/>
        </w:tabs>
        <w:numPr>
          <w:ilvl w:val="0"/>
          <w:numId w:val="6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participated in discussions and negotiations among</w:t>
      </w:r>
    </w:p>
    <w:p>
      <w:pPr>
        <w:spacing w:after="0" w:line="8" w:lineRule="exact"/>
        <w:rPr>
          <w:rFonts w:ascii="Courier New" w:cs="Courier New" w:eastAsia="Courier New" w:hAnsi="Courier New"/>
          <w:sz w:val="17"/>
          <w:szCs w:val="17"/>
          <w:color w:val="auto"/>
        </w:rPr>
      </w:pPr>
    </w:p>
    <w:p>
      <w:pPr>
        <w:ind w:left="540" w:right="21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representatives of Comcast, AT&amp;T, AT&amp;T Broadband and their financial and legal advisors;</w:t>
      </w:r>
    </w:p>
    <w:p>
      <w:pPr>
        <w:spacing w:after="0" w:line="191" w:lineRule="exact"/>
        <w:rPr>
          <w:rFonts w:ascii="Courier New" w:cs="Courier New" w:eastAsia="Courier New" w:hAnsi="Courier New"/>
          <w:sz w:val="17"/>
          <w:szCs w:val="17"/>
          <w:color w:val="auto"/>
        </w:rPr>
      </w:pPr>
    </w:p>
    <w:p>
      <w:pPr>
        <w:ind w:left="540" w:right="2779" w:firstLine="515"/>
        <w:spacing w:after="0" w:line="257" w:lineRule="auto"/>
        <w:tabs>
          <w:tab w:leader="none" w:pos="1797" w:val="left"/>
        </w:tabs>
        <w:numPr>
          <w:ilvl w:val="0"/>
          <w:numId w:val="6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final drafts of each of the Agreement and the Separation and Distribution Agreement; and</w:t>
      </w:r>
    </w:p>
    <w:p>
      <w:pPr>
        <w:spacing w:after="0" w:line="191" w:lineRule="exact"/>
        <w:rPr>
          <w:rFonts w:ascii="Courier New" w:cs="Courier New" w:eastAsia="Courier New" w:hAnsi="Courier New"/>
          <w:sz w:val="17"/>
          <w:szCs w:val="17"/>
          <w:color w:val="auto"/>
        </w:rPr>
      </w:pPr>
    </w:p>
    <w:p>
      <w:pPr>
        <w:ind w:left="540" w:right="1939" w:firstLine="515"/>
        <w:spacing w:after="0" w:line="257" w:lineRule="auto"/>
        <w:tabs>
          <w:tab w:leader="none" w:pos="1692" w:val="left"/>
        </w:tabs>
        <w:numPr>
          <w:ilvl w:val="0"/>
          <w:numId w:val="6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considered such other factors and performed such other analyses as we have deemed appropriate.</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have assumed and relied upon, without any responsibility for independent verification or liability therefor, the accuracy and completeness of all information that was publicly available or supplied or otherwise made available to us by Comcast, AT&amp;T or AT&amp;T Broadband or otherwise reviewed by or for us for the purposes of this opinion. With respect to the financial forecasts, including information relating to certain strategic, financial and operational benefits anticipated from the Transaction, prepared and furnished to or discussed with us by Comcast, AT&amp;T or AT&amp;T Broadband, we have assumed that they have been reasonably prepared on bases reflecting the best currently available estimates and judgments of Comcast's, AT&amp;T's and AT&amp;T Broadband's managements as to the expected future financial performance of Comcast, AT&amp;T Broadband or Parent, as the case may be, and the strategic, financial and operational benefits anticipated from the Transaction. We express no view as to such financial forecast information, including the strategic, financial and operational benefits anticipated from the Transaction, or the assumptions on which they were based. In addition, we have assumed that the Mergers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 We have not made any independent valuation or appraisal of the assets or liabilities of Comcast, AT&amp;T or AT&amp;T Broadband, nor have we been furnished with any such appraisals. In addition, we have not assumed any obligation to conduct any inspection of the properties or facilities of Comcast, AT&amp;T or AT&amp;T Broadband. Our opinion is necessarily based on financial, economic, market and other conditions as in effect on, and the information made available to us as of, the date hereof. It should be understood that subsequent developments may affect this opinion and that we do not have any obligation to update, revise, or reaffirm this opinion.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 We</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G-3</w:t>
      </w:r>
    </w:p>
    <w:p>
      <w:pPr>
        <w:sectPr>
          <w:pgSz w:w="11900" w:h="16838" w:orient="portrait"/>
          <w:cols w:equalWidth="0" w:num="1">
            <w:col w:w="10219"/>
          </w:cols>
          <w:pgMar w:left="240" w:top="719" w:right="1440" w:bottom="1440" w:gutter="0" w:footer="0" w:header="0"/>
        </w:sectPr>
      </w:pPr>
    </w:p>
    <w:bookmarkStart w:id="560" w:name="page561"/>
    <w:bookmarkEnd w:id="560"/>
    <w:p>
      <w:pPr>
        <w:ind w:right="1839"/>
        <w:spacing w:after="0" w:line="251" w:lineRule="auto"/>
        <w:rPr>
          <w:sz w:val="20"/>
          <w:szCs w:val="20"/>
          <w:color w:val="auto"/>
        </w:rPr>
      </w:pPr>
      <w:r>
        <w:rPr>
          <w:rFonts w:ascii="Courier New" w:cs="Courier New" w:eastAsia="Courier New" w:hAnsi="Courier New"/>
          <w:sz w:val="17"/>
          <w:szCs w:val="17"/>
          <w:color w:val="auto"/>
        </w:rPr>
        <w:t>have also assumed that the definitive Agreement and the definitive Separation and Distribution Agreement will not differ in any material respects from the drafts thereof furnished to and reviewed by us. We have further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w:t>
      </w:r>
    </w:p>
    <w:p>
      <w:pPr>
        <w:spacing w:after="0" w:line="201"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In arriving at our opinion, we were not authorized to solicit, and did not solicit, interest from any party with respect to a business combination or other extraordinary transaction involving Comcast.</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have acted as financial advisor to Comcast in connection with this transaction and will receive a fee for our services. In the past, Morgan Stanley</w:t>
      </w:r>
    </w:p>
    <w:p>
      <w:pPr>
        <w:ind w:right="2039" w:firstLine="7"/>
        <w:spacing w:after="0" w:line="251" w:lineRule="auto"/>
        <w:tabs>
          <w:tab w:leader="none" w:pos="209" w:val="left"/>
        </w:tabs>
        <w:numPr>
          <w:ilvl w:val="0"/>
          <w:numId w:val="6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Incorporated and its affiliates have provided financial advisory and financing services for Comcast and AT&amp;T and their affiliates and have received fees for the rendering of these services. Furthermore, Morgan Stanley &amp; Co. Incorporated and its affiliates may also provide financial advisory and financing services to Comcast, Parent and AT&amp;T, and their affiliates, in the future for which they would expect to receive fees. In the ordinary course of its businesses, Morgan Stanley &amp; Co. Incorporated and its affiliates may actively trade the debt and equity securities of Comcast or AT&amp;T or, after the Transaction, Parent for its own account or for the accounts of customers and, accordingly, may at any time hold long or short positions in such securities.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It is understood that this letter is for the information of the Board of Directors of Comcast and may not be used for any other purpose without our prior written consent, except that this opinion may be included in its entirety in any proxy or information statement filed with the Securities and Exchange Commission and mailed to shareholders of Comcast. In addition, this opinion does not in any manner address the underlying decision by Comcast to engage in the Transaction or the prices at which Comcast Common Stock or Parent Common Stock will trade after the announcement or consummation of the Transaction, and Morgan Stanley expresses no opinion or recommendation as to how the shareholders of Comcast should vote at the shareholders' meetings held in connection with the Transaction or any other matter.</w:t>
      </w:r>
    </w:p>
    <w:p>
      <w:pPr>
        <w:spacing w:after="0" w:line="201"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Based upon and subject to the foregoing, we are of the opinion that, as of the date hereof, the Comcast Conversion Ratios in the Comcast Merger, in the aggregate, are fair, from a financial point of view, to the holders of Comcast Common Stock, taken together.</w:t>
      </w:r>
    </w:p>
    <w:p>
      <w:pPr>
        <w:spacing w:after="0" w:line="195"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Very truly yours,</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MORGAN STANLEY &amp; CO. INCORPORATED</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By: /s/ PAUL J. TAUBMAN</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Paul J. Taubman</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Managing Director</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G-4</w:t>
      </w:r>
    </w:p>
    <w:p>
      <w:pPr>
        <w:sectPr>
          <w:pgSz w:w="11900" w:h="16838" w:orient="portrait"/>
          <w:cols w:equalWidth="0" w:num="1">
            <w:col w:w="10219"/>
          </w:cols>
          <w:pgMar w:left="240" w:top="719" w:right="1440" w:bottom="1440" w:gutter="0" w:footer="0" w:header="0"/>
        </w:sectPr>
      </w:pPr>
    </w:p>
    <w:bookmarkStart w:id="561" w:name="page562"/>
    <w:bookmarkEnd w:id="561"/>
    <w:p>
      <w:pPr>
        <w:jc w:val="right"/>
        <w:ind w:right="1839"/>
        <w:spacing w:after="0"/>
        <w:rPr>
          <w:sz w:val="20"/>
          <w:szCs w:val="20"/>
          <w:color w:val="auto"/>
        </w:rPr>
      </w:pPr>
      <w:r>
        <w:rPr>
          <w:rFonts w:ascii="Courier New" w:cs="Courier New" w:eastAsia="Courier New" w:hAnsi="Courier New"/>
          <w:sz w:val="17"/>
          <w:szCs w:val="17"/>
          <w:color w:val="auto"/>
        </w:rPr>
        <w:t>ANNEX H</w:t>
      </w: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[JPMORGAN LOGO]</w:t>
      </w:r>
    </w:p>
    <w:p>
      <w:pPr>
        <w:spacing w:after="0" w:line="210"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December 19, 2001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 Market Street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PA 19102-2148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Members of the Board of Directors:</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You have requested our opinion as to the fairness, from a financial point of view, of the Comcast Conversion Ratios (as defined below) in the Comcast Merger (as defined below), in the aggregate, to the holders of Comcast Common Stock (as defined below), taken together.</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You have informed us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201" w:lineRule="exact"/>
        <w:rPr>
          <w:sz w:val="20"/>
          <w:szCs w:val="20"/>
          <w:color w:val="auto"/>
        </w:rPr>
      </w:pPr>
    </w:p>
    <w:p>
      <w:pPr>
        <w:ind w:left="540" w:right="2039" w:firstLine="515"/>
        <w:spacing w:after="0" w:line="253" w:lineRule="auto"/>
        <w:tabs>
          <w:tab w:leader="none" w:pos="1483" w:val="left"/>
        </w:tabs>
        <w:numPr>
          <w:ilvl w:val="0"/>
          <w:numId w:val="6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195" w:lineRule="exact"/>
        <w:rPr>
          <w:rFonts w:ascii="Courier New" w:cs="Courier New" w:eastAsia="Courier New" w:hAnsi="Courier New"/>
          <w:sz w:val="17"/>
          <w:szCs w:val="17"/>
          <w:color w:val="auto"/>
        </w:rPr>
      </w:pPr>
    </w:p>
    <w:p>
      <w:pPr>
        <w:ind w:left="540" w:right="1839" w:firstLine="515"/>
        <w:spacing w:after="0" w:line="251" w:lineRule="auto"/>
        <w:tabs>
          <w:tab w:leader="none" w:pos="1587" w:val="left"/>
        </w:tabs>
        <w:numPr>
          <w:ilvl w:val="0"/>
          <w:numId w:val="6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share of AT&amp;T Common Stock so held, in accordance with the terms and conditions of the Separation and Distribution Agreement;</w:t>
      </w:r>
    </w:p>
    <w:p>
      <w:pPr>
        <w:spacing w:after="0" w:line="201" w:lineRule="exact"/>
        <w:rPr>
          <w:rFonts w:ascii="Courier New" w:cs="Courier New" w:eastAsia="Courier New" w:hAnsi="Courier New"/>
          <w:sz w:val="17"/>
          <w:szCs w:val="17"/>
          <w:color w:val="auto"/>
        </w:rPr>
      </w:pPr>
    </w:p>
    <w:p>
      <w:pPr>
        <w:ind w:left="540" w:right="1839" w:firstLine="515"/>
        <w:spacing w:after="0" w:line="251" w:lineRule="auto"/>
        <w:tabs>
          <w:tab w:leader="none" w:pos="1692" w:val="left"/>
        </w:tabs>
        <w:numPr>
          <w:ilvl w:val="0"/>
          <w:numId w:val="6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1" w:lineRule="exact"/>
        <w:rPr>
          <w:rFonts w:ascii="Courier New" w:cs="Courier New" w:eastAsia="Courier New" w:hAnsi="Courier New"/>
          <w:sz w:val="17"/>
          <w:szCs w:val="17"/>
          <w:color w:val="auto"/>
        </w:rPr>
      </w:pPr>
    </w:p>
    <w:p>
      <w:pPr>
        <w:ind w:left="540" w:right="2039" w:firstLine="515"/>
        <w:spacing w:after="0" w:line="253" w:lineRule="auto"/>
        <w:tabs>
          <w:tab w:leader="none" w:pos="1587" w:val="left"/>
        </w:tabs>
        <w:numPr>
          <w:ilvl w:val="0"/>
          <w:numId w:val="6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H-1</w:t>
      </w:r>
    </w:p>
    <w:p>
      <w:pPr>
        <w:sectPr>
          <w:pgSz w:w="11900" w:h="16838" w:orient="portrait"/>
          <w:cols w:equalWidth="0" w:num="1">
            <w:col w:w="10219"/>
          </w:cols>
          <w:pgMar w:left="240" w:top="719" w:right="1440" w:bottom="1440" w:gutter="0" w:footer="0" w:header="0"/>
        </w:sectPr>
      </w:pPr>
    </w:p>
    <w:bookmarkStart w:id="562" w:name="page563"/>
    <w:bookmarkEnd w:id="562"/>
    <w:p>
      <w:pPr>
        <w:ind w:left="540" w:right="1839"/>
        <w:spacing w:after="0" w:line="254" w:lineRule="auto"/>
        <w:rPr>
          <w:sz w:val="20"/>
          <w:szCs w:val="20"/>
          <w:color w:val="auto"/>
        </w:rPr>
      </w:pPr>
      <w:r>
        <w:rPr>
          <w:rFonts w:ascii="Courier New" w:cs="Courier New" w:eastAsia="Courier New" w:hAnsi="Courier New"/>
          <w:sz w:val="17"/>
          <w:szCs w:val="17"/>
          <w:color w:val="auto"/>
        </w:rPr>
        <w:t>each outstanding share of AT&amp;T Broadband Common Stock, other than shares of AT&amp;T Broadband Common Stock owned by AT&amp;T Broadband (which will be canceled), will be converted into the right to receive:</w:t>
      </w:r>
    </w:p>
    <w:p>
      <w:pPr>
        <w:spacing w:after="0" w:line="194" w:lineRule="exact"/>
        <w:rPr>
          <w:sz w:val="20"/>
          <w:szCs w:val="20"/>
          <w:color w:val="auto"/>
        </w:rPr>
      </w:pPr>
    </w:p>
    <w:p>
      <w:pPr>
        <w:ind w:left="840" w:right="2039" w:firstLine="529"/>
        <w:spacing w:after="0" w:line="251" w:lineRule="auto"/>
        <w:tabs>
          <w:tab w:leader="none" w:pos="1783" w:val="left"/>
        </w:tabs>
        <w:numPr>
          <w:ilvl w:val="0"/>
          <w:numId w:val="6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 Shareholder Approval has been obtained, the Exchange Ratio of one share of Parent Class A Common Stock, or if the A Shareholder Approval has not been obtained, the Exchange Ratio of one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201" w:lineRule="exact"/>
        <w:rPr>
          <w:rFonts w:ascii="Courier New" w:cs="Courier New" w:eastAsia="Courier New" w:hAnsi="Courier New"/>
          <w:sz w:val="17"/>
          <w:szCs w:val="17"/>
          <w:color w:val="auto"/>
        </w:rPr>
      </w:pPr>
    </w:p>
    <w:p>
      <w:pPr>
        <w:ind w:left="840" w:right="1839" w:firstLine="529"/>
        <w:spacing w:after="0" w:line="254" w:lineRule="auto"/>
        <w:tabs>
          <w:tab w:leader="none" w:pos="1783" w:val="left"/>
        </w:tabs>
        <w:numPr>
          <w:ilvl w:val="0"/>
          <w:numId w:val="6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solely under the circumstances set forth in Section 4.03 of the Agreement, the additional shares of Parent Common Stock, if any, contemplated by such Section (the "Section 355(e) Top-up"); and</w:t>
      </w:r>
    </w:p>
    <w:p>
      <w:pPr>
        <w:spacing w:after="0" w:line="194" w:lineRule="exact"/>
        <w:rPr>
          <w:rFonts w:ascii="Courier New" w:cs="Courier New" w:eastAsia="Courier New" w:hAnsi="Courier New"/>
          <w:sz w:val="17"/>
          <w:szCs w:val="17"/>
          <w:color w:val="auto"/>
        </w:rPr>
      </w:pPr>
    </w:p>
    <w:p>
      <w:pPr>
        <w:ind w:left="840" w:right="1839" w:firstLine="529"/>
        <w:spacing w:after="0" w:line="252" w:lineRule="auto"/>
        <w:tabs>
          <w:tab w:leader="none" w:pos="1783" w:val="left"/>
        </w:tabs>
        <w:numPr>
          <w:ilvl w:val="0"/>
          <w:numId w:val="6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arriving at our opinion, we have, among other things, (i) reviewed the final drafts of each of the Agreement and the Separation and Distribution Agreement, provided to us by Comcast; (ii) reviewed certain publicly available business and financial information concerning Comcast, AT&amp;T and AT&amp;T Broadband and the industries in which they operate; (iii) reviewed certain internal, non-public financial and operating data, analyses and forecasts prepared by the managements of Comcast, AT&amp;T and AT&amp;T Broadband relating to the businesses of Comcast, on the one hand, and AT&amp;T Broadband, on the other (including, without limitation, the structure, composition, operations, assets, liabilities and pro forma historical and forecasted balance sheets and income statements of AT&amp;T Broadband), as well as the estimated amount and timing of the cost savings and related expenses and synergies expected to result from the Transaction (the "Estimated Synergies") furnished to us by Comcast, AT&amp;T and AT&amp;T Broadband; (iv) compared the proposed financial terms of the Transaction with the publicly available financial terms of certain transactions involving companies we deemed relevant; (v) compared the financial and operating performance of Comcast and AT&amp;T Broadband with publicly available information concerning certain other companies we deemed relevant and reviewed the current and historical market prices of Comcast Common Stock and AT&amp;T Common Stock and certain publicly traded securities of such other companies; (vi) participated in certain discussions and negotiations among representatives of Comcast, AT&amp;T and AT&amp;T Broadband and their financial and legal advisors; and (vii) performed such other financial studies and analyses and considered such other information as we deemed appropriate for the purposes of this opinion.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we have held discussions with certain members of the management of Comcast, AT&amp;T and AT&amp;T Broadband with respect to certain aspects of the Transaction and the foregoing matters, including the past and current business operations of Comcast, AT&amp;T and AT&amp;T Broadband, the financial condition and future prospects and operations of Comcast and AT&amp;T Broadband, the effects of the Transaction, including the Estimated Synergies, on the financial condition and future prospects of Comcast, AT&amp;T Broadband and Parent, and certain other matters we believed necessary or appropriate to our inquiry.</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giving our opinion, we have relied upon and assumed, without any responsibility for independent verification or liability therefor, the accuracy and completeness of all information that was publicly available or furnished to us by Comcast, AT&amp;T or AT&amp;T Broadband or otherwise reviewed by or for us. We have not conducted any valuation or appraisal of any assets or liabilities of Comcast, AT&amp;T or AT&amp;T Broadband, nor have any such valuations or appraisals been provided to us. In addition, we have not assumed any obligation to conduct any inspection of the properties or facilities of Comcast, AT&amp;T or AT&amp;T Broadband. In relying on financial analyses and forecasts provided to us, including the Estimated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H-2</w:t>
      </w:r>
    </w:p>
    <w:p>
      <w:pPr>
        <w:sectPr>
          <w:pgSz w:w="11900" w:h="16838" w:orient="portrait"/>
          <w:cols w:equalWidth="0" w:num="1">
            <w:col w:w="10219"/>
          </w:cols>
          <w:pgMar w:left="240" w:top="719" w:right="1440" w:bottom="1440" w:gutter="0" w:footer="0" w:header="0"/>
        </w:sectPr>
      </w:pPr>
    </w:p>
    <w:bookmarkStart w:id="563" w:name="page564"/>
    <w:bookmarkEnd w:id="563"/>
    <w:p>
      <w:pPr>
        <w:ind w:right="1839"/>
        <w:spacing w:after="0" w:line="251" w:lineRule="auto"/>
        <w:rPr>
          <w:sz w:val="20"/>
          <w:szCs w:val="20"/>
          <w:color w:val="auto"/>
        </w:rPr>
      </w:pPr>
      <w:r>
        <w:rPr>
          <w:rFonts w:ascii="Courier New" w:cs="Courier New" w:eastAsia="Courier New" w:hAnsi="Courier New"/>
          <w:sz w:val="17"/>
          <w:szCs w:val="17"/>
          <w:color w:val="auto"/>
        </w:rPr>
        <w:t>Synergies, we have assumed that they have been reasonably prepared based on assumptions reflecting the best currently available estimates and judgments by the managements of Comcast, AT&amp;T and AT&amp;T Broadband as to the expected future results of operations and financial condition of Comcast, AT&amp;T Broadband and Parent and as to such other matters, including the Estimated Synergies, to which such analyses or forecasts relate. We express no view as to such analyses or forecasts, including the Estimated Synergies, or the assumptions on which they were based. We have also assumed that the Mergers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 We have also assumed that the definitive Agreement and the definitive Separation and Distribution Agreement will not differ in any material respects from the drafts thereof furnished to and reviewed by us. We have further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w:t>
      </w:r>
    </w:p>
    <w:p>
      <w:pPr>
        <w:spacing w:after="0" w:line="20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holders of Comcast Common Stock, taken together, of the Comcast Conversion Ratios in the Comcast Merger, in the aggregate, and we express no opinion as to the underlying decision by Comcast to engage in the Transaction. We are expressing no opinion herein as to the price at which Comcast Common Stock or Parent Common Stock will trade at any future time.</w:t>
      </w:r>
    </w:p>
    <w:p>
      <w:pPr>
        <w:spacing w:after="0" w:line="201"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In arriving at our opinion, we were not authorized to solicit, and did not solicit, interest from any party with respect to a business combination or other extraordinary transaction involving Comcast.</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have acted as financial advisor to Comcast with respect to the proposed Transaction and will receive a fee from Comcast for our services. We will also receive an additional fee if the proposed Transaction is consummated. In addition, Comcast has agreed to indemnify us for certain liabilities arising out of our engagement. We have also provided financial advisory and financing services from time to time to Comcast and AT&amp;T and their respective affiliates. We may also provide financial advisory and financing services to Comcast, Parent and AT&amp;T, and/or their affiliates, in the future. In the ordinary course of our businesses, we and our affiliates may actively trade the debt and equity securities of Comcast or AT&amp;T or, after the Transaction, Parent for our own account or for the accounts of customers and, accordingly, we may at any time hold long or short positions in such securities.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H-3</w:t>
      </w:r>
    </w:p>
    <w:p>
      <w:pPr>
        <w:sectPr>
          <w:pgSz w:w="11900" w:h="16838" w:orient="portrait"/>
          <w:cols w:equalWidth="0" w:num="1">
            <w:col w:w="10219"/>
          </w:cols>
          <w:pgMar w:left="240" w:top="719" w:right="1440" w:bottom="1440" w:gutter="0" w:footer="0" w:header="0"/>
        </w:sectPr>
      </w:pPr>
    </w:p>
    <w:bookmarkStart w:id="564" w:name="page565"/>
    <w:bookmarkEnd w:id="564"/>
    <w:p>
      <w:pPr>
        <w:ind w:right="1839" w:firstLine="524"/>
        <w:spacing w:after="0" w:line="253" w:lineRule="auto"/>
        <w:rPr>
          <w:sz w:val="20"/>
          <w:szCs w:val="20"/>
          <w:color w:val="auto"/>
        </w:rPr>
      </w:pPr>
      <w:r>
        <w:rPr>
          <w:rFonts w:ascii="Courier New" w:cs="Courier New" w:eastAsia="Courier New" w:hAnsi="Courier New"/>
          <w:sz w:val="17"/>
          <w:szCs w:val="17"/>
          <w:color w:val="auto"/>
        </w:rPr>
        <w:t>On the basis of and subject to the foregoing, it is our opinion that, as of the date hereof, the Comcast Conversion Ratios in the Comcast Merger, in the aggregate, are fair, from a financial point of view, to the holders of Comcast Common Stock, taken together.</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This letter is provided to the Board of Directors of Comcast in connection with and for the purposes of its evaluation of the Transaction. This opinion does not constitute a recommendation to any shareholder of Comcast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Comcast but may not otherwise be disclosed publicly in any manner without our prior written approval.</w:t>
      </w:r>
    </w:p>
    <w:p>
      <w:pPr>
        <w:spacing w:after="0" w:line="201"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Very truly yours,</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/s/ J.P. MORGAN SECURITIES INC.</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J.P. MORGAN SECURITIES INC.</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H-4</w:t>
      </w:r>
    </w:p>
    <w:p>
      <w:pPr>
        <w:sectPr>
          <w:pgSz w:w="11900" w:h="16838" w:orient="portrait"/>
          <w:cols w:equalWidth="0" w:num="1">
            <w:col w:w="10219"/>
          </w:cols>
          <w:pgMar w:left="240" w:top="718" w:right="1440" w:bottom="1440" w:gutter="0" w:footer="0" w:header="0"/>
        </w:sectPr>
      </w:pPr>
    </w:p>
    <w:bookmarkStart w:id="565" w:name="page566"/>
    <w:bookmarkEnd w:id="565"/>
    <w:p>
      <w:pPr>
        <w:jc w:val="right"/>
        <w:ind w:right="1839"/>
        <w:spacing w:after="0"/>
        <w:rPr>
          <w:sz w:val="20"/>
          <w:szCs w:val="20"/>
          <w:color w:val="auto"/>
        </w:rPr>
      </w:pPr>
      <w:r>
        <w:rPr>
          <w:rFonts w:ascii="Courier New" w:cs="Courier New" w:eastAsia="Courier New" w:hAnsi="Courier New"/>
          <w:sz w:val="17"/>
          <w:szCs w:val="17"/>
          <w:color w:val="auto"/>
        </w:rPr>
        <w:t>ANNEX I</w:t>
      </w:r>
    </w:p>
    <w:p>
      <w:pPr>
        <w:spacing w:after="0" w:line="210"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Investment Banking</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Corporate and Institutional</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Client Group</w:t>
      </w:r>
    </w:p>
    <w:p>
      <w:pPr>
        <w:spacing w:after="0" w:line="210"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World Financial Center</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North Tower</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New York, New York 10281-1330</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212 449 1000</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Logo]</w:t>
      </w:r>
    </w:p>
    <w:p>
      <w:pPr>
        <w:spacing w:after="0" w:line="210"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December 19, 2001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 Market Street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PA 19102-2148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Members of the Board of Directors: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You have informed us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Merger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201" w:lineRule="exact"/>
        <w:rPr>
          <w:sz w:val="20"/>
          <w:szCs w:val="20"/>
          <w:color w:val="auto"/>
        </w:rPr>
      </w:pPr>
    </w:p>
    <w:p>
      <w:pPr>
        <w:ind w:left="540" w:right="2039" w:firstLine="515"/>
        <w:spacing w:after="0" w:line="253" w:lineRule="auto"/>
        <w:tabs>
          <w:tab w:leader="none" w:pos="1483" w:val="left"/>
        </w:tabs>
        <w:numPr>
          <w:ilvl w:val="0"/>
          <w:numId w:val="6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195" w:lineRule="exact"/>
        <w:rPr>
          <w:rFonts w:ascii="Courier New" w:cs="Courier New" w:eastAsia="Courier New" w:hAnsi="Courier New"/>
          <w:sz w:val="17"/>
          <w:szCs w:val="17"/>
          <w:color w:val="auto"/>
        </w:rPr>
      </w:pPr>
    </w:p>
    <w:p>
      <w:pPr>
        <w:ind w:left="540" w:right="1839" w:firstLine="515"/>
        <w:spacing w:after="0" w:line="251" w:lineRule="auto"/>
        <w:tabs>
          <w:tab w:leader="none" w:pos="1587" w:val="left"/>
        </w:tabs>
        <w:numPr>
          <w:ilvl w:val="0"/>
          <w:numId w:val="6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share of AT&amp;T Common Stock so held, in accordance with the terms and conditions of the Separation and Distribution Agreement;</w:t>
      </w:r>
    </w:p>
    <w:p>
      <w:pPr>
        <w:spacing w:after="0" w:line="201" w:lineRule="exact"/>
        <w:rPr>
          <w:rFonts w:ascii="Courier New" w:cs="Courier New" w:eastAsia="Courier New" w:hAnsi="Courier New"/>
          <w:sz w:val="17"/>
          <w:szCs w:val="17"/>
          <w:color w:val="auto"/>
        </w:rPr>
      </w:pPr>
    </w:p>
    <w:p>
      <w:pPr>
        <w:ind w:left="540" w:right="1839" w:firstLine="515"/>
        <w:spacing w:after="0" w:line="251" w:lineRule="auto"/>
        <w:tabs>
          <w:tab w:leader="none" w:pos="1692" w:val="left"/>
        </w:tabs>
        <w:numPr>
          <w:ilvl w:val="0"/>
          <w:numId w:val="6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I-1</w:t>
      </w:r>
    </w:p>
    <w:p>
      <w:pPr>
        <w:sectPr>
          <w:pgSz w:w="11900" w:h="16838" w:orient="portrait"/>
          <w:cols w:equalWidth="0" w:num="1">
            <w:col w:w="10219"/>
          </w:cols>
          <w:pgMar w:left="240" w:top="719" w:right="1440" w:bottom="1440" w:gutter="0" w:footer="0" w:header="0"/>
        </w:sectPr>
      </w:pPr>
    </w:p>
    <w:bookmarkStart w:id="566" w:name="page567"/>
    <w:bookmarkEnd w:id="566"/>
    <w:p>
      <w:pPr>
        <w:ind w:left="540" w:right="2039" w:firstLine="515"/>
        <w:spacing w:after="0" w:line="252" w:lineRule="auto"/>
        <w:tabs>
          <w:tab w:leader="none" w:pos="1587" w:val="left"/>
        </w:tabs>
        <w:numPr>
          <w:ilvl w:val="0"/>
          <w:numId w:val="6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 each outstanding share of AT&amp;T Broadband Common Stock, other than shares of AT&amp;T Broadband Common Stock owned by AT&amp;T Broadband (which will be canceled), will be converted into the right to receive:</w:t>
      </w:r>
    </w:p>
    <w:p>
      <w:pPr>
        <w:spacing w:after="0" w:line="195" w:lineRule="exact"/>
        <w:rPr>
          <w:rFonts w:ascii="Courier New" w:cs="Courier New" w:eastAsia="Courier New" w:hAnsi="Courier New"/>
          <w:sz w:val="17"/>
          <w:szCs w:val="17"/>
          <w:color w:val="auto"/>
        </w:rPr>
      </w:pPr>
    </w:p>
    <w:p>
      <w:pPr>
        <w:ind w:left="840" w:right="1839" w:firstLine="529"/>
        <w:spacing w:after="0" w:line="252" w:lineRule="auto"/>
        <w:tabs>
          <w:tab w:leader="none" w:pos="1783" w:val="left"/>
        </w:tabs>
        <w:numPr>
          <w:ilvl w:val="1"/>
          <w:numId w:val="6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 Shareholder Approval has been obtained, the Exchange Ratio of a share of Parent Class A Common Stock, or if the A Shareholder Approval has not been obtained, the Exchange Ratio of a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95" w:lineRule="exact"/>
        <w:rPr>
          <w:rFonts w:ascii="Courier New" w:cs="Courier New" w:eastAsia="Courier New" w:hAnsi="Courier New"/>
          <w:sz w:val="17"/>
          <w:szCs w:val="17"/>
          <w:color w:val="auto"/>
        </w:rPr>
      </w:pPr>
    </w:p>
    <w:p>
      <w:pPr>
        <w:ind w:left="840" w:right="1839" w:firstLine="529"/>
        <w:spacing w:after="0" w:line="254" w:lineRule="auto"/>
        <w:tabs>
          <w:tab w:leader="none" w:pos="1783" w:val="left"/>
        </w:tabs>
        <w:numPr>
          <w:ilvl w:val="1"/>
          <w:numId w:val="6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solely under the circumstances set forth in Section 4.03 of the Agreement, the additional shares of Parent Common Stock, if any, contemplated by such Section (the "Section 355(e) Top-up"); and</w:t>
      </w:r>
    </w:p>
    <w:p>
      <w:pPr>
        <w:spacing w:after="0" w:line="194" w:lineRule="exact"/>
        <w:rPr>
          <w:rFonts w:ascii="Courier New" w:cs="Courier New" w:eastAsia="Courier New" w:hAnsi="Courier New"/>
          <w:sz w:val="17"/>
          <w:szCs w:val="17"/>
          <w:color w:val="auto"/>
        </w:rPr>
      </w:pPr>
    </w:p>
    <w:p>
      <w:pPr>
        <w:ind w:left="840" w:right="1839" w:firstLine="529"/>
        <w:spacing w:after="0" w:line="252" w:lineRule="auto"/>
        <w:tabs>
          <w:tab w:leader="none" w:pos="1783" w:val="left"/>
        </w:tabs>
        <w:numPr>
          <w:ilvl w:val="1"/>
          <w:numId w:val="6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19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You have asked us whether, in our opinion, the Comcast Conversion Ratios in the Comcast Merger, in the aggregate, are fair, from a financial point of view, to the holders of Comcast Common Stock, taken together.</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 arriving at the opinion set forth below, we have, among other things:</w:t>
      </w:r>
    </w:p>
    <w:p>
      <w:pPr>
        <w:spacing w:after="0" w:line="210" w:lineRule="exact"/>
        <w:rPr>
          <w:sz w:val="20"/>
          <w:szCs w:val="20"/>
          <w:color w:val="auto"/>
        </w:rPr>
      </w:pPr>
    </w:p>
    <w:p>
      <w:pPr>
        <w:ind w:left="540" w:right="1939" w:firstLine="515"/>
        <w:spacing w:after="0" w:line="254" w:lineRule="auto"/>
        <w:tabs>
          <w:tab w:leader="none" w:pos="1483" w:val="left"/>
        </w:tabs>
        <w:numPr>
          <w:ilvl w:val="0"/>
          <w:numId w:val="6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publicly available business and financial information relating to Comcast, AT&amp;T and AT&amp;T Broadband that we deemed to be relevant;</w:t>
      </w:r>
    </w:p>
    <w:p>
      <w:pPr>
        <w:spacing w:after="0" w:line="194" w:lineRule="exact"/>
        <w:rPr>
          <w:rFonts w:ascii="Courier New" w:cs="Courier New" w:eastAsia="Courier New" w:hAnsi="Courier New"/>
          <w:sz w:val="17"/>
          <w:szCs w:val="17"/>
          <w:color w:val="auto"/>
        </w:rPr>
      </w:pPr>
    </w:p>
    <w:p>
      <w:pPr>
        <w:ind w:left="540" w:right="1839" w:firstLine="515"/>
        <w:spacing w:after="0" w:line="251" w:lineRule="auto"/>
        <w:tabs>
          <w:tab w:leader="none" w:pos="1483" w:val="left"/>
        </w:tabs>
        <w:numPr>
          <w:ilvl w:val="0"/>
          <w:numId w:val="6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information, including financial forecasts, relating to the business, earnings, cash flow, assets, liabilities and prospects of Comcast, AT&amp;T and AT&amp;T Broadband (including, without limitation, the structure, composition, operations, assets, liabilities and pro forma historical and forecasted balance sheets and income statements of AT&amp;T Broadband), as well as the amount and timing of the cost savings and related expenses and synergies expected to result from the Transaction (the "Expected Synergies") furnished to us by Comcast, AT&amp;T and AT&amp;T Broadband;</w:t>
      </w:r>
    </w:p>
    <w:p>
      <w:pPr>
        <w:spacing w:after="0" w:line="201" w:lineRule="exact"/>
        <w:rPr>
          <w:rFonts w:ascii="Courier New" w:cs="Courier New" w:eastAsia="Courier New" w:hAnsi="Courier New"/>
          <w:sz w:val="17"/>
          <w:szCs w:val="17"/>
          <w:color w:val="auto"/>
        </w:rPr>
      </w:pPr>
    </w:p>
    <w:p>
      <w:pPr>
        <w:ind w:left="540" w:right="1939" w:firstLine="515"/>
        <w:spacing w:after="0" w:line="252" w:lineRule="auto"/>
        <w:tabs>
          <w:tab w:leader="none" w:pos="1483" w:val="left"/>
        </w:tabs>
        <w:numPr>
          <w:ilvl w:val="0"/>
          <w:numId w:val="6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Conducted discussions with members of management and representatives of Comcast, AT&amp;T and AT&amp;T Broadband concerning the matters described in clauses 1 and 2 above, as well as their businesses and prospects before and after giving effect to the Transaction and the Expected Synergies;</w:t>
      </w:r>
    </w:p>
    <w:p>
      <w:pPr>
        <w:spacing w:after="0" w:line="197" w:lineRule="exact"/>
        <w:rPr>
          <w:rFonts w:ascii="Courier New" w:cs="Courier New" w:eastAsia="Courier New" w:hAnsi="Courier New"/>
          <w:sz w:val="17"/>
          <w:szCs w:val="17"/>
          <w:color w:val="auto"/>
        </w:rPr>
      </w:pPr>
    </w:p>
    <w:p>
      <w:pPr>
        <w:ind w:left="540" w:right="1939" w:firstLine="515"/>
        <w:spacing w:after="0" w:line="254" w:lineRule="auto"/>
        <w:tabs>
          <w:tab w:leader="none" w:pos="1483" w:val="left"/>
        </w:tabs>
        <w:numPr>
          <w:ilvl w:val="0"/>
          <w:numId w:val="6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market prices and valuation multiples for Comcast Common Stock and AT&amp;T Common Stock and compared them with those of certain publicly traded companies that we deemed to be relevant;</w:t>
      </w:r>
    </w:p>
    <w:p>
      <w:pPr>
        <w:spacing w:after="0" w:line="194" w:lineRule="exact"/>
        <w:rPr>
          <w:rFonts w:ascii="Courier New" w:cs="Courier New" w:eastAsia="Courier New" w:hAnsi="Courier New"/>
          <w:sz w:val="17"/>
          <w:szCs w:val="17"/>
          <w:color w:val="auto"/>
        </w:rPr>
      </w:pPr>
    </w:p>
    <w:p>
      <w:pPr>
        <w:jc w:val="both"/>
        <w:ind w:left="540" w:right="2039" w:firstLine="515"/>
        <w:spacing w:after="0" w:line="254" w:lineRule="auto"/>
        <w:tabs>
          <w:tab w:leader="none" w:pos="1483" w:val="left"/>
        </w:tabs>
        <w:numPr>
          <w:ilvl w:val="0"/>
          <w:numId w:val="6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results of operations of Comcast and AT&amp;T Broadband and compared them with those of certain publicly traded companies that we deemed to be relevant;</w:t>
      </w:r>
    </w:p>
    <w:p>
      <w:pPr>
        <w:spacing w:after="0" w:line="194" w:lineRule="exact"/>
        <w:rPr>
          <w:rFonts w:ascii="Courier New" w:cs="Courier New" w:eastAsia="Courier New" w:hAnsi="Courier New"/>
          <w:sz w:val="17"/>
          <w:szCs w:val="17"/>
          <w:color w:val="auto"/>
        </w:rPr>
      </w:pPr>
    </w:p>
    <w:p>
      <w:pPr>
        <w:ind w:left="540" w:right="1939" w:firstLine="515"/>
        <w:spacing w:after="0" w:line="254" w:lineRule="auto"/>
        <w:tabs>
          <w:tab w:leader="none" w:pos="1483" w:val="left"/>
        </w:tabs>
        <w:numPr>
          <w:ilvl w:val="0"/>
          <w:numId w:val="6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proposed financial terms of the Transaction with the financial terms of certain other transactions that we deemed to be relevant;</w:t>
      </w:r>
    </w:p>
    <w:p>
      <w:pPr>
        <w:spacing w:after="0" w:line="194" w:lineRule="exact"/>
        <w:rPr>
          <w:rFonts w:ascii="Courier New" w:cs="Courier New" w:eastAsia="Courier New" w:hAnsi="Courier New"/>
          <w:sz w:val="17"/>
          <w:szCs w:val="17"/>
          <w:color w:val="auto"/>
        </w:rPr>
      </w:pPr>
    </w:p>
    <w:p>
      <w:pPr>
        <w:ind w:left="540" w:right="1839" w:firstLine="515"/>
        <w:spacing w:after="0" w:line="254" w:lineRule="auto"/>
        <w:tabs>
          <w:tab w:leader="none" w:pos="1483" w:val="left"/>
        </w:tabs>
        <w:numPr>
          <w:ilvl w:val="0"/>
          <w:numId w:val="6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Participated in certain discussions and negotiations among representatives of Comcast, AT&amp;T and AT&amp;T Broadband and their financial and legal advisors;</w:t>
      </w:r>
    </w:p>
    <w:p>
      <w:pPr>
        <w:spacing w:after="0" w:line="194" w:lineRule="exact"/>
        <w:rPr>
          <w:rFonts w:ascii="Courier New" w:cs="Courier New" w:eastAsia="Courier New" w:hAnsi="Courier New"/>
          <w:sz w:val="17"/>
          <w:szCs w:val="17"/>
          <w:color w:val="auto"/>
        </w:rPr>
      </w:pPr>
    </w:p>
    <w:p>
      <w:pPr>
        <w:ind w:left="1480" w:hanging="425"/>
        <w:spacing w:after="0"/>
        <w:tabs>
          <w:tab w:leader="none" w:pos="1480" w:val="left"/>
        </w:tabs>
        <w:numPr>
          <w:ilvl w:val="0"/>
          <w:numId w:val="6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potential pro forma impact of the Transaction;</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I-2</w:t>
      </w:r>
    </w:p>
    <w:p>
      <w:pPr>
        <w:sectPr>
          <w:pgSz w:w="11900" w:h="16838" w:orient="portrait"/>
          <w:cols w:equalWidth="0" w:num="1">
            <w:col w:w="10219"/>
          </w:cols>
          <w:pgMar w:left="240" w:top="719" w:right="1440" w:bottom="1440" w:gutter="0" w:footer="0" w:header="0"/>
        </w:sectPr>
      </w:pPr>
    </w:p>
    <w:bookmarkStart w:id="567" w:name="page568"/>
    <w:bookmarkEnd w:id="567"/>
    <w:p>
      <w:pPr>
        <w:ind w:left="540" w:right="2679" w:firstLine="515"/>
        <w:spacing w:after="0" w:line="257" w:lineRule="auto"/>
        <w:tabs>
          <w:tab w:leader="none" w:pos="1483" w:val="left"/>
        </w:tabs>
        <w:numPr>
          <w:ilvl w:val="0"/>
          <w:numId w:val="6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final drafts of each of the Agreement and the Separation and Distribution Agreement, respectively; and</w:t>
      </w:r>
    </w:p>
    <w:p>
      <w:pPr>
        <w:spacing w:after="0" w:line="191" w:lineRule="exact"/>
        <w:rPr>
          <w:rFonts w:ascii="Courier New" w:cs="Courier New" w:eastAsia="Courier New" w:hAnsi="Courier New"/>
          <w:sz w:val="17"/>
          <w:szCs w:val="17"/>
          <w:color w:val="auto"/>
        </w:rPr>
      </w:pPr>
    </w:p>
    <w:p>
      <w:pPr>
        <w:ind w:left="540" w:right="1839" w:firstLine="515"/>
        <w:spacing w:after="0" w:line="254" w:lineRule="auto"/>
        <w:tabs>
          <w:tab w:leader="none" w:pos="1587" w:val="left"/>
        </w:tabs>
        <w:numPr>
          <w:ilvl w:val="0"/>
          <w:numId w:val="6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such other financial studies and analyses and took into account such other matters as we deemed necessary, including our assessment of general economic, market and monetary conditions.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liability therefor, or undertaken an independent evaluation or appraisal of any of the assets or liabilities of Comcast, AT&amp;T or AT&amp;T Broadband or been furnished with any such evaluation or appraisal. In addition, we have not assumed any obligation to conduct any physical inspection of the properties or facilities of Comcast, AT&amp;T or AT&amp;T Broadband. With respect to the financial forecast information and the Expected Synergies furnished to or discussed with us by Comcast, AT&amp;T or AT&amp;T Broadband, we have assumed that they have been reasonably prepared and reflect the best currently available estimates and judgment of Comcast's, AT&amp;T's or AT&amp;T Broadband's managements as to the expected future financial performance of Comcast, AT&amp;T Broadband or Parent, as the case may be, and the Expected Synergies. We express no view as to such financial forecast information, including the Expected Synergies, or the assumptions on which they were based. We have further assumed that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 We have also assumed that the final form of the Agreement and the Separation and Distribution Agreement will be substantially similar to the last draft reviewed by us.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Our opinion is necessarily based upon market, economic and other conditions as they exist and can be evaluated on, and on the information made available to us as of, the date hereof. It should be understood that subsequent developments may affect this opinion and that we do not have any obligation to update, revise, or reaffirm this opinion. We have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 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In arriving at our opinion, we were not authorized to solicit, and did not solicit, interest from any party with respect to a business combination or other extraordinary transaction involving Comcast.</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We are acting as financial advisor to Comcast in connection with the Transaction and will receive a fee from Comcast for our services, a significant portion of which is contingent upon the consummation of the Transaction. In addition, Comcast has agreed to indemnify us for certain liabilities arising out of our engagement. We have, in the past, provided financial advisory and financing services to Comcast and AT&amp;T and/or their affiliates and may continue to do so (including, after the Transaction, to Parent and its</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I-3</w:t>
      </w:r>
    </w:p>
    <w:p>
      <w:pPr>
        <w:sectPr>
          <w:pgSz w:w="11900" w:h="16838" w:orient="portrait"/>
          <w:cols w:equalWidth="0" w:num="1">
            <w:col w:w="10219"/>
          </w:cols>
          <w:pgMar w:left="240" w:top="719" w:right="1440" w:bottom="861" w:gutter="0" w:footer="0" w:header="0"/>
        </w:sectPr>
      </w:pPr>
    </w:p>
    <w:bookmarkStart w:id="568" w:name="page569"/>
    <w:bookmarkEnd w:id="568"/>
    <w:p>
      <w:pPr>
        <w:ind w:right="1939"/>
        <w:spacing w:after="0" w:line="252" w:lineRule="auto"/>
        <w:rPr>
          <w:sz w:val="20"/>
          <w:szCs w:val="20"/>
          <w:color w:val="auto"/>
        </w:rPr>
      </w:pPr>
      <w:r>
        <w:rPr>
          <w:rFonts w:ascii="Courier New" w:cs="Courier New" w:eastAsia="Courier New" w:hAnsi="Courier New"/>
          <w:sz w:val="17"/>
          <w:szCs w:val="17"/>
          <w:color w:val="auto"/>
        </w:rPr>
        <w:t>affiliates) and have received, and may receive, fees for the rendering of such services. In addition, in the ordinary course of our business, we may actively trade the shares of Comcast Common Stock and other securities of Comcast, as well as shares of AT&amp;T Common Stock and other securities of AT&amp;T and, after the Transaction, the securities of Parent, for our own account and for the accounts of customers and, accordingly, may at any time hold a long or short position in such securities.</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This opinion is for the use and benefit of the Board of Directors of Comcast. Our opinion does not address the merits of the underlying decision by Comcast to engage in the Transaction and does not constitute a recommendation to any shareholder of Comcast as to how such shareholder should vote on the proposed Transaction or any matter related thereto.</w:t>
      </w:r>
    </w:p>
    <w:p>
      <w:pPr>
        <w:spacing w:after="0" w:line="197"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We are not expressing any opinion herein as to the prices at which the shares of Comcast Common Stock or Parent Common Stock will trade following the announcement or consummation of the Transaction, as the case may be.</w:t>
      </w:r>
    </w:p>
    <w:p>
      <w:pPr>
        <w:spacing w:after="0" w:line="194"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On the basis of and subject to the foregoing, we are of the opinion that, as of the date hereof, the Comcast Conversion Ratios in the Comcast Merger, in the aggregate, are fair, from a financial point of view, to the holders of Comcast Common Stock, taken together.</w:t>
      </w:r>
    </w:p>
    <w:p>
      <w:pPr>
        <w:spacing w:after="0" w:line="195"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Very truly yours,</w:t>
      </w:r>
    </w:p>
    <w:p>
      <w:pPr>
        <w:spacing w:after="0" w:line="210" w:lineRule="exact"/>
        <w:rPr>
          <w:sz w:val="20"/>
          <w:szCs w:val="20"/>
          <w:color w:val="auto"/>
        </w:rPr>
      </w:pPr>
    </w:p>
    <w:p>
      <w:pPr>
        <w:ind w:left="2200" w:right="2359"/>
        <w:spacing w:after="0" w:line="258" w:lineRule="auto"/>
        <w:rPr>
          <w:sz w:val="20"/>
          <w:szCs w:val="20"/>
          <w:color w:val="auto"/>
        </w:rPr>
      </w:pPr>
      <w:r>
        <w:rPr>
          <w:rFonts w:ascii="Courier New" w:cs="Courier New" w:eastAsia="Courier New" w:hAnsi="Courier New"/>
          <w:sz w:val="17"/>
          <w:szCs w:val="17"/>
          <w:color w:val="auto"/>
        </w:rPr>
        <w:t>/s/ MERRILL LYNCH, PIERCE, FENNER &amp; SMITH INCORPORATED MERRILL LYNCH, PIERCE, FENNER &amp; SMITH INCORPORATED</w:t>
      </w:r>
    </w:p>
    <w:p>
      <w:pPr>
        <w:spacing w:after="0" w:line="3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I-4</w:t>
      </w:r>
    </w:p>
    <w:p>
      <w:pPr>
        <w:sectPr>
          <w:pgSz w:w="11900" w:h="16838" w:orient="portrait"/>
          <w:cols w:equalWidth="0" w:num="1">
            <w:col w:w="10219"/>
          </w:cols>
          <w:pgMar w:left="240" w:top="719" w:right="1440" w:bottom="1440" w:gutter="0" w:footer="0" w:header="0"/>
        </w:sectPr>
      </w:pPr>
    </w:p>
    <w:bookmarkStart w:id="569" w:name="page570"/>
    <w:bookmarkEnd w:id="569"/>
    <w:p>
      <w:pPr>
        <w:jc w:val="right"/>
        <w:ind w:right="1839"/>
        <w:spacing w:after="0"/>
        <w:rPr>
          <w:sz w:val="20"/>
          <w:szCs w:val="20"/>
          <w:color w:val="auto"/>
        </w:rPr>
      </w:pPr>
      <w:r>
        <w:rPr>
          <w:rFonts w:ascii="Courier New" w:cs="Courier New" w:eastAsia="Courier New" w:hAnsi="Courier New"/>
          <w:sz w:val="17"/>
          <w:szCs w:val="17"/>
          <w:color w:val="auto"/>
        </w:rPr>
        <w:t>ANNEX J</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[LETTERHEAD OF CREDIT SUISSE FIRST BOSTON CORPORATION]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19, 2001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295 North Maple Avenue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Basking Ridge, New Jersey 07920</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Members of the Board:</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You have asked us to advise you with respect to the fairness, from a financial point of view, to the holders of the common stock of AT&amp;T Broadband Corp. ("AT&amp;T Broadband") immediately prior to the Merger (as defined below), other than Comcast Corporation ("Comcast") and its affiliates, of the AT&amp;T Broadband Exchange Ratio (as defined below) set forth in the Agreement and Plan of Merger, dated as of December 19, 2001 (the "Merger Agreement"), among AT&amp;T Corp. ("AT&amp;T"), AT&amp;T Broadband, Comcast, AT&amp;T Comcast Corporation ("AT&amp;T Comcast"), AT&amp;T Broadband Acquisition Corp., a wholly owned subsidiary of AT&amp;T Comcast ("AT&amp;T Broadband Merger Sub"), and Comcast Acquisition Corp., a wholly owned subsidiary of AT&amp;T Comcast ("Comcast Merger Sub").</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As more fully described in the Merger Agreement, AT&amp;T Broadband Merger Sub will be merged with and into AT&amp;T Broadband (the "AT&amp;T Broadband Merger") pursuant to which (A) if the requisite approval of the Merger Agreement and related transactions is obtained by the holders of Class A Common Stock of Comcast (the "Comcast Shareholder Approval"), each outstanding share of the Common Stock, par value $0.01 per share, of AT&amp;T Broadband ("AT&amp;T Broadband Common Stock") will be converted into the right to receive (i) that number of shares of Class A Common Stock, par value $0.01 per share, of AT&amp;T Comcast ("AT&amp;T Comcast Class A Common Stock") equal to the Exchange Ratio (as defined below) and (ii) if AT&amp;T Comcast has not received prior to the effective time of the Merger (the "Effective Time") a commitment from Standard and Poors' that the AT&amp;T Comcast Class A Common Stock will be included in the Standard and Poors' 500 Index (the "Index") immediately after the Effective Time, a non-transferable security of AT&amp;T Comcast which, under certain circumstances as more fully described in the Merger Agreement, will entitle the holder thereof to receive up to a number of shares of AT&amp;T Comcast Class A Common Stock (the "K/A Exchange Ratio") equal to the product of (x) the Exchange Ratio and (y) the K/A Price Differential (as defined in the Merger Agreement), which K/A Price Differential will in no event be less than zero or more than 0.03; and (B) if Comcast Shareholder Approval is not obtained, each outstanding share of AT&amp;T Broadband Common Stock will be converted into the right to receive (i) that number of shares of Class C Common Stock, par value $0.01 per share, of AT&amp;T Comcast ("AT&amp;T Comcast Class C Common Stock" and, together with AT&amp;T Comcast Class A Common Stock, "AT&amp;T Comcast Common Stock") equal to the Exchange Ratio and (ii) if AT&amp;T Comcast has not received prior to the Effective Time a commitment from Standard and Poors' that the AT&amp;T Comcast Class C Common Stock will be included in the Index immediately after the Effective Time, a non-transferable security of AT&amp;T Comcast which, under certain circumstances as more fully described in the Merger Agreement, will entitle the holder thereof to receive up to a number of shares of AT&amp;T Comcast Class C Common Stock (the "K/C Exchange Ratio") equal to the product of (x) the Exchange Ratio and (y) the K/C Price Differential (as defined in the Merger Agreement), which K/C Price Differential will in no event be less than zero or more than 0.03 (the number of shares of AT&amp;T Comcast Common Stock into which each outstanding share of AT&amp;T Broadband Common Stock will be so converted in the AT&amp;T Broadband Merger as specified in clause (A)(i) or (B)(i) above, as applicable, the "AT&amp;T Broadband Common Stock Exchange Ratio" and, together with the K/A Exchange Ratio or the K/C Exchange Ratio, as applicable, the "AT&amp;T Broadband Exchange Ratio"). The Merger Agreement also provides for the merger of Comcast Merger Sub with and into Comcast (the "Comcast Merger" and, together with the AT&amp;T Broadband Merger, the "Merger") pursuant to which each outstanding share of Class A Common Stock of Comcast, Class B Common Stock of Comcast and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J-1</w:t>
      </w:r>
    </w:p>
    <w:p>
      <w:pPr>
        <w:sectPr>
          <w:pgSz w:w="11900" w:h="16838" w:orient="portrait"/>
          <w:cols w:equalWidth="0" w:num="1">
            <w:col w:w="10219"/>
          </w:cols>
          <w:pgMar w:left="240" w:top="718" w:right="1440" w:bottom="1440" w:gutter="0" w:footer="0" w:header="0"/>
        </w:sectPr>
      </w:pPr>
    </w:p>
    <w:bookmarkStart w:id="570" w:name="page571"/>
    <w:bookmarkEnd w:id="570"/>
    <w:p>
      <w:pPr>
        <w:spacing w:after="0"/>
        <w:rPr>
          <w:sz w:val="20"/>
          <w:szCs w:val="20"/>
          <w:color w:val="auto"/>
        </w:rPr>
      </w:pPr>
      <w:r>
        <w:rPr>
          <w:rFonts w:ascii="Courier New" w:cs="Courier New" w:eastAsia="Courier New" w:hAnsi="Courier New"/>
          <w:sz w:val="17"/>
          <w:szCs w:val="17"/>
          <w:color w:val="auto"/>
        </w:rPr>
        <w:t>Board of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295 North Maple Avenue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Basking Ridge, New Jersey 07920</w:t>
      </w:r>
    </w:p>
    <w:p>
      <w:pPr>
        <w:spacing w:after="0" w:line="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6"/>
          <w:szCs w:val="16"/>
          <w:color w:val="auto"/>
        </w:rPr>
        <w:t>2</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Class A Special Common Stock of Comcast will be converted into one share of AT&amp;T Comcast Class A Common Stock, Class B Common Stock of AT&amp;T Comcast and Class A Special Common Stock of AT&amp;T Comcast, respectively. "Exchange Ratio" is defined and more fully described in the Merger Agreement as a fraction (A) the numerator of which is the difference between (i) 1,235,000,000 and (ii) the value of certain outstanding but unexercised options to purchase shares of AT&amp;T Broadband Common Stock divided by the average stock price of Class A Common Stock of Comcast for the five consecutive trading days preceding the date of the Distribution (as defined below), and (B) the denominator of which is the sum of</w:t>
      </w:r>
    </w:p>
    <w:p>
      <w:pPr>
        <w:ind w:right="1939" w:firstLine="7"/>
        <w:spacing w:after="0" w:line="252" w:lineRule="auto"/>
        <w:tabs>
          <w:tab w:leader="none" w:pos="419" w:val="left"/>
        </w:tabs>
        <w:numPr>
          <w:ilvl w:val="0"/>
          <w:numId w:val="6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AT&amp;T Broadband Common Stock outstanding immediately prior to the AT&amp;T Broadband Merger, excluding shares issued pursuant to the QUIPS Exchange (as defined below) and shares held by certain affiliates of AT&amp;T Broadband, and (ii) the number of shares of Common Stock of AT&amp;T in respect of which statutory appraisal rights have been exercised but not withdrawn.</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Merger Agreement further provides that if, but for a disparity in the per share value of AT&amp;T Comcast Class A Common Stock or AT&amp;T Comcast Class C Common Stock, as applicable, and Class A Special Common Stock of AT&amp;T Comcast, the Qualified Holders (as defined in the Merger Agreement) would have received a number of shares of AT&amp;T Comcast Common Stock at the Effective Time that represents more than 50% of the total value of all shares of AT&amp;T Comcast Common Stock, AT&amp;T Comcast will issue additional shares of AT&amp;T Comcast Common Stock to such holders of AT&amp;T Broadband Common Stock in an amount sufficient to ensure that such holders will be treated as holding at the Effective Time more than 50% of the value of all shares of AT&amp;T Comcast Common Stock.</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Representatives of AT&amp;T have advised us that, in connection with the transactions contemplated by, and as more fully described in, the Merger Agreement and the Separation and Distribution Agreement, dated as of December 19, 2001, between AT&amp;T and AT&amp;T Broadband (the "Separation and Distribution Agreement"), the following transactions (the "Ancillary Transactions"), among other things, will occur: (A)(i) AT&amp;T will contribute $18 million to AT&amp;T Broadband which will be used to purchase certain AT&amp;T Broadband Assets (as defined in the Separation and Distribution Agreement) from an affiliate of AT&amp;T,</w:t>
      </w:r>
    </w:p>
    <w:p>
      <w:pPr>
        <w:ind w:right="1839" w:firstLine="7"/>
        <w:spacing w:after="0" w:line="251" w:lineRule="auto"/>
        <w:tabs>
          <w:tab w:leader="none" w:pos="524" w:val="left"/>
        </w:tabs>
        <w:numPr>
          <w:ilvl w:val="0"/>
          <w:numId w:val="6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 transfer to AT&amp;T Broadband the AT&amp;T Broadband Assets and AT&amp;T Broadband will assume the AT&amp;T Broadband Liabilities (as defined in the Separation and Distribution Agreement) (the "Separation") and (iii) shares of AT&amp;T Broadband Common Stock will be distributed, on a pro rata basis, to holders of Common Stock of AT&amp;T (the "Distribution" and, together with the Separation, the "Spin-Off"); (B) AT&amp;T Comcast will redeem (or post letters of credit reasonably acceptable to AT&amp;T with respect to) each redeemable series of TOPRS (as defined in the Merger Agreement); (C)(i) All outstanding 5% Convertible Quarterly Income Preferred Securities ("QUIPS") of AT&amp;T Finance Trust I, a subsidiary of AT&amp;T, will be exchanged for shares of AT&amp;T Broadband Common Stock (the "QUIPS Exchange"), (ii) the QUIPS Transfer (as defined in the Merger Agreement) will occur or (iii) AT&amp;T Broadband will issue a note to AT&amp;T in the amount of the QUIPS Fair Market Value (as defined in the Merger Agreement) in exchange for an amount of cash equal to such amount and will dividend such cash amount to AT&amp;T; (D)(i) Shares of Common Stock of AT&amp;T held by Comcast and its affiliates will be exchanged for an equal number of shares of Series K Exchangeable Preferred Stock of AT&amp;T and (ii) shares of Subsidiary Exchangeable Preferred Stock of AT&amp;T held by certain affiliates of AT&amp;T Broadband will be exchanged for a number of shares of AT&amp;T Broadband Common Stock of equal value; and (E) AT&amp;T will cause the Class A Senior Cumulative Exchangeable Preferred Stock of TCI Pacific Communications, Inc. to be called for redemption in exchange for shares of Common Stock of AT&amp;T.</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In arriving at our opinion, we have reviewed the Merger Agreement, the Separation and Distribution Agreement and certain related documents, as well as certain publicly available business and financial</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J-2</w:t>
      </w:r>
    </w:p>
    <w:p>
      <w:pPr>
        <w:sectPr>
          <w:pgSz w:w="11900" w:h="16838" w:orient="portrait"/>
          <w:cols w:equalWidth="0" w:num="1">
            <w:col w:w="10219"/>
          </w:cols>
          <w:pgMar w:left="240" w:top="518" w:right="1440" w:bottom="1440" w:gutter="0" w:footer="0" w:header="0"/>
        </w:sectPr>
      </w:pPr>
    </w:p>
    <w:bookmarkStart w:id="571" w:name="page572"/>
    <w:bookmarkEnd w:id="571"/>
    <w:p>
      <w:pPr>
        <w:spacing w:after="0"/>
        <w:rPr>
          <w:sz w:val="20"/>
          <w:szCs w:val="20"/>
          <w:color w:val="auto"/>
        </w:rPr>
      </w:pPr>
      <w:r>
        <w:rPr>
          <w:rFonts w:ascii="Courier New" w:cs="Courier New" w:eastAsia="Courier New" w:hAnsi="Courier New"/>
          <w:sz w:val="17"/>
          <w:szCs w:val="17"/>
          <w:color w:val="auto"/>
        </w:rPr>
        <w:t>Board of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295 North Maple Avenue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Basking Ridge, New Jersey 07920</w:t>
      </w:r>
    </w:p>
    <w:p>
      <w:pPr>
        <w:spacing w:after="0" w:line="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6"/>
          <w:szCs w:val="16"/>
          <w:color w:val="auto"/>
        </w:rPr>
        <w:t>3</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information relating to AT&amp;T Broadband and Comcast. We also have reviewed certain other information and data relating to AT&amp;T Broadband and Comcast, including financial forecasts (in the case of Comcast, as adjusted by the management of AT&amp;T Broadband and reviewed by AT&amp;T and, in the case of potential cost savings and synergies, as adjusted by the managements of AT&amp;T and AT&amp;T Broadband), provided to or discussed with us by AT&amp;T, AT&amp;T Broadband and Comcast, and have met with the managements of AT&amp;T, AT&amp;T Broadband and Comcast to discuss the businesses and prospects of AT&amp;T Broadband and Comcast. We also have considered certain financial data of AT&amp;T Broadband and certain financial and stock market data of Comcast, and we have compared those data with similar data for publicly held companies in businesses similar to AT&amp;T Broadband and Comcast, and we have considered, to the extent publicly available, the financial terms of certain other business combinations and other transactions which have been announced or effected. We also considered such other information, financial studies, analyses and investigations and financial, economic and market criteria which we deemed relevant.</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connection with our review, we have not assumed any responsibility for independent verification of any of the foregoing information and have relied on such information being complete and accurate in all material respects. With respect to the financial forecasts (including adjustments thereto) and other information and data, we have been advised, and have assumed, that they have been reasonably prepared on bases reflecting the best currently available estimates and judgments of the managements of AT&amp;T, AT&amp;T Broadband and Comcast as to the future financial performance of AT&amp;T Broadband and Comcast, the potential cost savings and synergies (including the amount, timing and achievability thereof) and strategic benefits anticipated by the managements of AT&amp;T, AT&amp;T Broadband and Comcast to result from the Merger and related transactions and the other matters covered thereby. We have assumed, with your consent, that in the course of obtaining the necessary regulatory and third party approvals and consents for the Merger and related transactions, no modification, delay, limitation, restriction or condition will be imposed that will have an adverse effect on AT&amp;T, AT&amp;T Broadband or Comcast or the contemplated benefits of the proposed Merger or related transactions in any respect meaningful to our analyses. We also have assumed, with your consent, that the Merger and related transactions (including, without limitation, the Spin-Off and other Ancillary Transactions) will be consummated in accordance with the terms of the Merger Agreement, the Separation and Distribution Agreement and related documents, without waiver, modification or amendment of any material terms, conditions or agreements, and in compliance with all applicable laws (including, in the case of the Spin-Off, laws relating to insolvency and fraudulent conveyance and to the payments of dividends). In addition, we have assumed, with your consent, that the Merger will be treated as a tax-free exchange, and the Spin-Off will qualify as a tax-free distribution, for federal income tax purposes. We have not been requested to make, and have not made, an independent evaluation or appraisal of the assets or liabilities (contingent or otherwise) of AT&amp;T, AT&amp;T Broadband or Comcast, nor have we been furnished with any such evaluations or appraisals. Our opinion is necessarily based upon information available to us, and financial, economic, market and other conditions as they exist and can be evaluated, on the date hereof. We are not expressing any opinion as to what the value of the securities of AT&amp;T Broadband or AT&amp;T Comcast actually will be when issued or the prices at which such securities will trade at any time. In connection with our engagement, we were requested to approach third parties to solicit indications of interest in the possible acquisition of all or a part of AT&amp;T Broadband and held preliminary discussions with certain of these parties prior to the date hereof. Our opinion does not address any aspect of the Merger, other than the AT&amp;T Broadband Exchange Ratio to the extent specified herein, or any related transactions (including, without limitation, the Spin-Off and other Ancillary Transactions) or the relative merits of the Merger or any related transactions as compared to other business strategies that might be available to AT&amp;T or</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J-3</w:t>
      </w:r>
    </w:p>
    <w:p>
      <w:pPr>
        <w:sectPr>
          <w:pgSz w:w="11900" w:h="16838" w:orient="portrait"/>
          <w:cols w:equalWidth="0" w:num="1">
            <w:col w:w="10219"/>
          </w:cols>
          <w:pgMar w:left="240" w:top="518" w:right="1440" w:bottom="1440" w:gutter="0" w:footer="0" w:header="0"/>
        </w:sectPr>
      </w:pPr>
    </w:p>
    <w:bookmarkStart w:id="572" w:name="page573"/>
    <w:bookmarkEnd w:id="572"/>
    <w:p>
      <w:pPr>
        <w:spacing w:after="0"/>
        <w:rPr>
          <w:sz w:val="20"/>
          <w:szCs w:val="20"/>
          <w:color w:val="auto"/>
        </w:rPr>
      </w:pPr>
      <w:r>
        <w:rPr>
          <w:rFonts w:ascii="Courier New" w:cs="Courier New" w:eastAsia="Courier New" w:hAnsi="Courier New"/>
          <w:sz w:val="17"/>
          <w:szCs w:val="17"/>
          <w:color w:val="auto"/>
        </w:rPr>
        <w:t>Board of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295 North Maple Avenue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Basking Ridge, New Jersey 07920</w:t>
      </w:r>
    </w:p>
    <w:p>
      <w:pPr>
        <w:spacing w:after="0" w:line="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6"/>
          <w:szCs w:val="16"/>
          <w:color w:val="auto"/>
        </w:rPr>
        <w:t>4</w:t>
      </w:r>
    </w:p>
    <w:p>
      <w:pPr>
        <w:spacing w:after="0" w:line="210"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AT&amp;T Broadband, nor does it address the underlying business decision of AT&amp;T to proceed with the Merger or any related transactions.</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have acted as financial advisor to AT&amp;T in connection with the Merger and will receive a fee for our services, a significant portion of which is contingent upon the consummation of the Merger. We and our affiliates in the past have provided, and currently are providing, financial and investment banking services to AT&amp;T and certain of its affiliates, and in the past have provided financial and investment banking services to Comcast and certain of its affiliates unrelated to the proposed Merger, for which services we have received and expect to receive compensation. In the ordinary course of business, we and our affiliates may actively trade the securities of AT&amp;T, Comcast and certain of their respective affiliates and in the future may actively trade the securities of AT&amp;T Comcast for our own and such affiliates' accounts and for the accounts of customers and, accordingly, may at any time hold long or short positions in such securities.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It is understood that this letter is for the information of the Board of Directors of AT&amp;T in connection with its evaluation of the Merger and does not constitute a recommendation to any stockholder as to how such stockholder should vote or act on any matter relating to the Merger or any related transactions.</w:t>
      </w:r>
    </w:p>
    <w:p>
      <w:pPr>
        <w:spacing w:after="0" w:line="195" w:lineRule="exact"/>
        <w:rPr>
          <w:sz w:val="20"/>
          <w:szCs w:val="20"/>
          <w:color w:val="auto"/>
        </w:rPr>
      </w:pPr>
    </w:p>
    <w:p>
      <w:pPr>
        <w:jc w:val="both"/>
        <w:ind w:right="1939" w:firstLine="524"/>
        <w:spacing w:after="0" w:line="253" w:lineRule="auto"/>
        <w:rPr>
          <w:sz w:val="20"/>
          <w:szCs w:val="20"/>
          <w:color w:val="auto"/>
        </w:rPr>
      </w:pPr>
      <w:r>
        <w:rPr>
          <w:rFonts w:ascii="Courier New" w:cs="Courier New" w:eastAsia="Courier New" w:hAnsi="Courier New"/>
          <w:sz w:val="17"/>
          <w:szCs w:val="17"/>
          <w:color w:val="auto"/>
        </w:rPr>
        <w:t>Based upon and subject to the foregoing, it is our opinion that, as of the date hereof, the AT&amp;T Broadband Exchange Ratio is fair, from a financial point of view, to the holders of AT&amp;T Broadband Common Stock immediately prior to the Merger (other than Comcast and its affiliates).</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Very truly yours,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CREDIT SUISSE FIRST BOSTON CORPORATION</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J-4</w:t>
      </w:r>
    </w:p>
    <w:p>
      <w:pPr>
        <w:sectPr>
          <w:pgSz w:w="11900" w:h="16838" w:orient="portrait"/>
          <w:cols w:equalWidth="0" w:num="1">
            <w:col w:w="10219"/>
          </w:cols>
          <w:pgMar w:left="240" w:top="518" w:right="1440" w:bottom="1440" w:gutter="0" w:footer="0" w:header="0"/>
        </w:sectPr>
      </w:pPr>
    </w:p>
    <w:bookmarkStart w:id="573" w:name="page574"/>
    <w:bookmarkEnd w:id="573"/>
    <w:p>
      <w:pPr>
        <w:ind w:left="2320"/>
        <w:spacing w:after="0"/>
        <w:rPr>
          <w:sz w:val="20"/>
          <w:szCs w:val="20"/>
          <w:color w:val="auto"/>
        </w:rPr>
      </w:pPr>
      <w:r>
        <w:rPr>
          <w:rFonts w:ascii="Courier New" w:cs="Courier New" w:eastAsia="Courier New" w:hAnsi="Courier New"/>
          <w:sz w:val="17"/>
          <w:szCs w:val="17"/>
          <w:color w:val="auto"/>
        </w:rPr>
        <w:t>[LETTERHEAD OF GOLDMAN, SACHS &amp; CO.]</w:t>
      </w:r>
    </w:p>
    <w:p>
      <w:pPr>
        <w:spacing w:after="0" w:line="210"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ANNEX K</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PERSONAL AND CONFIDENTIAL</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19, 2001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295 North Maple Avenue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Basking Ridge, NJ 07920</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You have requested our opinion as to the fairness from a financial point of view to the holders (other than Comcast Corporation and its affiliates) of the Common Stock, par value $.01 per share (the "AT&amp;T Broadband Common Stock"), of AT&amp;T Broadband Corp. ("AT&amp;T Broadband") immediately before the Merger (as defined below) of the Exchange Ratio (as defined below) pursuant to the Agreement and Plan of Merger, dated as of December 19, 2001 (the "Merger Agreement"), by and among AT&amp;T Corp. (the "Company" or "AT&amp;T"), AT&amp;T Broadband, Comcast Corporation ("Comcast"), AT&amp;T Comcast Corporation ("Parent"), AT&amp;T Broadband Acquisition Corp., a wholly owned subsidiary of Parent ("AT&amp;T Broadband Merger Sub"), and Comcast Acquisition Corp., a wholly owned subsidiary of Parent ("Comcast Merger Sub"). Undefined capitalized terms used herein shall have the meanings assigned to them in the Merger Agreement and in the Separation and Distribution Agreement, dated as of December 19, 2001 (the "Separation and Distribution Agreement"), by and between the Company and AT&amp;T Broadband.</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Pursuant to the Merger Agreement, AT&amp;T Broadband Merger Sub will merge (the "AT&amp;T Broadband Merger") with and into AT&amp;T Broadband, with AT&amp;T Broadband as the surviving corporation in the AT&amp;T Broadband Merger, and, pursuant to the AT&amp;T Broadband Merger, (a) in the event that the approval, by a majority of the votes cast, of the holders of Class A Common Stock, par value $1.00 per share (the "Comcast Class A Common Stock"), of Comcast (the "Comcast A Shareholder Approval") has been obtained at the Effective Time, (i) each outstanding share of AT&amp;T Broadband Common Stock will be converted into the right to receive the Basic Exchange Ratio (as defined below) of a share of Class A Common Stock, par value $.01 per share (the "Parent Class A Common Stock"), of Parent (the "Class A Exchange Ratio"), and (ii) in the event that prior to the Effective Time Standard and Poors' has not committed that the Parent Class A Common Stock will be included in the Index immediately after the Effective Time, each holder of shares of AT&amp;T Broadband Common Stock will also be entitled to receive, in exchange for each of such holder's shares, under certain circumstances, a number of shares of Parent Class A Common Stock equal to the product of (i) the Basic Exchange Ratio and (ii) the K/A Price Differential as defined in the Merger Agreement; such number of additional shares of Parent Class A Common Stock will be reduced by the number of shares of Parent Class A Common Stock previously issued pursuant to the Top-up (as defined below) (the "K/A Exchange Ratio," together with the Class A Exchange Ratio, the "Preferred Exchange Ratio"); and</w:t>
      </w:r>
    </w:p>
    <w:p>
      <w:pPr>
        <w:ind w:right="1839" w:firstLine="7"/>
        <w:spacing w:after="0" w:line="251" w:lineRule="auto"/>
        <w:tabs>
          <w:tab w:leader="none" w:pos="419" w:val="left"/>
        </w:tabs>
        <w:numPr>
          <w:ilvl w:val="0"/>
          <w:numId w:val="6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Comcast A Shareholder Approval has not been obtained at the Effective Time, (i) each outstanding share of AT&amp;T Broadband Common Stock will be converted into the right to receive the Basic Exchange Ratio of a share of Class C Common Stock, par value $.01 per share (the "Parent Class C Common Stock"), of Parent (the "Class C Exchange Ratio"), and (ii) in the event that prior to the Effective Time Standard and Poors' has not committed that the Parent Class C Common Stock will be included in the Index immediately after the Effective Time, each holder of shares of AT&amp;T Broadband Common Stock will also be entitled to receive, in exchange for each of such holder's shares, under certain circumstances, a number of shares of Parent Class C Common Stock equal to the product of (i) the Basic Exchange Ratio and (ii) the K/C Price Differential as defined in the Merger Agreement; such number of additional shares of Parent Class C Common Stock will be reduced by the number of shares of Parent Class C Common Stock previously issued pursuant to the Top-up (the "K/C Exchange Ratio," together with the Class C</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K-1</w:t>
      </w:r>
    </w:p>
    <w:p>
      <w:pPr>
        <w:sectPr>
          <w:pgSz w:w="11900" w:h="16838" w:orient="portrait"/>
          <w:cols w:equalWidth="0" w:num="1">
            <w:col w:w="10219"/>
          </w:cols>
          <w:pgMar w:left="240" w:top="719" w:right="1440" w:bottom="1440" w:gutter="0" w:footer="0" w:header="0"/>
        </w:sectPr>
      </w:pPr>
    </w:p>
    <w:bookmarkStart w:id="574" w:name="page575"/>
    <w:bookmarkEnd w:id="574"/>
    <w:p>
      <w:pPr>
        <w:spacing w:after="0"/>
        <w:rPr>
          <w:sz w:val="20"/>
          <w:szCs w:val="20"/>
          <w:color w:val="auto"/>
        </w:rPr>
      </w:pPr>
      <w:r>
        <w:rPr>
          <w:rFonts w:ascii="Courier New" w:cs="Courier New" w:eastAsia="Courier New" w:hAnsi="Courier New"/>
          <w:sz w:val="17"/>
          <w:szCs w:val="17"/>
          <w:color w:val="auto"/>
        </w:rPr>
        <w:t>Board of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295 North Maple Avenue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Basking Ridge, NJ 07920</w:t>
      </w:r>
    </w:p>
    <w:p>
      <w:pPr>
        <w:spacing w:after="0" w:line="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6"/>
          <w:szCs w:val="16"/>
          <w:color w:val="auto"/>
        </w:rPr>
        <w:t>2</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Exchange Ratio, the "Alternative Exchange Ratio") (the Preferred Exchange Ratio and the Alternative Exchange Ratio, taken as a whole, depending on whether the Comcast A Shareholder Approval has been obtained, collectively, the "Exchange Ratio"). The "Basic Exchange Ratio" is defined in the Merger Agreement as the number resulting from the fraction (i) the numerator of which is the difference between (x) 1,235,000,000 and (y) the value of certain unexercised AT&amp;T Stock Options held by Broadband Employees and Former Employees divided by the average stock price of Comcast Class A Common Stock for the five consecutive trading days preceding the Distribution (as defined below), and (ii) the denominator of which is the sum of (x) the number of shares of AT&amp;T Broadband Common Stock outstanding immediately prior to the AT&amp;T Broadband Merger, excluding shares issued pursuant to the QUIPS Exchange (as defined below) and shares held by certain affiliates of AT&amp;T Broadband, and (y) the number of shares of Common Stock, par value $1.00 per share (the "AT&amp;T Common Stock"), of AT&amp;T in respect of which statutory appraisal rights have been exercised and not withdrawn. We note that if, but for a disparity in the per share value of the Parent Class A Common Stock, the Parent Class A Special Common Stock (as defined below) or the Parent Class C Common Stock (collectively, the "Parent Common Stock"), as applicable, the holders of AT&amp;T Broadband Common Stock qualified pursuant to the Merger Agreement would have received a number of shares of Parent Common Stock that at the Effective Time is more than 50% of the total value of all shares of Parent Common Stock, Parent will issue additional shares of Parent Common Stock to such holders of AT&amp;T Broadband Common Stock in an amount sufficient to ensure that such holders will be treated as holding at the Effective Time more than 50% of the value of all shares of Parent Common Stock (the "Top-up").</w:t>
      </w:r>
    </w:p>
    <w:p>
      <w:pPr>
        <w:spacing w:after="0" w:line="20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Merger Agreement also provides for the merger of Comcast Merger Sub with and into Comcast (the "Comcast Merger" and, together with the AT&amp;T Broadband Merger, the "Merger") pursuant to which each outstanding share of Comcast Class A Common Stock, Class B Common Stock, par value $1.00 per share, and Class A Special Common Stock, par value $1.00 per share, of Comcast will be converted into the right to receive one share of Parent Class A Common Stock, Class B Common Stock, par value $.01 per share, of Parent and Class A Special Common Stock, par value $.01 per share (the "Parent Class A Special Common Stock"), of Parent, respectively.</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You have informed us that prior to the Effective Time, among other things, AT&amp;T will effect the Spin-Off (as defined below) of the AT&amp;T Broadband Business in the following manner (the following transactions are referred to herein collectively as the "Preliminary Transactions"): (a) AT&amp;T will issue shares of AT&amp;T Broadband Common Stock to Microsoft Corporation ("Microsoft") in exchange for all outstanding 5% Convertible Quarterly Income Preferred Securities issued by AT&amp;T Finance Trust I, a subsidiary of AT&amp;T (the "QUIPS Exchange"), or, unless Microsoft consents to the QUIPS Transfer (as defined in the Merger Agreement) and upon the occurrence of certain circumstances set forth in the Merger Agreement, AT&amp;T Broadband will issue a note to AT&amp;T representing the QUIPS Fair Market Value (as defined in the Merger Agreement) in exchange for cash proceeds equal to such amount and dividend such cash proceeds to AT&amp;T; (b) AT&amp;T will contribute $18 million in cash to AT&amp;T Broadband and AT&amp;T Broadband will purchase assets used in the AT&amp;T Broadband Business from AT&amp;T Broadband T-Holdings, Inc., a wholly owned subsidiary of AT&amp;T Broadband, in exchange for $18 million in cash; (c) AT&amp;T will transfer all AT&amp;T Broadband Assets to AT&amp;T Broadband and AT&amp;T Broadband will assume all AT&amp;T Broadband Liabilities (the "Separation"); (d) the shares of AT&amp;T Common Stock held by Comcast and its affiliates will be exchanged pro rata for shares of Series K Exchangeable Preferred Stock, par value $1.00 per share, of AT&amp;T; (e) the shares of AT&amp;T Subsidiary Preferred Stock held by AT&amp;T Broadband Subsidiaries will be exchanged for a certain number of shares of AT&amp;T Broadband Common Stock as determined pursuant to the Separation and Distribution Agreement; (f) AT&amp;T will distribute to the record holders of AT&amp;T Common Stock pro rata shares of</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K-2</w:t>
      </w:r>
    </w:p>
    <w:p>
      <w:pPr>
        <w:sectPr>
          <w:pgSz w:w="11900" w:h="16838" w:orient="portrait"/>
          <w:cols w:equalWidth="0" w:num="1">
            <w:col w:w="10219"/>
          </w:cols>
          <w:pgMar w:left="240" w:top="518" w:right="1440" w:bottom="1440" w:gutter="0" w:footer="0" w:header="0"/>
        </w:sectPr>
      </w:pPr>
    </w:p>
    <w:bookmarkStart w:id="575" w:name="page576"/>
    <w:bookmarkEnd w:id="575"/>
    <w:p>
      <w:pPr>
        <w:spacing w:after="0"/>
        <w:rPr>
          <w:sz w:val="20"/>
          <w:szCs w:val="20"/>
          <w:color w:val="auto"/>
        </w:rPr>
      </w:pPr>
      <w:r>
        <w:rPr>
          <w:rFonts w:ascii="Courier New" w:cs="Courier New" w:eastAsia="Courier New" w:hAnsi="Courier New"/>
          <w:sz w:val="17"/>
          <w:szCs w:val="17"/>
          <w:color w:val="auto"/>
        </w:rPr>
        <w:t>Board of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295 North Maple Avenue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Basking Ridge, NJ 07920</w:t>
      </w:r>
    </w:p>
    <w:p>
      <w:pPr>
        <w:spacing w:after="0" w:line="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6"/>
          <w:szCs w:val="16"/>
          <w:color w:val="auto"/>
        </w:rPr>
        <w:t>3</w:t>
      </w:r>
    </w:p>
    <w:p>
      <w:pPr>
        <w:spacing w:after="0" w:line="210" w:lineRule="exact"/>
        <w:rPr>
          <w:sz w:val="20"/>
          <w:szCs w:val="20"/>
          <w:color w:val="auto"/>
        </w:rPr>
      </w:pPr>
    </w:p>
    <w:p>
      <w:pPr>
        <w:jc w:val="both"/>
        <w:ind w:right="1939"/>
        <w:spacing w:after="0" w:line="252" w:lineRule="auto"/>
        <w:rPr>
          <w:sz w:val="20"/>
          <w:szCs w:val="20"/>
          <w:color w:val="auto"/>
        </w:rPr>
      </w:pPr>
      <w:r>
        <w:rPr>
          <w:rFonts w:ascii="Courier New" w:cs="Courier New" w:eastAsia="Courier New" w:hAnsi="Courier New"/>
          <w:sz w:val="17"/>
          <w:szCs w:val="17"/>
          <w:color w:val="auto"/>
        </w:rPr>
        <w:t>AT&amp;T Broadband Common Stock (the "Distribution," together with the Separation, the "Spin-Off"); (g) Parent will call for redemption (or post letters of credit reasonably acceptable to the Company with respect to) each redeemable series of TOPRS (as defined in the Merger Agreement); and (h) TCI Pacific Communications, Inc. will call for redemption and exchange the TCI Pacific Preferred Stock for shares of AT&amp;T Common Stock.</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Goldman, Sachs &amp; Co., as part of its investment banking business, is continually engaged in performing financial analyses with respect to the valuation of businesses and their securities in connection with mergers and acquisitions, negotiated underwritings, competitive biddings, secondary distributions of listed and unlisted securities and private placements as well as for estate, corporate and other purposes. We are familiar with the Company having provided certain investment banking services to the Company from time to time, including (a) having acted as financial advisor to the Company in connection with (i) its acquisition of Teleport Communications Group Inc. in July 1998, (ii) its acquisition of Tele-Communications Inc. in March 1999, (iii) its divestiture of a 50% interest in Lenfest Communications Inc. in January 2000, (iv) its divestiture of certain cable assets to Cox Communications, Inc. in March 2000, (v) its acquisition of MediaOne Group in June 2000, (vi) its acquisition of certain assets from Cablevision Systems Corporation in January 2001, (vii) its analysis, consideration and negotiation of revisions to the Company's put arrangements with Cox Communications, Inc. and Comcast involving At Home Corporation in May 2001, (viii) its distribution of the outstanding shares of common stock of AT&amp;T Wireless Inc. ("AT&amp;T Wireless") held by AT&amp;T to the holders of AT&amp;T Common Stock in July 2001, (ix) its debt-for-equity exchange offer involving AT&amp;T's remaining stake in AT&amp;T Wireless in July 2001, and (x) its transaction with BT Group plc relating to the unwinding of the Concert joint venture announced in October 2001; (b) having acted as joint lead arranger in connection with the loan syndication of the Company's senior credit facility in April 1999 (aggregate principal amount $30 billion) and joint lead arranger of its corporate revolving credit facility in December 2000 (aggregate principal amount $25 billion) and in December 2001 (aggregate principal amount $8 billion); (c) having acted as joint bookrunner in connection with (i) the initial public offering of AT&amp;T Wireless Group tracking stock of AT&amp;T in April 2000, (ii) the public offering pursuant to Rule 144A of $1.65 billion aggregate principal amount of Notes of the Company due August 2002 in August 2001, and</w:t>
      </w:r>
    </w:p>
    <w:p>
      <w:pPr>
        <w:spacing w:after="0" w:line="202" w:lineRule="exact"/>
        <w:rPr>
          <w:sz w:val="20"/>
          <w:szCs w:val="20"/>
          <w:color w:val="auto"/>
        </w:rPr>
      </w:pPr>
    </w:p>
    <w:p>
      <w:pPr>
        <w:ind w:right="1839" w:firstLine="7"/>
        <w:spacing w:after="0" w:line="251" w:lineRule="auto"/>
        <w:tabs>
          <w:tab w:leader="none" w:pos="628" w:val="left"/>
        </w:tabs>
        <w:numPr>
          <w:ilvl w:val="0"/>
          <w:numId w:val="6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public offering pursuant to Rule 144A of $10.1 billion aggregate principal amount of Notes of the Company in multiple tranches and currencies in November 2001; (d) having acted as sole bookrunner in connection with the public offerings pursuant to Rule 144A of (i) $3.0 billion of aggregate principal amount of Notes of the Company due July 2000 in July 1999 and (ii) $6.0 billion of aggregate principal amount of Notes of the Company in multiple tranches due July 2001 in July 2000; (e) having acted as dealer with respect to the Company's commercial paper program; (f) having acted as financial advisor to the Company in connection with the restructuring announced by the Company in 2000; and (g) having acted as financial advisor to the Company in connection with, and having participated in certain of the negotiations leading up to, the Merger Agreement, the Distribution and Separation Agreement and the agreements referred to therein. We also have provided investment banking services to Comcast and its affiliates from time to time, including (a) having acted as co-manager with respect to the public offering of PHONES in March 1999 (aggregate principal amount $870 million); (b) having acted as joint lead agent on the $4.45 billion aggregate principal amount consent solicitation for various Comcast debt securities in July 2000; and (c) having acted as co-manager with respect to the public offerings of (i) $0.5 billion aggregate principal amount of Comcast's 6.375% Senior Unsecured Notes due 2006 and $1.0 billion aggregate principal amount of Comcast's 3.75% Senior Notes due 2011 in January 2001, (ii) $0.75 billion aggregate principal amount of Comcast's 6.875% Senior Notes due 2009 in May 2001, and (iii) $0.75 billion aggregate principal amount of Comcast's 7.125% Senior Notes due 2013 in June 2001. Goldman,</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K-3</w:t>
      </w:r>
    </w:p>
    <w:p>
      <w:pPr>
        <w:sectPr>
          <w:pgSz w:w="11900" w:h="16838" w:orient="portrait"/>
          <w:cols w:equalWidth="0" w:num="1">
            <w:col w:w="10219"/>
          </w:cols>
          <w:pgMar w:left="240" w:top="518" w:right="1440" w:bottom="1440" w:gutter="0" w:footer="0" w:header="0"/>
        </w:sectPr>
      </w:pPr>
    </w:p>
    <w:bookmarkStart w:id="576" w:name="page577"/>
    <w:bookmarkEnd w:id="576"/>
    <w:p>
      <w:pPr>
        <w:spacing w:after="0"/>
        <w:rPr>
          <w:sz w:val="20"/>
          <w:szCs w:val="20"/>
          <w:color w:val="auto"/>
        </w:rPr>
      </w:pPr>
      <w:r>
        <w:rPr>
          <w:rFonts w:ascii="Courier New" w:cs="Courier New" w:eastAsia="Courier New" w:hAnsi="Courier New"/>
          <w:sz w:val="17"/>
          <w:szCs w:val="17"/>
          <w:color w:val="auto"/>
        </w:rPr>
        <w:t>Board of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295 North Maple Avenue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Basking Ridge, NJ 07920</w:t>
      </w:r>
    </w:p>
    <w:p>
      <w:pPr>
        <w:spacing w:after="0" w:line="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6"/>
          <w:szCs w:val="16"/>
          <w:color w:val="auto"/>
        </w:rPr>
        <w:t>4</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Sachs &amp; Co. may provide investment banking and advisory services to the Company, Comcast and their respective affiliates in the future. Goldman, Sachs &amp; Co. provides a full range of financial, advisory and securities services and, in the course of its normal trading activities, may from time to time effect transactions and hold positions in securities, including derivative securities, of the Company, AT&amp;T Broadband, Comcast, or their respective affiliates, for its own account or the accounts of customers.</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connection with this opinion, we have reviewed, among other things, the Merger Agreement; the Separation and Distribution Agreement; Annual Reports to Shareholders and Annual Reports on Form 10-K of the Company and Comcast for the five years ended December 31, 2000; the Preliminary Proxy Statement on Form 14A of AT&amp;T dated July 3, 2001; certain other communications from the Company and Comcast to their respective shareholders; certain internal financial analyses and forecasts for Comcast prepared by its management, as adjusted by AT&amp;T Broadband management and reviewed by AT&amp;T management (the "Adjusted Comcast Forecasts"); certain internal financial forecasts and analyses for AT&amp;T Broadband prepared by AT&amp;T Broadband management and reviewed and/or adjusted by AT&amp;T management (the "AT&amp;T Broadband Forecasts"; together with the Adjusted Comcast Forecasts, the "Forecasts"); and certain cost savings and operating synergies projected to result from the transactions contemplated by the Merger Agreement as prepared by the managements of Comcast and AT&amp;T Broadband and as further adjusted by the managements of AT&amp;T Broadband and AT&amp;T (the "Synergies"). We also have held discussions with members of the senior management of the Company, AT&amp;T Broadband and Comcast regarding their assessment of the strategic rationale for, and the potential benefits of, the transaction contemplated by the Merger Agreement and the past and current business operations, financial condition and future prospects of their respective companies. In addition, we have reviewed the reported price and trading activity for the shares of AT&amp;T Common Stock, Comcast Class A Common Stock and Comcast Class A Special Common Stock, compared certain financial information for AT&amp;T Broadband and certain financial and stock market information for Comcast with similar information for certain other companies the securities of which are publicly traded, reviewed the financial terms of certain recent business combinations in the cable industry specifically and in other industries generally and performed such other studies and analyses as we considered appropriate.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have relied upon the accuracy and completeness of all of the financial, accounting and other information and data discussed with or reviewed by us and have assumed the accuracy and completeness thereof for purposes of this opinion. In that regard, we have assumed, with your consent, that the Forecasts and the Synergies have been reasonably prepared on a basis reflecting the best currently available judgments and estimates of the managements of AT&amp;T and AT&amp;T Broadband. We also have assumed, with your consent, that all governmental, regulatory and other consents and approvals necessary for the consummation of the transactions contemplated by the Merger Agreement and the Separation and Distribution Agreement (collectively, the "Transactions") will be obtained without any adverse effect on the Company, AT&amp;T Broadband and Comcast or the combined company following the Merger or the contemplated benefits of the Transactions in any respect meaningful to our analyses. In addition, we have not made an independent evaluation or appraisal of the assets and liabilities of the Company, AT&amp;T Broadband or Comcast or any of their subsidiaries and we have not been furnished with any such evaluation or appraisal. Our advisory services and the opinion expressed herein are provided for the information and assistance of the Board of Directors of the Company in connection with its consideration of the AT&amp;T Broadband Merger.</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For purposes of our analyses, we have been advised and have assumed, with your consent, that the Merger and the other transactions contemplated by the Merger Agreement and the Separation and Distribution Agreement will be consummated in accordance with the terms of these agreements, and</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K-4</w:t>
      </w:r>
    </w:p>
    <w:p>
      <w:pPr>
        <w:sectPr>
          <w:pgSz w:w="11900" w:h="16838" w:orient="portrait"/>
          <w:cols w:equalWidth="0" w:num="1">
            <w:col w:w="10219"/>
          </w:cols>
          <w:pgMar w:left="240" w:top="518" w:right="1440" w:bottom="1440" w:gutter="0" w:footer="0" w:header="0"/>
        </w:sectPr>
      </w:pPr>
    </w:p>
    <w:bookmarkStart w:id="577" w:name="page578"/>
    <w:bookmarkEnd w:id="577"/>
    <w:p>
      <w:pPr>
        <w:spacing w:after="0"/>
        <w:rPr>
          <w:sz w:val="20"/>
          <w:szCs w:val="20"/>
          <w:color w:val="auto"/>
        </w:rPr>
      </w:pPr>
      <w:r>
        <w:rPr>
          <w:rFonts w:ascii="Courier New" w:cs="Courier New" w:eastAsia="Courier New" w:hAnsi="Courier New"/>
          <w:sz w:val="17"/>
          <w:szCs w:val="17"/>
          <w:color w:val="auto"/>
        </w:rPr>
        <w:t>Board of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295 North Maple Avenue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Basking Ridge, NJ 07920</w:t>
      </w:r>
    </w:p>
    <w:p>
      <w:pPr>
        <w:spacing w:after="0" w:line="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6"/>
          <w:szCs w:val="16"/>
          <w:color w:val="auto"/>
        </w:rPr>
        <w:t>5</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without waiver, modification or amendment of any material terms, conditions or agreements and in compliance with all applicable laws (including, in the case of the Spin-Off, laws relating to insolvency and fraudulent conveyance and to the payment of dividends). You also have advised us, and we have assumed, with your consent, that, for federal income tax purposes, the Spin-Off will qualify as a tax-free distribution and the Merger will be treated as a tax-free reorganization. Our opinion necessarily is based upon information available to us and financial, economic, market and other conditions as they exist and can be evaluated on the date hereof, and we assume no duty to update or revise our opinion based on circumstances or events after the date hereof. Our opinion is directed only to the fairness from a financial point of view of the Exchange Ratio, and as such does not in any respect address AT&amp;T's underlying business decision to effect the Merger or any related transactions or constitute a recommendation concerning how holders of shares of AT&amp;T Common Stock or of AT&amp;T Broadband Common Stock should vote with respect to the Transactions. We also express no opinion herein as to the prices at which the shares of AT&amp;T Broadband Common Stock or of Parent Class A Common Stock, Parent Class A Special Common Stock or Parent Class C Common Stock may trade at any time if and when they are issued and trade publicly.</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Our opinion does not address any aspect of the Merger other than the Exchange Ratio to the extent provided in this opinion, and we express no opinion as to any Preliminary Transaction (including the Spin-Off) or the relative merits of the Transactions as compared to any alternative business transaction that might be available to the Company or to AT&amp;T Broadband.</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Based upon and subject to the foregoing and based upon such other matters as we consider relevant, it is our opinion that as of the date hereof and based on current market conditions the Exchange Ratio pursuant to the Merger Agreement is fair from a financial point of view to the holders of AT&amp;T Broadband Common Stock immediately prior to the Merger (other than Comcast and its affiliates).</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K-5</w:t>
      </w:r>
    </w:p>
    <w:p>
      <w:pPr>
        <w:sectPr>
          <w:pgSz w:w="11900" w:h="16838" w:orient="portrait"/>
          <w:cols w:equalWidth="0" w:num="1">
            <w:col w:w="10219"/>
          </w:cols>
          <w:pgMar w:left="240" w:top="518" w:right="1440" w:bottom="1440" w:gutter="0" w:footer="0" w:header="0"/>
        </w:sectPr>
      </w:pPr>
    </w:p>
    <w:bookmarkStart w:id="578" w:name="page579"/>
    <w:bookmarkEnd w:id="578"/>
    <w:p>
      <w:pPr>
        <w:jc w:val="right"/>
        <w:ind w:right="1839"/>
        <w:spacing w:after="0"/>
        <w:rPr>
          <w:sz w:val="20"/>
          <w:szCs w:val="20"/>
          <w:color w:val="auto"/>
        </w:rPr>
      </w:pPr>
      <w:r>
        <w:rPr>
          <w:rFonts w:ascii="Courier New" w:cs="Courier New" w:eastAsia="Courier New" w:hAnsi="Courier New"/>
          <w:sz w:val="17"/>
          <w:szCs w:val="17"/>
          <w:color w:val="auto"/>
        </w:rPr>
        <w:t>ANNEX L</w:t>
      </w:r>
    </w:p>
    <w:p>
      <w:pPr>
        <w:spacing w:after="0" w:line="210"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INDEX TO FINANCIAL STATEMENTS</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PAGE ----- HISTORICAL FINANCIAL STATEMENTS AT&amp;T CORP.</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At or for the three and nine months ended September</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30, 2001: Unaudited Consolidated Statements of</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Operations........... L-3 Unaudited Consolidated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Balance Sheets..................... L-4 Unaudited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Consolidated Statements of Changes in Shareowners'</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Equity.................................... L-6</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Unaudited Consolidated Statements of Cash</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Flows........... L-8 Notes to Unaudited Consolidated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Financial Statements...... L-9 At or for the year</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ended December 31, 2000: Consolidated Statements of</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Income......................... L-36 Consolidated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Balance Sheets............................... L-37</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Consolidated Statements of Changes in Shareowners'</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Equity.................................................</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L-38 Consolidated Statements of Cash</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Flows..................... L-40 Notes to Consolidated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Financial Statements................ L-41 AT&amp;T</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BROADBAND GROUP At or for the three and nine months</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ended September 30, 2001: Unaudited Combined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Statements of Operations............... L-97 Unaudited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Combined Balance Sheets......................... L-98</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Unaudited Combined Statements of Changes in Combined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Attributed Net</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Assets.................................. L-99</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Unaudited Combined Statements of Cash</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Flows............... L-100 Notes to Unaudited Combined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Financial Statements.......... L-101 At or for the</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year ended December 31, 2000: Combined Statements of</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Operations......................... L-114 Combined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Balance Sheets................................... L-</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115 Combined Statements of Changes in Combined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Attributed Net</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L-116 Combined Statements of Cash</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Flows......................... L-117 Notes to Combined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Financial Statements.................... L-118</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L-1</w:t>
      </w:r>
    </w:p>
    <w:p>
      <w:pPr>
        <w:sectPr>
          <w:pgSz w:w="11900" w:h="16838" w:orient="portrait"/>
          <w:cols w:equalWidth="0" w:num="1">
            <w:col w:w="10219"/>
          </w:cols>
          <w:pgMar w:left="240" w:top="719" w:right="1440" w:bottom="1440" w:gutter="0" w:footer="0" w:header="0"/>
        </w:sectPr>
      </w:pPr>
    </w:p>
    <w:bookmarkStart w:id="579" w:name="page580"/>
    <w:bookmarkEnd w:id="579"/>
    <w:p>
      <w:pPr>
        <w:ind w:left="120"/>
        <w:spacing w:after="0"/>
        <w:rPr>
          <w:sz w:val="20"/>
          <w:szCs w:val="20"/>
          <w:color w:val="auto"/>
        </w:rPr>
      </w:pPr>
      <w:r>
        <w:rPr>
          <w:rFonts w:ascii="Courier New" w:cs="Courier New" w:eastAsia="Courier New" w:hAnsi="Courier New"/>
          <w:sz w:val="17"/>
          <w:szCs w:val="17"/>
          <w:color w:val="auto"/>
        </w:rPr>
        <w:t>PAGE ----- AT&amp;T CONSUMER SERVICES GROUP At or for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80" w:type="dxa"/>
            <w:vAlign w:val="bottom"/>
            <w:gridSpan w:val="3"/>
          </w:tcPr>
          <w:p>
            <w:pPr>
              <w:jc w:val="center"/>
              <w:ind w:left="297"/>
              <w:spacing w:after="0"/>
              <w:rPr>
                <w:sz w:val="20"/>
                <w:szCs w:val="20"/>
                <w:color w:val="auto"/>
              </w:rPr>
            </w:pPr>
            <w:r>
              <w:rPr>
                <w:rFonts w:ascii="Courier New" w:cs="Courier New" w:eastAsia="Courier New" w:hAnsi="Courier New"/>
                <w:sz w:val="17"/>
                <w:szCs w:val="17"/>
                <w:color w:val="auto"/>
              </w:rPr>
              <w:t>three and nine months ended September 30, 2001:</w:t>
            </w:r>
          </w:p>
        </w:tc>
        <w:tc>
          <w:tcPr>
            <w:tcW w:w="34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4160" w:type="dxa"/>
            <w:vAlign w:val="bottom"/>
            <w:gridSpan w:val="2"/>
          </w:tcPr>
          <w:p>
            <w:pPr>
              <w:jc w:val="center"/>
              <w:ind w:right="733"/>
              <w:spacing w:after="0"/>
              <w:rPr>
                <w:sz w:val="20"/>
                <w:szCs w:val="20"/>
                <w:color w:val="auto"/>
              </w:rPr>
            </w:pPr>
            <w:r>
              <w:rPr>
                <w:rFonts w:ascii="Courier New" w:cs="Courier New" w:eastAsia="Courier New" w:hAnsi="Courier New"/>
                <w:sz w:val="17"/>
                <w:szCs w:val="17"/>
                <w:color w:val="auto"/>
              </w:rPr>
              <w:t>Unaudited Combined Statements of</w:t>
            </w:r>
          </w:p>
        </w:tc>
        <w:tc>
          <w:tcPr>
            <w:tcW w:w="340" w:type="dxa"/>
            <w:vAlign w:val="bottom"/>
          </w:tcPr>
          <w:p>
            <w:pPr>
              <w:spacing w:after="0"/>
              <w:rPr>
                <w:sz w:val="17"/>
                <w:szCs w:val="17"/>
                <w:color w:val="auto"/>
              </w:rPr>
            </w:pPr>
          </w:p>
        </w:tc>
      </w:tr>
      <w:tr>
        <w:trPr>
          <w:trHeight w:val="201"/>
        </w:trPr>
        <w:tc>
          <w:tcPr>
            <w:tcW w:w="2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Income...................</w:t>
            </w:r>
          </w:p>
        </w:tc>
        <w:tc>
          <w:tcPr>
            <w:tcW w:w="28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L-154 Unaudited Combined</w:t>
            </w:r>
          </w:p>
        </w:tc>
      </w:tr>
      <w:tr>
        <w:trPr>
          <w:trHeight w:val="201"/>
        </w:trPr>
        <w:tc>
          <w:tcPr>
            <w:tcW w:w="28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0"/>
              </w:rPr>
              <w:t>Balance Sheets.........................</w:t>
            </w:r>
          </w:p>
        </w:tc>
        <w:tc>
          <w:tcPr>
            <w:tcW w:w="2540" w:type="dxa"/>
            <w:vAlign w:val="bottom"/>
          </w:tcPr>
          <w:p>
            <w:pPr>
              <w:ind w:left="1880"/>
              <w:spacing w:after="0"/>
              <w:rPr>
                <w:sz w:val="20"/>
                <w:szCs w:val="20"/>
                <w:color w:val="auto"/>
              </w:rPr>
            </w:pPr>
            <w:r>
              <w:rPr>
                <w:rFonts w:ascii="Courier New" w:cs="Courier New" w:eastAsia="Courier New" w:hAnsi="Courier New"/>
                <w:sz w:val="17"/>
                <w:szCs w:val="17"/>
                <w:color w:val="auto"/>
              </w:rPr>
              <w:t>L-155</w:t>
            </w:r>
          </w:p>
        </w:tc>
        <w:tc>
          <w:tcPr>
            <w:tcW w:w="340" w:type="dxa"/>
            <w:vAlign w:val="bottom"/>
          </w:tcPr>
          <w:p>
            <w:pPr>
              <w:spacing w:after="0"/>
              <w:rPr>
                <w:sz w:val="17"/>
                <w:szCs w:val="17"/>
                <w:color w:val="auto"/>
              </w:rPr>
            </w:pPr>
          </w:p>
        </w:tc>
      </w:tr>
      <w:tr>
        <w:trPr>
          <w:trHeight w:val="201"/>
        </w:trPr>
        <w:tc>
          <w:tcPr>
            <w:tcW w:w="57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Unaudited Combined Statements of Changes in Combined</w:t>
            </w:r>
          </w:p>
        </w:tc>
      </w:tr>
      <w:tr>
        <w:trPr>
          <w:trHeight w:val="201"/>
        </w:trPr>
        <w:tc>
          <w:tcPr>
            <w:tcW w:w="1220" w:type="dxa"/>
            <w:vAlign w:val="bottom"/>
          </w:tcPr>
          <w:p>
            <w:pPr>
              <w:spacing w:after="0"/>
              <w:rPr>
                <w:sz w:val="17"/>
                <w:szCs w:val="17"/>
                <w:color w:val="auto"/>
              </w:rPr>
            </w:pPr>
          </w:p>
        </w:tc>
        <w:tc>
          <w:tcPr>
            <w:tcW w:w="4160" w:type="dxa"/>
            <w:vAlign w:val="bottom"/>
            <w:gridSpan w:val="2"/>
          </w:tcPr>
          <w:p>
            <w:pPr>
              <w:jc w:val="center"/>
              <w:ind w:right="733"/>
              <w:spacing w:after="0"/>
              <w:rPr>
                <w:sz w:val="20"/>
                <w:szCs w:val="20"/>
                <w:color w:val="auto"/>
              </w:rPr>
            </w:pPr>
            <w:r>
              <w:rPr>
                <w:rFonts w:ascii="Courier New" w:cs="Courier New" w:eastAsia="Courier New" w:hAnsi="Courier New"/>
                <w:sz w:val="17"/>
                <w:szCs w:val="17"/>
                <w:color w:val="auto"/>
              </w:rPr>
              <w:t>Attributed Net (Liabilities)</w:t>
            </w:r>
          </w:p>
        </w:tc>
        <w:tc>
          <w:tcPr>
            <w:tcW w:w="340" w:type="dxa"/>
            <w:vAlign w:val="bottom"/>
          </w:tcPr>
          <w:p>
            <w:pPr>
              <w:spacing w:after="0"/>
              <w:rPr>
                <w:sz w:val="17"/>
                <w:szCs w:val="17"/>
                <w:color w:val="auto"/>
              </w:rPr>
            </w:pPr>
          </w:p>
        </w:tc>
      </w:tr>
      <w:tr>
        <w:trPr>
          <w:trHeight w:val="201"/>
        </w:trPr>
        <w:tc>
          <w:tcPr>
            <w:tcW w:w="2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Assets....................</w:t>
            </w:r>
          </w:p>
        </w:tc>
        <w:tc>
          <w:tcPr>
            <w:tcW w:w="28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L-156 Unaudited Combined</w:t>
            </w:r>
          </w:p>
        </w:tc>
      </w:tr>
      <w:tr>
        <w:trPr>
          <w:trHeight w:val="201"/>
        </w:trPr>
        <w:tc>
          <w:tcPr>
            <w:tcW w:w="28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0"/>
              </w:rPr>
              <w:t>Statements of Cash Flows...............</w:t>
            </w:r>
          </w:p>
        </w:tc>
        <w:tc>
          <w:tcPr>
            <w:tcW w:w="2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L-157 Notes to</w:t>
            </w:r>
          </w:p>
        </w:tc>
      </w:tr>
      <w:tr>
        <w:trPr>
          <w:trHeight w:val="201"/>
        </w:trPr>
        <w:tc>
          <w:tcPr>
            <w:tcW w:w="538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Unaudited Combined Financial Statements..........</w:t>
            </w:r>
          </w:p>
        </w:tc>
        <w:tc>
          <w:tcPr>
            <w:tcW w:w="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w:t>
            </w:r>
          </w:p>
        </w:tc>
      </w:tr>
      <w:tr>
        <w:trPr>
          <w:trHeight w:val="201"/>
        </w:trPr>
        <w:tc>
          <w:tcPr>
            <w:tcW w:w="5380" w:type="dxa"/>
            <w:vAlign w:val="bottom"/>
            <w:gridSpan w:val="3"/>
          </w:tcPr>
          <w:p>
            <w:pPr>
              <w:jc w:val="center"/>
              <w:ind w:left="297"/>
              <w:spacing w:after="0"/>
              <w:rPr>
                <w:sz w:val="20"/>
                <w:szCs w:val="20"/>
                <w:color w:val="auto"/>
              </w:rPr>
            </w:pPr>
            <w:r>
              <w:rPr>
                <w:rFonts w:ascii="Courier New" w:cs="Courier New" w:eastAsia="Courier New" w:hAnsi="Courier New"/>
                <w:sz w:val="17"/>
                <w:szCs w:val="17"/>
                <w:color w:val="auto"/>
              </w:rPr>
              <w:t>158 At or for the year ended December 31, 2000:</w:t>
            </w:r>
          </w:p>
        </w:tc>
        <w:tc>
          <w:tcPr>
            <w:tcW w:w="34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4160" w:type="dxa"/>
            <w:vAlign w:val="bottom"/>
            <w:gridSpan w:val="2"/>
          </w:tcPr>
          <w:p>
            <w:pPr>
              <w:jc w:val="center"/>
              <w:ind w:right="733"/>
              <w:spacing w:after="0"/>
              <w:rPr>
                <w:sz w:val="20"/>
                <w:szCs w:val="20"/>
                <w:color w:val="auto"/>
              </w:rPr>
            </w:pPr>
            <w:r>
              <w:rPr>
                <w:rFonts w:ascii="Courier New" w:cs="Courier New" w:eastAsia="Courier New" w:hAnsi="Courier New"/>
                <w:sz w:val="17"/>
                <w:szCs w:val="17"/>
                <w:color w:val="auto"/>
              </w:rPr>
              <w:t>Combined Statements of</w:t>
            </w:r>
          </w:p>
        </w:tc>
        <w:tc>
          <w:tcPr>
            <w:tcW w:w="340" w:type="dxa"/>
            <w:vAlign w:val="bottom"/>
          </w:tcPr>
          <w:p>
            <w:pPr>
              <w:spacing w:after="0"/>
              <w:rPr>
                <w:sz w:val="17"/>
                <w:szCs w:val="17"/>
                <w:color w:val="auto"/>
              </w:rPr>
            </w:pPr>
          </w:p>
        </w:tc>
      </w:tr>
      <w:tr>
        <w:trPr>
          <w:trHeight w:val="201"/>
        </w:trPr>
        <w:tc>
          <w:tcPr>
            <w:tcW w:w="28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Income.............................</w:t>
            </w:r>
          </w:p>
        </w:tc>
        <w:tc>
          <w:tcPr>
            <w:tcW w:w="28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L-165 Combined</w:t>
            </w:r>
          </w:p>
        </w:tc>
      </w:tr>
      <w:tr>
        <w:trPr>
          <w:trHeight w:val="201"/>
        </w:trPr>
        <w:tc>
          <w:tcPr>
            <w:tcW w:w="538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Balance Sheets...................................</w:t>
            </w:r>
          </w:p>
        </w:tc>
        <w:tc>
          <w:tcPr>
            <w:tcW w:w="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w:t>
            </w:r>
          </w:p>
        </w:tc>
      </w:tr>
      <w:tr>
        <w:trPr>
          <w:trHeight w:val="201"/>
        </w:trPr>
        <w:tc>
          <w:tcPr>
            <w:tcW w:w="5380" w:type="dxa"/>
            <w:vAlign w:val="bottom"/>
            <w:gridSpan w:val="3"/>
          </w:tcPr>
          <w:p>
            <w:pPr>
              <w:jc w:val="center"/>
              <w:ind w:left="317"/>
              <w:spacing w:after="0"/>
              <w:rPr>
                <w:sz w:val="20"/>
                <w:szCs w:val="20"/>
                <w:color w:val="auto"/>
              </w:rPr>
            </w:pPr>
            <w:r>
              <w:rPr>
                <w:rFonts w:ascii="Courier New" w:cs="Courier New" w:eastAsia="Courier New" w:hAnsi="Courier New"/>
                <w:sz w:val="17"/>
                <w:szCs w:val="17"/>
                <w:color w:val="auto"/>
              </w:rPr>
              <w:t>166 Combined Statements of Changes in Combined</w:t>
            </w:r>
          </w:p>
        </w:tc>
        <w:tc>
          <w:tcPr>
            <w:tcW w:w="340" w:type="dxa"/>
            <w:vAlign w:val="bottom"/>
          </w:tcPr>
          <w:p>
            <w:pPr>
              <w:spacing w:after="0"/>
              <w:rPr>
                <w:sz w:val="17"/>
                <w:szCs w:val="17"/>
                <w:color w:val="auto"/>
              </w:rPr>
            </w:pPr>
          </w:p>
        </w:tc>
      </w:tr>
      <w:tr>
        <w:trPr>
          <w:trHeight w:val="201"/>
        </w:trPr>
        <w:tc>
          <w:tcPr>
            <w:tcW w:w="1220" w:type="dxa"/>
            <w:vAlign w:val="bottom"/>
          </w:tcPr>
          <w:p>
            <w:pPr>
              <w:spacing w:after="0"/>
              <w:rPr>
                <w:sz w:val="17"/>
                <w:szCs w:val="17"/>
                <w:color w:val="auto"/>
              </w:rPr>
            </w:pPr>
          </w:p>
        </w:tc>
        <w:tc>
          <w:tcPr>
            <w:tcW w:w="4160" w:type="dxa"/>
            <w:vAlign w:val="bottom"/>
            <w:gridSpan w:val="2"/>
          </w:tcPr>
          <w:p>
            <w:pPr>
              <w:jc w:val="center"/>
              <w:ind w:right="733"/>
              <w:spacing w:after="0"/>
              <w:rPr>
                <w:sz w:val="20"/>
                <w:szCs w:val="20"/>
                <w:color w:val="auto"/>
              </w:rPr>
            </w:pPr>
            <w:r>
              <w:rPr>
                <w:rFonts w:ascii="Courier New" w:cs="Courier New" w:eastAsia="Courier New" w:hAnsi="Courier New"/>
                <w:sz w:val="17"/>
                <w:szCs w:val="17"/>
                <w:color w:val="auto"/>
              </w:rPr>
              <w:t>Attributed Net</w:t>
            </w:r>
          </w:p>
        </w:tc>
        <w:tc>
          <w:tcPr>
            <w:tcW w:w="340" w:type="dxa"/>
            <w:vAlign w:val="bottom"/>
          </w:tcPr>
          <w:p>
            <w:pPr>
              <w:spacing w:after="0"/>
              <w:rPr>
                <w:sz w:val="17"/>
                <w:szCs w:val="17"/>
                <w:color w:val="auto"/>
              </w:rPr>
            </w:pPr>
          </w:p>
        </w:tc>
      </w:tr>
      <w:tr>
        <w:trPr>
          <w:trHeight w:val="201"/>
        </w:trPr>
        <w:tc>
          <w:tcPr>
            <w:tcW w:w="28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Assets.................................................</w:t>
            </w: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1"/>
        </w:trPr>
        <w:tc>
          <w:tcPr>
            <w:tcW w:w="5380" w:type="dxa"/>
            <w:vAlign w:val="bottom"/>
            <w:gridSpan w:val="3"/>
          </w:tcPr>
          <w:p>
            <w:pPr>
              <w:jc w:val="center"/>
              <w:ind w:left="317"/>
              <w:spacing w:after="0"/>
              <w:rPr>
                <w:sz w:val="20"/>
                <w:szCs w:val="20"/>
                <w:color w:val="auto"/>
              </w:rPr>
            </w:pPr>
            <w:r>
              <w:rPr>
                <w:rFonts w:ascii="Courier New" w:cs="Courier New" w:eastAsia="Courier New" w:hAnsi="Courier New"/>
                <w:sz w:val="17"/>
                <w:szCs w:val="17"/>
                <w:color w:val="auto"/>
              </w:rPr>
              <w:t>L-167 Combined Statements of Cash</w:t>
            </w:r>
          </w:p>
        </w:tc>
        <w:tc>
          <w:tcPr>
            <w:tcW w:w="340" w:type="dxa"/>
            <w:vAlign w:val="bottom"/>
          </w:tcPr>
          <w:p>
            <w:pPr>
              <w:spacing w:after="0"/>
              <w:rPr>
                <w:sz w:val="17"/>
                <w:szCs w:val="17"/>
                <w:color w:val="auto"/>
              </w:rPr>
            </w:pPr>
          </w:p>
        </w:tc>
      </w:tr>
      <w:tr>
        <w:trPr>
          <w:trHeight w:val="201"/>
        </w:trPr>
        <w:tc>
          <w:tcPr>
            <w:tcW w:w="28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2"/>
              </w:rPr>
              <w:t>Flows.........................</w:t>
            </w:r>
          </w:p>
        </w:tc>
        <w:tc>
          <w:tcPr>
            <w:tcW w:w="2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L-168 Notes to Combined</w:t>
            </w:r>
          </w:p>
        </w:tc>
      </w:tr>
      <w:tr>
        <w:trPr>
          <w:trHeight w:val="201"/>
        </w:trPr>
        <w:tc>
          <w:tcPr>
            <w:tcW w:w="2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Financial Statements....................</w:t>
            </w:r>
          </w:p>
        </w:tc>
        <w:tc>
          <w:tcPr>
            <w:tcW w:w="28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L-169 AT&amp;T</w:t>
            </w:r>
          </w:p>
        </w:tc>
      </w:tr>
      <w:tr>
        <w:trPr>
          <w:trHeight w:val="201"/>
        </w:trPr>
        <w:tc>
          <w:tcPr>
            <w:tcW w:w="5380" w:type="dxa"/>
            <w:vAlign w:val="bottom"/>
            <w:gridSpan w:val="3"/>
          </w:tcPr>
          <w:p>
            <w:pPr>
              <w:jc w:val="center"/>
              <w:ind w:left="317"/>
              <w:spacing w:after="0"/>
              <w:rPr>
                <w:sz w:val="20"/>
                <w:szCs w:val="20"/>
                <w:color w:val="auto"/>
              </w:rPr>
            </w:pPr>
            <w:r>
              <w:rPr>
                <w:rFonts w:ascii="Courier New" w:cs="Courier New" w:eastAsia="Courier New" w:hAnsi="Courier New"/>
                <w:sz w:val="17"/>
                <w:szCs w:val="17"/>
                <w:color w:val="auto"/>
              </w:rPr>
              <w:t>CONSOLIDATING CONDENSED FINANCIAL</w:t>
            </w:r>
          </w:p>
        </w:tc>
        <w:tc>
          <w:tcPr>
            <w:tcW w:w="340" w:type="dxa"/>
            <w:vAlign w:val="bottom"/>
          </w:tcPr>
          <w:p>
            <w:pPr>
              <w:spacing w:after="0"/>
              <w:rPr>
                <w:sz w:val="17"/>
                <w:szCs w:val="17"/>
                <w:color w:val="auto"/>
              </w:rPr>
            </w:pPr>
          </w:p>
        </w:tc>
      </w:tr>
      <w:tr>
        <w:trPr>
          <w:trHeight w:val="201"/>
        </w:trPr>
        <w:tc>
          <w:tcPr>
            <w:tcW w:w="1220" w:type="dxa"/>
            <w:vAlign w:val="bottom"/>
          </w:tcPr>
          <w:p>
            <w:pPr>
              <w:ind w:left="160"/>
              <w:spacing w:after="0"/>
              <w:rPr>
                <w:sz w:val="20"/>
                <w:szCs w:val="20"/>
                <w:color w:val="auto"/>
              </w:rPr>
            </w:pPr>
            <w:r>
              <w:rPr>
                <w:rFonts w:ascii="Courier New" w:cs="Courier New" w:eastAsia="Courier New" w:hAnsi="Courier New"/>
                <w:sz w:val="17"/>
                <w:szCs w:val="17"/>
                <w:color w:val="auto"/>
              </w:rPr>
              <w:t>STATEMENTS</w:t>
            </w:r>
          </w:p>
        </w:tc>
        <w:tc>
          <w:tcPr>
            <w:tcW w:w="45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 L-182 AT&amp;T PRO FORMA FINANCIAL</w:t>
            </w:r>
          </w:p>
        </w:tc>
      </w:tr>
      <w:tr>
        <w:trPr>
          <w:trHeight w:val="201"/>
        </w:trPr>
        <w:tc>
          <w:tcPr>
            <w:tcW w:w="57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STATEMENTS Unaudited Pro Forma Combined Condensed</w:t>
            </w:r>
          </w:p>
        </w:tc>
      </w:tr>
      <w:tr>
        <w:trPr>
          <w:trHeight w:val="201"/>
        </w:trPr>
        <w:tc>
          <w:tcPr>
            <w:tcW w:w="1220" w:type="dxa"/>
            <w:vAlign w:val="bottom"/>
          </w:tcPr>
          <w:p>
            <w:pPr>
              <w:spacing w:after="0"/>
              <w:rPr>
                <w:sz w:val="17"/>
                <w:szCs w:val="17"/>
                <w:color w:val="auto"/>
              </w:rPr>
            </w:pPr>
          </w:p>
        </w:tc>
        <w:tc>
          <w:tcPr>
            <w:tcW w:w="4160" w:type="dxa"/>
            <w:vAlign w:val="bottom"/>
            <w:gridSpan w:val="2"/>
          </w:tcPr>
          <w:p>
            <w:pPr>
              <w:jc w:val="center"/>
              <w:ind w:right="733"/>
              <w:spacing w:after="0"/>
              <w:rPr>
                <w:sz w:val="20"/>
                <w:szCs w:val="20"/>
                <w:color w:val="auto"/>
              </w:rPr>
            </w:pPr>
            <w:r>
              <w:rPr>
                <w:rFonts w:ascii="Courier New" w:cs="Courier New" w:eastAsia="Courier New" w:hAnsi="Courier New"/>
                <w:sz w:val="17"/>
                <w:szCs w:val="17"/>
                <w:color w:val="auto"/>
              </w:rPr>
              <w:t>Financial</w:t>
            </w:r>
          </w:p>
        </w:tc>
        <w:tc>
          <w:tcPr>
            <w:tcW w:w="340" w:type="dxa"/>
            <w:vAlign w:val="bottom"/>
          </w:tcPr>
          <w:p>
            <w:pPr>
              <w:spacing w:after="0"/>
              <w:rPr>
                <w:sz w:val="17"/>
                <w:szCs w:val="17"/>
                <w:color w:val="auto"/>
              </w:rPr>
            </w:pPr>
          </w:p>
        </w:tc>
      </w:tr>
      <w:tr>
        <w:trPr>
          <w:trHeight w:val="201"/>
        </w:trPr>
        <w:tc>
          <w:tcPr>
            <w:tcW w:w="28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Statements.............................................</w:t>
            </w: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1"/>
        </w:trPr>
        <w:tc>
          <w:tcPr>
            <w:tcW w:w="57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L-196 Unaudited Pro Forma Combined Condensed Balance</w:t>
            </w:r>
          </w:p>
        </w:tc>
      </w:tr>
      <w:tr>
        <w:trPr>
          <w:trHeight w:val="201"/>
        </w:trPr>
        <w:tc>
          <w:tcPr>
            <w:tcW w:w="1220" w:type="dxa"/>
            <w:vAlign w:val="bottom"/>
          </w:tcPr>
          <w:p>
            <w:pPr>
              <w:spacing w:after="0"/>
              <w:rPr>
                <w:sz w:val="17"/>
                <w:szCs w:val="17"/>
                <w:color w:val="auto"/>
              </w:rPr>
            </w:pPr>
          </w:p>
        </w:tc>
        <w:tc>
          <w:tcPr>
            <w:tcW w:w="4160" w:type="dxa"/>
            <w:vAlign w:val="bottom"/>
            <w:gridSpan w:val="2"/>
          </w:tcPr>
          <w:p>
            <w:pPr>
              <w:jc w:val="center"/>
              <w:ind w:right="733"/>
              <w:spacing w:after="0"/>
              <w:rPr>
                <w:sz w:val="20"/>
                <w:szCs w:val="20"/>
                <w:color w:val="auto"/>
              </w:rPr>
            </w:pPr>
            <w:r>
              <w:rPr>
                <w:rFonts w:ascii="Courier New" w:cs="Courier New" w:eastAsia="Courier New" w:hAnsi="Courier New"/>
                <w:sz w:val="17"/>
                <w:szCs w:val="17"/>
                <w:color w:val="auto"/>
              </w:rPr>
              <w:t>Sheet at September 30,</w:t>
            </w:r>
          </w:p>
        </w:tc>
        <w:tc>
          <w:tcPr>
            <w:tcW w:w="340" w:type="dxa"/>
            <w:vAlign w:val="bottom"/>
          </w:tcPr>
          <w:p>
            <w:pPr>
              <w:spacing w:after="0"/>
              <w:rPr>
                <w:sz w:val="17"/>
                <w:szCs w:val="17"/>
                <w:color w:val="auto"/>
              </w:rPr>
            </w:pPr>
          </w:p>
        </w:tc>
      </w:tr>
      <w:tr>
        <w:trPr>
          <w:trHeight w:val="201"/>
        </w:trPr>
        <w:tc>
          <w:tcPr>
            <w:tcW w:w="2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2001.....................................</w:t>
            </w:r>
          </w:p>
        </w:tc>
        <w:tc>
          <w:tcPr>
            <w:tcW w:w="2540" w:type="dxa"/>
            <w:vAlign w:val="bottom"/>
          </w:tcPr>
          <w:p>
            <w:pPr>
              <w:ind w:left="1980"/>
              <w:spacing w:after="0"/>
              <w:rPr>
                <w:sz w:val="20"/>
                <w:szCs w:val="20"/>
                <w:color w:val="auto"/>
              </w:rPr>
            </w:pPr>
            <w:r>
              <w:rPr>
                <w:rFonts w:ascii="Courier New" w:cs="Courier New" w:eastAsia="Courier New" w:hAnsi="Courier New"/>
                <w:sz w:val="17"/>
                <w:szCs w:val="17"/>
                <w:color w:val="auto"/>
              </w:rPr>
              <w:t>L-197</w:t>
            </w:r>
          </w:p>
        </w:tc>
        <w:tc>
          <w:tcPr>
            <w:tcW w:w="340" w:type="dxa"/>
            <w:vAlign w:val="bottom"/>
          </w:tcPr>
          <w:p>
            <w:pPr>
              <w:spacing w:after="0"/>
              <w:rPr>
                <w:sz w:val="17"/>
                <w:szCs w:val="17"/>
                <w:color w:val="auto"/>
              </w:rPr>
            </w:pPr>
          </w:p>
        </w:tc>
      </w:tr>
      <w:tr>
        <w:trPr>
          <w:trHeight w:val="201"/>
        </w:trPr>
        <w:tc>
          <w:tcPr>
            <w:tcW w:w="57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Unaudited Pro Forma Combined Condensed Statement of</w:t>
            </w:r>
          </w:p>
        </w:tc>
      </w:tr>
      <w:tr>
        <w:trPr>
          <w:trHeight w:val="201"/>
        </w:trPr>
        <w:tc>
          <w:tcPr>
            <w:tcW w:w="57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Operations for the Nine Months ended September 30,</w:t>
            </w:r>
          </w:p>
        </w:tc>
      </w:tr>
      <w:tr>
        <w:trPr>
          <w:trHeight w:val="201"/>
        </w:trPr>
        <w:tc>
          <w:tcPr>
            <w:tcW w:w="28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2001...................................................</w:t>
            </w: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1"/>
        </w:trPr>
        <w:tc>
          <w:tcPr>
            <w:tcW w:w="57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L-198 Unaudited Pro Forma Combined Condensed Statement</w:t>
            </w:r>
          </w:p>
        </w:tc>
      </w:tr>
      <w:tr>
        <w:trPr>
          <w:trHeight w:val="201"/>
        </w:trPr>
        <w:tc>
          <w:tcPr>
            <w:tcW w:w="5380" w:type="dxa"/>
            <w:vAlign w:val="bottom"/>
            <w:gridSpan w:val="3"/>
          </w:tcPr>
          <w:p>
            <w:pPr>
              <w:jc w:val="center"/>
              <w:ind w:left="317"/>
              <w:spacing w:after="0"/>
              <w:rPr>
                <w:sz w:val="20"/>
                <w:szCs w:val="20"/>
                <w:color w:val="auto"/>
              </w:rPr>
            </w:pPr>
            <w:r>
              <w:rPr>
                <w:rFonts w:ascii="Courier New" w:cs="Courier New" w:eastAsia="Courier New" w:hAnsi="Courier New"/>
                <w:sz w:val="17"/>
                <w:szCs w:val="17"/>
                <w:color w:val="auto"/>
              </w:rPr>
              <w:t>of Income for the Year Ended December 31,</w:t>
            </w:r>
          </w:p>
        </w:tc>
        <w:tc>
          <w:tcPr>
            <w:tcW w:w="340" w:type="dxa"/>
            <w:vAlign w:val="bottom"/>
          </w:tcPr>
          <w:p>
            <w:pPr>
              <w:spacing w:after="0"/>
              <w:rPr>
                <w:sz w:val="17"/>
                <w:szCs w:val="17"/>
                <w:color w:val="auto"/>
              </w:rPr>
            </w:pPr>
          </w:p>
        </w:tc>
      </w:tr>
      <w:tr>
        <w:trPr>
          <w:trHeight w:val="201"/>
        </w:trPr>
        <w:tc>
          <w:tcPr>
            <w:tcW w:w="28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2000...................</w:t>
            </w:r>
          </w:p>
        </w:tc>
        <w:tc>
          <w:tcPr>
            <w:tcW w:w="28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L-199 Unaudited Pro Forma</w:t>
            </w:r>
          </w:p>
        </w:tc>
      </w:tr>
      <w:tr>
        <w:trPr>
          <w:trHeight w:val="201"/>
        </w:trPr>
        <w:tc>
          <w:tcPr>
            <w:tcW w:w="57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Combined Condensed Statement of Income for the Year</w:t>
            </w:r>
          </w:p>
        </w:tc>
      </w:tr>
      <w:tr>
        <w:trPr>
          <w:trHeight w:val="201"/>
        </w:trPr>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Ended December 31, 1999...................</w:t>
            </w:r>
          </w:p>
        </w:tc>
        <w:tc>
          <w:tcPr>
            <w:tcW w:w="2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L-200 Notes</w:t>
            </w:r>
          </w:p>
        </w:tc>
      </w:tr>
      <w:tr>
        <w:trPr>
          <w:trHeight w:val="201"/>
        </w:trPr>
        <w:tc>
          <w:tcPr>
            <w:tcW w:w="57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to Unaudited Pro Forma Combined Condensed Financial</w:t>
            </w:r>
          </w:p>
        </w:tc>
      </w:tr>
      <w:tr>
        <w:trPr>
          <w:trHeight w:val="201"/>
        </w:trPr>
        <w:tc>
          <w:tcPr>
            <w:tcW w:w="28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Statements.............................................</w:t>
            </w: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1"/>
        </w:trPr>
        <w:tc>
          <w:tcPr>
            <w:tcW w:w="57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L-201 AT&amp;T COMCAST CORPORATION BALANCE SHEET Audited</w:t>
            </w:r>
          </w:p>
        </w:tc>
      </w:tr>
      <w:tr>
        <w:trPr>
          <w:trHeight w:val="201"/>
        </w:trPr>
        <w:tc>
          <w:tcPr>
            <w:tcW w:w="57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Balance Sheet of AT&amp;T Comcast Corporation at December</w:t>
            </w:r>
          </w:p>
        </w:tc>
      </w:tr>
      <w:tr>
        <w:trPr>
          <w:trHeight w:val="201"/>
        </w:trPr>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7, 2001.......................................</w:t>
            </w:r>
          </w:p>
        </w:tc>
        <w:tc>
          <w:tcPr>
            <w:tcW w:w="28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L-204</w:t>
            </w:r>
          </w:p>
        </w:tc>
      </w:tr>
      <w:tr>
        <w:trPr>
          <w:trHeight w:val="604"/>
        </w:trPr>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tcPr>
          <w:p>
            <w:pPr>
              <w:ind w:left="1260"/>
              <w:spacing w:after="0"/>
              <w:rPr>
                <w:sz w:val="20"/>
                <w:szCs w:val="20"/>
                <w:color w:val="auto"/>
              </w:rPr>
            </w:pPr>
            <w:r>
              <w:rPr>
                <w:rFonts w:ascii="Courier New" w:cs="Courier New" w:eastAsia="Courier New" w:hAnsi="Courier New"/>
                <w:sz w:val="17"/>
                <w:szCs w:val="17"/>
                <w:color w:val="auto"/>
              </w:rPr>
              <w:t>L-2</w:t>
            </w:r>
          </w:p>
        </w:tc>
        <w:tc>
          <w:tcPr>
            <w:tcW w:w="340" w:type="dxa"/>
            <w:vAlign w:val="bottom"/>
          </w:tcPr>
          <w:p>
            <w:pPr>
              <w:spacing w:after="0"/>
              <w:rPr>
                <w:sz w:val="24"/>
                <w:szCs w:val="24"/>
                <w:color w:val="auto"/>
              </w:rPr>
            </w:pPr>
          </w:p>
        </w:tc>
      </w:tr>
    </w:tbl>
    <w:p>
      <w:pPr>
        <w:sectPr>
          <w:pgSz w:w="11900" w:h="16838" w:orient="portrait"/>
          <w:cols w:equalWidth="0" w:num="1">
            <w:col w:w="10219"/>
          </w:cols>
          <w:pgMar w:left="240" w:top="719" w:right="1440" w:bottom="1440" w:gutter="0" w:footer="0" w:header="0"/>
        </w:sectPr>
      </w:pPr>
    </w:p>
    <w:bookmarkStart w:id="580" w:name="page581"/>
    <w:bookmarkEnd w:id="580"/>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(DOLLARS IN MILLIONS EXCEPT PER SHARE AMOUNTS)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FOR THE THREE FOR THE NINE MONTHS ENDED MONTHS ENDED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SEPTEMBER 30, SEPTEMBER 30, -----------------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---- 2001 2000 2001 2000 -------</w:t>
            </w:r>
          </w:p>
        </w:tc>
        <w:tc>
          <w:tcPr>
            <w:tcW w:w="2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 -------</w:t>
            </w:r>
          </w:p>
        </w:tc>
      </w:tr>
      <w:tr>
        <w:trPr>
          <w:trHeight w:val="201"/>
        </w:trPr>
        <w:tc>
          <w:tcPr>
            <w:tcW w:w="48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9"/>
              </w:rPr>
              <w:t>Revenue.....................................................</w:t>
            </w:r>
          </w:p>
        </w:tc>
        <w:tc>
          <w:tcPr>
            <w:tcW w:w="1360" w:type="dxa"/>
            <w:vAlign w:val="bottom"/>
          </w:tcPr>
          <w:p>
            <w:pPr>
              <w:spacing w:after="0"/>
              <w:rPr>
                <w:sz w:val="17"/>
                <w:szCs w:val="17"/>
                <w:color w:val="auto"/>
              </w:rPr>
            </w:pPr>
          </w:p>
        </w:tc>
      </w:tr>
      <w:tr>
        <w:trPr>
          <w:trHeight w:val="201"/>
        </w:trPr>
        <w:tc>
          <w:tcPr>
            <w:tcW w:w="62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$13,087 $14,176 $39,964 $41,623 Operating Expenses Costs of</w:t>
            </w:r>
          </w:p>
        </w:tc>
      </w:tr>
      <w:tr>
        <w:trPr>
          <w:trHeight w:val="201"/>
        </w:trPr>
        <w:tc>
          <w:tcPr>
            <w:tcW w:w="36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services and products (excluding</w:t>
            </w:r>
          </w:p>
        </w:tc>
        <w:tc>
          <w:tcPr>
            <w:tcW w:w="2560" w:type="dxa"/>
            <w:vAlign w:val="bottom"/>
            <w:gridSpan w:val="2"/>
          </w:tcPr>
          <w:p>
            <w:pPr>
              <w:spacing w:after="0"/>
              <w:rPr>
                <w:sz w:val="20"/>
                <w:szCs w:val="20"/>
                <w:color w:val="auto"/>
              </w:rPr>
            </w:pPr>
            <w:r>
              <w:rPr>
                <w:rFonts w:ascii="Courier New" w:cs="Courier New" w:eastAsia="Courier New" w:hAnsi="Courier New"/>
                <w:sz w:val="17"/>
                <w:szCs w:val="17"/>
                <w:color w:val="auto"/>
              </w:rPr>
              <w:t>depreciation of $1,165,</w:t>
            </w:r>
          </w:p>
        </w:tc>
      </w:tr>
      <w:tr>
        <w:trPr>
          <w:trHeight w:val="201"/>
        </w:trPr>
        <w:tc>
          <w:tcPr>
            <w:tcW w:w="36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$956, $3,533 and $2,927 included</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72"/>
              </w:rPr>
              <w:t>below)...........</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3,476</w:t>
            </w:r>
          </w:p>
        </w:tc>
      </w:tr>
      <w:tr>
        <w:trPr>
          <w:trHeight w:val="201"/>
        </w:trPr>
        <w:tc>
          <w:tcPr>
            <w:tcW w:w="6240" w:type="dxa"/>
            <w:vAlign w:val="bottom"/>
            <w:gridSpan w:val="3"/>
          </w:tcPr>
          <w:p>
            <w:pPr>
              <w:jc w:val="right"/>
              <w:ind w:right="1173"/>
              <w:spacing w:after="0"/>
              <w:rPr>
                <w:sz w:val="20"/>
                <w:szCs w:val="20"/>
                <w:color w:val="auto"/>
              </w:rPr>
            </w:pPr>
            <w:r>
              <w:rPr>
                <w:rFonts w:ascii="Courier New" w:cs="Courier New" w:eastAsia="Courier New" w:hAnsi="Courier New"/>
                <w:sz w:val="17"/>
                <w:szCs w:val="17"/>
                <w:color w:val="auto"/>
              </w:rPr>
              <w:t>3,282 10,458 9,249 Access and other</w:t>
            </w:r>
          </w:p>
        </w:tc>
      </w:tr>
      <w:tr>
        <w:trPr>
          <w:trHeight w:val="201"/>
        </w:trPr>
        <w:tc>
          <w:tcPr>
            <w:tcW w:w="48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connection.................................</w:t>
            </w: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9"/>
              </w:rPr>
              <w:t>3,033 3,147</w:t>
            </w:r>
          </w:p>
        </w:tc>
      </w:tr>
      <w:tr>
        <w:trPr>
          <w:trHeight w:val="201"/>
        </w:trPr>
        <w:tc>
          <w:tcPr>
            <w:tcW w:w="4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9,289 10,180 Selling, general and</w:t>
            </w:r>
          </w:p>
        </w:tc>
        <w:tc>
          <w:tcPr>
            <w:tcW w:w="1360" w:type="dxa"/>
            <w:vAlign w:val="bottom"/>
          </w:tcPr>
          <w:p>
            <w:pPr>
              <w:spacing w:after="0"/>
              <w:rPr>
                <w:sz w:val="17"/>
                <w:szCs w:val="17"/>
                <w:color w:val="auto"/>
              </w:rPr>
            </w:pPr>
          </w:p>
        </w:tc>
      </w:tr>
      <w:tr>
        <w:trPr>
          <w:trHeight w:val="201"/>
        </w:trPr>
        <w:tc>
          <w:tcPr>
            <w:tcW w:w="3680" w:type="dxa"/>
            <w:vAlign w:val="bottom"/>
          </w:tcPr>
          <w:p>
            <w:pPr>
              <w:jc w:val="right"/>
              <w:spacing w:after="0"/>
              <w:rPr>
                <w:sz w:val="20"/>
                <w:szCs w:val="20"/>
                <w:color w:val="auto"/>
              </w:rPr>
            </w:pPr>
            <w:r>
              <w:rPr>
                <w:rFonts w:ascii="Courier New" w:cs="Courier New" w:eastAsia="Courier New" w:hAnsi="Courier New"/>
                <w:sz w:val="17"/>
                <w:szCs w:val="17"/>
                <w:color w:val="auto"/>
                <w:w w:val="91"/>
              </w:rPr>
              <w:t>administrative.........................</w:t>
            </w:r>
          </w:p>
        </w:tc>
        <w:tc>
          <w:tcPr>
            <w:tcW w:w="2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2,540 2,461 8,144</w:t>
            </w:r>
          </w:p>
        </w:tc>
      </w:tr>
      <w:tr>
        <w:trPr>
          <w:trHeight w:val="201"/>
        </w:trPr>
        <w:tc>
          <w:tcPr>
            <w:tcW w:w="36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7,366 Depreciation</w:t>
            </w:r>
          </w:p>
        </w:tc>
        <w:tc>
          <w:tcPr>
            <w:tcW w:w="1200" w:type="dxa"/>
            <w:vAlign w:val="bottom"/>
          </w:tcPr>
          <w:p>
            <w:pPr>
              <w:spacing w:after="0"/>
              <w:rPr>
                <w:sz w:val="20"/>
                <w:szCs w:val="20"/>
                <w:color w:val="auto"/>
              </w:rPr>
            </w:pPr>
            <w:r>
              <w:rPr>
                <w:rFonts w:ascii="Courier New" w:cs="Courier New" w:eastAsia="Courier New" w:hAnsi="Courier New"/>
                <w:sz w:val="17"/>
                <w:szCs w:val="17"/>
                <w:color w:val="auto"/>
              </w:rPr>
              <w:t>and other</w:t>
            </w:r>
          </w:p>
        </w:tc>
        <w:tc>
          <w:tcPr>
            <w:tcW w:w="1360" w:type="dxa"/>
            <w:vAlign w:val="bottom"/>
          </w:tcPr>
          <w:p>
            <w:pPr>
              <w:spacing w:after="0"/>
              <w:rPr>
                <w:sz w:val="17"/>
                <w:szCs w:val="17"/>
                <w:color w:val="auto"/>
              </w:rPr>
            </w:pPr>
          </w:p>
        </w:tc>
      </w:tr>
      <w:tr>
        <w:trPr>
          <w:trHeight w:val="201"/>
        </w:trPr>
        <w:tc>
          <w:tcPr>
            <w:tcW w:w="3680" w:type="dxa"/>
            <w:vAlign w:val="bottom"/>
          </w:tcPr>
          <w:p>
            <w:pPr>
              <w:jc w:val="right"/>
              <w:spacing w:after="0"/>
              <w:rPr>
                <w:sz w:val="20"/>
                <w:szCs w:val="20"/>
                <w:color w:val="auto"/>
              </w:rPr>
            </w:pPr>
            <w:r>
              <w:rPr>
                <w:rFonts w:ascii="Courier New" w:cs="Courier New" w:eastAsia="Courier New" w:hAnsi="Courier New"/>
                <w:sz w:val="17"/>
                <w:szCs w:val="17"/>
                <w:color w:val="auto"/>
                <w:w w:val="96"/>
              </w:rPr>
              <w:t>amortization.........................</w:t>
            </w:r>
          </w:p>
        </w:tc>
        <w:tc>
          <w:tcPr>
            <w:tcW w:w="25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1,682 1,568 5,116</w:t>
            </w:r>
          </w:p>
        </w:tc>
      </w:tr>
    </w:tbl>
    <w:p>
      <w:pPr>
        <w:spacing w:after="0" w:line="4" w:lineRule="exact"/>
        <w:rPr>
          <w:sz w:val="20"/>
          <w:szCs w:val="20"/>
          <w:color w:val="auto"/>
        </w:rPr>
      </w:pPr>
    </w:p>
    <w:p>
      <w:pPr>
        <w:jc w:val="both"/>
        <w:ind w:left="120" w:right="4039" w:firstLine="52"/>
        <w:spacing w:after="0" w:line="251" w:lineRule="auto"/>
        <w:rPr>
          <w:sz w:val="20"/>
          <w:szCs w:val="20"/>
          <w:color w:val="auto"/>
        </w:rPr>
      </w:pPr>
      <w:r>
        <w:rPr>
          <w:rFonts w:ascii="Courier New" w:cs="Courier New" w:eastAsia="Courier New" w:hAnsi="Courier New"/>
          <w:sz w:val="17"/>
          <w:szCs w:val="17"/>
          <w:color w:val="auto"/>
        </w:rPr>
        <w:t>4,204 Amortization of goodwill, franchise costs and other purchased intangibles.....................................</w:t>
      </w:r>
    </w:p>
    <w:p>
      <w:pPr>
        <w:jc w:val="center"/>
        <w:ind w:right="3919"/>
        <w:spacing w:after="0"/>
        <w:rPr>
          <w:sz w:val="20"/>
          <w:szCs w:val="20"/>
          <w:color w:val="auto"/>
        </w:rPr>
      </w:pPr>
      <w:r>
        <w:rPr>
          <w:rFonts w:ascii="Courier New" w:cs="Courier New" w:eastAsia="Courier New" w:hAnsi="Courier New"/>
          <w:sz w:val="17"/>
          <w:szCs w:val="17"/>
          <w:color w:val="auto"/>
        </w:rPr>
        <w:t>592 787 1,920 1,433 Net restructuring and other</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charges......................... 399 24 1,494 797 Total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operating expenses....................................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11,722 11,269 36,421 33,229 Operating</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income............................................ 1,365</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2,907 3,543 8,394 Other (expense)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income...................................... (4,966) 365</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(7,195) 1,358 Interest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expense............................................ 786 896</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2,426 2,000 (Loss) income from continuing operations before</w:t>
      </w:r>
    </w:p>
    <w:p>
      <w:pPr>
        <w:spacing w:after="0" w:line="9" w:lineRule="exact"/>
        <w:rPr>
          <w:sz w:val="20"/>
          <w:szCs w:val="20"/>
          <w:color w:val="auto"/>
        </w:rPr>
      </w:pPr>
    </w:p>
    <w:p>
      <w:pPr>
        <w:ind w:left="320" w:right="4199" w:hanging="51"/>
        <w:spacing w:after="0" w:line="251" w:lineRule="auto"/>
        <w:rPr>
          <w:sz w:val="20"/>
          <w:szCs w:val="20"/>
          <w:color w:val="auto"/>
        </w:rPr>
      </w:pPr>
      <w:r>
        <w:rPr>
          <w:rFonts w:ascii="Courier New" w:cs="Courier New" w:eastAsia="Courier New" w:hAnsi="Courier New"/>
          <w:sz w:val="17"/>
          <w:szCs w:val="17"/>
          <w:color w:val="auto"/>
        </w:rPr>
        <w:t>income taxes, minority interest, (losses) earnings from equity investments and cumulative effect of accounting</w:t>
      </w:r>
    </w:p>
    <w:p>
      <w:pPr>
        <w:jc w:val="center"/>
        <w:ind w:right="3919"/>
        <w:spacing w:after="0" w:line="251" w:lineRule="auto"/>
        <w:rPr>
          <w:sz w:val="20"/>
          <w:szCs w:val="20"/>
          <w:color w:val="auto"/>
        </w:rPr>
      </w:pPr>
      <w:r>
        <w:rPr>
          <w:rFonts w:ascii="Courier New" w:cs="Courier New" w:eastAsia="Courier New" w:hAnsi="Courier New"/>
          <w:sz w:val="17"/>
          <w:szCs w:val="17"/>
          <w:color w:val="auto"/>
        </w:rPr>
        <w:t>change.... (4,387) 2,376 (6,078) 7,752 (Benefit) provision for income taxes........................ (2,092) 939 (2,746) 2,532 Minority interest income.................................... 177 103 1,015 11 Equity earnings (losses) from Liberty Media Group........... 111 1,756 (2,711) 2,965 Net losses from other equity investments.................... 88 222 423 615</w:t>
      </w:r>
    </w:p>
    <w:p>
      <w:pPr>
        <w:jc w:val="both"/>
        <w:ind w:left="120" w:right="4039"/>
        <w:spacing w:after="0" w:line="251" w:lineRule="auto"/>
        <w:rPr>
          <w:sz w:val="20"/>
          <w:szCs w:val="20"/>
          <w:color w:val="auto"/>
        </w:rPr>
      </w:pPr>
      <w:r>
        <w:rPr>
          <w:rFonts w:ascii="Courier New" w:cs="Courier New" w:eastAsia="Courier New" w:hAnsi="Courier New"/>
          <w:sz w:val="17"/>
          <w:szCs w:val="17"/>
          <w:color w:val="auto"/>
        </w:rPr>
        <w:t>(Loss) income from continuing operations before cumulative effect of accounting change...............................</w:t>
      </w:r>
    </w:p>
    <w:p>
      <w:pPr>
        <w:jc w:val="center"/>
        <w:ind w:right="3919"/>
        <w:spacing w:after="0"/>
        <w:rPr>
          <w:sz w:val="20"/>
          <w:szCs w:val="20"/>
          <w:color w:val="auto"/>
        </w:rPr>
      </w:pPr>
      <w:r>
        <w:rPr>
          <w:rFonts w:ascii="Courier New" w:cs="Courier New" w:eastAsia="Courier New" w:hAnsi="Courier New"/>
          <w:sz w:val="17"/>
          <w:szCs w:val="17"/>
          <w:color w:val="auto"/>
        </w:rPr>
        <w:t>(2,095) 3,074 (5,451) 7,581 (Loss) income from discontinued</w:t>
      </w:r>
    </w:p>
    <w:p>
      <w:pPr>
        <w:spacing w:after="0" w:line="9" w:lineRule="exact"/>
        <w:rPr>
          <w:sz w:val="20"/>
          <w:szCs w:val="20"/>
          <w:color w:val="auto"/>
        </w:rPr>
      </w:pPr>
    </w:p>
    <w:p>
      <w:pPr>
        <w:jc w:val="center"/>
        <w:ind w:right="3919"/>
        <w:spacing w:after="0" w:line="251" w:lineRule="auto"/>
        <w:rPr>
          <w:sz w:val="20"/>
          <w:szCs w:val="20"/>
          <w:color w:val="auto"/>
        </w:rPr>
      </w:pPr>
      <w:r>
        <w:rPr>
          <w:rFonts w:ascii="Courier New" w:cs="Courier New" w:eastAsia="Courier New" w:hAnsi="Courier New"/>
          <w:sz w:val="17"/>
          <w:szCs w:val="17"/>
          <w:color w:val="auto"/>
        </w:rPr>
        <w:t>operations (net of income taxes of $--, $14, $158 and $113)......................... -- (2) 150 208 Gain on disposition of discontinued operations.............. 13,503 -- 13,503 -- Income before cumulative effect of accounting</w:t>
      </w:r>
    </w:p>
    <w:p>
      <w:pPr>
        <w:jc w:val="center"/>
        <w:ind w:right="3919"/>
        <w:spacing w:after="0" w:line="251" w:lineRule="auto"/>
        <w:rPr>
          <w:sz w:val="20"/>
          <w:szCs w:val="20"/>
          <w:color w:val="auto"/>
        </w:rPr>
      </w:pPr>
      <w:r>
        <w:rPr>
          <w:rFonts w:ascii="Courier New" w:cs="Courier New" w:eastAsia="Courier New" w:hAnsi="Courier New"/>
          <w:sz w:val="17"/>
          <w:szCs w:val="17"/>
          <w:color w:val="auto"/>
        </w:rPr>
        <w:t>change........ 11,408 3,072 8,202 7,789 Cumulative effect of accounting change -- (net of income taxes of $578)............................................ -- -- 904 -- Net</w:t>
      </w:r>
    </w:p>
    <w:p>
      <w:pPr>
        <w:ind w:left="220"/>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11,408 3,072 9,106 7,789 Dividend requirements of preferred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stock.................... 235 -- 652 -- Premium on Wireless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tracking stock exchange................. -- -- 80 -- Net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income available to common shareowners..................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$11,173 $ 3,072 $ 8,374 $ 7,789 AT&amp;T Common Stock Group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per basic share: (Loss) earnings -- continuing</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operations.................... $ (0.69) $ 0.35 $ (0.94)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1.35 Earnings -- discontinued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operations......................... -- -- 0.03 0.06 Gain 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disposition of discontinued operations.............. 3.82 -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- 3.67 -- Cumulative effect of accounting</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change...................... -- -- 0.10 -- AT&amp;T Common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Stock Group earnings............................ $ 3.13 $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0.35 $ 2.86 $ 1.41 AT&amp;T Common Stock Group -- per diluted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share: (Loss) earnings -- continuing</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880" w:type="dxa"/>
            <w:vAlign w:val="bottom"/>
          </w:tcPr>
          <w:p>
            <w:pPr>
              <w:jc w:val="right"/>
              <w:spacing w:after="0"/>
              <w:rPr>
                <w:sz w:val="20"/>
                <w:szCs w:val="20"/>
                <w:color w:val="auto"/>
              </w:rPr>
            </w:pPr>
            <w:r>
              <w:rPr>
                <w:rFonts w:ascii="Courier New" w:cs="Courier New" w:eastAsia="Courier New" w:hAnsi="Courier New"/>
                <w:sz w:val="17"/>
                <w:szCs w:val="17"/>
                <w:color w:val="auto"/>
                <w:w w:val="93"/>
              </w:rPr>
              <w:t>operations....................</w:t>
            </w:r>
          </w:p>
        </w:tc>
        <w:tc>
          <w:tcPr>
            <w:tcW w:w="2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(0.69) $ 0.35</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(0.94) $</w:t>
            </w:r>
          </w:p>
        </w:tc>
      </w:tr>
      <w:tr>
        <w:trPr>
          <w:trHeight w:val="201"/>
        </w:trPr>
        <w:tc>
          <w:tcPr>
            <w:tcW w:w="50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1.34 Earnings -- discontinued</w:t>
            </w:r>
          </w:p>
        </w:tc>
        <w:tc>
          <w:tcPr>
            <w:tcW w:w="1160" w:type="dxa"/>
            <w:vAlign w:val="bottom"/>
          </w:tcPr>
          <w:p>
            <w:pPr>
              <w:spacing w:after="0"/>
              <w:rPr>
                <w:sz w:val="17"/>
                <w:szCs w:val="17"/>
                <w:color w:val="auto"/>
              </w:rPr>
            </w:pPr>
          </w:p>
        </w:tc>
      </w:tr>
      <w:tr>
        <w:trPr>
          <w:trHeight w:val="201"/>
        </w:trPr>
        <w:tc>
          <w:tcPr>
            <w:tcW w:w="2880" w:type="dxa"/>
            <w:vAlign w:val="bottom"/>
          </w:tcPr>
          <w:p>
            <w:pPr>
              <w:jc w:val="right"/>
              <w:spacing w:after="0"/>
              <w:rPr>
                <w:sz w:val="20"/>
                <w:szCs w:val="20"/>
                <w:color w:val="auto"/>
              </w:rPr>
            </w:pPr>
            <w:r>
              <w:rPr>
                <w:rFonts w:ascii="Courier New" w:cs="Courier New" w:eastAsia="Courier New" w:hAnsi="Courier New"/>
                <w:sz w:val="17"/>
                <w:szCs w:val="17"/>
                <w:color w:val="auto"/>
                <w:w w:val="80"/>
              </w:rPr>
              <w:t>operations.........................</w:t>
            </w:r>
          </w:p>
        </w:tc>
        <w:tc>
          <w:tcPr>
            <w:tcW w:w="3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-- 0.03 0.06 Gain on</w:t>
            </w:r>
          </w:p>
        </w:tc>
      </w:tr>
      <w:tr>
        <w:trPr>
          <w:trHeight w:val="201"/>
        </w:trPr>
        <w:tc>
          <w:tcPr>
            <w:tcW w:w="50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4"/>
              </w:rPr>
              <w:t>disposition of discontinued operations..............</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3.82 -</w:t>
            </w:r>
          </w:p>
        </w:tc>
      </w:tr>
      <w:tr>
        <w:trPr>
          <w:trHeight w:val="201"/>
        </w:trPr>
        <w:tc>
          <w:tcPr>
            <w:tcW w:w="6180" w:type="dxa"/>
            <w:vAlign w:val="bottom"/>
            <w:gridSpan w:val="3"/>
          </w:tcPr>
          <w:p>
            <w:pPr>
              <w:jc w:val="right"/>
              <w:ind w:right="853"/>
              <w:spacing w:after="0"/>
              <w:rPr>
                <w:sz w:val="20"/>
                <w:szCs w:val="20"/>
                <w:color w:val="auto"/>
              </w:rPr>
            </w:pPr>
            <w:r>
              <w:rPr>
                <w:rFonts w:ascii="Courier New" w:cs="Courier New" w:eastAsia="Courier New" w:hAnsi="Courier New"/>
                <w:sz w:val="17"/>
                <w:szCs w:val="17"/>
                <w:color w:val="auto"/>
              </w:rPr>
              <w:t>- 3.67 -- Cumulative effect of accounting</w:t>
            </w:r>
          </w:p>
        </w:tc>
      </w:tr>
      <w:tr>
        <w:trPr>
          <w:trHeight w:val="201"/>
        </w:trPr>
        <w:tc>
          <w:tcPr>
            <w:tcW w:w="2880" w:type="dxa"/>
            <w:vAlign w:val="bottom"/>
          </w:tcPr>
          <w:p>
            <w:pPr>
              <w:jc w:val="right"/>
              <w:spacing w:after="0"/>
              <w:rPr>
                <w:sz w:val="20"/>
                <w:szCs w:val="20"/>
                <w:color w:val="auto"/>
              </w:rPr>
            </w:pPr>
            <w:r>
              <w:rPr>
                <w:rFonts w:ascii="Courier New" w:cs="Courier New" w:eastAsia="Courier New" w:hAnsi="Courier New"/>
                <w:sz w:val="17"/>
                <w:szCs w:val="17"/>
                <w:color w:val="auto"/>
              </w:rPr>
              <w:t>change......................</w:t>
            </w:r>
          </w:p>
        </w:tc>
        <w:tc>
          <w:tcPr>
            <w:tcW w:w="33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 -- 0.10 -- AT&amp;T Common</w:t>
            </w:r>
          </w:p>
        </w:tc>
      </w:tr>
      <w:tr>
        <w:trPr>
          <w:trHeight w:val="201"/>
        </w:trPr>
        <w:tc>
          <w:tcPr>
            <w:tcW w:w="5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Stock Group earnings............................</w:t>
            </w: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$ 3.13 $</w:t>
            </w:r>
          </w:p>
        </w:tc>
      </w:tr>
      <w:tr>
        <w:trPr>
          <w:trHeight w:val="201"/>
        </w:trPr>
        <w:tc>
          <w:tcPr>
            <w:tcW w:w="2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0.35 $ 2.86</w:t>
            </w:r>
          </w:p>
        </w:tc>
        <w:tc>
          <w:tcPr>
            <w:tcW w:w="2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$ 1.40 Dividends</w:t>
            </w:r>
          </w:p>
        </w:tc>
        <w:tc>
          <w:tcPr>
            <w:tcW w:w="1160" w:type="dxa"/>
            <w:vAlign w:val="bottom"/>
          </w:tcPr>
          <w:p>
            <w:pPr>
              <w:spacing w:after="0"/>
              <w:rPr>
                <w:sz w:val="17"/>
                <w:szCs w:val="17"/>
                <w:color w:val="auto"/>
              </w:rPr>
            </w:pPr>
          </w:p>
        </w:tc>
      </w:tr>
      <w:tr>
        <w:trPr>
          <w:trHeight w:val="201"/>
        </w:trPr>
        <w:tc>
          <w:tcPr>
            <w:tcW w:w="50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declared..........................................</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$0.0375</w:t>
            </w:r>
          </w:p>
        </w:tc>
      </w:tr>
    </w:tbl>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$ 0.22 $0.1125 $ 0.66 AT&amp;T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Wireless</w:t>
            </w: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Group --</w:t>
            </w: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per basic and</w:t>
            </w:r>
          </w:p>
        </w:tc>
      </w:tr>
      <w:tr>
        <w:trPr>
          <w:trHeight w:val="201"/>
        </w:trPr>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diluted</w:t>
            </w:r>
          </w:p>
        </w:tc>
        <w:tc>
          <w:tcPr>
            <w:tcW w:w="1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share: (Loss)</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earnings</w:t>
            </w:r>
          </w:p>
        </w:tc>
        <w:tc>
          <w:tcPr>
            <w:tcW w:w="23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from discontinued</w:t>
            </w:r>
          </w:p>
        </w:tc>
      </w:tr>
      <w:tr>
        <w:trPr>
          <w:trHeight w:val="201"/>
        </w:trPr>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operations</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 $</w:t>
            </w: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(0.01) $</w:t>
            </w: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0.08 $ 0.05</w:t>
            </w:r>
          </w:p>
        </w:tc>
      </w:tr>
    </w:tbl>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Liberty Media Group -- per basic and diluted share:</w:t>
      </w:r>
    </w:p>
    <w:p>
      <w:pPr>
        <w:sectPr>
          <w:pgSz w:w="11900" w:h="16838" w:orient="portrait"/>
          <w:cols w:equalWidth="0" w:num="1">
            <w:col w:w="10219"/>
          </w:cols>
          <w:pgMar w:left="240" w:top="719" w:right="1440" w:bottom="0" w:gutter="0" w:footer="0" w:header="0"/>
        </w:sectPr>
      </w:pPr>
    </w:p>
    <w:bookmarkStart w:id="581" w:name="page582"/>
    <w:bookmarkEnd w:id="581"/>
    <w:p>
      <w:pPr>
        <w:ind w:left="40"/>
        <w:spacing w:after="0"/>
        <w:rPr>
          <w:sz w:val="20"/>
          <w:szCs w:val="20"/>
          <w:color w:val="auto"/>
        </w:rPr>
      </w:pPr>
      <w:r>
        <w:rPr>
          <w:rFonts w:ascii="Courier New" w:cs="Courier New" w:eastAsia="Courier New" w:hAnsi="Courier New"/>
          <w:sz w:val="17"/>
          <w:szCs w:val="17"/>
          <w:color w:val="auto"/>
        </w:rPr>
        <w:t>Earnings (loss) -- before cumulative effect of accounting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change....................................................</w:t>
            </w: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1140" w:type="dxa"/>
            <w:vAlign w:val="bottom"/>
          </w:tcPr>
          <w:p>
            <w:pPr>
              <w:jc w:val="right"/>
              <w:ind w:right="21"/>
              <w:spacing w:after="0"/>
              <w:rPr>
                <w:sz w:val="20"/>
                <w:szCs w:val="20"/>
                <w:color w:val="auto"/>
              </w:rPr>
            </w:pPr>
            <w:r>
              <w:rPr>
                <w:rFonts w:ascii="Courier New" w:cs="Courier New" w:eastAsia="Courier New" w:hAnsi="Courier New"/>
                <w:sz w:val="17"/>
                <w:szCs w:val="17"/>
                <w:color w:val="auto"/>
              </w:rPr>
              <w:t>$ 0.04</w:t>
            </w:r>
          </w:p>
        </w:tc>
        <w:tc>
          <w:tcPr>
            <w:tcW w:w="1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$ 0.68 $ (1.05)</w:t>
            </w:r>
          </w:p>
        </w:tc>
        <w:tc>
          <w:tcPr>
            <w:tcW w:w="3020" w:type="dxa"/>
            <w:vAlign w:val="bottom"/>
          </w:tcPr>
          <w:p>
            <w:pPr>
              <w:spacing w:after="0"/>
              <w:rPr>
                <w:sz w:val="20"/>
                <w:szCs w:val="20"/>
                <w:color w:val="auto"/>
              </w:rPr>
            </w:pPr>
            <w:r>
              <w:rPr>
                <w:rFonts w:ascii="Courier New" w:cs="Courier New" w:eastAsia="Courier New" w:hAnsi="Courier New"/>
                <w:sz w:val="17"/>
                <w:szCs w:val="17"/>
                <w:color w:val="auto"/>
              </w:rPr>
              <w:t>$ 1.15 Cumulative effect of</w:t>
            </w:r>
          </w:p>
        </w:tc>
        <w:tc>
          <w:tcPr>
            <w:tcW w:w="120" w:type="dxa"/>
            <w:vAlign w:val="bottom"/>
          </w:tcPr>
          <w:p>
            <w:pPr>
              <w:spacing w:after="0"/>
              <w:rPr>
                <w:sz w:val="17"/>
                <w:szCs w:val="17"/>
                <w:color w:val="auto"/>
              </w:rPr>
            </w:pPr>
          </w:p>
        </w:tc>
      </w:tr>
      <w:tr>
        <w:trPr>
          <w:trHeight w:val="201"/>
        </w:trPr>
        <w:tc>
          <w:tcPr>
            <w:tcW w:w="2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0"/>
              </w:rPr>
              <w:t>accounting change......................</w:t>
            </w:r>
          </w:p>
        </w:tc>
        <w:tc>
          <w:tcPr>
            <w:tcW w:w="3020" w:type="dxa"/>
            <w:vAlign w:val="bottom"/>
          </w:tcPr>
          <w:p>
            <w:pPr>
              <w:jc w:val="right"/>
              <w:spacing w:after="0"/>
              <w:rPr>
                <w:sz w:val="20"/>
                <w:szCs w:val="20"/>
                <w:color w:val="auto"/>
              </w:rPr>
            </w:pPr>
            <w:r>
              <w:rPr>
                <w:rFonts w:ascii="Courier New" w:cs="Courier New" w:eastAsia="Courier New" w:hAnsi="Courier New"/>
                <w:sz w:val="17"/>
                <w:szCs w:val="17"/>
                <w:color w:val="auto"/>
              </w:rPr>
              <w:t>-- -- 0.21 --</w:t>
            </w:r>
          </w:p>
        </w:tc>
        <w:tc>
          <w:tcPr>
            <w:tcW w:w="120" w:type="dxa"/>
            <w:vAlign w:val="bottom"/>
          </w:tcPr>
          <w:p>
            <w:pPr>
              <w:spacing w:after="0"/>
              <w:rPr>
                <w:sz w:val="17"/>
                <w:szCs w:val="17"/>
                <w:color w:val="auto"/>
              </w:rPr>
            </w:pPr>
          </w:p>
        </w:tc>
      </w:tr>
      <w:tr>
        <w:trPr>
          <w:trHeight w:val="201"/>
        </w:trPr>
        <w:tc>
          <w:tcPr>
            <w:tcW w:w="1140" w:type="dxa"/>
            <w:vAlign w:val="bottom"/>
          </w:tcPr>
          <w:p>
            <w:pPr>
              <w:spacing w:after="0"/>
              <w:rPr>
                <w:sz w:val="17"/>
                <w:szCs w:val="17"/>
                <w:color w:val="auto"/>
              </w:rPr>
            </w:pPr>
          </w:p>
        </w:tc>
        <w:tc>
          <w:tcPr>
            <w:tcW w:w="4700" w:type="dxa"/>
            <w:vAlign w:val="bottom"/>
            <w:gridSpan w:val="2"/>
          </w:tcPr>
          <w:p>
            <w:pPr>
              <w:jc w:val="right"/>
              <w:ind w:right="1253"/>
              <w:spacing w:after="0"/>
              <w:rPr>
                <w:sz w:val="20"/>
                <w:szCs w:val="20"/>
                <w:color w:val="auto"/>
              </w:rPr>
            </w:pPr>
            <w:r>
              <w:rPr>
                <w:rFonts w:ascii="Courier New" w:cs="Courier New" w:eastAsia="Courier New" w:hAnsi="Courier New"/>
                <w:sz w:val="17"/>
                <w:szCs w:val="17"/>
                <w:color w:val="auto"/>
              </w:rPr>
              <w:t>Liberty Media Group earnings</w:t>
            </w:r>
          </w:p>
        </w:tc>
        <w:tc>
          <w:tcPr>
            <w:tcW w:w="120" w:type="dxa"/>
            <w:vAlign w:val="bottom"/>
          </w:tcPr>
          <w:p>
            <w:pPr>
              <w:spacing w:after="0"/>
              <w:rPr>
                <w:sz w:val="17"/>
                <w:szCs w:val="17"/>
                <w:color w:val="auto"/>
              </w:rPr>
            </w:pPr>
          </w:p>
        </w:tc>
      </w:tr>
      <w:tr>
        <w:trPr>
          <w:trHeight w:val="201"/>
        </w:trPr>
        <w:tc>
          <w:tcPr>
            <w:tcW w:w="2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8"/>
              </w:rPr>
              <w:t>(loss).........................</w:t>
            </w:r>
          </w:p>
        </w:tc>
        <w:tc>
          <w:tcPr>
            <w:tcW w:w="3020" w:type="dxa"/>
            <w:vAlign w:val="bottom"/>
          </w:tcPr>
          <w:p>
            <w:pPr>
              <w:jc w:val="right"/>
              <w:spacing w:after="0"/>
              <w:rPr>
                <w:sz w:val="20"/>
                <w:szCs w:val="20"/>
                <w:color w:val="auto"/>
              </w:rPr>
            </w:pPr>
            <w:r>
              <w:rPr>
                <w:rFonts w:ascii="Courier New" w:cs="Courier New" w:eastAsia="Courier New" w:hAnsi="Courier New"/>
                <w:sz w:val="17"/>
                <w:szCs w:val="17"/>
                <w:color w:val="auto"/>
              </w:rPr>
              <w:t>$ 0.04 $ 0.68 $ (0.84)</w:t>
            </w:r>
          </w:p>
        </w:tc>
        <w:tc>
          <w:tcPr>
            <w:tcW w:w="1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201"/>
        </w:trPr>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Courier New" w:cs="Courier New" w:eastAsia="Courier New" w:hAnsi="Courier New"/>
                <w:sz w:val="17"/>
                <w:szCs w:val="17"/>
                <w:color w:val="auto"/>
              </w:rPr>
              <w:t>1.15</w:t>
            </w:r>
          </w:p>
        </w:tc>
        <w:tc>
          <w:tcPr>
            <w:tcW w:w="12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L-3</w:t>
      </w:r>
    </w:p>
    <w:p>
      <w:pPr>
        <w:sectPr>
          <w:pgSz w:w="11900" w:h="16838" w:orient="portrait"/>
          <w:cols w:equalWidth="0" w:num="1">
            <w:col w:w="10099"/>
          </w:cols>
          <w:pgMar w:left="360" w:top="142" w:right="1440" w:bottom="1440" w:gutter="0" w:footer="0" w:header="0"/>
        </w:sectPr>
      </w:pPr>
    </w:p>
    <w:bookmarkStart w:id="582" w:name="page583"/>
    <w:bookmarkEnd w:id="582"/>
    <w:tbl>
      <w:tblPr>
        <w:tblLayout w:type="fixed"/>
        <w:tblInd w:w="0" w:type="dxa"/>
        <w:tblCellMar>
          <w:top w:w="0" w:type="dxa"/>
          <w:left w:w="0" w:type="dxa"/>
          <w:bottom w:w="0" w:type="dxa"/>
          <w:right w:w="0" w:type="dxa"/>
        </w:tblCellMar>
      </w:tblPr>
      <w:tr>
        <w:trPr>
          <w:trHeight w:val="197"/>
        </w:trPr>
        <w:tc>
          <w:tcPr>
            <w:tcW w:w="2460" w:type="dxa"/>
            <w:vAlign w:val="bottom"/>
          </w:tcPr>
          <w:p>
            <w:pPr>
              <w:spacing w:after="0"/>
              <w:rPr>
                <w:sz w:val="17"/>
                <w:szCs w:val="17"/>
                <w:color w:val="auto"/>
              </w:rPr>
            </w:pPr>
          </w:p>
        </w:tc>
        <w:tc>
          <w:tcPr>
            <w:tcW w:w="3360" w:type="dxa"/>
            <w:vAlign w:val="bottom"/>
          </w:tcPr>
          <w:p>
            <w:pPr>
              <w:jc w:val="center"/>
              <w:spacing w:after="0"/>
              <w:rPr>
                <w:sz w:val="20"/>
                <w:szCs w:val="20"/>
                <w:color w:val="auto"/>
              </w:rPr>
            </w:pPr>
            <w:r>
              <w:rPr>
                <w:rFonts w:ascii="Courier New" w:cs="Courier New" w:eastAsia="Courier New" w:hAnsi="Courier New"/>
                <w:sz w:val="17"/>
                <w:szCs w:val="17"/>
                <w:color w:val="auto"/>
              </w:rPr>
              <w:t>AT&amp;T CORP. AND SUBSIDIARIES</w:t>
            </w:r>
          </w:p>
        </w:tc>
        <w:tc>
          <w:tcPr>
            <w:tcW w:w="420" w:type="dxa"/>
            <w:vAlign w:val="bottom"/>
          </w:tcPr>
          <w:p>
            <w:pPr>
              <w:spacing w:after="0"/>
              <w:rPr>
                <w:sz w:val="17"/>
                <w:szCs w:val="17"/>
                <w:color w:val="auto"/>
              </w:rPr>
            </w:pPr>
          </w:p>
        </w:tc>
      </w:tr>
      <w:tr>
        <w:trPr>
          <w:trHeight w:val="403"/>
        </w:trPr>
        <w:tc>
          <w:tcPr>
            <w:tcW w:w="24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Courier New" w:cs="Courier New" w:eastAsia="Courier New" w:hAnsi="Courier New"/>
                <w:sz w:val="17"/>
                <w:szCs w:val="17"/>
                <w:color w:val="auto"/>
              </w:rPr>
              <w:t>CONSOLIDATED BALANCE SHEETS</w:t>
            </w:r>
          </w:p>
        </w:tc>
        <w:tc>
          <w:tcPr>
            <w:tcW w:w="420" w:type="dxa"/>
            <w:vAlign w:val="bottom"/>
          </w:tcPr>
          <w:p>
            <w:pPr>
              <w:spacing w:after="0"/>
              <w:rPr>
                <w:sz w:val="24"/>
                <w:szCs w:val="24"/>
                <w:color w:val="auto"/>
              </w:rPr>
            </w:pPr>
          </w:p>
        </w:tc>
      </w:tr>
      <w:tr>
        <w:trPr>
          <w:trHeight w:val="201"/>
        </w:trPr>
        <w:tc>
          <w:tcPr>
            <w:tcW w:w="2460" w:type="dxa"/>
            <w:vAlign w:val="bottom"/>
          </w:tcPr>
          <w:p>
            <w:pPr>
              <w:spacing w:after="0"/>
              <w:rPr>
                <w:sz w:val="17"/>
                <w:szCs w:val="17"/>
                <w:color w:val="auto"/>
              </w:rPr>
            </w:pPr>
          </w:p>
        </w:tc>
        <w:tc>
          <w:tcPr>
            <w:tcW w:w="3360" w:type="dxa"/>
            <w:vAlign w:val="bottom"/>
          </w:tcPr>
          <w:p>
            <w:pPr>
              <w:jc w:val="center"/>
              <w:spacing w:after="0"/>
              <w:rPr>
                <w:sz w:val="20"/>
                <w:szCs w:val="20"/>
                <w:color w:val="auto"/>
              </w:rPr>
            </w:pPr>
            <w:r>
              <w:rPr>
                <w:rFonts w:ascii="Courier New" w:cs="Courier New" w:eastAsia="Courier New" w:hAnsi="Courier New"/>
                <w:sz w:val="17"/>
                <w:szCs w:val="17"/>
                <w:color w:val="auto"/>
              </w:rPr>
              <w:t>(DOLLARS IN MILLIONS)</w:t>
            </w:r>
          </w:p>
        </w:tc>
        <w:tc>
          <w:tcPr>
            <w:tcW w:w="420" w:type="dxa"/>
            <w:vAlign w:val="bottom"/>
          </w:tcPr>
          <w:p>
            <w:pPr>
              <w:spacing w:after="0"/>
              <w:rPr>
                <w:sz w:val="17"/>
                <w:szCs w:val="17"/>
                <w:color w:val="auto"/>
              </w:rPr>
            </w:pPr>
          </w:p>
        </w:tc>
      </w:tr>
      <w:tr>
        <w:trPr>
          <w:trHeight w:val="201"/>
        </w:trPr>
        <w:tc>
          <w:tcPr>
            <w:tcW w:w="2460" w:type="dxa"/>
            <w:vAlign w:val="bottom"/>
          </w:tcPr>
          <w:p>
            <w:pPr>
              <w:spacing w:after="0"/>
              <w:rPr>
                <w:sz w:val="17"/>
                <w:szCs w:val="17"/>
                <w:color w:val="auto"/>
              </w:rPr>
            </w:pPr>
          </w:p>
        </w:tc>
        <w:tc>
          <w:tcPr>
            <w:tcW w:w="3360" w:type="dxa"/>
            <w:vAlign w:val="bottom"/>
          </w:tcPr>
          <w:p>
            <w:pPr>
              <w:jc w:val="center"/>
              <w:spacing w:after="0"/>
              <w:rPr>
                <w:sz w:val="20"/>
                <w:szCs w:val="20"/>
                <w:color w:val="auto"/>
              </w:rPr>
            </w:pPr>
            <w:r>
              <w:rPr>
                <w:rFonts w:ascii="Courier New" w:cs="Courier New" w:eastAsia="Courier New" w:hAnsi="Courier New"/>
                <w:sz w:val="17"/>
                <w:szCs w:val="17"/>
                <w:color w:val="auto"/>
              </w:rPr>
              <w:t>(UNAUDITED)</w:t>
            </w:r>
          </w:p>
        </w:tc>
        <w:tc>
          <w:tcPr>
            <w:tcW w:w="420" w:type="dxa"/>
            <w:vAlign w:val="bottom"/>
          </w:tcPr>
          <w:p>
            <w:pPr>
              <w:spacing w:after="0"/>
              <w:rPr>
                <w:sz w:val="17"/>
                <w:szCs w:val="17"/>
                <w:color w:val="auto"/>
              </w:rPr>
            </w:pPr>
          </w:p>
        </w:tc>
      </w:tr>
      <w:tr>
        <w:trPr>
          <w:trHeight w:val="403"/>
        </w:trPr>
        <w:tc>
          <w:tcPr>
            <w:tcW w:w="5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AT AT SEPTEMBER 30, DECEMBER 31, 2001 2000 -------------</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36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ASSETS Cash and cash</w:t>
            </w:r>
          </w:p>
        </w:tc>
        <w:tc>
          <w:tcPr>
            <w:tcW w:w="42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2"/>
                <w:szCs w:val="12"/>
                <w:color w:val="auto"/>
                <w:w w:val="73"/>
              </w:rPr>
              <w:t>equivalents...................................</w:t>
            </w:r>
          </w:p>
        </w:tc>
        <w:tc>
          <w:tcPr>
            <w:tcW w:w="3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$ 4,198</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w w:val="97"/>
              </w:rPr>
              <w:t>$ 64</w:t>
            </w:r>
          </w:p>
        </w:tc>
      </w:tr>
      <w:tr>
        <w:trPr>
          <w:trHeight w:val="201"/>
        </w:trPr>
        <w:tc>
          <w:tcPr>
            <w:tcW w:w="5820" w:type="dxa"/>
            <w:vAlign w:val="bottom"/>
            <w:gridSpan w:val="2"/>
          </w:tcPr>
          <w:p>
            <w:pPr>
              <w:jc w:val="center"/>
              <w:ind w:left="402"/>
              <w:spacing w:after="0"/>
              <w:rPr>
                <w:sz w:val="20"/>
                <w:szCs w:val="20"/>
                <w:color w:val="auto"/>
              </w:rPr>
            </w:pPr>
            <w:r>
              <w:rPr>
                <w:rFonts w:ascii="Courier New" w:cs="Courier New" w:eastAsia="Courier New" w:hAnsi="Courier New"/>
                <w:sz w:val="17"/>
                <w:szCs w:val="17"/>
                <w:color w:val="auto"/>
              </w:rPr>
              <w:t>Accounts receivable, less allowances of $1,013 and</w:t>
            </w:r>
          </w:p>
        </w:tc>
        <w:tc>
          <w:tcPr>
            <w:tcW w:w="42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$1,185...</w:t>
            </w:r>
          </w:p>
        </w:tc>
        <w:tc>
          <w:tcPr>
            <w:tcW w:w="3360" w:type="dxa"/>
            <w:vAlign w:val="bottom"/>
          </w:tcPr>
          <w:p>
            <w:pPr>
              <w:jc w:val="right"/>
              <w:ind w:right="1173"/>
              <w:spacing w:after="0"/>
              <w:rPr>
                <w:sz w:val="20"/>
                <w:szCs w:val="20"/>
                <w:color w:val="auto"/>
              </w:rPr>
            </w:pPr>
            <w:r>
              <w:rPr>
                <w:rFonts w:ascii="Courier New" w:cs="Courier New" w:eastAsia="Courier New" w:hAnsi="Courier New"/>
                <w:sz w:val="17"/>
                <w:szCs w:val="17"/>
                <w:color w:val="auto"/>
              </w:rPr>
              <w:t>8,679 9,408 Other</w:t>
            </w:r>
          </w:p>
        </w:tc>
        <w:tc>
          <w:tcPr>
            <w:tcW w:w="420" w:type="dxa"/>
            <w:vAlign w:val="bottom"/>
          </w:tcPr>
          <w:p>
            <w:pPr>
              <w:spacing w:after="0"/>
              <w:rPr>
                <w:sz w:val="17"/>
                <w:szCs w:val="17"/>
                <w:color w:val="auto"/>
              </w:rPr>
            </w:pPr>
          </w:p>
        </w:tc>
      </w:tr>
      <w:tr>
        <w:trPr>
          <w:trHeight w:val="201"/>
        </w:trPr>
        <w:tc>
          <w:tcPr>
            <w:tcW w:w="5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receivables...........................................</w:t>
            </w:r>
          </w:p>
        </w:tc>
        <w:tc>
          <w:tcPr>
            <w:tcW w:w="420" w:type="dxa"/>
            <w:vAlign w:val="bottom"/>
          </w:tcPr>
          <w:p>
            <w:pPr>
              <w:spacing w:after="0"/>
              <w:rPr>
                <w:sz w:val="17"/>
                <w:szCs w:val="17"/>
                <w:color w:val="auto"/>
              </w:rPr>
            </w:pPr>
          </w:p>
        </w:tc>
      </w:tr>
      <w:tr>
        <w:trPr>
          <w:trHeight w:val="201"/>
        </w:trPr>
        <w:tc>
          <w:tcPr>
            <w:tcW w:w="2460" w:type="dxa"/>
            <w:vAlign w:val="bottom"/>
          </w:tcPr>
          <w:p>
            <w:pPr>
              <w:spacing w:after="0"/>
              <w:rPr>
                <w:sz w:val="17"/>
                <w:szCs w:val="17"/>
                <w:color w:val="auto"/>
              </w:rPr>
            </w:pPr>
          </w:p>
        </w:tc>
        <w:tc>
          <w:tcPr>
            <w:tcW w:w="3360" w:type="dxa"/>
            <w:vAlign w:val="bottom"/>
          </w:tcPr>
          <w:p>
            <w:pPr>
              <w:jc w:val="center"/>
              <w:ind w:right="1893"/>
              <w:spacing w:after="0"/>
              <w:rPr>
                <w:sz w:val="20"/>
                <w:szCs w:val="20"/>
                <w:color w:val="auto"/>
              </w:rPr>
            </w:pPr>
            <w:r>
              <w:rPr>
                <w:rFonts w:ascii="Courier New" w:cs="Courier New" w:eastAsia="Courier New" w:hAnsi="Courier New"/>
                <w:sz w:val="17"/>
                <w:szCs w:val="17"/>
                <w:color w:val="auto"/>
              </w:rPr>
              <w:t>1,344 1,645</w:t>
            </w:r>
          </w:p>
        </w:tc>
        <w:tc>
          <w:tcPr>
            <w:tcW w:w="420" w:type="dxa"/>
            <w:vAlign w:val="bottom"/>
          </w:tcPr>
          <w:p>
            <w:pPr>
              <w:spacing w:after="0"/>
              <w:rPr>
                <w:sz w:val="17"/>
                <w:szCs w:val="17"/>
                <w:color w:val="auto"/>
              </w:rPr>
            </w:pPr>
          </w:p>
        </w:tc>
      </w:tr>
      <w:tr>
        <w:trPr>
          <w:trHeight w:val="201"/>
        </w:trPr>
        <w:tc>
          <w:tcPr>
            <w:tcW w:w="5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4"/>
              </w:rPr>
              <w:t>Investments.................................................</w:t>
            </w:r>
          </w:p>
        </w:tc>
        <w:tc>
          <w:tcPr>
            <w:tcW w:w="420" w:type="dxa"/>
            <w:vAlign w:val="bottom"/>
          </w:tcPr>
          <w:p>
            <w:pPr>
              <w:spacing w:after="0"/>
              <w:rPr>
                <w:sz w:val="17"/>
                <w:szCs w:val="17"/>
                <w:color w:val="auto"/>
              </w:rPr>
            </w:pPr>
          </w:p>
        </w:tc>
      </w:tr>
      <w:tr>
        <w:trPr>
          <w:trHeight w:val="201"/>
        </w:trPr>
        <w:tc>
          <w:tcPr>
            <w:tcW w:w="5820" w:type="dxa"/>
            <w:vAlign w:val="bottom"/>
            <w:gridSpan w:val="2"/>
          </w:tcPr>
          <w:p>
            <w:pPr>
              <w:jc w:val="center"/>
              <w:ind w:left="402"/>
              <w:spacing w:after="0"/>
              <w:rPr>
                <w:sz w:val="20"/>
                <w:szCs w:val="20"/>
                <w:color w:val="auto"/>
              </w:rPr>
            </w:pPr>
            <w:r>
              <w:rPr>
                <w:rFonts w:ascii="Courier New" w:cs="Courier New" w:eastAsia="Courier New" w:hAnsi="Courier New"/>
                <w:sz w:val="17"/>
                <w:szCs w:val="17"/>
                <w:color w:val="auto"/>
              </w:rPr>
              <w:t>-- 2,102 Deferred income</w:t>
            </w:r>
          </w:p>
        </w:tc>
        <w:tc>
          <w:tcPr>
            <w:tcW w:w="42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3"/>
                <w:szCs w:val="13"/>
                <w:color w:val="auto"/>
                <w:w w:val="71"/>
              </w:rPr>
              <w:t>taxes.......................................</w:t>
            </w:r>
          </w:p>
        </w:tc>
        <w:tc>
          <w:tcPr>
            <w:tcW w:w="3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1,623 720</w:t>
            </w:r>
          </w:p>
        </w:tc>
      </w:tr>
      <w:tr>
        <w:trPr>
          <w:trHeight w:val="201"/>
        </w:trPr>
        <w:tc>
          <w:tcPr>
            <w:tcW w:w="2460" w:type="dxa"/>
            <w:vAlign w:val="bottom"/>
          </w:tcPr>
          <w:p>
            <w:pPr>
              <w:spacing w:after="0"/>
              <w:rPr>
                <w:sz w:val="17"/>
                <w:szCs w:val="17"/>
                <w:color w:val="auto"/>
              </w:rPr>
            </w:pPr>
          </w:p>
        </w:tc>
        <w:tc>
          <w:tcPr>
            <w:tcW w:w="3360" w:type="dxa"/>
            <w:vAlign w:val="bottom"/>
          </w:tcPr>
          <w:p>
            <w:pPr>
              <w:jc w:val="center"/>
              <w:ind w:right="1893"/>
              <w:spacing w:after="0"/>
              <w:rPr>
                <w:sz w:val="20"/>
                <w:szCs w:val="20"/>
                <w:color w:val="auto"/>
              </w:rPr>
            </w:pPr>
            <w:r>
              <w:rPr>
                <w:rFonts w:ascii="Courier New" w:cs="Courier New" w:eastAsia="Courier New" w:hAnsi="Courier New"/>
                <w:sz w:val="17"/>
                <w:szCs w:val="17"/>
                <w:color w:val="auto"/>
              </w:rPr>
              <w:t>Other current</w:t>
            </w:r>
          </w:p>
        </w:tc>
        <w:tc>
          <w:tcPr>
            <w:tcW w:w="42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2"/>
                <w:szCs w:val="12"/>
                <w:color w:val="auto"/>
                <w:w w:val="73"/>
              </w:rPr>
              <w:t>assets........................................</w:t>
            </w:r>
          </w:p>
        </w:tc>
        <w:tc>
          <w:tcPr>
            <w:tcW w:w="3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614 781</w:t>
            </w:r>
          </w:p>
        </w:tc>
      </w:tr>
      <w:tr>
        <w:trPr>
          <w:trHeight w:val="201"/>
        </w:trPr>
        <w:tc>
          <w:tcPr>
            <w:tcW w:w="2460" w:type="dxa"/>
            <w:vAlign w:val="bottom"/>
          </w:tcPr>
          <w:p>
            <w:pPr>
              <w:spacing w:after="0"/>
              <w:rPr>
                <w:sz w:val="17"/>
                <w:szCs w:val="17"/>
                <w:color w:val="auto"/>
              </w:rPr>
            </w:pPr>
          </w:p>
        </w:tc>
        <w:tc>
          <w:tcPr>
            <w:tcW w:w="3360" w:type="dxa"/>
            <w:vAlign w:val="bottom"/>
          </w:tcPr>
          <w:p>
            <w:pPr>
              <w:jc w:val="center"/>
              <w:ind w:right="1893"/>
              <w:spacing w:after="0"/>
              <w:rPr>
                <w:sz w:val="20"/>
                <w:szCs w:val="20"/>
                <w:color w:val="auto"/>
              </w:rPr>
            </w:pPr>
            <w:r>
              <w:rPr>
                <w:rFonts w:ascii="Courier New" w:cs="Courier New" w:eastAsia="Courier New" w:hAnsi="Courier New"/>
                <w:sz w:val="17"/>
                <w:szCs w:val="17"/>
                <w:color w:val="auto"/>
              </w:rPr>
              <w:t>TOTAL CURRENT</w:t>
            </w:r>
          </w:p>
        </w:tc>
        <w:tc>
          <w:tcPr>
            <w:tcW w:w="420" w:type="dxa"/>
            <w:vAlign w:val="bottom"/>
          </w:tcPr>
          <w:p>
            <w:pPr>
              <w:spacing w:after="0"/>
              <w:rPr>
                <w:sz w:val="17"/>
                <w:szCs w:val="17"/>
                <w:color w:val="auto"/>
              </w:rPr>
            </w:pPr>
          </w:p>
        </w:tc>
      </w:tr>
      <w:tr>
        <w:trPr>
          <w:trHeight w:val="201"/>
        </w:trPr>
        <w:tc>
          <w:tcPr>
            <w:tcW w:w="2460" w:type="dxa"/>
            <w:vAlign w:val="bottom"/>
          </w:tcPr>
          <w:p>
            <w:pPr>
              <w:jc w:val="right"/>
              <w:spacing w:after="0"/>
              <w:rPr>
                <w:sz w:val="20"/>
                <w:szCs w:val="20"/>
                <w:color w:val="auto"/>
              </w:rPr>
            </w:pPr>
            <w:r>
              <w:rPr>
                <w:rFonts w:ascii="Courier New" w:cs="Courier New" w:eastAsia="Courier New" w:hAnsi="Courier New"/>
                <w:sz w:val="12"/>
                <w:szCs w:val="12"/>
                <w:color w:val="auto"/>
                <w:w w:val="73"/>
              </w:rPr>
              <w:t>ASSETS........................................</w:t>
            </w:r>
          </w:p>
        </w:tc>
        <w:tc>
          <w:tcPr>
            <w:tcW w:w="37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16,458</w:t>
            </w:r>
          </w:p>
        </w:tc>
      </w:tr>
    </w:tbl>
    <w:p>
      <w:pPr>
        <w:spacing w:after="0" w:line="4"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14,720 Property, plant and equipment, net of accumulated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depreciation of $31,164 and $28,129.......................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40,748 41,269 Franchise costs, net of accumulated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amortization of $2,226 and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$1,664................................................</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43,287 48,218 Goodwill, net of accumulated amortization of</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$1,130 and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$609......................................................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24,774 26,782 Investment in Liberty Media Group and related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-- 34,290 Other investments and related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advances...................... 24,268 30,875 Prepaid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pension costs....................................... 3,281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3,003 Other</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7,233 7,979 Net assets of discontinued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operations....................... -- 27,224 TOTAL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$160,049 $234,360</w:t>
      </w:r>
    </w:p>
    <w:p>
      <w:pPr>
        <w:spacing w:after="0" w:line="200" w:lineRule="exact"/>
        <w:rPr>
          <w:sz w:val="20"/>
          <w:szCs w:val="20"/>
          <w:color w:val="auto"/>
        </w:rPr>
      </w:pPr>
    </w:p>
    <w:p>
      <w:pPr>
        <w:spacing w:after="0" w:line="212"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L-4</w:t>
      </w:r>
    </w:p>
    <w:p>
      <w:pPr>
        <w:sectPr>
          <w:pgSz w:w="11900" w:h="16838" w:orient="portrait"/>
          <w:cols w:equalWidth="0" w:num="1">
            <w:col w:w="10219"/>
          </w:cols>
          <w:pgMar w:left="240" w:top="720" w:right="1440" w:bottom="1440" w:gutter="0" w:footer="0" w:header="0"/>
        </w:sectPr>
      </w:pPr>
    </w:p>
    <w:bookmarkStart w:id="583" w:name="page584"/>
    <w:bookmarkEnd w:id="583"/>
    <w:p>
      <w:pPr>
        <w:ind w:left="2740"/>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CONSOLIDATED BALANCE SHEETS -- (CONTINUED)</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AT SEPTEMBER 30, DECEMBER 31, 2001 2000 ----------</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 ------------ LIABILITIES Accounts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payable............................................ $</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4,848 $ 5,382 Payroll and benefit-related</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liabilities..................... 1,592 1,991 Debt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maturing within one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year............................... 18,449 31,838</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Liability under put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options................................. -- 2,564</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Other current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liabilities................................... 6,988</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6,200 TOTAL CURRENT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LIABILITIES................................... 31,877</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47,975 Long-term</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debt..............................................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30,007 33,089 Long-term benefit-related</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liabilities....................... 3,506 3,670</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Deferred income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taxes....................................... 27,175</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32,054 Other long-term liabilities and deferred</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credits............ 6,946 4,823 TOTAL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99,511 121,611 Minority</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ind w:left="380" w:right="4719" w:hanging="208"/>
        <w:spacing w:after="0" w:line="251" w:lineRule="auto"/>
        <w:rPr>
          <w:sz w:val="20"/>
          <w:szCs w:val="20"/>
          <w:color w:val="auto"/>
        </w:rPr>
      </w:pPr>
      <w:r>
        <w:rPr>
          <w:rFonts w:ascii="Courier New" w:cs="Courier New" w:eastAsia="Courier New" w:hAnsi="Courier New"/>
          <w:sz w:val="17"/>
          <w:szCs w:val="17"/>
          <w:color w:val="auto"/>
        </w:rPr>
        <w:t>3,622 4,841 Company-Obligated Convertible Quarterly Income Preferred Securities of Subsidiary Trust Holding Solely Subordinated Debt Securities of</w:t>
      </w:r>
    </w:p>
    <w:tbl>
      <w:tblPr>
        <w:tblLayout w:type="fixed"/>
        <w:tblInd w:w="160" w:type="dxa"/>
        <w:tblCellMar>
          <w:top w:w="0" w:type="dxa"/>
          <w:left w:w="0" w:type="dxa"/>
          <w:bottom w:w="0" w:type="dxa"/>
          <w:right w:w="0" w:type="dxa"/>
        </w:tblCellMar>
      </w:tblPr>
      <w:tr>
        <w:trPr>
          <w:trHeight w:val="197"/>
        </w:trPr>
        <w:tc>
          <w:tcPr>
            <w:tcW w:w="4140" w:type="dxa"/>
            <w:vAlign w:val="bottom"/>
          </w:tcPr>
          <w:p>
            <w:pPr>
              <w:spacing w:after="0"/>
              <w:rPr>
                <w:sz w:val="20"/>
                <w:szCs w:val="20"/>
                <w:color w:val="auto"/>
              </w:rPr>
            </w:pPr>
            <w:r>
              <w:rPr>
                <w:rFonts w:ascii="Courier New" w:cs="Courier New" w:eastAsia="Courier New" w:hAnsi="Courier New"/>
                <w:sz w:val="17"/>
                <w:szCs w:val="17"/>
                <w:color w:val="auto"/>
              </w:rPr>
              <w:t>AT&amp;T...................................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4,718 4,710</w:t>
            </w:r>
          </w:p>
        </w:tc>
      </w:tr>
    </w:tbl>
    <w:p>
      <w:pPr>
        <w:spacing w:after="0" w:line="4" w:lineRule="exact"/>
        <w:rPr>
          <w:sz w:val="20"/>
          <w:szCs w:val="20"/>
          <w:color w:val="auto"/>
        </w:rPr>
      </w:pPr>
    </w:p>
    <w:p>
      <w:pPr>
        <w:jc w:val="center"/>
        <w:ind w:right="4559"/>
        <w:spacing w:after="0" w:line="251" w:lineRule="auto"/>
        <w:rPr>
          <w:sz w:val="20"/>
          <w:szCs w:val="20"/>
          <w:color w:val="auto"/>
        </w:rPr>
      </w:pPr>
      <w:r>
        <w:rPr>
          <w:rFonts w:ascii="Courier New" w:cs="Courier New" w:eastAsia="Courier New" w:hAnsi="Courier New"/>
          <w:sz w:val="17"/>
          <w:szCs w:val="17"/>
          <w:color w:val="auto"/>
        </w:rPr>
        <w:t>SHAREOWNERS' EQUITY Common Stock: AT&amp;T Common Stock, $1 par value, authorized 6,000,000,000 shares; issued and outstanding 3,535,801,018 shares (net of 851,731,351 treasury shares) at September 30, 2001 and 3,760,151,185 shares (net of 416,887,452 treasury</w:t>
      </w:r>
    </w:p>
    <w:tbl>
      <w:tblPr>
        <w:tblLayout w:type="fixed"/>
        <w:tblInd w:w="320" w:type="dxa"/>
        <w:tblCellMar>
          <w:top w:w="0" w:type="dxa"/>
          <w:left w:w="0" w:type="dxa"/>
          <w:bottom w:w="0" w:type="dxa"/>
          <w:right w:w="0" w:type="dxa"/>
        </w:tblCellMar>
      </w:tblPr>
      <w:tr>
        <w:trPr>
          <w:trHeight w:val="197"/>
        </w:trPr>
        <w:tc>
          <w:tcPr>
            <w:tcW w:w="420" w:type="dxa"/>
            <w:vAlign w:val="bottom"/>
          </w:tcPr>
          <w:p>
            <w:pPr>
              <w:spacing w:after="0"/>
              <w:rPr>
                <w:sz w:val="17"/>
                <w:szCs w:val="17"/>
                <w:color w:val="auto"/>
              </w:rPr>
            </w:pPr>
          </w:p>
        </w:tc>
        <w:tc>
          <w:tcPr>
            <w:tcW w:w="460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shares) at December 31,</w:t>
            </w:r>
          </w:p>
        </w:tc>
      </w:tr>
      <w:tr>
        <w:trPr>
          <w:trHeight w:val="201"/>
        </w:trPr>
        <w:tc>
          <w:tcPr>
            <w:tcW w:w="420" w:type="dxa"/>
            <w:vAlign w:val="bottom"/>
          </w:tcPr>
          <w:p>
            <w:pPr>
              <w:jc w:val="right"/>
              <w:spacing w:after="0"/>
              <w:rPr>
                <w:sz w:val="20"/>
                <w:szCs w:val="20"/>
                <w:color w:val="auto"/>
              </w:rPr>
            </w:pPr>
            <w:r>
              <w:rPr>
                <w:rFonts w:ascii="Courier New" w:cs="Courier New" w:eastAsia="Courier New" w:hAnsi="Courier New"/>
                <w:sz w:val="17"/>
                <w:szCs w:val="17"/>
                <w:color w:val="auto"/>
                <w:w w:val="97"/>
              </w:rPr>
              <w:t>2000</w:t>
            </w:r>
          </w:p>
        </w:tc>
        <w:tc>
          <w:tcPr>
            <w:tcW w:w="4600" w:type="dxa"/>
            <w:vAlign w:val="bottom"/>
          </w:tcPr>
          <w:p>
            <w:pPr>
              <w:jc w:val="right"/>
              <w:spacing w:after="0"/>
              <w:rPr>
                <w:sz w:val="20"/>
                <w:szCs w:val="20"/>
                <w:color w:val="auto"/>
              </w:rPr>
            </w:pPr>
            <w:r>
              <w:rPr>
                <w:rFonts w:ascii="Courier New" w:cs="Courier New" w:eastAsia="Courier New" w:hAnsi="Courier New"/>
                <w:sz w:val="17"/>
                <w:szCs w:val="17"/>
                <w:color w:val="auto"/>
              </w:rPr>
              <w:t>...................................... 3,536</w:t>
            </w:r>
          </w:p>
        </w:tc>
      </w:tr>
    </w:tbl>
    <w:p>
      <w:pPr>
        <w:spacing w:after="0" w:line="4"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3,760 AT&amp;T Wireless Group Common Stock, $1 par value,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authorized 6,000,000,000 shares, issued and</w:t>
      </w:r>
    </w:p>
    <w:p>
      <w:pPr>
        <w:spacing w:after="0" w:line="9" w:lineRule="exact"/>
        <w:rPr>
          <w:sz w:val="20"/>
          <w:szCs w:val="20"/>
          <w:color w:val="auto"/>
        </w:rPr>
      </w:pPr>
    </w:p>
    <w:p>
      <w:pPr>
        <w:jc w:val="center"/>
        <w:ind w:right="4559"/>
        <w:spacing w:after="0" w:line="251" w:lineRule="auto"/>
        <w:rPr>
          <w:sz w:val="20"/>
          <w:szCs w:val="20"/>
          <w:color w:val="auto"/>
        </w:rPr>
      </w:pPr>
      <w:r>
        <w:rPr>
          <w:rFonts w:ascii="Courier New" w:cs="Courier New" w:eastAsia="Courier New" w:hAnsi="Courier New"/>
          <w:sz w:val="17"/>
          <w:szCs w:val="17"/>
          <w:color w:val="auto"/>
        </w:rPr>
        <w:t>outstanding 361,802,200 shares at December 31, 2000............................... -- 362 Liberty Media Group Class A Common Stock, $1 par value, authorized 4,000,000,000 shares, issued and outstanding 2,363,738,198 shares (net of 59,512,496</w:t>
      </w:r>
    </w:p>
    <w:p>
      <w:pPr>
        <w:jc w:val="center"/>
        <w:ind w:right="4559"/>
        <w:spacing w:after="0"/>
        <w:rPr>
          <w:sz w:val="20"/>
          <w:szCs w:val="20"/>
          <w:color w:val="auto"/>
        </w:rPr>
      </w:pPr>
      <w:r>
        <w:rPr>
          <w:rFonts w:ascii="Courier New" w:cs="Courier New" w:eastAsia="Courier New" w:hAnsi="Courier New"/>
          <w:sz w:val="17"/>
          <w:szCs w:val="17"/>
          <w:color w:val="auto"/>
        </w:rPr>
        <w:t>treasury shares) at December 31,</w:t>
      </w:r>
    </w:p>
    <w:p>
      <w:pPr>
        <w:spacing w:after="0" w:line="9" w:lineRule="exact"/>
        <w:rPr>
          <w:sz w:val="20"/>
          <w:szCs w:val="20"/>
          <w:color w:val="auto"/>
        </w:rPr>
      </w:pPr>
    </w:p>
    <w:p>
      <w:pPr>
        <w:jc w:val="center"/>
        <w:ind w:right="4559"/>
        <w:spacing w:after="0" w:line="251" w:lineRule="auto"/>
        <w:rPr>
          <w:sz w:val="20"/>
          <w:szCs w:val="20"/>
          <w:color w:val="auto"/>
        </w:rPr>
      </w:pPr>
      <w:r>
        <w:rPr>
          <w:rFonts w:ascii="Courier New" w:cs="Courier New" w:eastAsia="Courier New" w:hAnsi="Courier New"/>
          <w:sz w:val="17"/>
          <w:szCs w:val="17"/>
          <w:color w:val="auto"/>
        </w:rPr>
        <w:t>2000...................................... -- 2,364 Liberty Media Group Class B Common Stock, $1 par value, authorized 400,000,000 shares, issued and outstanding 206,221,288 shares (net of 10,607,776</w:t>
      </w:r>
    </w:p>
    <w:p>
      <w:pPr>
        <w:jc w:val="center"/>
        <w:ind w:right="4559"/>
        <w:spacing w:after="0"/>
        <w:rPr>
          <w:sz w:val="20"/>
          <w:szCs w:val="20"/>
          <w:color w:val="auto"/>
        </w:rPr>
      </w:pPr>
      <w:r>
        <w:rPr>
          <w:rFonts w:ascii="Courier New" w:cs="Courier New" w:eastAsia="Courier New" w:hAnsi="Courier New"/>
          <w:sz w:val="17"/>
          <w:szCs w:val="17"/>
          <w:color w:val="auto"/>
        </w:rPr>
        <w:t>treasury shares) at December 31,</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2000......................................... -- 206</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Additional paid-in</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capital.................................. 51,851</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90,496 (Accumulated deficit)/Retained</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earnings..................... (2,093) 7,408</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Accumulated other comprehensive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income...................... (1,096) (1,398) TOTAL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SHAREOWNERS'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EQUITY................................... 52,198</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103,198 TOTAL LIABILITIES AND SHAREOWNERS'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EQUITY................... $160,049 $234,360</w:t>
      </w:r>
    </w:p>
    <w:p>
      <w:pPr>
        <w:spacing w:after="0" w:line="200" w:lineRule="exact"/>
        <w:rPr>
          <w:sz w:val="20"/>
          <w:szCs w:val="20"/>
          <w:color w:val="auto"/>
        </w:rPr>
      </w:pPr>
    </w:p>
    <w:p>
      <w:pPr>
        <w:spacing w:after="0" w:line="212"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L-5</w:t>
      </w:r>
    </w:p>
    <w:p>
      <w:pPr>
        <w:sectPr>
          <w:pgSz w:w="11900" w:h="16838" w:orient="portrait"/>
          <w:cols w:equalWidth="0" w:num="1">
            <w:col w:w="10219"/>
          </w:cols>
          <w:pgMar w:left="240" w:top="517" w:right="1440" w:bottom="1440" w:gutter="0" w:footer="0" w:header="0"/>
        </w:sectPr>
      </w:pPr>
    </w:p>
    <w:bookmarkStart w:id="584" w:name="page585"/>
    <w:bookmarkEnd w:id="584"/>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CONSOLIDATED STATEMENTS OF CHANGES IN SHAREOWNERS' EQUITY</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NINE MONTHS ENDED SEPTEMBER 30,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-- 2001 2000 -------- -------- AT&amp;T Common Shares Balance</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at beginning of year..............................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3,760 $ 3,196 Shares issued (acquired), net: Under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employee plans.................................... 10 --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For acquisitions........................................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44 607 Settlement of put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option................................ 155 -- For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Wireless tracking stock exchange....................</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(372)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(61) (49) Balance at end of</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period.................................... 3,536 3,754</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AT&amp;T Wireless Group Common Stock Balance at beginning of</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year.............................. 362 -- Shares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issued:............................................ 360</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Under employee plans....................................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2 1 For Wireless tracking stock</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exchange.................... 438 -- Conversion of</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preferred stock........................... 406 -- AT&amp;T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Wireless Group split-off...........................</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(1,208) -- Balance at end of</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period.................................... -- 361 Liberty</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Media Group Class A Common Stock Balance at beginning of</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year.............................. 2,364 2,314 Shares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issued, net: For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acquisitions........................................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61</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14 (5) Liberty Media Group split-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off............................. (2,378) -- Balance at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end of period....................................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2,370 Liberty Media Group Class B Common Stock Balance at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beginning of year.............................. 206 217</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Shares issued (acquired),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net............................. 6 (11) Liberty Media</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Group split-off............................. (212)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Balance at end of</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period.................................... -- 206</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Additional Paid-In Capital Balance at beginning of</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year.............................. 90,496 59,526 Shares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issued (acquired), net: Under employee</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plans.................................... 208 15 For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acquisitions........................................ 827</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22,769 Settlement of put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option................................ 3,237 --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(1,035) (2,514) Proceeds in excess of par value from</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issuance of AT&amp;T Wireless common</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stock................................... -- 9,915 Gain on</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issuance of common stock by affiliates............ 20 480</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Conversion of preferred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stock............................. 9,631 -- AT&amp;T Wireless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Group split-off............................. (20,955)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Liberty Media Group split-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off............................. (30,738) -- Wireless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tracking stock exchange.......................... 14 --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Beneficial conversion value of preferred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stock............ 295 -- Dividends declared -- AT&amp;T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Common Stock Group............. (133)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(16) 153 Balance at end of</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period.................................... 51,851 90,344</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Guaranteed ESOP Obligation Balance at beginning of</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year.............................. -- (17)</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Amortization..............................................</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-- 17 Balance at end of</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period.................................... --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L-6</w:t>
      </w:r>
    </w:p>
    <w:p>
      <w:pPr>
        <w:sectPr>
          <w:pgSz w:w="11900" w:h="16838" w:orient="portrait"/>
          <w:cols w:equalWidth="0" w:num="1">
            <w:col w:w="10219"/>
          </w:cols>
          <w:pgMar w:left="240" w:top="719" w:right="1440" w:bottom="0" w:gutter="0" w:footer="0" w:header="0"/>
        </w:sectPr>
      </w:pPr>
    </w:p>
    <w:bookmarkStart w:id="585" w:name="page586"/>
    <w:bookmarkEnd w:id="585"/>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CONSOLIDATED STATEMENTS OF CHANGES IN SHAREOWNERS' EQUITY (CONT'D) (DOLLARS IN</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MILLIONS)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NINE MONTHS ENDED SEPTEMBER 30, ---------------</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---- 2001 2000 -------- -------- (Accumulated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Deficit)/Retained Earnings Balance at beginning of</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year.............................. 7,408 6,712 Net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9,106 7,789 Dividends declared -- AT&amp;T Common Stock</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Group............. (275) (2,344) Dividends accrued --</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preferred stock...................... (652) -- Premium</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on Wireless tracking stock exchange............... (80)</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 Treasury shares issued at less than</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cost.................. (7) (1,433) AT&amp;T Wireless Group</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split-off............................. (17,593) --</w:t>
      </w:r>
    </w:p>
    <w:p>
      <w:pPr>
        <w:spacing w:after="0" w:line="9"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Balance at end of</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period.................................... (2,093)</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10,724 Accumulated Comprehensive Income Balance at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beginning of year.............................. (1,398)</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6,979 Other comprehensive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988 (4,630) AT&amp;T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Wireless Group split-off.............................</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72 -- Liberty Media Group split-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off............................. (758) -- Balance at</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end of year......................................</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(1,096) 2,349 Total Shareowners'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Equity................................... $ 52,198</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$110,108 Summary of Total Comprehensive Income: (Loss)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from continuing operations.................... $</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(5,451) $ 7,581 Income from discontinued</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operations......................... 150 208 Gain on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disposition of discontinued operations..............</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7"/>
          <w:szCs w:val="17"/>
          <w:color w:val="auto"/>
        </w:rPr>
        <w:t>13,503 -- Cumulative effect of accounting</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change...................... 904 -- Net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9,106 7,789 Dividend requirements of preferred</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stock.................... 652 -- Premium on Wireless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tracking stock exchange................. 80 -- Net</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income available to common</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shareowners.................. $ 8,374 $ 7,789 Net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foreign currency translation adjustment (net of income</w:t>
      </w:r>
    </w:p>
    <w:p>
      <w:pPr>
        <w:spacing w:after="0" w:line="9" w:lineRule="exact"/>
        <w:rPr>
          <w:sz w:val="20"/>
          <w:szCs w:val="20"/>
          <w:color w:val="auto"/>
        </w:rPr>
      </w:pPr>
    </w:p>
    <w:tbl>
      <w:tblPr>
        <w:tblLayout w:type="fixed"/>
        <w:tblInd w:w="480" w:type="dxa"/>
        <w:tblCellMar>
          <w:top w:w="0" w:type="dxa"/>
          <w:left w:w="0" w:type="dxa"/>
          <w:bottom w:w="0" w:type="dxa"/>
          <w:right w:w="0" w:type="dxa"/>
        </w:tblCellMar>
      </w:tblPr>
      <w:tr>
        <w:trPr>
          <w:trHeight w:val="197"/>
        </w:trPr>
        <w:tc>
          <w:tcPr>
            <w:tcW w:w="300" w:type="dxa"/>
            <w:vAlign w:val="bottom"/>
          </w:tcPr>
          <w:p>
            <w:pPr>
              <w:spacing w:after="0"/>
              <w:rPr>
                <w:sz w:val="17"/>
                <w:szCs w:val="17"/>
                <w:color w:val="auto"/>
              </w:rPr>
            </w:pPr>
          </w:p>
        </w:tc>
        <w:tc>
          <w:tcPr>
            <w:tcW w:w="3620" w:type="dxa"/>
            <w:vAlign w:val="bottom"/>
          </w:tcPr>
          <w:p>
            <w:pPr>
              <w:jc w:val="right"/>
              <w:spacing w:after="0"/>
              <w:rPr>
                <w:sz w:val="20"/>
                <w:szCs w:val="20"/>
                <w:color w:val="auto"/>
              </w:rPr>
            </w:pPr>
            <w:r>
              <w:rPr>
                <w:rFonts w:ascii="Courier New" w:cs="Courier New" w:eastAsia="Courier New" w:hAnsi="Courier New"/>
                <w:sz w:val="17"/>
                <w:szCs w:val="17"/>
                <w:color w:val="auto"/>
              </w:rPr>
              <w:t>taxes of $(135) and $(177))</w:t>
            </w:r>
          </w:p>
        </w:tc>
        <w:tc>
          <w:tcPr>
            <w:tcW w:w="1000" w:type="dxa"/>
            <w:vAlign w:val="bottom"/>
          </w:tcPr>
          <w:p>
            <w:pPr>
              <w:spacing w:after="0"/>
              <w:rPr>
                <w:sz w:val="17"/>
                <w:szCs w:val="17"/>
                <w:color w:val="auto"/>
              </w:rPr>
            </w:pPr>
          </w:p>
        </w:tc>
      </w:tr>
      <w:tr>
        <w:trPr>
          <w:trHeight w:val="201"/>
        </w:trPr>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(1)</w:t>
            </w:r>
          </w:p>
        </w:tc>
        <w:tc>
          <w:tcPr>
            <w:tcW w:w="3620" w:type="dxa"/>
            <w:vAlign w:val="bottom"/>
          </w:tcPr>
          <w:p>
            <w:pPr>
              <w:jc w:val="right"/>
              <w:spacing w:after="0"/>
              <w:rPr>
                <w:sz w:val="20"/>
                <w:szCs w:val="20"/>
                <w:color w:val="auto"/>
              </w:rPr>
            </w:pPr>
            <w:r>
              <w:rPr>
                <w:rFonts w:ascii="Courier New" w:cs="Courier New" w:eastAsia="Courier New" w:hAnsi="Courier New"/>
                <w:sz w:val="17"/>
                <w:szCs w:val="17"/>
                <w:color w:val="auto"/>
              </w:rPr>
              <w:t>............................ (204)</w:t>
            </w:r>
          </w:p>
        </w:tc>
        <w:tc>
          <w:tcPr>
            <w:tcW w:w="1000" w:type="dxa"/>
            <w:vAlign w:val="bottom"/>
          </w:tcPr>
          <w:p>
            <w:pPr>
              <w:ind w:left="60"/>
              <w:spacing w:after="0"/>
              <w:rPr>
                <w:sz w:val="20"/>
                <w:szCs w:val="20"/>
                <w:color w:val="auto"/>
              </w:rPr>
            </w:pPr>
            <w:r>
              <w:rPr>
                <w:rFonts w:ascii="Courier New" w:cs="Courier New" w:eastAsia="Courier New" w:hAnsi="Courier New"/>
                <w:sz w:val="17"/>
                <w:szCs w:val="17"/>
                <w:color w:val="auto"/>
              </w:rPr>
              <w:t>(305) Net</w:t>
            </w:r>
          </w:p>
        </w:tc>
      </w:tr>
    </w:tbl>
    <w:p>
      <w:pPr>
        <w:spacing w:after="0" w:line="4"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39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revaluation of securities: Unrealized</w:t>
            </w: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gains (losses)</w:t>
            </w:r>
          </w:p>
        </w:tc>
      </w:tr>
      <w:tr>
        <w:trPr>
          <w:trHeight w:val="201"/>
        </w:trPr>
        <w:tc>
          <w:tcPr>
            <w:tcW w:w="39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(net of income taxes of $274 and</w:t>
            </w: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$(1,775))</w:t>
            </w:r>
          </w:p>
        </w:tc>
      </w:tr>
      <w:tr>
        <w:trPr>
          <w:trHeight w:val="201"/>
        </w:trPr>
        <w:tc>
          <w:tcPr>
            <w:tcW w:w="3980" w:type="dxa"/>
            <w:vAlign w:val="bottom"/>
          </w:tcPr>
          <w:p>
            <w:pPr>
              <w:jc w:val="right"/>
              <w:spacing w:after="0"/>
              <w:rPr>
                <w:sz w:val="20"/>
                <w:szCs w:val="20"/>
                <w:color w:val="auto"/>
              </w:rPr>
            </w:pPr>
            <w:r>
              <w:rPr>
                <w:rFonts w:ascii="Courier New" w:cs="Courier New" w:eastAsia="Courier New" w:hAnsi="Courier New"/>
                <w:sz w:val="17"/>
                <w:szCs w:val="17"/>
                <w:color w:val="auto"/>
                <w:w w:val="82"/>
              </w:rPr>
              <w:t>(2)............................................</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363</w:t>
            </w:r>
          </w:p>
        </w:tc>
      </w:tr>
    </w:tbl>
    <w:p>
      <w:pPr>
        <w:spacing w:after="0" w:line="4"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(2,846) Recognition of previously unrealized losses</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(gains) on available-for-sale securities (net of income</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1520" w:type="dxa"/>
            <w:vAlign w:val="bottom"/>
          </w:tcPr>
          <w:p>
            <w:pPr>
              <w:spacing w:after="0"/>
              <w:rPr>
                <w:sz w:val="17"/>
                <w:szCs w:val="17"/>
                <w:color w:val="auto"/>
              </w:rPr>
            </w:pPr>
          </w:p>
        </w:tc>
        <w:tc>
          <w:tcPr>
            <w:tcW w:w="3260" w:type="dxa"/>
            <w:vAlign w:val="bottom"/>
          </w:tcPr>
          <w:p>
            <w:pPr>
              <w:jc w:val="center"/>
              <w:ind w:right="553"/>
              <w:spacing w:after="0"/>
              <w:rPr>
                <w:sz w:val="20"/>
                <w:szCs w:val="20"/>
                <w:color w:val="auto"/>
              </w:rPr>
            </w:pPr>
            <w:r>
              <w:rPr>
                <w:rFonts w:ascii="Courier New" w:cs="Courier New" w:eastAsia="Courier New" w:hAnsi="Courier New"/>
                <w:sz w:val="17"/>
                <w:szCs w:val="17"/>
                <w:color w:val="auto"/>
              </w:rPr>
              <w:t>taxes of $513 and $(955))</w:t>
            </w:r>
          </w:p>
        </w:tc>
        <w:tc>
          <w:tcPr>
            <w:tcW w:w="880" w:type="dxa"/>
            <w:vAlign w:val="bottom"/>
          </w:tcPr>
          <w:p>
            <w:pPr>
              <w:spacing w:after="0"/>
              <w:rPr>
                <w:sz w:val="17"/>
                <w:szCs w:val="17"/>
                <w:color w:val="auto"/>
              </w:rPr>
            </w:pPr>
          </w:p>
        </w:tc>
      </w:tr>
      <w:tr>
        <w:trPr>
          <w:trHeight w:val="201"/>
        </w:trPr>
        <w:tc>
          <w:tcPr>
            <w:tcW w:w="1520" w:type="dxa"/>
            <w:vAlign w:val="bottom"/>
          </w:tcPr>
          <w:p>
            <w:pPr>
              <w:jc w:val="right"/>
              <w:spacing w:after="0"/>
              <w:rPr>
                <w:sz w:val="20"/>
                <w:szCs w:val="20"/>
                <w:color w:val="auto"/>
              </w:rPr>
            </w:pPr>
            <w:r>
              <w:rPr>
                <w:rFonts w:ascii="Courier New" w:cs="Courier New" w:eastAsia="Courier New" w:hAnsi="Courier New"/>
                <w:sz w:val="8"/>
                <w:szCs w:val="8"/>
                <w:color w:val="auto"/>
                <w:w w:val="78"/>
              </w:rPr>
              <w:t>(3).....................................</w:t>
            </w:r>
          </w:p>
        </w:tc>
        <w:tc>
          <w:tcPr>
            <w:tcW w:w="3260" w:type="dxa"/>
            <w:vAlign w:val="bottom"/>
          </w:tcPr>
          <w:p>
            <w:pPr>
              <w:jc w:val="right"/>
              <w:spacing w:after="0"/>
              <w:rPr>
                <w:sz w:val="20"/>
                <w:szCs w:val="20"/>
                <w:color w:val="auto"/>
              </w:rPr>
            </w:pPr>
            <w:r>
              <w:rPr>
                <w:rFonts w:ascii="Courier New" w:cs="Courier New" w:eastAsia="Courier New" w:hAnsi="Courier New"/>
                <w:sz w:val="17"/>
                <w:szCs w:val="17"/>
                <w:color w:val="auto"/>
              </w:rPr>
              <w:t>829</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(1,479)</w:t>
            </w:r>
          </w:p>
        </w:tc>
      </w:tr>
      <w:tr>
        <w:trPr>
          <w:trHeight w:val="201"/>
        </w:trPr>
        <w:tc>
          <w:tcPr>
            <w:tcW w:w="1520" w:type="dxa"/>
            <w:vAlign w:val="bottom"/>
          </w:tcPr>
          <w:p>
            <w:pPr>
              <w:spacing w:after="0"/>
              <w:rPr>
                <w:sz w:val="17"/>
                <w:szCs w:val="17"/>
                <w:color w:val="auto"/>
              </w:rPr>
            </w:pPr>
          </w:p>
        </w:tc>
        <w:tc>
          <w:tcPr>
            <w:tcW w:w="3260" w:type="dxa"/>
            <w:vAlign w:val="bottom"/>
          </w:tcPr>
          <w:p>
            <w:pPr>
              <w:jc w:val="center"/>
              <w:ind w:right="533"/>
              <w:spacing w:after="0"/>
              <w:rPr>
                <w:sz w:val="20"/>
                <w:szCs w:val="20"/>
                <w:color w:val="auto"/>
              </w:rPr>
            </w:pPr>
            <w:r>
              <w:rPr>
                <w:rFonts w:ascii="Courier New" w:cs="Courier New" w:eastAsia="Courier New" w:hAnsi="Courier New"/>
                <w:sz w:val="17"/>
                <w:szCs w:val="17"/>
                <w:color w:val="auto"/>
              </w:rPr>
              <w:t>Comprehensive</w:t>
            </w:r>
          </w:p>
        </w:tc>
        <w:tc>
          <w:tcPr>
            <w:tcW w:w="880" w:type="dxa"/>
            <w:vAlign w:val="bottom"/>
          </w:tcPr>
          <w:p>
            <w:pPr>
              <w:spacing w:after="0"/>
              <w:rPr>
                <w:sz w:val="17"/>
                <w:szCs w:val="17"/>
                <w:color w:val="auto"/>
              </w:rPr>
            </w:pPr>
          </w:p>
        </w:tc>
      </w:tr>
      <w:tr>
        <w:trPr>
          <w:trHeight w:val="201"/>
        </w:trPr>
        <w:tc>
          <w:tcPr>
            <w:tcW w:w="4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Income........................................</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$ 9,362</w:t>
            </w:r>
          </w:p>
        </w:tc>
      </w:tr>
      <w:tr>
        <w:trPr>
          <w:trHeight w:val="201"/>
        </w:trPr>
        <w:tc>
          <w:tcPr>
            <w:tcW w:w="1520" w:type="dxa"/>
            <w:vAlign w:val="bottom"/>
          </w:tcPr>
          <w:p>
            <w:pPr>
              <w:spacing w:after="0"/>
              <w:rPr>
                <w:sz w:val="17"/>
                <w:szCs w:val="17"/>
                <w:color w:val="auto"/>
              </w:rPr>
            </w:pPr>
          </w:p>
        </w:tc>
        <w:tc>
          <w:tcPr>
            <w:tcW w:w="3260" w:type="dxa"/>
            <w:vAlign w:val="bottom"/>
          </w:tcPr>
          <w:p>
            <w:pPr>
              <w:jc w:val="center"/>
              <w:ind w:right="553"/>
              <w:spacing w:after="0"/>
              <w:rPr>
                <w:sz w:val="20"/>
                <w:szCs w:val="20"/>
                <w:color w:val="auto"/>
              </w:rPr>
            </w:pPr>
            <w:r>
              <w:rPr>
                <w:rFonts w:ascii="Courier New" w:cs="Courier New" w:eastAsia="Courier New" w:hAnsi="Courier New"/>
                <w:sz w:val="17"/>
                <w:szCs w:val="17"/>
                <w:color w:val="auto"/>
              </w:rPr>
              <w:t>$ 3,159</w:t>
            </w:r>
          </w:p>
        </w:tc>
        <w:tc>
          <w:tcPr>
            <w:tcW w:w="88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540" w:right="2359"/>
        <w:spacing w:after="0" w:line="257" w:lineRule="auto"/>
        <w:rPr>
          <w:sz w:val="20"/>
          <w:szCs w:val="20"/>
          <w:color w:val="auto"/>
        </w:rPr>
      </w:pPr>
      <w:r>
        <w:rPr>
          <w:rFonts w:ascii="Courier New" w:cs="Courier New" w:eastAsia="Courier New" w:hAnsi="Courier New"/>
          <w:sz w:val="17"/>
          <w:szCs w:val="17"/>
          <w:color w:val="auto"/>
        </w:rPr>
        <w:t>AT&amp;T accounts for treasury stock as retired stock. We have 100 million authorized shares of preferred stock at $1 par value.</w:t>
      </w:r>
    </w:p>
    <w:p>
      <w:pPr>
        <w:spacing w:after="0" w:line="192" w:lineRule="exact"/>
        <w:rPr>
          <w:sz w:val="20"/>
          <w:szCs w:val="20"/>
          <w:color w:val="auto"/>
        </w:rPr>
      </w:pPr>
    </w:p>
    <w:p>
      <w:pPr>
        <w:ind w:left="540" w:right="1939" w:hanging="323"/>
        <w:spacing w:after="0" w:line="257" w:lineRule="auto"/>
        <w:tabs>
          <w:tab w:leader="none" w:pos="540" w:val="left"/>
        </w:tabs>
        <w:numPr>
          <w:ilvl w:val="0"/>
          <w:numId w:val="6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activity in 2001 and 2000 represents AT&amp;T stock received in exchange for entities owning certain cable systems.</w:t>
      </w:r>
    </w:p>
    <w:p>
      <w:pPr>
        <w:spacing w:after="0" w:line="192" w:lineRule="exact"/>
        <w:rPr>
          <w:sz w:val="20"/>
          <w:szCs w:val="20"/>
          <w:color w:val="auto"/>
        </w:rPr>
      </w:pPr>
    </w:p>
    <w:p>
      <w:pPr>
        <w:jc w:val="both"/>
        <w:ind w:left="540" w:right="1839" w:hanging="428"/>
        <w:spacing w:after="0" w:line="254" w:lineRule="auto"/>
        <w:tabs>
          <w:tab w:leader="none" w:pos="540" w:val="left"/>
        </w:tabs>
        <w:numPr>
          <w:ilvl w:val="0"/>
          <w:numId w:val="6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LMG's foreign currency translation adjustments totaling $(149) and $(193), net of applicable income taxes for the year-to-date periods through July 31, 2001 and September 30, 2000, respectively.</w:t>
      </w:r>
    </w:p>
    <w:p>
      <w:pPr>
        <w:spacing w:after="0" w:line="194" w:lineRule="exact"/>
        <w:rPr>
          <w:rFonts w:ascii="Courier New" w:cs="Courier New" w:eastAsia="Courier New" w:hAnsi="Courier New"/>
          <w:sz w:val="17"/>
          <w:szCs w:val="17"/>
          <w:color w:val="auto"/>
        </w:rPr>
      </w:pPr>
    </w:p>
    <w:p>
      <w:pPr>
        <w:ind w:left="540" w:right="2039" w:hanging="428"/>
        <w:spacing w:after="0" w:line="253" w:lineRule="auto"/>
        <w:tabs>
          <w:tab w:leader="none" w:pos="540" w:val="left"/>
        </w:tabs>
        <w:numPr>
          <w:ilvl w:val="0"/>
          <w:numId w:val="6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LMG's unrealized gains (losses) on available-for-sale securities totaling $1,286 and $(1,825), net of applicable income taxes for the year-to-date periods through July 31, 2001 and September 30, 2000, respectively.</w:t>
      </w:r>
    </w:p>
    <w:p>
      <w:pPr>
        <w:spacing w:after="0" w:line="195" w:lineRule="exact"/>
        <w:rPr>
          <w:rFonts w:ascii="Courier New" w:cs="Courier New" w:eastAsia="Courier New" w:hAnsi="Courier New"/>
          <w:sz w:val="17"/>
          <w:szCs w:val="17"/>
          <w:color w:val="auto"/>
        </w:rPr>
      </w:pPr>
    </w:p>
    <w:p>
      <w:pPr>
        <w:ind w:left="540" w:right="2039" w:hanging="428"/>
        <w:spacing w:after="0" w:line="254" w:lineRule="auto"/>
        <w:tabs>
          <w:tab w:leader="none" w:pos="540" w:val="left"/>
        </w:tabs>
        <w:numPr>
          <w:ilvl w:val="0"/>
          <w:numId w:val="6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note (c) for a summary of the "Recognition of previously unrealized losses (gains) on available-for-sale securities" and the income statement line items impacted.</w:t>
      </w:r>
    </w:p>
    <w:p>
      <w:pPr>
        <w:sectPr>
          <w:pgSz w:w="11900" w:h="16838" w:orient="portrait"/>
          <w:cols w:equalWidth="0" w:num="1">
            <w:col w:w="10219"/>
          </w:cols>
          <w:pgMar w:left="240" w:top="518" w:right="1440" w:bottom="39" w:gutter="0" w:footer="0" w:header="0"/>
        </w:sectPr>
      </w:pPr>
    </w:p>
    <w:bookmarkStart w:id="586" w:name="page587"/>
    <w:bookmarkEnd w:id="586"/>
    <w:p>
      <w:pPr>
        <w:jc w:val="center"/>
        <w:ind w:right="3039"/>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9"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7"/>
          <w:szCs w:val="17"/>
          <w:color w:val="auto"/>
        </w:rPr>
        <w:t>L-7</w:t>
      </w:r>
    </w:p>
    <w:p>
      <w:pPr>
        <w:sectPr>
          <w:pgSz w:w="11900" w:h="16838" w:orient="portrait"/>
          <w:cols w:equalWidth="0" w:num="1">
            <w:col w:w="9019"/>
          </w:cols>
          <w:pgMar w:left="1440" w:top="142" w:right="1440" w:bottom="1440" w:gutter="0" w:footer="0" w:header="0"/>
        </w:sectPr>
      </w:pPr>
    </w:p>
    <w:bookmarkStart w:id="587" w:name="page588"/>
    <w:bookmarkEnd w:id="587"/>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NINE MONTHS ENDED SEPTEMBER 30, -----------------</w:t>
      </w:r>
    </w:p>
    <w:p>
      <w:pPr>
        <w:spacing w:after="0" w:line="9" w:lineRule="exact"/>
        <w:rPr>
          <w:sz w:val="20"/>
          <w:szCs w:val="20"/>
          <w:color w:val="auto"/>
        </w:rPr>
      </w:pPr>
    </w:p>
    <w:p>
      <w:pPr>
        <w:jc w:val="both"/>
        <w:ind w:left="100" w:right="4199" w:hanging="43"/>
        <w:spacing w:after="0" w:line="251" w:lineRule="auto"/>
        <w:tabs>
          <w:tab w:leader="none" w:pos="467" w:val="left"/>
        </w:tabs>
        <w:numPr>
          <w:ilvl w:val="0"/>
          <w:numId w:val="6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2001 2000 -------- --------- OPERATING ACTIVITIES Net income..................................................</w:t>
      </w: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$ 9,106 $ 7,789 Deduct: Income from discontinued</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3000" w:type="dxa"/>
            <w:vAlign w:val="bottom"/>
          </w:tcPr>
          <w:p>
            <w:pPr>
              <w:jc w:val="right"/>
              <w:ind w:right="36"/>
              <w:spacing w:after="0"/>
              <w:rPr>
                <w:sz w:val="20"/>
                <w:szCs w:val="20"/>
                <w:color w:val="auto"/>
              </w:rPr>
            </w:pPr>
            <w:r>
              <w:rPr>
                <w:rFonts w:ascii="Courier New" w:cs="Courier New" w:eastAsia="Courier New" w:hAnsi="Courier New"/>
                <w:sz w:val="17"/>
                <w:szCs w:val="17"/>
                <w:color w:val="auto"/>
              </w:rPr>
              <w:t>operations.................</w:t>
            </w:r>
          </w:p>
        </w:tc>
        <w:tc>
          <w:tcPr>
            <w:tcW w:w="2880" w:type="dxa"/>
            <w:vAlign w:val="bottom"/>
          </w:tcPr>
          <w:p>
            <w:pPr>
              <w:jc w:val="right"/>
              <w:spacing w:after="0"/>
              <w:rPr>
                <w:sz w:val="20"/>
                <w:szCs w:val="20"/>
                <w:color w:val="auto"/>
              </w:rPr>
            </w:pPr>
            <w:r>
              <w:rPr>
                <w:rFonts w:ascii="Courier New" w:cs="Courier New" w:eastAsia="Courier New" w:hAnsi="Courier New"/>
                <w:sz w:val="17"/>
                <w:szCs w:val="17"/>
                <w:color w:val="auto"/>
              </w:rPr>
              <w:t>150 208 Gain on disposition</w:t>
            </w:r>
          </w:p>
        </w:tc>
      </w:tr>
      <w:tr>
        <w:trPr>
          <w:trHeight w:val="201"/>
        </w:trPr>
        <w:tc>
          <w:tcPr>
            <w:tcW w:w="3000" w:type="dxa"/>
            <w:vAlign w:val="bottom"/>
          </w:tcPr>
          <w:p>
            <w:pPr>
              <w:jc w:val="right"/>
              <w:spacing w:after="0"/>
              <w:rPr>
                <w:sz w:val="20"/>
                <w:szCs w:val="20"/>
                <w:color w:val="auto"/>
              </w:rPr>
            </w:pPr>
            <w:r>
              <w:rPr>
                <w:rFonts w:ascii="Courier New" w:cs="Courier New" w:eastAsia="Courier New" w:hAnsi="Courier New"/>
                <w:sz w:val="17"/>
                <w:szCs w:val="17"/>
                <w:color w:val="auto"/>
                <w:w w:val="91"/>
              </w:rPr>
              <w:t>of discontinued operations......</w:t>
            </w:r>
          </w:p>
        </w:tc>
        <w:tc>
          <w:tcPr>
            <w:tcW w:w="2880" w:type="dxa"/>
            <w:vAlign w:val="bottom"/>
          </w:tcPr>
          <w:p>
            <w:pPr>
              <w:jc w:val="right"/>
              <w:spacing w:after="0"/>
              <w:rPr>
                <w:sz w:val="20"/>
                <w:szCs w:val="20"/>
                <w:color w:val="auto"/>
              </w:rPr>
            </w:pPr>
            <w:r>
              <w:rPr>
                <w:rFonts w:ascii="Courier New" w:cs="Courier New" w:eastAsia="Courier New" w:hAnsi="Courier New"/>
                <w:sz w:val="17"/>
                <w:szCs w:val="17"/>
                <w:color w:val="auto"/>
              </w:rPr>
              <w:t>13,503 -- (Loss) income</w:t>
            </w:r>
          </w:p>
        </w:tc>
      </w:tr>
      <w:tr>
        <w:trPr>
          <w:trHeight w:val="201"/>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w w:val="71"/>
              </w:rPr>
              <w:t>from continuing operations....................</w:t>
            </w:r>
          </w:p>
        </w:tc>
        <w:tc>
          <w:tcPr>
            <w:tcW w:w="2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(4,547)</w:t>
            </w:r>
          </w:p>
        </w:tc>
      </w:tr>
    </w:tbl>
    <w:p>
      <w:pPr>
        <w:spacing w:after="0" w:line="4"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7,581 Adjustments to reconcile (loss) income from</w:t>
      </w:r>
    </w:p>
    <w:p>
      <w:pPr>
        <w:spacing w:after="0" w:line="9" w:lineRule="exact"/>
        <w:rPr>
          <w:sz w:val="20"/>
          <w:szCs w:val="20"/>
          <w:color w:val="auto"/>
        </w:rPr>
      </w:pPr>
    </w:p>
    <w:p>
      <w:pPr>
        <w:jc w:val="center"/>
        <w:ind w:right="4139"/>
        <w:spacing w:after="0" w:line="251" w:lineRule="auto"/>
        <w:rPr>
          <w:sz w:val="20"/>
          <w:szCs w:val="20"/>
          <w:color w:val="auto"/>
        </w:rPr>
      </w:pPr>
      <w:r>
        <w:rPr>
          <w:rFonts w:ascii="Courier New" w:cs="Courier New" w:eastAsia="Courier New" w:hAnsi="Courier New"/>
          <w:sz w:val="17"/>
          <w:szCs w:val="17"/>
          <w:color w:val="auto"/>
        </w:rPr>
        <w:t>continuing operations to net cash provided by operating activities of continuing operations: Cumulative effect of accounting change -- net of income taxes................................................. (904) -- Net gains on sales of businesses and</w:t>
      </w:r>
    </w:p>
    <w:p>
      <w:pPr>
        <w:ind w:left="260"/>
        <w:spacing w:after="0"/>
        <w:rPr>
          <w:sz w:val="20"/>
          <w:szCs w:val="20"/>
          <w:color w:val="auto"/>
        </w:rPr>
      </w:pPr>
      <w:r>
        <w:rPr>
          <w:rFonts w:ascii="Courier New" w:cs="Courier New" w:eastAsia="Courier New" w:hAnsi="Courier New"/>
          <w:sz w:val="17"/>
          <w:szCs w:val="17"/>
          <w:color w:val="auto"/>
        </w:rPr>
        <w:t>investments........ (689) (885) Investment impairment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charges........................... 4,208 -- Estimated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loss on contractual obligations............... 2,418 --</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Put option settlement loss and mark-to-market charge....</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838 21 Net restructuring and other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charges..................... 1,386 630 Depreciation and</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amortization........................... 7,036 5,637</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Provision for uncollectible receivables.................</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850 785 Deferred income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taxes................................... (4,865) 198 Net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revaluation of trading securities................... 779</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 Minority interest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income................................ (1,222) (89) Net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equity losses (earnings) from Liberty Media Group...</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2,711 (2,965) Net losses from other equity</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investments................ 725 1,034 Increase in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receivables................................. (49) (2,081)</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Decrease in accounts payable............................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(816) (1,447) Net change in other operating assets and</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liabilities.... (1,067) 59 Other adjustments,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 (51) (364) NET CASH</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PROVIDED BY OPERATING ACTIVITIES OF CONTINUING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6,741 8,114 INVESTING ACTIVITIES Capital expenditures and</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other additions.................... (6,450) (7,753)</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Proceeds from sale or disposal of property, plant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equipment.................................................</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62 547 Increase in other</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receivables............................... (105) (981)</w:t>
      </w:r>
    </w:p>
    <w:p>
      <w:pPr>
        <w:spacing w:after="0" w:line="9"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Sales of marketable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securities.............................. 102 35 Purchases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of marketable securities.......................... (18) -</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 Equity investment distributions and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sales................... 1,845 785 Equity investment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contributions and purchases............... (177) (2,364)</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Net dispositions (acquisitions) of businesses, net of</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cash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disposed/acquired.........................................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4,827 (16,614) Other investing activities,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net............................. (121) (91) NET CASH USED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IN INVESTING ACTIVITIES OF CONTINUING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(35) (26,436) FINANCING ACTIVITIES Proceeds from long-</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term debt issuances...................... 195 739</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Retirement of long-term</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debt................................ (1,618) (1,954)</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(Decrease) increase in short-term borrowings,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net........... (9,580) 17,363 Repayment of borrowings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from AT&amp;T Wireless.................. (5,803) -- Issuance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of convertible preferred securities and warrants... 9,811</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 Redemption of redeemable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securities......................... -- (152) Issuance of</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AT&amp;T common shares.............................. 133 --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Issuance of AT&amp;T Wireless Group common</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shares............... 54 10,291 Net issuance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(acquisition) of treasury shares............... 23 (588)</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Dividends paid on common</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stock.............................. (416) (2,221)</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Dividends paid on preferred</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securities...................... (190) (147) Other</w:t>
      </w:r>
    </w:p>
    <w:p>
      <w:pPr>
        <w:sectPr>
          <w:pgSz w:w="11900" w:h="16838" w:orient="portrait"/>
          <w:cols w:equalWidth="0" w:num="1">
            <w:col w:w="10219"/>
          </w:cols>
          <w:pgMar w:left="240" w:top="718" w:right="1440" w:bottom="0" w:gutter="0" w:footer="0" w:header="0"/>
        </w:sectPr>
      </w:pPr>
    </w:p>
    <w:bookmarkStart w:id="588" w:name="page589"/>
    <w:bookmarkEnd w:id="588"/>
    <w:p>
      <w:pPr>
        <w:ind w:left="160"/>
        <w:spacing w:after="0"/>
        <w:rPr>
          <w:sz w:val="20"/>
          <w:szCs w:val="20"/>
          <w:color w:val="auto"/>
        </w:rPr>
      </w:pPr>
      <w:r>
        <w:rPr>
          <w:rFonts w:ascii="Courier New" w:cs="Courier New" w:eastAsia="Courier New" w:hAnsi="Courier New"/>
          <w:sz w:val="17"/>
          <w:szCs w:val="17"/>
          <w:color w:val="auto"/>
        </w:rPr>
        <w:t>financing activities, net.............................</w:t>
      </w:r>
    </w:p>
    <w:p>
      <w:pPr>
        <w:spacing w:after="0" w:line="9" w:lineRule="exact"/>
        <w:rPr>
          <w:sz w:val="20"/>
          <w:szCs w:val="20"/>
          <w:color w:val="auto"/>
        </w:rPr>
      </w:pPr>
    </w:p>
    <w:p>
      <w:pPr>
        <w:ind w:left="1720" w:right="4559" w:hanging="1357"/>
        <w:spacing w:after="0" w:line="251" w:lineRule="auto"/>
        <w:tabs>
          <w:tab w:leader="none" w:pos="882" w:val="left"/>
        </w:tabs>
        <w:numPr>
          <w:ilvl w:val="0"/>
          <w:numId w:val="6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(30) NET CASH (USED IN) PROVIDED BY FINANCING ACTIVITIES OF CONTINUING</w:t>
      </w:r>
    </w:p>
    <w:p>
      <w:pPr>
        <w:jc w:val="center"/>
        <w:ind w:right="4199"/>
        <w:spacing w:after="0" w:line="252" w:lineRule="auto"/>
        <w:rPr>
          <w:sz w:val="20"/>
          <w:szCs w:val="20"/>
          <w:color w:val="auto"/>
        </w:rPr>
      </w:pPr>
      <w:r>
        <w:rPr>
          <w:rFonts w:ascii="Courier New" w:cs="Courier New" w:eastAsia="Courier New" w:hAnsi="Courier New"/>
          <w:sz w:val="17"/>
          <w:szCs w:val="17"/>
          <w:color w:val="auto"/>
        </w:rPr>
        <w:t>OPERATIONS..................................... (7,432) 23,301 Net cash provided by (used in) discontinued operation....... 4,860 (5,686) Net increase (decrease) in cash and cash equivalents........ 4,134 (707) Cash and cash equivalents at beginning of year.............. 64 1,018 Cash and cash equivalents at end of period.................. $ 4,198 $ 311</w:t>
      </w:r>
    </w:p>
    <w:p>
      <w:pPr>
        <w:spacing w:after="0" w:line="39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The notes are an integral part of the consolidated financial statements</w:t>
      </w:r>
    </w:p>
    <w:p>
      <w:pPr>
        <w:spacing w:after="0" w:line="210"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L-8</w:t>
      </w:r>
    </w:p>
    <w:p>
      <w:pPr>
        <w:sectPr>
          <w:pgSz w:w="11900" w:h="16838" w:orient="portrait"/>
          <w:cols w:equalWidth="0" w:num="1">
            <w:col w:w="10159"/>
          </w:cols>
          <w:pgMar w:left="300" w:top="141" w:right="1440" w:bottom="1440" w:gutter="0" w:footer="0" w:header="0"/>
        </w:sectPr>
      </w:pPr>
    </w:p>
    <w:bookmarkStart w:id="589" w:name="page590"/>
    <w:bookmarkEnd w:id="589"/>
    <w:p>
      <w:pPr>
        <w:ind w:left="2740"/>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(DOLLARS IN MILLIONS EXCEPT PER SHARE AMOUNTS)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p>
      <w:pPr>
        <w:ind w:left="540" w:hanging="533"/>
        <w:spacing w:after="0"/>
        <w:tabs>
          <w:tab w:leader="none" w:pos="540" w:val="left"/>
        </w:tabs>
        <w:numPr>
          <w:ilvl w:val="0"/>
          <w:numId w:val="6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consolidated financial statements have been prepared by AT&amp;T Corp. (AT&amp;T) pursuant to the rules and regulations of the Securities and Exchange Commission (SEC) and, in the opinion of management, include all adjustments necessary for a fair presentation of the consolidated results of operations, financial position and cash flows for each period presented. The consolidated results for interim periods are not necessarily indicative of results for the full year. These financial results should be read in conjunction with AT&amp;T's Form 10-K/A for the year ended December 31, 2000, AT&amp;T's Form 8-K filed on September 24, 2001, restating the company's financial results for the year ended December 31, 2000 to reflect AT&amp;T Wireless as a discontinued operation, AT&amp;T's Form 10-Q/A for the quarter ended March 31, 2001 and AT&amp;T's Form 10-Q for the quarter ended June 30, 2001. We have reclassified certain prior period amounts to conform with our current presentation.</w:t>
      </w:r>
    </w:p>
    <w:p>
      <w:pPr>
        <w:spacing w:after="0" w:line="201" w:lineRule="exact"/>
        <w:rPr>
          <w:sz w:val="20"/>
          <w:szCs w:val="20"/>
          <w:color w:val="auto"/>
        </w:rPr>
      </w:pPr>
    </w:p>
    <w:p>
      <w:pPr>
        <w:ind w:left="540" w:hanging="533"/>
        <w:spacing w:after="0"/>
        <w:tabs>
          <w:tab w:leader="none" w:pos="540" w:val="left"/>
        </w:tabs>
        <w:numPr>
          <w:ilvl w:val="0"/>
          <w:numId w:val="6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RESTRUCTURING OF AT&amp;T</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On October 25, 2000, AT&amp;T announced a restructuring plan designed to fully separate or issue separately tracked stocks intended to reflect the financial performance and economic value of each of AT&amp;T's four major operating units. If the plan is completed as announced, AT&amp;T Wireless, AT&amp;T Broadband, AT&amp;T Business and AT&amp;T Consumer would all be represented by asset-based or tracking stocks.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July 8, 2001, Comcast Corp. (Comcast) made an unsolicited offer to acquire AT&amp;T Broadband. On July 18, AT&amp;T's Board of Directors unanimously voted to reject Comcast's proposal to acquire AT&amp;T Broadband. The Board has directed management to explore financial and strategic alternatives relating to AT&amp;T Broadband, including the previously announced restructuring plans, with the goal to provide the greatest long-term value to shareowners. The Board also decided to delay finalizing and mailing to shareowners the proxy materials, filed preliminary with the SEC on July 3, 2001, for its current restructuring plans. However, AT&amp;T remains committed to separate AT&amp;T Consumer and AT&amp;T Business from AT&amp;T Broadband.</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Nevertheless, AT&amp;T's restructuring plan is complicated and involves a substantial number of steps and transactions, including obtaining various conditions, such as Internal Revenue Service rulings. AT&amp;T expects that transactions associated with AT&amp;T's restructuring plan will be tax-free to U.S. shareowners. Future financial conditions, superior alternatives or other factors may arise or occur that make it inadvisable to proceed with part or all of AT&amp;T's restructuring plans. Any or all of the elements of AT&amp;T's restructuring plan may not occur as we currently expect or in the time frames that we currently contemplate, or at all. Alternative forms of restructuring, including sales of interests in these businesses, would reduce what is available for distribution to shareowners in the restructuring.</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May 25, 2001, AT&amp;T completed an exchange offer of AT&amp;T common stock for AT&amp;T Wireless stock. Under the terms of the exchange offer, AT&amp;T issued 1.176 shares of AT&amp;T Wireless Group tracking stock in exchange for each share of AT&amp;T common stock validly tendered. A total of 372.2 million shares of AT&amp;T common stock were tendered in exchange for 437.7 million shares of AT&amp;T Wireless Group tracking stock.</w:t>
      </w:r>
    </w:p>
    <w:p>
      <w:pPr>
        <w:spacing w:after="0" w:line="197" w:lineRule="exact"/>
        <w:rPr>
          <w:sz w:val="20"/>
          <w:szCs w:val="20"/>
          <w:color w:val="auto"/>
        </w:rPr>
      </w:pPr>
    </w:p>
    <w:p>
      <w:pPr>
        <w:ind w:right="2679" w:firstLine="524"/>
        <w:spacing w:after="0" w:line="257" w:lineRule="auto"/>
        <w:rPr>
          <w:sz w:val="20"/>
          <w:szCs w:val="20"/>
          <w:color w:val="auto"/>
        </w:rPr>
      </w:pPr>
      <w:r>
        <w:rPr>
          <w:rFonts w:ascii="Courier New" w:cs="Courier New" w:eastAsia="Courier New" w:hAnsi="Courier New"/>
          <w:sz w:val="17"/>
          <w:szCs w:val="17"/>
          <w:color w:val="auto"/>
        </w:rPr>
        <w:t>On July 9, 2001, AT&amp;T completed the split-off of AT&amp;T Wireless as a separate, independently-traded company (see note d).</w:t>
      </w:r>
    </w:p>
    <w:p>
      <w:pPr>
        <w:spacing w:after="0" w:line="192"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On August 10, 2001, AT&amp;T completed the split-off of Liberty Media Corporation (LMC) as an independent, publicly-traded company (see note e).</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L-9</w:t>
      </w:r>
    </w:p>
    <w:p>
      <w:pPr>
        <w:sectPr>
          <w:pgSz w:w="11900" w:h="16838" w:orient="portrait"/>
          <w:cols w:equalWidth="0" w:num="1">
            <w:col w:w="10219"/>
          </w:cols>
          <w:pgMar w:left="240" w:top="719" w:right="1440" w:bottom="1440" w:gutter="0" w:footer="0" w:header="0"/>
        </w:sectPr>
      </w:pPr>
    </w:p>
    <w:bookmarkStart w:id="590" w:name="page591"/>
    <w:bookmarkEnd w:id="590"/>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540" w:hanging="533"/>
        <w:spacing w:after="0"/>
        <w:tabs>
          <w:tab w:leader="none" w:pos="540" w:val="left"/>
        </w:tabs>
        <w:numPr>
          <w:ilvl w:val="0"/>
          <w:numId w:val="6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RECLASSIFICATION ADJUSTMENT OF OTHER COMPREHENSIVE INCOME</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has investment holdings classified as "available-for-sale" under the scope of Statement of Financial Accounting Standards (SFAS) No. 115, "Accounting for Certain Investments in Debt and Equity Securities." These securities are carried at fair value with any unrealized gains or losses, net of income taxes, being included within other comprehensive income as a component of shareowners' equity. Under SFAS No. 115, when the "available-for-sale" securities are sold, the previously unrealized gains or losses shall be recognized in earnings. In addition, upon the adoption of SFAS No. 133, we reclassified certain securities to "trading," resulting in the recognition in earnings of previously unrealized losses (see note n). Following is a summary of the "Recognition of previously unrealized losses (gains) on available-for-sale securities" and the income statement line items impacted for the nine months ended September 30, 2001 and 2000.</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NINE MONTHS ENDED SEPTEMBER 30,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------------------------------------- 2001</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2000 ------------------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PRETAX AFTER-TAX PRETAX AFTER-TAX ------ --</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 ------- --------- AT&amp;T Group: Other</w:t>
      </w:r>
    </w:p>
    <w:p>
      <w:pPr>
        <w:spacing w:after="0" w:line="9"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7"/>
          <w:szCs w:val="17"/>
          <w:color w:val="auto"/>
        </w:rPr>
        <w:t>income: Reclassification of securities to</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"trading" in conjunction with the adoption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00" w:type="dxa"/>
            <w:vAlign w:val="bottom"/>
          </w:tcPr>
          <w:p>
            <w:pPr>
              <w:spacing w:after="0"/>
              <w:rPr>
                <w:sz w:val="17"/>
                <w:szCs w:val="17"/>
                <w:color w:val="auto"/>
              </w:rPr>
            </w:pPr>
          </w:p>
        </w:tc>
        <w:tc>
          <w:tcPr>
            <w:tcW w:w="3460" w:type="dxa"/>
            <w:vAlign w:val="bottom"/>
            <w:gridSpan w:val="2"/>
          </w:tcPr>
          <w:p>
            <w:pPr>
              <w:jc w:val="right"/>
              <w:ind w:right="1273"/>
              <w:spacing w:after="0"/>
              <w:rPr>
                <w:sz w:val="20"/>
                <w:szCs w:val="20"/>
                <w:color w:val="auto"/>
              </w:rPr>
            </w:pPr>
            <w:r>
              <w:rPr>
                <w:rFonts w:ascii="Courier New" w:cs="Courier New" w:eastAsia="Courier New" w:hAnsi="Courier New"/>
                <w:sz w:val="17"/>
                <w:szCs w:val="17"/>
                <w:color w:val="auto"/>
              </w:rPr>
              <w:t>of "SFAS No. 133"</w:t>
            </w:r>
          </w:p>
        </w:tc>
      </w:tr>
      <w:tr>
        <w:trPr>
          <w:trHeight w:val="201"/>
        </w:trPr>
        <w:tc>
          <w:tcPr>
            <w:tcW w:w="15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(1).........................................</w:t>
            </w:r>
          </w:p>
        </w:tc>
        <w:tc>
          <w:tcPr>
            <w:tcW w:w="2980" w:type="dxa"/>
            <w:vAlign w:val="bottom"/>
          </w:tcPr>
          <w:p>
            <w:pPr>
              <w:spacing w:after="0"/>
              <w:rPr>
                <w:sz w:val="17"/>
                <w:szCs w:val="17"/>
                <w:color w:val="auto"/>
              </w:rPr>
            </w:pPr>
          </w:p>
        </w:tc>
      </w:tr>
      <w:tr>
        <w:trPr>
          <w:trHeight w:val="201"/>
        </w:trPr>
        <w:tc>
          <w:tcPr>
            <w:tcW w:w="1100" w:type="dxa"/>
            <w:vAlign w:val="bottom"/>
          </w:tcPr>
          <w:p>
            <w:pPr>
              <w:jc w:val="right"/>
              <w:ind w:right="42"/>
              <w:spacing w:after="0"/>
              <w:rPr>
                <w:sz w:val="20"/>
                <w:szCs w:val="20"/>
                <w:color w:val="auto"/>
              </w:rPr>
            </w:pPr>
            <w:r>
              <w:rPr>
                <w:rFonts w:ascii="Courier New" w:cs="Courier New" w:eastAsia="Courier New" w:hAnsi="Courier New"/>
                <w:sz w:val="17"/>
                <w:szCs w:val="17"/>
                <w:color w:val="auto"/>
              </w:rPr>
              <w:t>$1,154</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w w:val="97"/>
              </w:rPr>
              <w:t>$713</w:t>
            </w:r>
          </w:p>
        </w:tc>
        <w:tc>
          <w:tcPr>
            <w:tcW w:w="29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 $ -- Sale of various</w:t>
            </w:r>
          </w:p>
        </w:tc>
      </w:tr>
      <w:tr>
        <w:trPr>
          <w:trHeight w:val="201"/>
        </w:trPr>
        <w:tc>
          <w:tcPr>
            <w:tcW w:w="1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securities........................</w:t>
            </w:r>
          </w:p>
        </w:tc>
        <w:tc>
          <w:tcPr>
            <w:tcW w:w="2980" w:type="dxa"/>
            <w:vAlign w:val="bottom"/>
          </w:tcPr>
          <w:p>
            <w:pPr>
              <w:jc w:val="right"/>
              <w:spacing w:after="0"/>
              <w:rPr>
                <w:sz w:val="20"/>
                <w:szCs w:val="20"/>
                <w:color w:val="auto"/>
              </w:rPr>
            </w:pPr>
            <w:r>
              <w:rPr>
                <w:rFonts w:ascii="Courier New" w:cs="Courier New" w:eastAsia="Courier New" w:hAnsi="Courier New"/>
                <w:sz w:val="17"/>
                <w:szCs w:val="17"/>
                <w:color w:val="auto"/>
              </w:rPr>
              <w:t>159 98 -</w:t>
            </w:r>
          </w:p>
        </w:tc>
      </w:tr>
    </w:tbl>
    <w:p>
      <w:pPr>
        <w:spacing w:after="0" w:line="4" w:lineRule="exact"/>
        <w:rPr>
          <w:sz w:val="20"/>
          <w:szCs w:val="20"/>
          <w:color w:val="auto"/>
        </w:rPr>
      </w:pPr>
    </w:p>
    <w:p>
      <w:pPr>
        <w:ind w:left="120" w:right="5659" w:hanging="62"/>
        <w:spacing w:after="0" w:line="251" w:lineRule="auto"/>
        <w:tabs>
          <w:tab w:leader="none" w:pos="277" w:val="left"/>
        </w:tabs>
        <w:numPr>
          <w:ilvl w:val="0"/>
          <w:numId w:val="6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Liberty Media Group: Earnings (losses) from Liberty Media Group: Sale of various securities........................ 173 105 (2,434) (1,479) Cumulative effect of</w:t>
      </w:r>
    </w:p>
    <w:tbl>
      <w:tblPr>
        <w:tblLayout w:type="fixed"/>
        <w:tblInd w:w="60" w:type="dxa"/>
        <w:tblCellMar>
          <w:top w:w="0" w:type="dxa"/>
          <w:left w:w="0" w:type="dxa"/>
          <w:bottom w:w="0" w:type="dxa"/>
          <w:right w:w="0" w:type="dxa"/>
        </w:tblCellMar>
      </w:tblPr>
      <w:tr>
        <w:trPr>
          <w:trHeight w:val="197"/>
        </w:trPr>
        <w:tc>
          <w:tcPr>
            <w:tcW w:w="3400" w:type="dxa"/>
            <w:vAlign w:val="bottom"/>
          </w:tcPr>
          <w:p>
            <w:pPr>
              <w:spacing w:after="0"/>
              <w:rPr>
                <w:sz w:val="20"/>
                <w:szCs w:val="20"/>
                <w:color w:val="auto"/>
              </w:rPr>
            </w:pPr>
            <w:r>
              <w:rPr>
                <w:rFonts w:ascii="Courier New" w:cs="Courier New" w:eastAsia="Courier New" w:hAnsi="Courier New"/>
                <w:sz w:val="17"/>
                <w:szCs w:val="17"/>
                <w:color w:val="auto"/>
              </w:rPr>
              <w:t>accounting change:(1)...........</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(144) (87)</w:t>
            </w:r>
          </w:p>
        </w:tc>
      </w:tr>
    </w:tbl>
    <w:p>
      <w:pPr>
        <w:spacing w:after="0" w:line="4" w:lineRule="exact"/>
        <w:rPr>
          <w:sz w:val="20"/>
          <w:szCs w:val="20"/>
          <w:color w:val="auto"/>
        </w:rPr>
      </w:pPr>
    </w:p>
    <w:p>
      <w:pPr>
        <w:ind w:left="60" w:right="5659" w:firstLine="312"/>
        <w:spacing w:after="0" w:line="251" w:lineRule="auto"/>
        <w:tabs>
          <w:tab w:leader="none" w:pos="689" w:val="left"/>
        </w:tabs>
        <w:numPr>
          <w:ilvl w:val="1"/>
          <w:numId w:val="6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Total recognition of previously unrealized losses (gains) on available-for-</w:t>
      </w: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sale securities............. $1,342 $829</w:t>
      </w:r>
    </w:p>
    <w:p>
      <w:pPr>
        <w:spacing w:after="0" w:line="8" w:lineRule="exact"/>
        <w:rPr>
          <w:rFonts w:ascii="Courier New" w:cs="Courier New" w:eastAsia="Courier New" w:hAnsi="Courier New"/>
          <w:sz w:val="17"/>
          <w:szCs w:val="17"/>
          <w:color w:val="auto"/>
        </w:rPr>
      </w:pPr>
    </w:p>
    <w:p>
      <w:pPr>
        <w:ind w:left="1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$(2,434) $(1,479)</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6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See note (n) for further discussion.</w:t>
      </w:r>
    </w:p>
    <w:p>
      <w:pPr>
        <w:spacing w:after="0" w:line="210" w:lineRule="exact"/>
        <w:rPr>
          <w:sz w:val="20"/>
          <w:szCs w:val="20"/>
          <w:color w:val="auto"/>
        </w:rPr>
      </w:pPr>
    </w:p>
    <w:p>
      <w:pPr>
        <w:ind w:left="540" w:hanging="533"/>
        <w:spacing w:after="0"/>
        <w:tabs>
          <w:tab w:leader="none" w:pos="540" w:val="left"/>
        </w:tabs>
        <w:numPr>
          <w:ilvl w:val="0"/>
          <w:numId w:val="6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DISCONTINUED OPERATIONS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Pursuant to AT&amp;T's restructuring plan (see note b), AT&amp;T completed the split-off of AT&amp;T Wireless as a separate, independently-traded company on July 9, 2001. All AT&amp;T Wireless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Internal Revenue Service (IRS) ruled that the transaction qualified as tax-free for AT&amp;T and its shareowners for U.S. federal income tax purposes, with the exception of cash received for fractional shares. AT&amp;T retained approximately $3 billion, or 7.3%, of AT&amp;T Wireless common stock, about half of which was used in a debt-for-equity exchange in July and approximately $0.6 billion was monetized in October. We expect to either sell, exchange or monetize the remaining portion of these holdings by the end of 2001.</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consolidated financial statements of AT&amp;T have been restated to reflect AT&amp;T Wireless as a discontinued operation. Accordingly, the revenue, costs and expenses, assets and liabilities and cash flows of AT&amp;T Wireless have been excluded from the respective captions in the Consolidated Statements of Operations, Consolidated Balance Sheets and Consolidated Statements of Cash Flows, and have been reported through June 30, 2001, the deemed effective split-off date for accounting purposes, as "Income from discontinued operations," net of applicable income taxes; as "Net assets of discontinued operations;"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L-10</w:t>
      </w:r>
    </w:p>
    <w:p>
      <w:pPr>
        <w:sectPr>
          <w:pgSz w:w="11900" w:h="16838" w:orient="portrait"/>
          <w:cols w:equalWidth="0" w:num="1">
            <w:col w:w="10219"/>
          </w:cols>
          <w:pgMar w:left="240" w:top="518" w:right="1440" w:bottom="860" w:gutter="0" w:footer="0" w:header="0"/>
        </w:sectPr>
      </w:pPr>
    </w:p>
    <w:bookmarkStart w:id="591" w:name="page592"/>
    <w:bookmarkEnd w:id="591"/>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jc w:val="both"/>
        <w:ind w:right="2039"/>
        <w:spacing w:after="0" w:line="254" w:lineRule="auto"/>
        <w:rPr>
          <w:sz w:val="20"/>
          <w:szCs w:val="20"/>
          <w:color w:val="auto"/>
        </w:rPr>
      </w:pPr>
      <w:r>
        <w:rPr>
          <w:rFonts w:ascii="Courier New" w:cs="Courier New" w:eastAsia="Courier New" w:hAnsi="Courier New"/>
          <w:sz w:val="17"/>
          <w:szCs w:val="17"/>
          <w:color w:val="auto"/>
        </w:rPr>
        <w:t>and as "Net cash provided by (used in) discontinued operations." The impact of the operating results from July 1 through July 9, 2001, were deemed immaterial to our consolidated results.</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Revenue for discontinued operations was $6,592 for the year-to-date period ended September 30, 2001, and $2,799 and $7,474 for the quarter and year-to-date period ended September 30, 2000, respectively.</w:t>
      </w:r>
    </w:p>
    <w:p>
      <w:pPr>
        <w:spacing w:after="0" w:line="194"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At December 31, 2000, "Net Assets of Discontinued Operations" included assets of $35,087 and total liabilities of $7,822. Total assets were comprised primarily of licensing costs, property, plant and equipment, goodwill and investments at December 31, 2000. Total liabilities at December 31, 2000, were comprised primarily of deferred income taxes, accounts payable and other short-term liabilities. Net assets of discontinued operations also included minority interest of $41 at December 31, 2000.</w:t>
      </w:r>
    </w:p>
    <w:p>
      <w:pPr>
        <w:spacing w:after="0" w:line="196"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Interest expense of $153 for the year-to-date period ended September 30, 2001, and $84 and $243 for the quarter and year-to-date period ended September 30, 2000, respectively, was allocated to discontinued operations based on the debt of AT&amp;T Corp. that was attributable to AT&amp;T Wireless. This debt was repaid to AT&amp;T prior to June 30, 2001, in connection with the split-off of AT&amp;T Wireless.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connection with the split-off of AT&amp;T Wireless, AT&amp;T wrote-up the net assets of AT&amp;T Wireless to fair value. This resulted in a tax-free gain of $13.5 billion, which represents the difference between the fair value of the Wireless tracking stock at the date of the split-off and AT&amp;T's book value in AT&amp;T Wireless Services. This gain was recorded in the third quarter of 2001 as a "Gain on disposition of discontinued operations."</w:t>
      </w:r>
    </w:p>
    <w:p>
      <w:pPr>
        <w:spacing w:after="0" w:line="19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noncash impacts of the split-off of AT&amp;T Wireless include the reduction of total assets of approximately $39.7 billion and reduced shareowners' equity of approximately $39.7 billion.</w:t>
      </w:r>
    </w:p>
    <w:p>
      <w:pPr>
        <w:spacing w:after="0" w:line="194"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In addition, AT&amp;T used approximately $1.6 billion of the $3.0 billion of AT&amp;T Wireless common stock we retained upon split-off, in a noncash debt-for-equity exchange in July 2001.</w:t>
      </w:r>
    </w:p>
    <w:p>
      <w:pPr>
        <w:spacing w:after="0" w:line="194" w:lineRule="exact"/>
        <w:rPr>
          <w:sz w:val="20"/>
          <w:szCs w:val="20"/>
          <w:color w:val="auto"/>
        </w:rPr>
      </w:pPr>
    </w:p>
    <w:p>
      <w:pPr>
        <w:ind w:left="540" w:hanging="533"/>
        <w:spacing w:after="0"/>
        <w:tabs>
          <w:tab w:leader="none" w:pos="540" w:val="left"/>
        </w:tabs>
        <w:numPr>
          <w:ilvl w:val="0"/>
          <w:numId w:val="6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IN LIBERTY MEDIA GROUP</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As a result of our merger with TCI in March 1999, we acquired Liberty Media Group (LMG). Although LMG was wholly-owned, we accounted for it under the equity method since we did not have a controlling financial interest. On August 10, 2001, AT&amp;T completed the split-off of Liberty Media Corporation (LMC) as an independent, publicly-traded company. AT&amp;T redeemed each outstanding share of Class A and Class B Liberty Media Group tracking stock for one share of Liberty Media Corporation's Series A and Series B common stock, respectively. The IRS ruled that the split-off of LMC qualified as a tax-free transaction for AT&amp;T, Liberty Media and their shareowners. The operating results of LMG through July 31, 2001, the deemed effective split-off date for accounting purposes, and the three and nine months ended September 30, 2000, were reflected as "Equity earnings (losses) from Liberty Media Group" in the accompanying Consolidated Statements of Operations. The impact of the operating results from August 1 through August 10, 2001, were deemed immaterial to our consolidated results. Upon the split-off, AT&amp;T paid LMG $0.8 billion related to TCI net operating losses generated prior to AT&amp;T's merger with TCI. In addition, AT&amp;T received approximately $0.1 billion from LMG related to taxes pursuant to a tax-sharing agreement between LMG and AT&amp;T Broadband which existed prior to the TCI merger. At December 31, 2000, this receivable was included in "Investment in Liberty Media Group and related receivables, net" in our consolidated balance sheet.</w:t>
      </w:r>
    </w:p>
    <w:p>
      <w:pPr>
        <w:spacing w:after="0" w:line="202"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The noncash impacts of the split-off of Liberty Media Group included the reduction of total assets of approximately $34.1 billion and reduced shareowners' equity of approximately $34.1 billion.</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L-11</w:t>
      </w:r>
    </w:p>
    <w:p>
      <w:pPr>
        <w:sectPr>
          <w:pgSz w:w="11900" w:h="16838" w:orient="portrait"/>
          <w:cols w:equalWidth="0" w:num="1">
            <w:col w:w="10219"/>
          </w:cols>
          <w:pgMar w:left="240" w:top="518" w:right="1440" w:bottom="1440" w:gutter="0" w:footer="0" w:header="0"/>
        </w:sectPr>
      </w:pPr>
    </w:p>
    <w:bookmarkStart w:id="592" w:name="page593"/>
    <w:bookmarkEnd w:id="592"/>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540" w:hanging="533"/>
        <w:spacing w:after="0"/>
        <w:tabs>
          <w:tab w:leader="none" w:pos="540" w:val="left"/>
        </w:tabs>
        <w:numPr>
          <w:ilvl w:val="0"/>
          <w:numId w:val="6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 WITH MEDIAONE GROUP, INC.</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June 15, 2000, AT&amp;T completed a merger with MediaOne Group, Inc. (MediaOne) in a cash and stock transaction valued at approximately $45 billion. For each share of MediaOne stock, MediaOne shareowners received, in the aggregate, 0.95 of a share of AT&amp;T common stock and $36.27 per share in cash, consisting of $30.85 per share as stipulated in the merger agreement and $5.42 per share based on AT&amp;T's stock price preceding the merger, which was below a predetermined amount. AT&amp;T issued approximately 603 million shares of common stock in the transaction, of which approximately 60 million were treasury shares. The AT&amp;T shares had an aggregate market value of approximately $21 billion and cash payments totaled approximately $24 billion.</w:t>
      </w:r>
    </w:p>
    <w:p>
      <w:pPr>
        <w:spacing w:after="0" w:line="201"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The merger was accounted for under the purchase method. Accordingly, the results of MediaOne have been included in the accompanying consolidated financial statements since the date of acquisition as part of AT&amp;T Broadband.</w:t>
      </w:r>
    </w:p>
    <w:p>
      <w:pPr>
        <w:spacing w:after="0" w:line="194"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Approximately $17 billion of the purchase price of $45 billion has been attributed to agreements with local franchise authorities that allow access to homes in our broadband service areas ("franchise costs") and is being amortized on a straight-line basis over 40 years. Also included in the purchase price was approximately $22 billion related to nonconsolidated investments, including investments in Time Warner Entertainment Company, L.P. (TWE) and Vodafone Group plc (Vodafone), approximately $5 billion related to property, plant and equipment, and approximately $5 billion of other net assets. In addition, included was approximately $13 billion in deferred income tax liabilities, approximately $10 billion of MediaOne debt, and approximately $1 billion of minority interest in Centaur Funding Corporation, a subsidiary of MediaOne. The purchase resulted in goodwill of approximately $20 billion, which is being amortized on a straight-line basis over 40 years.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PRO FORMA RESULTS</w:t>
      </w:r>
    </w:p>
    <w:p>
      <w:pPr>
        <w:spacing w:after="0" w:line="210"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Following is a summary of the pro forma results of AT&amp;T as if the merger with MediaOne had closed effective January 1, 2000:</w:t>
      </w:r>
    </w:p>
    <w:p>
      <w:pPr>
        <w:spacing w:after="0" w:line="192"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(UNAUDITED) SHARES IN MILLIONS FOR THE NINE MONTHS ENDED</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SEPTEMBER 30, 2000 -------------------------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$42,948 Income from continuing</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operations........................... 8,530 Weighted-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average AT&amp;T common shares......................... 3,765</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Weighted-average AT&amp;T common shares and potential common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3,840 Weighted-average Liberty Media Group</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shares................. 2,573 AT&amp;T Common Stock Group</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earnings from continuing operations per common share: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Basic.................................................. $</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1.48</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Diluted................................................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1.46 Liberty Media Group earnings per common share: Basic</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5180" w:type="dxa"/>
            <w:vAlign w:val="bottom"/>
          </w:tcPr>
          <w:p>
            <w:pPr>
              <w:spacing w:after="0"/>
              <w:rPr>
                <w:sz w:val="20"/>
                <w:szCs w:val="20"/>
                <w:color w:val="auto"/>
              </w:rPr>
            </w:pPr>
            <w:r>
              <w:rPr>
                <w:rFonts w:ascii="Courier New" w:cs="Courier New" w:eastAsia="Courier New" w:hAnsi="Courier New"/>
                <w:sz w:val="17"/>
                <w:szCs w:val="17"/>
                <w:color w:val="auto"/>
              </w:rPr>
              <w:t>and diluted......................................</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$ 1.15</w:t>
            </w:r>
          </w:p>
        </w:tc>
      </w:tr>
    </w:tbl>
    <w:p>
      <w:pPr>
        <w:spacing w:after="0" w:line="200" w:lineRule="exact"/>
        <w:rPr>
          <w:sz w:val="20"/>
          <w:szCs w:val="20"/>
          <w:color w:val="auto"/>
        </w:rPr>
      </w:pPr>
    </w:p>
    <w:p>
      <w:pPr>
        <w:spacing w:after="0" w:line="207"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Pro forma data may not be indicative of the results that would have been obtained had these events actually occurred at the beginning of the periods presented, nor does it intend to be a projection of future results.</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L-12</w:t>
      </w:r>
    </w:p>
    <w:p>
      <w:pPr>
        <w:sectPr>
          <w:pgSz w:w="11900" w:h="16838" w:orient="portrait"/>
          <w:cols w:equalWidth="0" w:num="1">
            <w:col w:w="10219"/>
          </w:cols>
          <w:pgMar w:left="240" w:top="517" w:right="1440" w:bottom="1440" w:gutter="0" w:footer="0" w:header="0"/>
        </w:sectPr>
      </w:pPr>
    </w:p>
    <w:bookmarkStart w:id="593" w:name="page594"/>
    <w:bookmarkEnd w:id="593"/>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4879" w:firstLine="7"/>
        <w:spacing w:after="0" w:line="502" w:lineRule="auto"/>
        <w:tabs>
          <w:tab w:leader="none" w:pos="524" w:val="left"/>
        </w:tabs>
        <w:numPr>
          <w:ilvl w:val="0"/>
          <w:numId w:val="6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ACQUISITIONS, EXCHANGES AND DISPOSITIONS CONCERT AND AT&amp;T CANADA</w:t>
      </w:r>
    </w:p>
    <w:p>
      <w:pPr>
        <w:ind w:right="1839" w:firstLine="524"/>
        <w:spacing w:after="0" w:line="251" w:lineRule="auto"/>
        <w:rPr>
          <w:sz w:val="20"/>
          <w:szCs w:val="20"/>
          <w:color w:val="auto"/>
        </w:rPr>
      </w:pPr>
      <w:r>
        <w:rPr>
          <w:rFonts w:ascii="Courier New" w:cs="Courier New" w:eastAsia="Courier New" w:hAnsi="Courier New"/>
          <w:sz w:val="17"/>
          <w:szCs w:val="17"/>
          <w:color w:val="auto"/>
        </w:rPr>
        <w:t>On October 16, 2001, AT&amp;T announced a decision to unwind Concert, its global venture with British Telecommunications plc (BT). Under the agreement, each of the partners generally will reclaim the customer contracts and assets contributed to the joint venture. In addition, AT&amp;T will assume certain other assets that BT originally contributed to the joint venture. AT&amp;T also will acquire BT's 9% interest in AT&amp;T Canada and assume BT's obligation to purchase a portion of the publicly owned shares of AT&amp;T Canada. As a result of the agreement to dissolve the Concert venture, AT&amp;T recorded a $3.5 billion pretax charge in the third quarter of 2001 included in "Other (expense) income" in the accompanying Consolidated Statement of Operations. Approximately $2.9 billion of this charge primarily relates to the difference between the fair market value of the net assets AT&amp;T will receive in the transaction and the carrying value of AT&amp;T's investment in Concert. Our investment in Concert was accounted for as an equity investment and included a note receivable from Concert of approximately $1.1 billion. The remaining carrying value of our investment in Concert was approximately $0.2 billion at September 30, 2001. The remaining $0.6 billion of the charge relates to the assumption of BT's portion of the obligation to purchase the publicly owned shares of AT&amp;T Canada. The agreement to dissolve Concert remains subject to regulatory approval in the United States, Europe and other jurisdictions and is expected to close by the middle of 2002. Also, AT&amp;T recorded a $1.8 billion pretax charge reflecting an estimated loss on AT&amp;T's existing obligation for the purchase of the publicly owned shares of AT&amp;T Canada. The charge related to the AT&amp;T Canada investment reflects the differences between the underlying value of AT&amp;T Canada shares and the price AT&amp;T has committed to pay for them. This charge was included in "Other (expense) income" in the accompanying Consolidated Statement of Operations. AT&amp;T currently owns approximately 21% of the outstanding equity of AT&amp;T Canada and has the right to acquire BT's 9% interest in the outstanding equity of AT&amp;T Canada. Accordingly, AT&amp;T does not currently consolidate AT&amp;T Canada into its results. AT&amp;T has agreed to purchase all the outstanding shares of AT&amp;T Canada that it does not own in the event that Canadian foreign ownership restrictions are removed. Prior to such removal, AT&amp;T also has the right at any time to trigger the purchase of such shares through a structure that complies with such ownership restrictions, including designating a Canadian investor to purchase such shares. In the event AT&amp;T acquires more than 50% of the equity or vote of AT&amp;T Canada, AT&amp;T Canada's results will be consolidated into AT&amp;T results.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EXCITE@HOME</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September 28, 2001, At Home Corporation filed for bankruptcy under Chapter 11 in the U.S. Bankruptcy Court, for the Northern District of California. It also signed a definitive agreement with AT&amp;T to sell essentially all of its broadband Internet access businesses and related services to AT&amp;T for $0.3 billion in cash. Excite@Home's results remained consolidated in AT&amp;T's Consolidated Statements of Operations for the three and nine months ended September 30, 2001, however, the assets and liabilities were deconsolidated from AT&amp;T's Consolidated Balance Sheet as of September 30, 2001.</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noncash impacts of the deconsolidation of At Home Corporation primarily included a reduction to property, plant and equipment of approximately $0.3 billion, goodwill of approximately $0.3 billion and debt of approximately $1.0 billion. This resulted in the recording of a liability of approximately $0.4 billion as of September 30, 2001. This liability will continue to be evaluated. In addition, AT&amp;T recorded a deferred tax benefit of $0.7 billion as a result of the deconsolidation.</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L-13</w:t>
      </w:r>
    </w:p>
    <w:p>
      <w:pPr>
        <w:sectPr>
          <w:pgSz w:w="11900" w:h="16838" w:orient="portrait"/>
          <w:cols w:equalWidth="0" w:num="1">
            <w:col w:w="10219"/>
          </w:cols>
          <w:pgMar w:left="240" w:top="517" w:right="1440" w:bottom="1440" w:gutter="0" w:footer="0" w:header="0"/>
        </w:sectPr>
      </w:pPr>
    </w:p>
    <w:bookmarkStart w:id="594" w:name="page595"/>
    <w:bookmarkEnd w:id="594"/>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On June 30, 2001, AT&amp;T transferred its 99.75% interest in an entity owning the Baltimore Maryland cable-system serving approximately 115 thousand customers to Comcast Corp. (Comcast) for approximately $0.5 billion in cash. The transaction resulted in a pretax gain of $0.1 billion.</w:t>
      </w:r>
    </w:p>
    <w:p>
      <w:pPr>
        <w:spacing w:after="0" w:line="195"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On April 30, 2001, AT&amp;T received 63.9 million shares of AT&amp;T common stock held by Comcast in exchange for an entity owning cable-systems which serves approximately 590 thousand customers in six states. The transaction resulted in a pretax loss of $0.3 billion.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COX AND COMCAST</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May 18, 2001, AT&amp;T, Cox Communications (Cox) and Comcast revised an agreement on the terms of the put options related to Excite@Home. Under the new agreement, which was no longer a tax-free exchange, Cox and Comcast retained their stakes in Excite@Home and AT&amp;T issued 75 million of AT&amp;T common shares to Cox and more than 80 million of AT&amp;T common shares to Comcast. We recorded an approximate $0.8 billion loss in "Other (expense) income" for this put option settlement in the second quarter of 2001. The new agreement resulted in a tax benefit to AT&amp;T, which essentially offset this loss.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JAPAN TELECOM</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April 27, 2001, AT&amp;T completed the sale announced on February 27, 2001, of our 10% stake in Japan Telecom Co. Ltd to Vodafone Group plc for $1.35 billion in cash. The proceeds from the transaction were split evenly between AT&amp;T and AT&amp;T Wireless Group since AT&amp;T Wireless Group held approximately one-half of AT&amp;T's investment. The transaction resulted in a pretax gain of approximately $0.5 billion recorded in "Other (expense) income" in AT&amp;T's continuing operations and a pretax gain of approximately $0.5 billion recorded in "Income from discontinued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CABLEVISION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January 8, 2001, AT&amp;T and Cablevision Systems Corporation (Cablevision) completed the transfer of cable-systems in which AT&amp;T received cable-systems serving 358 thousand subscribers in Boston and Eastern Massachusetts. In exchange, Cablevision received cable-systems serving approximately 130 thousand subscribers in the northern New York suburbs, and 44 million shares of AT&amp;T common stock valued at approximately $0.9 billion, and approximately $0.2 billion in cash. Cablevision recorded a gain as a result of the transaction. Due to AT&amp;T's ownership interest in Cablevision, AT&amp;T recorded an after-tax gain of approximately $0.1 billion included within "Net losses from other equity investments."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INSIGHT COMMUNICATIONS COMPANY LP</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Effective January 1, 2001, AT&amp;T sold to Insight Communications Company LP (Insight) several Illinois cable-systems serving approximately 98 thousand customers for $0.4 billion. Insight subsequently contributed the purchased cable-system and additional cable-systems serving approximately 177 thousand customers to Insight Midwest L.P. in which AT&amp;T has a 50% interest. AT&amp;T also contributed entities owning cable-systems serving approximately 248 thousand customers in Illinois to Insight Midwest L.P. The transactions resulted in a pretax gain of $0.2 billion, which was deferred due to a debt support agreement with Insight Midwest, L.P.</w:t>
      </w:r>
    </w:p>
    <w:p>
      <w:pPr>
        <w:spacing w:after="0" w:line="201" w:lineRule="exact"/>
        <w:rPr>
          <w:sz w:val="20"/>
          <w:szCs w:val="20"/>
          <w:color w:val="auto"/>
        </w:rPr>
      </w:pPr>
    </w:p>
    <w:p>
      <w:pPr>
        <w:ind w:left="540" w:hanging="533"/>
        <w:spacing w:after="0"/>
        <w:tabs>
          <w:tab w:leader="none" w:pos="540" w:val="left"/>
        </w:tabs>
        <w:numPr>
          <w:ilvl w:val="0"/>
          <w:numId w:val="6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RESTRUCTURING AND OTHER CHARGES</w:t>
      </w:r>
    </w:p>
    <w:p>
      <w:pPr>
        <w:spacing w:after="0" w:line="210" w:lineRule="exact"/>
        <w:rPr>
          <w:sz w:val="20"/>
          <w:szCs w:val="20"/>
          <w:color w:val="auto"/>
        </w:rPr>
      </w:pPr>
    </w:p>
    <w:p>
      <w:pPr>
        <w:ind w:right="2259" w:firstLine="524"/>
        <w:spacing w:after="0" w:line="254" w:lineRule="auto"/>
        <w:rPr>
          <w:sz w:val="20"/>
          <w:szCs w:val="20"/>
          <w:color w:val="auto"/>
        </w:rPr>
      </w:pPr>
      <w:r>
        <w:rPr>
          <w:rFonts w:ascii="Courier New" w:cs="Courier New" w:eastAsia="Courier New" w:hAnsi="Courier New"/>
          <w:sz w:val="17"/>
          <w:szCs w:val="17"/>
          <w:color w:val="auto"/>
        </w:rPr>
        <w:t>During the third quarter of 2001, $399 of net restructuring and other charges were recorded by Excite@Home. Included in these charges were $376 of asset impairment charges and $23 million of</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L-14</w:t>
      </w:r>
    </w:p>
    <w:p>
      <w:pPr>
        <w:sectPr>
          <w:pgSz w:w="11900" w:h="16838" w:orient="portrait"/>
          <w:cols w:equalWidth="0" w:num="1">
            <w:col w:w="10219"/>
          </w:cols>
          <w:pgMar w:left="240" w:top="517" w:right="1440" w:bottom="1440" w:gutter="0" w:footer="0" w:header="0"/>
        </w:sectPr>
      </w:pPr>
    </w:p>
    <w:bookmarkStart w:id="595" w:name="page596"/>
    <w:bookmarkEnd w:id="595"/>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restructuring and exit costs, primarily due to continued weakness in the on-line media market and the recent bankruptcy filing. These charges included the write-off of goodwill and other intangible assets, warrants granted in connection with distributing the @Home service and fixed assets. The restructuring and exits costs, consisted of $4 for severance costs, $14 related to facility closings and $5 primarily related to termination of contractual obligations. Since we consolidate, but only own approximately 23% of Excite@Home, a portion of the charges recorded by Excite@Home was not included as a reduction to AT&amp;T's net income, but rather eliminated in our September 30, 2001 Consolidated Statement of Operations as a component of "Minority interest income (expense)."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severance costs, for approximately 860 employees, primarily resulted from continued cost reduction efforts by Excite@Home. Nearly 79% of the affected employees have left their positions as of September 30, 2001, and the remaining employees will leave the Company by the end of 2001.</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Net restructuring and other charges for the nine months ended September 30, 2001, totaled $1,494. The charge includes $1,171 of asset impairment charges related to Excite@Home, $323 for restructuring and exits costs, which consisted of $151 for severance costs, $156 for facility closings and $16 primarily related to termination of contractual obligations.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asset impairment charges recorded during the nine months ended September 30, 2001 included $1,032 recorded by Excite@Home primarily due to continued weakness in the on-line media market and the recent bankruptcy filing. These charges included the write-down of goodwill and other intangible assets related to various acquisitions, primarily Excite, warrants granted in connection with distributing the @Home service, and fixed assets. In addition, AT&amp;T recorded a related goodwill impairment charge of $139 associated with its acquisition goodwill of Excite@Home. Since we consolidate, but only own approximately 23% of Excite@Home, a portion of the charges recorded by Excite@Home was not included as a reduction to AT&amp;T's net income, but rather eliminated in our September 30, 2001 Consolidated Statement of Operations as a component of "Minority interest income (expense)."</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severance costs, for approximately 7,700 employees, primarily resulted from synergies created by the MediaOne merger as well as continued cost reduction efforts by Excite@Home. Approximately 36% of the affected employees are management employees and 64% are non-management employees. Nearly 84% of the affected employees have left their positions as of September 30, 2001, and the remaining employees will leave the Company by the end of 2001.</w:t>
      </w:r>
    </w:p>
    <w:p>
      <w:pPr>
        <w:spacing w:after="0" w:line="197"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following table displays the activity and balances of the restructuring reserve account from January 1, 2001, to September 30, 2001:</w:t>
      </w:r>
    </w:p>
    <w:p>
      <w:pPr>
        <w:spacing w:after="0" w:line="19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TYPE OF COST -------------------------------------</w:t>
      </w:r>
    </w:p>
    <w:p>
      <w:pPr>
        <w:spacing w:after="0" w:line="9" w:lineRule="exact"/>
        <w:rPr>
          <w:sz w:val="20"/>
          <w:szCs w:val="20"/>
          <w:color w:val="auto"/>
        </w:rPr>
      </w:pPr>
    </w:p>
    <w:p>
      <w:pPr>
        <w:ind w:left="100" w:right="4979" w:firstLine="164"/>
        <w:spacing w:after="0" w:line="251" w:lineRule="auto"/>
        <w:tabs>
          <w:tab w:leader="none" w:pos="467" w:val="left"/>
        </w:tabs>
        <w:numPr>
          <w:ilvl w:val="0"/>
          <w:numId w:val="6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FACILITY SEPARATIONS CLOSINGS OTHER TOTAL ----------- -------- ----- ----- Balance at January 1, 2001......................... $ 259 $</w:t>
      </w:r>
    </w:p>
    <w:tbl>
      <w:tblPr>
        <w:tblLayout w:type="fixed"/>
        <w:tblInd w:w="0" w:type="dxa"/>
        <w:tblCellMar>
          <w:top w:w="0" w:type="dxa"/>
          <w:left w:w="0" w:type="dxa"/>
          <w:bottom w:w="0" w:type="dxa"/>
          <w:right w:w="0" w:type="dxa"/>
        </w:tblCellMar>
      </w:tblPr>
      <w:tr>
        <w:trPr>
          <w:trHeight w:val="197"/>
        </w:trPr>
        <w:tc>
          <w:tcPr>
            <w:tcW w:w="2360" w:type="dxa"/>
            <w:vAlign w:val="bottom"/>
          </w:tcPr>
          <w:p>
            <w:pPr>
              <w:jc w:val="right"/>
              <w:ind w:right="26"/>
              <w:spacing w:after="0"/>
              <w:rPr>
                <w:sz w:val="20"/>
                <w:szCs w:val="20"/>
                <w:color w:val="auto"/>
              </w:rPr>
            </w:pPr>
            <w:r>
              <w:rPr>
                <w:rFonts w:ascii="Courier New" w:cs="Courier New" w:eastAsia="Courier New" w:hAnsi="Courier New"/>
                <w:sz w:val="17"/>
                <w:szCs w:val="17"/>
                <w:color w:val="auto"/>
              </w:rPr>
              <w:t>173</w:t>
            </w:r>
          </w:p>
        </w:tc>
        <w:tc>
          <w:tcPr>
            <w:tcW w:w="420" w:type="dxa"/>
            <w:vAlign w:val="bottom"/>
          </w:tcPr>
          <w:p>
            <w:pPr>
              <w:spacing w:after="0"/>
              <w:rPr>
                <w:sz w:val="20"/>
                <w:szCs w:val="20"/>
                <w:color w:val="auto"/>
              </w:rPr>
            </w:pPr>
            <w:r>
              <w:rPr>
                <w:rFonts w:ascii="Courier New" w:cs="Courier New" w:eastAsia="Courier New" w:hAnsi="Courier New"/>
                <w:sz w:val="17"/>
                <w:szCs w:val="17"/>
                <w:color w:val="auto"/>
                <w:w w:val="97"/>
              </w:rPr>
              <w:t>$ 36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468</w:t>
            </w:r>
          </w:p>
        </w:tc>
      </w:tr>
      <w:tr>
        <w:trPr>
          <w:trHeight w:val="201"/>
        </w:trPr>
        <w:tc>
          <w:tcPr>
            <w:tcW w:w="2780" w:type="dxa"/>
            <w:vAlign w:val="bottom"/>
            <w:gridSpan w:val="2"/>
          </w:tcPr>
          <w:p>
            <w:pPr>
              <w:spacing w:after="0"/>
              <w:rPr>
                <w:sz w:val="20"/>
                <w:szCs w:val="20"/>
                <w:color w:val="auto"/>
              </w:rPr>
            </w:pPr>
            <w:r>
              <w:rPr>
                <w:rFonts w:ascii="Courier New" w:cs="Courier New" w:eastAsia="Courier New" w:hAnsi="Courier New"/>
                <w:sz w:val="12"/>
                <w:szCs w:val="12"/>
                <w:color w:val="auto"/>
                <w:w w:val="75"/>
              </w:rPr>
              <w:t>Additions..........................................</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1"/>
        </w:trPr>
        <w:tc>
          <w:tcPr>
            <w:tcW w:w="2360" w:type="dxa"/>
            <w:vAlign w:val="bottom"/>
          </w:tcPr>
          <w:p>
            <w:pPr>
              <w:jc w:val="right"/>
              <w:ind w:right="26"/>
              <w:spacing w:after="0"/>
              <w:rPr>
                <w:sz w:val="20"/>
                <w:szCs w:val="20"/>
                <w:color w:val="auto"/>
              </w:rPr>
            </w:pPr>
            <w:r>
              <w:rPr>
                <w:rFonts w:ascii="Courier New" w:cs="Courier New" w:eastAsia="Courier New" w:hAnsi="Courier New"/>
                <w:sz w:val="17"/>
                <w:szCs w:val="17"/>
                <w:color w:val="auto"/>
              </w:rPr>
              <w:t>151</w:t>
            </w:r>
          </w:p>
        </w:tc>
        <w:tc>
          <w:tcPr>
            <w:tcW w:w="420" w:type="dxa"/>
            <w:vAlign w:val="bottom"/>
          </w:tcPr>
          <w:p>
            <w:pPr>
              <w:spacing w:after="0"/>
              <w:rPr>
                <w:sz w:val="20"/>
                <w:szCs w:val="20"/>
                <w:color w:val="auto"/>
              </w:rPr>
            </w:pPr>
            <w:r>
              <w:rPr>
                <w:rFonts w:ascii="Courier New" w:cs="Courier New" w:eastAsia="Courier New" w:hAnsi="Courier New"/>
                <w:sz w:val="17"/>
                <w:szCs w:val="17"/>
                <w:color w:val="auto"/>
              </w:rPr>
              <w:t>156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w w:val="87"/>
              </w:rPr>
              <w:t>16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323</w:t>
            </w:r>
          </w:p>
        </w:tc>
      </w:tr>
      <w:tr>
        <w:trPr>
          <w:trHeight w:val="201"/>
        </w:trPr>
        <w:tc>
          <w:tcPr>
            <w:tcW w:w="2780" w:type="dxa"/>
            <w:vAlign w:val="bottom"/>
            <w:gridSpan w:val="2"/>
          </w:tcPr>
          <w:p>
            <w:pPr>
              <w:spacing w:after="0"/>
              <w:rPr>
                <w:sz w:val="20"/>
                <w:szCs w:val="20"/>
                <w:color w:val="auto"/>
              </w:rPr>
            </w:pPr>
            <w:r>
              <w:rPr>
                <w:rFonts w:ascii="Courier New" w:cs="Courier New" w:eastAsia="Courier New" w:hAnsi="Courier New"/>
                <w:sz w:val="12"/>
                <w:szCs w:val="12"/>
                <w:color w:val="auto"/>
                <w:w w:val="75"/>
              </w:rPr>
              <w:t>Deductions.........................................</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pacing w:after="0" w:line="4" w:lineRule="exact"/>
        <w:rPr>
          <w:sz w:val="20"/>
          <w:szCs w:val="20"/>
          <w:color w:val="auto"/>
        </w:rPr>
      </w:pPr>
    </w:p>
    <w:p>
      <w:pPr>
        <w:ind w:left="100" w:right="4979" w:firstLine="111"/>
        <w:spacing w:after="0" w:line="257" w:lineRule="auto"/>
        <w:tabs>
          <w:tab w:leader="none" w:pos="833" w:val="left"/>
        </w:tabs>
        <w:numPr>
          <w:ilvl w:val="0"/>
          <w:numId w:val="6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(172) (20) (473) Balance at September 30, 2001...................... $ 129 $ 157 $ 32 $ 318</w:t>
      </w:r>
    </w:p>
    <w:p>
      <w:pPr>
        <w:spacing w:after="0" w:line="393"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Total deductions include $121 related to the deconsolidation of AT&amp;T's investment in Excite@Home (see Note g) and also reflect cash payments of $265 related to employee separations, $68 related to facility closings and $10 related to litigation, as well as $9 noncash utilization associated with deferred payments primarily related to executives. The cash outlay for AT&amp;T's restructuring was primarily funded through cash from operations.</w:t>
      </w:r>
    </w:p>
    <w:p>
      <w:pPr>
        <w:spacing w:after="0" w:line="197"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During the third quarter of 2000, AT&amp;T recorded $24 of net restructuring and other charges. The charge resulted from synergies associated with the MediaOne merger and related to cash termination</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L-15</w:t>
      </w:r>
    </w:p>
    <w:p>
      <w:pPr>
        <w:sectPr>
          <w:pgSz w:w="11900" w:h="16838" w:orient="portrait"/>
          <w:cols w:equalWidth="0" w:num="1">
            <w:col w:w="10219"/>
          </w:cols>
          <w:pgMar w:left="240" w:top="517" w:right="1440" w:bottom="861" w:gutter="0" w:footer="0" w:header="0"/>
        </w:sectPr>
      </w:pPr>
    </w:p>
    <w:bookmarkStart w:id="596" w:name="page597"/>
    <w:bookmarkEnd w:id="596"/>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039"/>
        <w:spacing w:after="0" w:line="254" w:lineRule="auto"/>
        <w:rPr>
          <w:sz w:val="20"/>
          <w:szCs w:val="20"/>
          <w:color w:val="auto"/>
        </w:rPr>
      </w:pPr>
      <w:r>
        <w:rPr>
          <w:rFonts w:ascii="Courier New" w:cs="Courier New" w:eastAsia="Courier New" w:hAnsi="Courier New"/>
          <w:sz w:val="17"/>
          <w:szCs w:val="17"/>
          <w:color w:val="auto"/>
        </w:rPr>
        <w:t>benefits associated with the involuntary separation of approximately 490 employees. Approximately one-half of the individuals were management employees and one-half were nonmanagement employees.</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During the nine months ended September 30, 2000, AT&amp;T recorded $797 of net restructuring and other charges, which included $706 of restructuring and exit costs primarily associated with AT&amp;T's initiative to reduce costs by the end of 2000, and $91 related to the government-mandated disposition of AT&amp;T Communications (U.K.) Ltd., which would have competed directly with Concert.</w:t>
      </w:r>
    </w:p>
    <w:p>
      <w:pPr>
        <w:spacing w:after="0" w:line="197"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The charge for the nine months ended September 30, 2000 included cash termination benefits of $482 associated with the involuntary separation of approximately 6,700 employees. Approximately one-half of the individuals were management employees and one-half were non-management employees.</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charge also included $62 of network lease and other contract termination costs associated with penalties incurred as part of notifying vendors of the termination of these contracts during the first quarter 2000 and $144 of benefit curtailment costs associated with employee separations as part of these exit plans.</w:t>
      </w:r>
    </w:p>
    <w:p>
      <w:pPr>
        <w:spacing w:after="0" w:line="1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During the nine months ended September 30, 2000, AT&amp;T also recorded an asset impairment charge of $18 related to the write-down of unrecoverable assets in certain businesses in which the carrying value was no longer supported by estimated future cash flows.</w:t>
      </w:r>
    </w:p>
    <w:p>
      <w:pPr>
        <w:spacing w:after="0" w:line="195" w:lineRule="exact"/>
        <w:rPr>
          <w:sz w:val="20"/>
          <w:szCs w:val="20"/>
          <w:color w:val="auto"/>
        </w:rPr>
      </w:pPr>
    </w:p>
    <w:p>
      <w:pPr>
        <w:ind w:left="540" w:hanging="533"/>
        <w:spacing w:after="0"/>
        <w:tabs>
          <w:tab w:leader="none" w:pos="540" w:val="left"/>
        </w:tabs>
        <w:numPr>
          <w:ilvl w:val="0"/>
          <w:numId w:val="6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COMMON SHARE AND POTENTIAL COMMON SHARE</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(Loss) earnings attributable to the different classes of AT&amp;T common stock are as follows:</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AT&amp;T AT&amp;T COMMON WIRELESS STOCK</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GROUP GROUP LIBERTY MEDIA GROUP</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THREE MONTHS ENDED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SEPTEMBER 30, 2001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2001 2000 2001 2000 -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ind w:left="580" w:hanging="523"/>
        <w:spacing w:after="0"/>
        <w:tabs>
          <w:tab w:leader="none" w:pos="580" w:val="left"/>
        </w:tabs>
        <w:numPr>
          <w:ilvl w:val="0"/>
          <w:numId w:val="6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(Loss) income from continuing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$(2,206) $1,318 $-- $-- $ 111</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$1,756 Dividend requirements of</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preferred</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235 -- -- -- -- -- (Loss) income</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from continuing operations</w:t>
      </w:r>
    </w:p>
    <w:p>
      <w:pPr>
        <w:spacing w:after="0" w:line="9"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available to common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shareowners......................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(2,441) 1,318 -- -- 111 1,756</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(loss) from discontinued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320" w:right="7079" w:firstLine="104"/>
        <w:spacing w:after="0" w:line="251" w:lineRule="auto"/>
        <w:tabs>
          <w:tab w:leader="none" w:pos="739" w:val="left"/>
        </w:tabs>
        <w:numPr>
          <w:ilvl w:val="0"/>
          <w:numId w:val="6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 (3) -- -- Gain on disposition of discontinued</w:t>
      </w:r>
    </w:p>
    <w:p>
      <w:pPr>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13,503 -- -- -- -- -- Net income</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(loss) available to common</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shareowners...............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$11,062 $1,319 $-- $(3) $ 111</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$1,756</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L-16</w:t>
      </w:r>
    </w:p>
    <w:p>
      <w:pPr>
        <w:sectPr>
          <w:pgSz w:w="11900" w:h="16838" w:orient="portrait"/>
          <w:cols w:equalWidth="0" w:num="1">
            <w:col w:w="10219"/>
          </w:cols>
          <w:pgMar w:left="240" w:top="518" w:right="1440" w:bottom="1440" w:gutter="0" w:footer="0" w:header="0"/>
        </w:sectPr>
      </w:pPr>
    </w:p>
    <w:bookmarkStart w:id="597" w:name="page598"/>
    <w:bookmarkEnd w:id="597"/>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AT&amp;T AT&amp;T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WIRELESS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STOCK GROUP</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LIBERTY</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MEDIA GROUP</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FOR THE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NINE MONTHS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ENDED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SEPTEMBER</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440" w:type="dxa"/>
            <w:vAlign w:val="bottom"/>
          </w:tcPr>
          <w:p>
            <w:pPr>
              <w:jc w:val="center"/>
              <w:spacing w:after="0"/>
              <w:rPr>
                <w:sz w:val="20"/>
                <w:szCs w:val="20"/>
                <w:color w:val="auto"/>
              </w:rPr>
            </w:pPr>
            <w:r>
              <w:rPr>
                <w:rFonts w:ascii="Courier New" w:cs="Courier New" w:eastAsia="Courier New" w:hAnsi="Courier New"/>
                <w:sz w:val="17"/>
                <w:szCs w:val="17"/>
                <w:color w:val="auto"/>
                <w:w w:val="97"/>
              </w:rPr>
              <w:t>30,</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2001</w:t>
            </w:r>
          </w:p>
        </w:tc>
      </w:tr>
      <w:tr>
        <w:trPr>
          <w:trHeight w:val="201"/>
        </w:trPr>
        <w:tc>
          <w:tcPr>
            <w:tcW w:w="440" w:type="dxa"/>
            <w:vAlign w:val="bottom"/>
          </w:tcPr>
          <w:p>
            <w:pPr>
              <w:jc w:val="center"/>
              <w:spacing w:after="0"/>
              <w:rPr>
                <w:sz w:val="20"/>
                <w:szCs w:val="20"/>
                <w:color w:val="auto"/>
              </w:rPr>
            </w:pPr>
            <w:r>
              <w:rPr>
                <w:rFonts w:ascii="Courier New" w:cs="Courier New" w:eastAsia="Courier New" w:hAnsi="Courier New"/>
                <w:sz w:val="17"/>
                <w:szCs w:val="17"/>
                <w:color w:val="auto"/>
              </w:rPr>
              <w:t>2000</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2001</w:t>
            </w:r>
          </w:p>
        </w:tc>
      </w:tr>
      <w:tr>
        <w:trPr>
          <w:trHeight w:val="201"/>
        </w:trPr>
        <w:tc>
          <w:tcPr>
            <w:tcW w:w="440" w:type="dxa"/>
            <w:vAlign w:val="bottom"/>
          </w:tcPr>
          <w:p>
            <w:pPr>
              <w:jc w:val="center"/>
              <w:spacing w:after="0"/>
              <w:rPr>
                <w:sz w:val="20"/>
                <w:szCs w:val="20"/>
                <w:color w:val="auto"/>
              </w:rPr>
            </w:pPr>
            <w:r>
              <w:rPr>
                <w:rFonts w:ascii="Courier New" w:cs="Courier New" w:eastAsia="Courier New" w:hAnsi="Courier New"/>
                <w:sz w:val="17"/>
                <w:szCs w:val="17"/>
                <w:color w:val="auto"/>
              </w:rPr>
              <w:t>2000</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2001</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80" w:hanging="424"/>
        <w:spacing w:after="0"/>
        <w:tabs>
          <w:tab w:leader="none" w:pos="480" w:val="left"/>
        </w:tabs>
        <w:numPr>
          <w:ilvl w:val="0"/>
          <w:numId w:val="6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(Loss)</w:t>
      </w:r>
    </w:p>
    <w:p>
      <w:pPr>
        <w:spacing w:after="0" w:line="8" w:lineRule="exact"/>
        <w:rPr>
          <w:rFonts w:ascii="Courier New" w:cs="Courier New" w:eastAsia="Courier New" w:hAnsi="Courier New"/>
          <w:sz w:val="17"/>
          <w:szCs w:val="17"/>
          <w:color w:val="auto"/>
        </w:rPr>
      </w:pPr>
    </w:p>
    <w:p>
      <w:pPr>
        <w:jc w:val="center"/>
        <w:ind w:right="8959" w:firstLine="48"/>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from continuing operations $(2,740) $4,616 $-- $-- $ (2,711) $2,965 Dividend requirements of preferred stock 652 -</w:t>
      </w:r>
    </w:p>
    <w:p>
      <w:pPr>
        <w:spacing w:after="0" w:line="201"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jc w:val="center"/>
        <w:ind w:left="60" w:right="9019" w:firstLine="5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Premium on Wireless tracking stock exchange 80</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(Loss)</w:t>
      </w:r>
    </w:p>
    <w:p>
      <w:pPr>
        <w:spacing w:after="0" w:line="8" w:lineRule="exact"/>
        <w:rPr>
          <w:rFonts w:ascii="Courier New" w:cs="Courier New" w:eastAsia="Courier New" w:hAnsi="Courier New"/>
          <w:sz w:val="17"/>
          <w:szCs w:val="17"/>
          <w:color w:val="auto"/>
        </w:rPr>
      </w:pPr>
    </w:p>
    <w:p>
      <w:pPr>
        <w:jc w:val="center"/>
        <w:ind w:left="60" w:right="90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from continuing operations available to common shareowners (3,472) 4,616 -- --</w:t>
      </w: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(2,711)</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2,965</w:t>
      </w:r>
    </w:p>
    <w:p>
      <w:pPr>
        <w:spacing w:after="0" w:line="8" w:lineRule="exact"/>
        <w:rPr>
          <w:rFonts w:ascii="Courier New" w:cs="Courier New" w:eastAsia="Courier New" w:hAnsi="Courier New"/>
          <w:sz w:val="17"/>
          <w:szCs w:val="17"/>
          <w:color w:val="auto"/>
        </w:rPr>
      </w:pPr>
    </w:p>
    <w:p>
      <w:pPr>
        <w:jc w:val="center"/>
        <w:ind w:right="8959" w:firstLine="48"/>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from discontinued operations 115 189 35 19 -- --</w:t>
      </w: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Gain on</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disposition</w:t>
      </w:r>
    </w:p>
    <w:p>
      <w:pPr>
        <w:spacing w:after="0" w:line="8"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w:t>
      </w:r>
    </w:p>
    <w:p>
      <w:pPr>
        <w:spacing w:after="0" w:line="8" w:lineRule="exact"/>
        <w:rPr>
          <w:rFonts w:ascii="Courier New" w:cs="Courier New" w:eastAsia="Courier New" w:hAnsi="Courier New"/>
          <w:sz w:val="17"/>
          <w:szCs w:val="17"/>
          <w:color w:val="auto"/>
        </w:rPr>
      </w:pPr>
    </w:p>
    <w:p>
      <w:pPr>
        <w:jc w:val="center"/>
        <w:ind w:left="60" w:right="8959" w:hanging="48"/>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discontinued operations 13,503 -- -</w:t>
      </w: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jc w:val="both"/>
        <w:ind w:left="100" w:right="90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Cumulative effect of accounting change 359</w:t>
      </w:r>
    </w:p>
    <w:p>
      <w:pPr>
        <w:ind w:left="520" w:hanging="307"/>
        <w:spacing w:after="0"/>
        <w:tabs>
          <w:tab w:leader="none" w:pos="520" w:val="left"/>
        </w:tabs>
        <w:numPr>
          <w:ilvl w:val="1"/>
          <w:numId w:val="6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545 -- Net</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income</w:t>
      </w:r>
    </w:p>
    <w:p>
      <w:pPr>
        <w:sectPr>
          <w:pgSz w:w="11900" w:h="16838" w:orient="portrait"/>
          <w:cols w:equalWidth="0" w:num="1">
            <w:col w:w="10219"/>
          </w:cols>
          <w:pgMar w:left="240" w:top="517" w:right="1440" w:bottom="0" w:gutter="0" w:footer="0" w:header="0"/>
        </w:sectPr>
      </w:pPr>
    </w:p>
    <w:bookmarkStart w:id="598" w:name="page599"/>
    <w:bookmarkEnd w:id="598"/>
    <w:p>
      <w:pPr>
        <w:jc w:val="center"/>
        <w:ind w:right="8959"/>
        <w:spacing w:after="0"/>
        <w:rPr>
          <w:sz w:val="20"/>
          <w:szCs w:val="20"/>
          <w:color w:val="auto"/>
        </w:rPr>
      </w:pPr>
      <w:r>
        <w:rPr>
          <w:rFonts w:ascii="Courier New" w:cs="Courier New" w:eastAsia="Courier New" w:hAnsi="Courier New"/>
          <w:sz w:val="17"/>
          <w:szCs w:val="17"/>
          <w:color w:val="auto"/>
        </w:rPr>
        <w:t>(loss)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available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to common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shareowners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$10,505</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$4,805 $35</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$19 $</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(2,166)</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$2,965</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Basic earnings (loss) per share for AT&amp;T Common Stock Group were computed by dividing AT&amp;T Common Stock Group income by the weighted-average number of shares outstanding of 3,534 million and 3,752 million for the three months ended September 30, 2001 and 2000, respectively, and 3,677 million and 3,397 million for the nine months ended September 30, 2001 and 2000, respectively.</w:t>
      </w:r>
    </w:p>
    <w:p>
      <w:pPr>
        <w:spacing w:after="0" w:line="19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Since AT&amp;T recorded a loss from continuing operations for the three and nine months ended September 30, 2001, the diluted loss per share is the same as basic, as any potentially dilutive securities would be antidilutive. There were 76 million potentially dilutive AT&amp;T securities outstanding at September 30, 2001.</w:t>
      </w:r>
    </w:p>
    <w:p>
      <w:pPr>
        <w:spacing w:after="0" w:line="396"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Diluted earnings per share (EPS) for AT&amp;T Common Stock Group for the three months and nine months ended September 30, 2000 were computed by dividing AT&amp;T Common Stock Group income, adjusted for the conversion of securities, by the weighted-average number of shares and dilutive potential shares outstanding during the period, assuming conversion of the potential shares at the beginning of the periods presented. Shares issuable upon conversion of preferred stock of subsidiaries, convertible put options and stock options have been included in the diluted calculation of weighted-average shares to the extent that the assumed issuance of such shares would have been dilutive, as illustrated below.</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convertible quarterly income preferred securities were antidilutive and were excluded from the computation of diluted EPS for the three and nine-month periods ended September 30, 2000. The dividends of these securities would have an after-tax impact to earnings of approximately $40 and $120 for the three and nine-month periods ended September 30, 2001 and 2000, respectively. Assuming conversion of the securities, the dividends would no longer have to be included as a reduction to net income and the securities would convert into approximately 67 million shares of AT&amp;T common stock.</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L-17</w:t>
      </w:r>
    </w:p>
    <w:p>
      <w:pPr>
        <w:sectPr>
          <w:pgSz w:w="11900" w:h="16838" w:orient="portrait"/>
          <w:cols w:equalWidth="0" w:num="1">
            <w:col w:w="10219"/>
          </w:cols>
          <w:pgMar w:left="240" w:top="141" w:right="1440" w:bottom="1440" w:gutter="0" w:footer="0" w:header="0"/>
        </w:sectPr>
      </w:pPr>
    </w:p>
    <w:bookmarkStart w:id="599" w:name="page600"/>
    <w:bookmarkEnd w:id="599"/>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679" w:firstLine="524"/>
        <w:spacing w:after="0" w:line="257" w:lineRule="auto"/>
        <w:rPr>
          <w:sz w:val="20"/>
          <w:szCs w:val="20"/>
          <w:color w:val="auto"/>
        </w:rPr>
      </w:pPr>
      <w:r>
        <w:rPr>
          <w:rFonts w:ascii="Courier New" w:cs="Courier New" w:eastAsia="Courier New" w:hAnsi="Courier New"/>
          <w:sz w:val="17"/>
          <w:szCs w:val="17"/>
          <w:color w:val="auto"/>
        </w:rPr>
        <w:t>A reconciliation of the income and share components for diluted EPS calculations with respect to AT&amp;T Common Stock Group is as follows:</w:t>
      </w:r>
    </w:p>
    <w:p>
      <w:pPr>
        <w:spacing w:after="0" w:line="192" w:lineRule="exact"/>
        <w:rPr>
          <w:sz w:val="20"/>
          <w:szCs w:val="20"/>
          <w:color w:val="auto"/>
        </w:rPr>
      </w:pPr>
    </w:p>
    <w:p>
      <w:pPr>
        <w:ind w:left="60" w:right="5019" w:firstLine="157"/>
        <w:spacing w:after="0" w:line="252" w:lineRule="auto"/>
        <w:rPr>
          <w:sz w:val="20"/>
          <w:szCs w:val="20"/>
          <w:color w:val="auto"/>
        </w:rPr>
      </w:pPr>
      <w:r>
        <w:rPr>
          <w:rFonts w:ascii="Courier New" w:cs="Courier New" w:eastAsia="Courier New" w:hAnsi="Courier New"/>
          <w:sz w:val="17"/>
          <w:szCs w:val="17"/>
          <w:color w:val="auto"/>
        </w:rPr>
        <w:t>FOR THE THREE FOR THE NINE MONTHS ENDED MONTHS ENDED SEPTEMBER 30, 2000 SEPTEMBER 30, 2000 ----- ------------- ------------------ AT&amp;T Common Stock Group: Income from continuing operations................... $1,318 $4,616</w:t>
      </w:r>
    </w:p>
    <w:p>
      <w:pPr>
        <w:spacing w:after="0" w:line="197"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stock of</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subsidiary............................... 8 24</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 impact of mark-to-market on convertible</w:t>
      </w:r>
    </w:p>
    <w:p>
      <w:pPr>
        <w:spacing w:after="0" w:line="9"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put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options...........................................</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13 13 Income adjusted for conversion of</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securities........ $1,339 $4,653 Shares (in</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millions) Weighted-average common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shares...................... 3,752 3,397 Stock</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options....................................... 17</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23 Preferred stock of</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subsidiary....................... 40 40</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Convertible put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options............................. 33 11</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Weighted-average common shares and potential</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3,842 3,471</w:t>
      </w:r>
    </w:p>
    <w:p>
      <w:pPr>
        <w:spacing w:after="0" w:line="200" w:lineRule="exact"/>
        <w:rPr>
          <w:sz w:val="20"/>
          <w:szCs w:val="20"/>
          <w:color w:val="auto"/>
        </w:rPr>
      </w:pPr>
    </w:p>
    <w:p>
      <w:pPr>
        <w:spacing w:after="0" w:line="212"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Basic earnings (loss) per share for LMG was computed by dividing the LMG income (loss) by the weighted-average number of shares outstanding of LMG of 2,588 million and 2,582 million, for the third quarter and the year-to-date periods through July 31, 2001, the deemed effective split-off date for accounting purposes (see note e), respectively, and 2,578 million and 2,573 million for the three and nine months ended September 30, 2000, respectively.</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Since LMG recorded a loss for the year-to-date period through July 31, 2001, the diluted loss per share is the same as basic, as any potentially dilutive securities would be antidilutive. Diluted earnings per share (EPS) for LMG for the third quarter of 2001 and for the quarter and the nine months ended September 30, 2000, were computed by dividing LMG income by the weighted-average number of shares outstanding during the period. Potentially dilutive securities, including fixed and nonvested performance awards and stock options, have not been factored into the dilutive calculations because past history has indicated that these contracts are generally settled in cash.</w:t>
      </w:r>
    </w:p>
    <w:p>
      <w:pPr>
        <w:spacing w:after="0" w:line="201" w:lineRule="exact"/>
        <w:rPr>
          <w:sz w:val="20"/>
          <w:szCs w:val="20"/>
          <w:color w:val="auto"/>
        </w:rPr>
      </w:pPr>
    </w:p>
    <w:p>
      <w:pPr>
        <w:ind w:left="540" w:hanging="533"/>
        <w:spacing w:after="0"/>
        <w:tabs>
          <w:tab w:leader="none" w:pos="540" w:val="left"/>
        </w:tabs>
        <w:numPr>
          <w:ilvl w:val="0"/>
          <w:numId w:val="6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CONVERTIBLE PREFERRED STOCK</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January 22, 2001, NTT DoCoMo invested approximately $9.8 billion for 812,511.778 shares of a new class of AT&amp;T preferred stock with a par value of $1 per share; and five-year warrants to purchase the equivalent of an additional 41.7 million shares of AT&amp;T Wireless Group tracking stock at $35 per share. The $9.8 billion of proceeds were recorded based on their relative fair values as $9.2 billion for the preferred shares, $0.3 billion for the warrants in other current liabilities and $0.3 billion for the amortizable beneficial conversion feature. Prior to the split-off of AT&amp;T Wireless Group, the preferred shares, convertible at NTT DoCoMo's option, were economically equivalent to 406 million shares (a 16 percent interest) of AT&amp;T Wireless Group tracking stock.</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July 9, 2001, in conjunction with the split-off of AT&amp;T Wireless Group, these preferred shares were converted into AT&amp;T Wireless common stock. Upon conversion, AT&amp;T reduced its portion of the financial performance and economic value in the AT&amp;T Wireless Group by 178 million shares, and the balance of the 406 million shares came from the issuance of 228 million new shares of AT&amp;T Wireless common stock.</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L-18</w:t>
      </w:r>
    </w:p>
    <w:p>
      <w:pPr>
        <w:sectPr>
          <w:pgSz w:w="11900" w:h="16838" w:orient="portrait"/>
          <w:cols w:equalWidth="0" w:num="1">
            <w:col w:w="10219"/>
          </w:cols>
          <w:pgMar w:left="240" w:top="517" w:right="1440" w:bottom="1440" w:gutter="0" w:footer="0" w:header="0"/>
        </w:sectPr>
      </w:pPr>
    </w:p>
    <w:bookmarkStart w:id="600" w:name="page601"/>
    <w:bookmarkEnd w:id="600"/>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259" w:firstLine="524"/>
        <w:spacing w:after="0" w:line="254" w:lineRule="auto"/>
        <w:rPr>
          <w:sz w:val="20"/>
          <w:szCs w:val="20"/>
          <w:color w:val="auto"/>
        </w:rPr>
      </w:pPr>
      <w:r>
        <w:rPr>
          <w:rFonts w:ascii="Courier New" w:cs="Courier New" w:eastAsia="Courier New" w:hAnsi="Courier New"/>
          <w:sz w:val="17"/>
          <w:szCs w:val="17"/>
          <w:color w:val="auto"/>
        </w:rPr>
        <w:t>Since NTT DoCoMo converted their preferred stock in connection with the Wireless Group split-off, we fully amortized, in the third quarter, the remaining beneficial conversion feature balance of $0.2 billion.</w:t>
      </w:r>
    </w:p>
    <w:p>
      <w:pPr>
        <w:spacing w:after="0" w:line="194" w:lineRule="exact"/>
        <w:rPr>
          <w:sz w:val="20"/>
          <w:szCs w:val="20"/>
          <w:color w:val="auto"/>
        </w:rPr>
      </w:pPr>
    </w:p>
    <w:p>
      <w:pPr>
        <w:ind w:left="540" w:hanging="533"/>
        <w:spacing w:after="0"/>
        <w:tabs>
          <w:tab w:leader="none" w:pos="540" w:val="left"/>
        </w:tabs>
        <w:numPr>
          <w:ilvl w:val="0"/>
          <w:numId w:val="6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SECURITIZATION OF RECEIVABLES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June 22, 2001, AT&amp;T initiated a 364-day accounts receivable securitization program providing for up to $2.2 billion of funding. Under the program, AT&amp;T Business accounts receivable were sold on a discounted, revolving basis, to a special purpose, wholly-owned subsidiary of AT&amp;T, which assigns interests in such receivables to unrelated third-party financing entities. The securitization proceeds of $2.1 billion were recorded as a borrowing and included in "Debt maturing within one year" in the accompanying Consolidated Balance Sheet at September 30, 2001. The interest payment for the associated loan was approximately $21 and $27 for the quarter and year-to-date period ending September 30, 2001, respectively. Interest is paid monthly based on a floating rate set by the corresponding agreements. At September 30, 2001, the borrowing was collateralized by $5.6 billion of accounts receivable.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June 20, 2001, AT&amp;T amended an existing accounts receivable securitization program for a new 364-day term providing for up to $0.5 billion of funding. Under the program, AT&amp;T Consumer accounts receivable were sold on a discounted, revolving basis, to a special purpose, wholly-owned subsidiary of AT&amp;T, which assigns interests in such receivables to unrelated third-party financing entities. The $0.5 billion of proceeds were included in "Debt maturing within one year" in the accompanying Consolidated Balance Sheet at September 30, 2001. The interest payment for the associated loan was approximately $4 and $11 for the quarter and year-to-date period ending September 30, 2001, respectively. Interest is paid monthly based on a floating rate set by the corresponding agreements. At September 30, 2001, the borrowing was collateralized by $1.0 billion of accounts receivable.</w:t>
      </w:r>
    </w:p>
    <w:p>
      <w:pPr>
        <w:spacing w:after="0" w:line="200" w:lineRule="exact"/>
        <w:rPr>
          <w:sz w:val="20"/>
          <w:szCs w:val="20"/>
          <w:color w:val="auto"/>
        </w:rPr>
      </w:pPr>
    </w:p>
    <w:p>
      <w:pPr>
        <w:spacing w:after="0" w:line="203" w:lineRule="exact"/>
        <w:rPr>
          <w:sz w:val="20"/>
          <w:szCs w:val="20"/>
          <w:color w:val="auto"/>
        </w:rPr>
      </w:pPr>
    </w:p>
    <w:p>
      <w:pPr>
        <w:ind w:left="540" w:hanging="533"/>
        <w:spacing w:after="0"/>
        <w:tabs>
          <w:tab w:leader="none" w:pos="540" w:val="left"/>
        </w:tabs>
        <w:numPr>
          <w:ilvl w:val="0"/>
          <w:numId w:val="6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SETTLEMENT OF EXCHANGEABLE NOTES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third quarter of 2001, exchangeable notes that were indexed to a portion of our holdings of Vodafone securities matured. Prior to the settlement, the carrying value of the notes was $1.6 billion. These notes were settled with approximately 70 million shares of Vodafone ADR's and $252 in cash. Approximately 57 million shares of the Vodafone ADR's used in the settlement were accounted for as "trading" securities and the remainder was accounted for as "available-for-sale" securities under SFAS No. 115, "Accounting for Certain Investments in Debt and Equity Securities." The settlement resulted in a pretax loss of approximately $392, of which $394 was reclassified from other comprehensive income to other (expense) income in the Statement of Operations.</w:t>
      </w:r>
    </w:p>
    <w:p>
      <w:pPr>
        <w:spacing w:after="0" w:line="201" w:lineRule="exact"/>
        <w:rPr>
          <w:sz w:val="20"/>
          <w:szCs w:val="20"/>
          <w:color w:val="auto"/>
        </w:rPr>
      </w:pPr>
    </w:p>
    <w:p>
      <w:pPr>
        <w:ind w:left="540" w:hanging="533"/>
        <w:spacing w:after="0"/>
        <w:tabs>
          <w:tab w:leader="none" w:pos="540" w:val="left"/>
        </w:tabs>
        <w:numPr>
          <w:ilvl w:val="0"/>
          <w:numId w:val="6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RELATED PARTY TRANSACTIONS</w:t>
      </w:r>
    </w:p>
    <w:p>
      <w:pPr>
        <w:spacing w:after="0" w:line="210" w:lineRule="exact"/>
        <w:rPr>
          <w:rFonts w:ascii="Courier New" w:cs="Courier New" w:eastAsia="Courier New" w:hAnsi="Courier New"/>
          <w:sz w:val="17"/>
          <w:szCs w:val="17"/>
          <w:color w:val="auto"/>
        </w:rPr>
      </w:pP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AT&amp;T has various related party transactions with Concert.</w:t>
      </w:r>
    </w:p>
    <w:p>
      <w:pPr>
        <w:spacing w:after="0" w:line="210"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Included in revenue was $0.3 billion for each of the three-month periods ended September 30, 2001 and 2000, and $0.8 billion for each of the nine-month periods ended September 30, 2001 and 2000, for services provided to Concert.</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Included in access and other connection expenses are charges from Concert representing costs incurred on our behalf to connect calls made to foreign countries (international settlements) and costs paid by AT&amp;T to Concert for distributing Concert products. Such charges totaled $0.4 billion and $1.5 billion, for the three and nine months ended September 30, 2001, respectively, and $0.6 billion and $1.7 billion for the three and nine months ended September 30, 2000, respectively.</w:t>
      </w:r>
    </w:p>
    <w:p>
      <w:pPr>
        <w:spacing w:after="0" w:line="196"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Included in accounts receivable was $0.5 billion, at both September 30,</w:t>
      </w:r>
    </w:p>
    <w:p>
      <w:pPr>
        <w:spacing w:after="0" w:line="9" w:lineRule="exact"/>
        <w:rPr>
          <w:sz w:val="20"/>
          <w:szCs w:val="20"/>
          <w:color w:val="auto"/>
        </w:rPr>
      </w:pPr>
    </w:p>
    <w:p>
      <w:pPr>
        <w:jc w:val="both"/>
        <w:ind w:right="2139"/>
        <w:spacing w:after="0" w:line="254" w:lineRule="auto"/>
        <w:rPr>
          <w:sz w:val="20"/>
          <w:szCs w:val="20"/>
          <w:color w:val="auto"/>
        </w:rPr>
      </w:pPr>
      <w:r>
        <w:rPr>
          <w:rFonts w:ascii="Courier New" w:cs="Courier New" w:eastAsia="Courier New" w:hAnsi="Courier New"/>
          <w:sz w:val="17"/>
          <w:szCs w:val="17"/>
          <w:color w:val="auto"/>
        </w:rPr>
        <w:t>2001 and December 31, 2000, related to transactions with Concert. Included in accounts payable was $0.5 billion at both September 30, 2001 and December 31, 2000, respectively, related to transactions with Concert.</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L-19</w:t>
      </w:r>
    </w:p>
    <w:p>
      <w:pPr>
        <w:sectPr>
          <w:pgSz w:w="11900" w:h="16838" w:orient="portrait"/>
          <w:cols w:equalWidth="0" w:num="1">
            <w:col w:w="10219"/>
          </w:cols>
          <w:pgMar w:left="240" w:top="517" w:right="1440" w:bottom="1440" w:gutter="0" w:footer="0" w:header="0"/>
        </w:sectPr>
      </w:pPr>
    </w:p>
    <w:bookmarkStart w:id="601" w:name="page602"/>
    <w:bookmarkEnd w:id="601"/>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Included in other receivables was $0.7 billion and $1.1 billion, at September 30, 2001 and December 31, 2000, respectively, related to transactions associated with Concert. Included in other current liabilities was $0.9 billion and $1.0 billion, at September 30, 2001 and December 31, 2000, respectively, related to transactions associated with Concert.</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 addition, we had various related party transactions with Liberty Media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Group(LMG). Included in "Costs of services and products" were programming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expenses related to services from LMG. Those expenses amounted to $27 and $199,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respectively, for the quarter and year-to-date periods through July 31, 2001,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deemed effective LMG split-off date for accounting purposes, and $69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$171, respectively, for the quarter and year-to-date periods ended September 30,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w:t>
      </w:r>
    </w:p>
    <w:p>
      <w:pPr>
        <w:spacing w:after="0" w:line="210" w:lineRule="exact"/>
        <w:rPr>
          <w:sz w:val="20"/>
          <w:szCs w:val="20"/>
          <w:color w:val="auto"/>
        </w:rPr>
      </w:pPr>
    </w:p>
    <w:p>
      <w:pPr>
        <w:ind w:left="540" w:right="2679" w:hanging="533"/>
        <w:spacing w:after="0" w:line="257" w:lineRule="auto"/>
        <w:tabs>
          <w:tab w:leader="none" w:pos="540" w:val="left"/>
        </w:tabs>
        <w:numPr>
          <w:ilvl w:val="0"/>
          <w:numId w:val="6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 OF FINANCIAL ACCOUNTING STANDARDS NO. 133 "ACCOUNTING FOR DERIVATIVE INSTRUMENTS AND HEDGING ACTIVITIES"</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Effective January 1, 2001, AT&amp;T adopted SFAS No. 133, "Accounting for Derivative Instruments and Hedging Activities," and its corresponding amendments under SFAS No. 138. SFAS No.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in other comprehensive income (OCI) and are recognized in the income statement when the hedged item affects earnings. Changes in fair values of derivative instruments not designated as hedging instruments and ineffective portions of hedges, if any, are recognized in earnings in the current period.</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adoption of SFAS No. 133 on January 1, 2001, resulted in a pretax cumulative-effect increase to income of $1.5 billion ($0.9 billion net-of-tax). $0.6 billion ($0.4 billion net-of-tax) and $0.9 billion ($0.5 billion net-of-tax) were attributable to AT&amp;T Group (other than LMG) and Liberty Media Group, respectively.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GROUP</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AT&amp;T Group's cumulative-effect increase to net income of $0.4 billion was attributable primarily to equity based derivative instruments embedded in indexed debt instruments, and warrants held in both public and private companies.</w:t>
      </w:r>
    </w:p>
    <w:p>
      <w:pPr>
        <w:spacing w:after="0" w:line="195"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Included in the after-tax cumulative effect benefit of $0.4 billion, was a $0.2 billion benefit for the separation of embedded derivative instruments from the indexed debt instruments and $0.2 billion benefit for changes in the fair value of warrants.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Upon adoption, AT&amp;T Group, as permitted by SFAS No. 133, reclassified $9.3 billion of securities from "available-for-sale" to "trading." This reclassification resulted in the recognition, in the income statement, of losses previously recorded within accumulated OCI. A portion of the loss ($1.6 billion pretax; $1.0 billion net-of-tax) was recorded as part of the cumulative effect of adoption. This loss completely offset a gain for amounts also previously recorded within accumulated OCI on the indexed debt obligation that had been considered a hedge of Comcast, Microsoft and Vodafone available-for-sale securities. The reclassification of securities also resulted in a pretax charge of $1.2 billion ($0.7 billion net-of-tax) recorded in other (expense) income.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the adoption of SFAS No. 133 also resulted in a cumulative pretax charge to OCI of $10 ($6 net-of-tax) on cash flow hedges. The net derivative loss included in OCI as of January 1, 2001 will be reclassified into earnings over the life of the instruments, of which the last expires in February 2005.</w:t>
      </w:r>
    </w:p>
    <w:p>
      <w:pPr>
        <w:ind w:left="4100"/>
        <w:spacing w:after="0"/>
        <w:rPr>
          <w:sz w:val="20"/>
          <w:szCs w:val="20"/>
          <w:color w:val="auto"/>
        </w:rPr>
      </w:pPr>
      <w:r>
        <w:rPr>
          <w:rFonts w:ascii="Courier New" w:cs="Courier New" w:eastAsia="Courier New" w:hAnsi="Courier New"/>
          <w:sz w:val="17"/>
          <w:szCs w:val="17"/>
          <w:color w:val="auto"/>
        </w:rPr>
        <w:t>L-20</w:t>
      </w:r>
    </w:p>
    <w:p>
      <w:pPr>
        <w:sectPr>
          <w:pgSz w:w="11900" w:h="16838" w:orient="portrait"/>
          <w:cols w:equalWidth="0" w:num="1">
            <w:col w:w="10219"/>
          </w:cols>
          <w:pgMar w:left="240" w:top="518" w:right="1440" w:bottom="1440" w:gutter="0" w:footer="0" w:header="0"/>
        </w:sectPr>
      </w:pPr>
    </w:p>
    <w:bookmarkStart w:id="602" w:name="page603"/>
    <w:bookmarkEnd w:id="602"/>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FOREIGN CURRENCY RISK</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We enter into foreign currency exchange contracts, including forward and option contracts, to manage our exposure to changes in currency exchange rates related to foreign-currency-denominated transactions. In third quarter 2001, this consisted primarily of the Euro, Japanese yen and Brazilian reais.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COLLARS AND EQUITY SECURITIES PRICE RISK</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enter into option agreements to hedge our exposure on debt that is collateralized by securities we own. From time to time, AT&amp;T Group uses options and collars to manage the risk from changes in fair values and cash flows on certain equity securities, primarily on those being used to collateralize underlying debt instruments. The securities selected for hedging are determined by market conditions, up-front costs, and other relevant factors. Once established, the hedges are not dynamically managed or traded, and are generally not removed until maturity of the option contracts.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 SWAP AGREEMENTS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enter into interest rate swaps to manage our exposure to changes in interest rates and to lower our overall costs of financing. We enter into swap agreements to manage the fixed/floating mix of our debt portfolio in order to reduce aggregate risk to interest rate movements. Interest rate swaps also allow us to raise funds at floating rates and effectively swap them into fixed rates that are lower than those available to us if fixed-rate borrowings were made directly. These agreements involve the exchange of floating-rate for fixed-rate payments, fixed-rate for floating-rate payments or floating-rate for other floating-rate payments without the exchange of the underlying principal amount.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DERIVATIVES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addition, AT&amp;T Group may hold warrants to purchase securities of other companies. Warrants that can be net share settled are deemed derivative financial instruments and are generally not eligible to be designated as hedging instruments as there is no corresponding underlying exposure. This includes warrants held in both public and private companies.</w:t>
      </w:r>
    </w:p>
    <w:p>
      <w:pPr>
        <w:spacing w:after="0" w:line="19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Hedge ineffectiveness, determined in accordance with SFAS No. 133, had no impact on earnings for the three and nine months ended September 30, 2001. No fair value hedges or cash flow hedges were derecognized or discontinued for the three and nine months ended September 30, 2001.</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For the three and nine months ended September 30, 2001, "Other (expense) income" included net gains of $132 and $373, respectively, relating to ongoing fair value adjustments of derivatives and trading securities. The fair value adjustments for these periods included net gains of $980 and $1,964, respectively, for equity based derivative instruments embedded in indexed debt instruments, net gains (losses) of $(61) and $76, respectively, for changes in the fair value of warrants, swaps and foreign currency transactions, and losses of $(787) and $(1,667), respectively, for trading securities.</w:t>
      </w:r>
    </w:p>
    <w:p>
      <w:pPr>
        <w:spacing w:after="0" w:line="201"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For the three and nine-month periods ending September 30, 2001, we reclassified $19 and $60, respectively, from OCI (pretax) to interest expense representing the recognition of mark-to-market amounts on the prepaid interest rate swaps.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LIBERTY MEDIA GROUP (LMG)</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LMG's cumulative-effect increase to income of $0.5 billion was attributable primarily to separately recording the embedded call option obligations associated with LMG's senior exchangeable debentures. Also included in the cumulative-effect was $87 previously included in OCI related primarily to changes in the fair value of LMG's warrants and options to purchase certain available-for-sale securities.</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L-21</w:t>
      </w:r>
    </w:p>
    <w:p>
      <w:pPr>
        <w:sectPr>
          <w:pgSz w:w="11900" w:h="16838" w:orient="portrait"/>
          <w:cols w:equalWidth="0" w:num="1">
            <w:col w:w="10219"/>
          </w:cols>
          <w:pgMar w:left="240" w:top="517" w:right="1440" w:bottom="1440" w:gutter="0" w:footer="0" w:header="0"/>
        </w:sectPr>
      </w:pPr>
    </w:p>
    <w:bookmarkStart w:id="603" w:name="page604"/>
    <w:bookmarkEnd w:id="603"/>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DERIVATIVE INSTRUMENTS: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LMG uses various derivative instruments including equity collars, put spread collars, interest rate swaps and forward foreign exchange contracts to manage fair value risk associated with certain investments, interest rate risk on certain indebtedness, and foreign exchange rate risk. Derivative instruments are generally not used for speculative purposes. The derivative instruments may involve elements of credit and market risk in excess of amounts recognized in the financial statements. LMG monitors its positions and the credit quality of counter-parties, consisting primarily of major financial institutions, and does not anticipate nonperformance by any counter-party.</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For derivatives designed either as fair value or cash flow hedges, changes in the time value of the derivatives are excluded from the assessment of hedge effectiveness and are recognized in earnings. Hedge ineffectiveness, determined in accordance with SFAS No. 133, had no impact on LMG's earnings for the quarter and the year-to-date period through July 31, 2001. No fair value hedges or cash flow hedges were derecognized or discontinued during the quarter and the year-to-date period through July 31, 2001.</w:t>
      </w:r>
    </w:p>
    <w:p>
      <w:pPr>
        <w:spacing w:after="0" w:line="196"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For the nine months ended September 30, 2001, included in "Equity earnings (losses) from LMG" were unrealized losses on financial instruments which consisted of a $38 net loss related to call option obligations, a $440 net loss for changes in the fair value of derivative instruments related to available-for-sale securities and other derivatives not designated as hedging instruments, and an $142 net gain for changes in the time value of options for fair value hedges.</w:t>
      </w:r>
    </w:p>
    <w:p>
      <w:pPr>
        <w:spacing w:after="0" w:line="398" w:lineRule="exact"/>
        <w:rPr>
          <w:sz w:val="20"/>
          <w:szCs w:val="20"/>
          <w:color w:val="auto"/>
        </w:rPr>
      </w:pPr>
    </w:p>
    <w:p>
      <w:pPr>
        <w:ind w:left="540" w:hanging="533"/>
        <w:spacing w:after="0"/>
        <w:tabs>
          <w:tab w:leader="none" w:pos="540" w:val="left"/>
        </w:tabs>
        <w:numPr>
          <w:ilvl w:val="0"/>
          <w:numId w:val="6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SEGMENT REPORTING</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AT&amp;T's results are segmented according to the way we manage our business: AT&amp;T Business, AT&amp;T Consumer and AT&amp;T Broadband. In connection with our corporate restructuring program set forth in late 2000, our existing segments reflect certain managerial changes since the publication of our 2000 annual report. The changes are as follows: AT&amp;T Business was expanded to include the results of international operations and ventures. In addition, certain corporate costs that were previously recorded within the Corporate and Other Group have been allocated to the respective segments in an effort to ultimately have the results of these businesses reflect all direct corporate costs as well as overhead for shared services. All prior period results have been restated to reflect these changes. Total assets for our reportable segments generally include all assets, except intercompany receivables.</w:t>
      </w:r>
    </w:p>
    <w:p>
      <w:pPr>
        <w:spacing w:after="0" w:line="201"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Reflecting the dynamics of our business, we continuously review our management model and structure, which may result in additional adjustments to our operating segments in the future.</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L-22</w:t>
      </w:r>
    </w:p>
    <w:p>
      <w:pPr>
        <w:sectPr>
          <w:pgSz w:w="11900" w:h="16838" w:orient="portrait"/>
          <w:cols w:equalWidth="0" w:num="1">
            <w:col w:w="10219"/>
          </w:cols>
          <w:pgMar w:left="240" w:top="517" w:right="1440" w:bottom="1440" w:gutter="0" w:footer="0" w:header="0"/>
        </w:sectPr>
      </w:pPr>
    </w:p>
    <w:bookmarkStart w:id="604" w:name="page605"/>
    <w:bookmarkEnd w:id="604"/>
    <w:p>
      <w:pPr>
        <w:jc w:val="center"/>
        <w:ind w:right="191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FOR THE THREE MONTHS FOR THE NINE MONTHS ENDED</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SEPTEMBER 30, ENDED SEPTEMBER 30, --------------</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 ------------------- 2001 2000 2001 2000</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 -------- -------- Revenue</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AT&amp;T Business external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revenue.................... $ 6,750 $ 7,022</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$20,550 $21,172 AT&amp;T Business internal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revenue.................... 135 200 597 529</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Total AT&amp;T Business</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revenue............................ 6,885 7,222</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21,147 21,701 AT&amp;T Consumer external</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revenue......................... 3,822 4,651</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11,614 14,651 AT&amp;T Broadband external</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revenue................... 2,390 2,416 7,411</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5,687 AT&amp;T Broadband internal</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revenue................... 3 4 12 6 Total 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Broadband revenue...........................</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2,393 2,420 7,423 5,693 Total reportable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segments.............................. 13,100</w:t>
      </w:r>
    </w:p>
    <w:p>
      <w:pPr>
        <w:spacing w:after="0" w:line="9"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14,293 40,184 42,045 Corporate and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Other(a)................................. (13)</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(117) (220) (422) Total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$13,087 $14,176 $39,964 $41,623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jc w:val="both"/>
        <w:ind w:left="540" w:right="2359" w:hanging="533"/>
        <w:spacing w:after="0" w:line="254" w:lineRule="auto"/>
        <w:tabs>
          <w:tab w:leader="none" w:pos="540" w:val="left"/>
        </w:tabs>
        <w:numPr>
          <w:ilvl w:val="0"/>
          <w:numId w:val="6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revenue related to Excite@Home of $140 and $418 for the third quarter and year-to-date period of 2001, respectively, and $79 for the quarter and year-to-date period ended September 30, 2000.</w:t>
      </w:r>
    </w:p>
    <w:p>
      <w:pPr>
        <w:spacing w:after="0" w:line="194" w:lineRule="exact"/>
        <w:rPr>
          <w:sz w:val="20"/>
          <w:szCs w:val="20"/>
          <w:color w:val="auto"/>
        </w:rPr>
      </w:pPr>
    </w:p>
    <w:p>
      <w:pPr>
        <w:ind w:right="2259"/>
        <w:spacing w:after="0" w:line="257" w:lineRule="auto"/>
        <w:rPr>
          <w:sz w:val="20"/>
          <w:szCs w:val="20"/>
          <w:color w:val="auto"/>
        </w:rPr>
      </w:pPr>
      <w:r>
        <w:rPr>
          <w:rFonts w:ascii="Courier New" w:cs="Courier New" w:eastAsia="Courier New" w:hAnsi="Courier New"/>
          <w:sz w:val="17"/>
          <w:szCs w:val="17"/>
          <w:color w:val="auto"/>
        </w:rPr>
        <w:t>RECONCILIATION OF EARNINGS BEFORE INTEREST AND TAXES (EBIT) TO INCOME BEFORE INCOME TAXES</w:t>
      </w:r>
    </w:p>
    <w:p>
      <w:pPr>
        <w:spacing w:after="0" w:line="192"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FOR THE THREE MONTHS ENDED FOR THE NINE MONTHS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SEPTEMBER 30, ENDED SEPTEMBER 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-------------------- 2001 2000 2001 2000 ------- --</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 --------- -------- AT&amp;T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$(4,377) $1,690 $(1,933) $4,428 AT&amp;T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Consumer............................................</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1,282 1,806 3,817 5,271 AT&amp;T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(538) (640) (1,834) (771) Total reportable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segments.............................. (3,633)</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2,856 50 8,928 Corporate and</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Other(a)................................... (21)</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106 (3,505) (297) Deduct: Pretax minority interest</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income (expense)........ 171 64 922 (87) Add:</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Pretax losses from other equity</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investments......... 224 374 725 1,034 Interest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expense.........................................</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786 896 2,426 2,000 Total (loss) income from</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continuing operations before income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$(4,387) $2,376 $(6,078) $7,752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2039" w:hanging="413"/>
        <w:spacing w:after="0" w:line="253" w:lineRule="auto"/>
        <w:tabs>
          <w:tab w:leader="none" w:pos="420" w:val="left"/>
        </w:tabs>
        <w:numPr>
          <w:ilvl w:val="0"/>
          <w:numId w:val="6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$(294) and $(235) related to Excite@Home for the third quarter of 2001 and 2000, respectively. Also includes $(714) and $(699) related to Excite@Home for the nine months ended September 30, 2001 and 2000, respectively.</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L-23</w:t>
      </w:r>
    </w:p>
    <w:p>
      <w:pPr>
        <w:sectPr>
          <w:pgSz w:w="11900" w:h="16838" w:orient="portrait"/>
          <w:cols w:equalWidth="0" w:num="1">
            <w:col w:w="10219"/>
          </w:cols>
          <w:pgMar w:left="240" w:top="517" w:right="1440" w:bottom="1440" w:gutter="0" w:footer="0" w:header="0"/>
        </w:sectPr>
      </w:pPr>
    </w:p>
    <w:bookmarkStart w:id="605" w:name="page606"/>
    <w:bookmarkEnd w:id="605"/>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SEPTEMBER 30, AT DECEMBER 31, 2001 2000 --------------</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 --------------- AT&amp;T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Business...............................................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40,236 $ 42,747 AT&amp;T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Consumer...............................................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2,555 3,150 AT&amp;T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104,054 114,848 Total reportable</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segments................................. 146,845 160,745</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Corporate and Other: Other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segments..............................................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1,152 1,174 Prepaid pension</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costs....................................... 3,269 3,003</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Deferred income</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taxes....................................... 1,362 406</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Other corporate</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assets(a)................................... 7,421 7,518</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Investment in Liberty Media Group and related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-- 34,290 Net assets of discontinued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operations....................... -- 27,224 Total</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$160,049 $234,360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Includes $2,541 related to Excite@Home at December 31, 2000.</w:t>
      </w:r>
    </w:p>
    <w:p>
      <w:pPr>
        <w:spacing w:after="0" w:line="210" w:lineRule="exact"/>
        <w:rPr>
          <w:sz w:val="20"/>
          <w:szCs w:val="20"/>
          <w:color w:val="auto"/>
        </w:rPr>
      </w:pPr>
    </w:p>
    <w:p>
      <w:pPr>
        <w:ind w:left="220" w:right="6239" w:hanging="213"/>
        <w:spacing w:after="0" w:line="502" w:lineRule="auto"/>
        <w:tabs>
          <w:tab w:leader="none" w:pos="534" w:val="left"/>
        </w:tabs>
        <w:numPr>
          <w:ilvl w:val="0"/>
          <w:numId w:val="6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GUARANTEE OF PREFERRED SECURITIES TCI Securities:</w:t>
      </w:r>
    </w:p>
    <w:p>
      <w:pPr>
        <w:ind w:right="1839" w:firstLine="524"/>
        <w:spacing w:after="0" w:line="253" w:lineRule="auto"/>
        <w:rPr>
          <w:sz w:val="20"/>
          <w:szCs w:val="20"/>
          <w:color w:val="auto"/>
        </w:rPr>
      </w:pPr>
      <w:r>
        <w:rPr>
          <w:rFonts w:ascii="Courier New" w:cs="Courier New" w:eastAsia="Courier New" w:hAnsi="Courier New"/>
          <w:sz w:val="17"/>
          <w:szCs w:val="17"/>
          <w:color w:val="auto"/>
        </w:rPr>
        <w:t>Prior to the consummation of the TCI merger, TCI issued mandatorily redeemable preferred securities through subsidiary trusts that held subordinated debt securities of TCI. At September 30, 2001, $1,244 of the guaranteed redeemable preferred securities remained outstanding.</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MediaOne Securities:</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Prior to the consummation of the MediaOne merger, MediaOne issued mandatorily redeemable preferred securities through subsidiary trusts that held subordinated debt securities of MediaOne. At September 30, 2001, $776 of the guaranteed redeemable preferred securities remained outstanding.</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provides a full and unconditional guarantee on the outstanding securities issued by TCI Communications Financing I, II and IV and the outstanding securities issued by MediaOne Financing I and II and MediaOne Finance II and III. The following are the condensed consolidating financial statements of AT&amp;T Corp., which include the financial results of TCI and MediaOne for each of the corresponding periods. The results of MediaOne have been included in the financial results of AT&amp;T since the date of acquisition on June 15, 2000, and the results of TCI have been included since the March 9, 1999, date of acquisition.</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L-24</w:t>
      </w:r>
    </w:p>
    <w:p>
      <w:pPr>
        <w:sectPr>
          <w:pgSz w:w="11900" w:h="16838" w:orient="portrait"/>
          <w:cols w:equalWidth="0" w:num="1">
            <w:col w:w="10219"/>
          </w:cols>
          <w:pgMar w:left="240" w:top="517" w:right="1440" w:bottom="1440" w:gutter="0" w:footer="0" w:header="0"/>
        </w:sectPr>
      </w:pPr>
    </w:p>
    <w:bookmarkStart w:id="606" w:name="page607"/>
    <w:bookmarkEnd w:id="606"/>
    <w:p>
      <w:pPr>
        <w:jc w:val="center"/>
        <w:ind w:right="1819"/>
        <w:spacing w:after="0"/>
        <w:rPr>
          <w:sz w:val="20"/>
          <w:szCs w:val="20"/>
          <w:color w:val="auto"/>
        </w:rPr>
      </w:pPr>
      <w:r>
        <w:rPr>
          <w:rFonts w:ascii="Courier New" w:cs="Courier New" w:eastAsia="Courier New" w:hAnsi="Courier New"/>
          <w:sz w:val="17"/>
          <w:szCs w:val="17"/>
          <w:color w:val="auto"/>
        </w:rPr>
        <w:t>AT&amp;T CORP.</w:t>
      </w:r>
    </w:p>
    <w:p>
      <w:pPr>
        <w:spacing w:after="0" w:line="21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CONSOLIDATING CONDENSED INCOME STATEMENTS</w:t>
      </w:r>
    </w:p>
    <w:p>
      <w:pPr>
        <w:spacing w:after="0" w:line="9"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7"/>
          <w:szCs w:val="17"/>
          <w:color w:val="auto"/>
        </w:rPr>
        <w:t>FOR THE NINE MONTHS ENDED SEPTEMBER 30, 2001</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GUARANTOR GUARANTOR GUARANTOR TCI TCI TCI AT&amp;T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SUBSIDIARY SUBSIDIARY FINANCING FINANCING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FINANCING PARENT TCI MEDIAONE I II IV --------</w:t>
      </w:r>
    </w:p>
    <w:p>
      <w:pPr>
        <w:spacing w:after="0" w:line="9" w:lineRule="exact"/>
        <w:rPr>
          <w:sz w:val="20"/>
          <w:szCs w:val="20"/>
          <w:color w:val="auto"/>
        </w:rPr>
      </w:pPr>
    </w:p>
    <w:p>
      <w:pPr>
        <w:ind w:left="260" w:hanging="204"/>
        <w:spacing w:after="0"/>
        <w:tabs>
          <w:tab w:leader="none" w:pos="260" w:val="left"/>
        </w:tabs>
        <w:numPr>
          <w:ilvl w:val="0"/>
          <w:numId w:val="6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8" w:lineRule="exact"/>
        <w:rPr>
          <w:rFonts w:ascii="Courier New" w:cs="Courier New" w:eastAsia="Courier New" w:hAnsi="Courier New"/>
          <w:sz w:val="17"/>
          <w:szCs w:val="17"/>
          <w:color w:val="auto"/>
        </w:rPr>
      </w:pPr>
    </w:p>
    <w:p>
      <w:pPr>
        <w:ind w:left="2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products................. 2,564 1 Access and</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other connection.................... 4,948</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Selling, general and</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administrative............ 1,583 246 2</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Depreciation and other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amortization............ 1,284 44 Amortization</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of goodwill, franchise costs and other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purchased intangibles.................. 72 3</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376 Net restructuring and other</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charges............ Total operating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expenses....................... 10,451 293 379</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(loss)........................ 4,381 (293)</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(379) Other income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(expense)......................... 763 97</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1,076 32 35 13 Interest expense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(benefit)..................... 3,485 1,015 212</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32 35 13 Income (loss) from continuing</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operations before income taxes, minority</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interest, earnings (losses) from equity</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investments and cumulative effect of</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accounting change....... 1,659 (1,211) 485</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Provision (benefit) for income</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taxes........... 619 (454) 329 Minority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interest income (expenses)............ (120)</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7"/>
          <w:szCs w:val="17"/>
          <w:color w:val="auto"/>
        </w:rPr>
        <w:t>Equity losses from Liberty Media</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Group......... 2,711 Net earnings (losses)</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from other equity</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133 (1,896) (1,839) Income (loss) from</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continuing operations before cumulative effect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of accounting change....... 1,053 (5,364)</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(1,683) Income (loss) from discontinued</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operations (net of income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taxes)............................. Gain on</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the disposition of discontinued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13,503 Income (loss) before cumulative effect</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of accounting</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change............................ 14,556</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(5,364) (1,683) Cumulative effect of</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accounting change......... 508 545 540 Net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 (loss)..............................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15,064 (4,819) (1,143) Dividend requirements</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on preferred stock....... 652 Premium on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Wireless tracking stock exchange.... 80 Net</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income (loss) available to common</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shareowners..................................</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$14,332 $(4,819) $(1,143) $ -- $ -- $ --</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MEDIAONE MEDIAONE MEDIAONE MEDIAONE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ELIMINATION AND FINANCING FINANCING FINANCE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FINANCE NON-GUARANTOR CONSOLIDATION I II II</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III SUBSIDIARIES ADJUSTMENTS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 -----------</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900" w:right="5339" w:hanging="844"/>
        <w:spacing w:after="0" w:line="251" w:lineRule="auto"/>
        <w:tabs>
          <w:tab w:leader="none" w:pos="272" w:val="left"/>
        </w:tabs>
        <w:numPr>
          <w:ilvl w:val="0"/>
          <w:numId w:val="6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 $ -- $26,859 $(1,727) Operating Expenses Costs of services and</w:t>
      </w:r>
    </w:p>
    <w:p>
      <w:pPr>
        <w:ind w:left="60"/>
        <w:spacing w:after="0"/>
        <w:rPr>
          <w:sz w:val="20"/>
          <w:szCs w:val="20"/>
          <w:color w:val="auto"/>
        </w:rPr>
      </w:pPr>
      <w:r>
        <w:rPr>
          <w:rFonts w:ascii="Courier New" w:cs="Courier New" w:eastAsia="Courier New" w:hAnsi="Courier New"/>
          <w:sz w:val="17"/>
          <w:szCs w:val="17"/>
          <w:color w:val="auto"/>
        </w:rPr>
        <w:t>products................. 9,411 (1,518) Access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and other connection.................... 4,523</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(182) Selling, general and</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administrative............ 6,317 (4)</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Depreciation and other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amortization............ 3,788 Amortization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goodwill, franchise costs and other purchased</w:t>
      </w:r>
    </w:p>
    <w:p>
      <w:pPr>
        <w:spacing w:after="0" w:line="9"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3100" w:type="dxa"/>
            <w:vAlign w:val="bottom"/>
          </w:tcPr>
          <w:p>
            <w:pPr>
              <w:spacing w:after="0"/>
              <w:rPr>
                <w:sz w:val="20"/>
                <w:szCs w:val="20"/>
                <w:color w:val="auto"/>
              </w:rPr>
            </w:pPr>
            <w:r>
              <w:rPr>
                <w:rFonts w:ascii="Courier New" w:cs="Courier New" w:eastAsia="Courier New" w:hAnsi="Courier New"/>
                <w:sz w:val="17"/>
                <w:szCs w:val="17"/>
                <w:color w:val="auto"/>
              </w:rPr>
              <w:t>intangibles..................</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1,469 Net</w:t>
            </w:r>
          </w:p>
        </w:tc>
      </w:tr>
    </w:tbl>
    <w:p>
      <w:pPr>
        <w:sectPr>
          <w:pgSz w:w="11900" w:h="16838" w:orient="portrait"/>
          <w:cols w:equalWidth="0" w:num="1">
            <w:col w:w="10219"/>
          </w:cols>
          <w:pgMar w:left="240" w:top="719" w:right="1440" w:bottom="0" w:gutter="0" w:footer="0" w:header="0"/>
        </w:sectPr>
      </w:pPr>
    </w:p>
    <w:bookmarkStart w:id="607" w:name="page608"/>
    <w:bookmarkEnd w:id="607"/>
    <w:p>
      <w:pPr>
        <w:spacing w:after="0" w:line="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restructuring and other charges............</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1,494 Total operating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expenses....................... 27,002 (1,704)</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(loss)........................ (143) (23)</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Other income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(expense)......................... 3 3 16 35</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7"/>
          <w:szCs w:val="17"/>
          <w:color w:val="auto"/>
        </w:rPr>
        <w:t>(6,709) (2,559) Interest expense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(benefit)..................... 2 2 15 34 672</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(3,091) Income (loss) from continuing</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operations before income taxes, minority</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interest, earnings (losses) from equity</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investments and cumulative effect of</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accounting change....... 1 1 1 1 (7,524) 509</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Provision (benefit) for income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taxes........... (3,240) Minority interest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income (expenses)............ 1,135 Equity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losses from Liberty Media Group......... Net</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earnings (losses) from other equity</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43 3,136 Income (loss) from continuing</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operations before cumulative effect of</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accounting change....... 1 1 1 1 (3,106) 3,645</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Income (loss) from discontinued operations</w:t>
      </w:r>
    </w:p>
    <w:p>
      <w:pPr>
        <w:spacing w:after="0" w:line="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(net of income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taxes)............................. 178 (28)</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Gain on the disposition of discontinued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Income (loss) before cumulative effect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accounting change............................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 1 1 1 (2,928) 3,617 Cumulative effect of</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accounting change......... (689) Net income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(loss).............................. 1 1 1 1</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(3,617) 3,617 Dividend requirements on</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preferred stock....... Premium on Wireless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tracking stock exchange.... Net income (loss)</w:t>
      </w:r>
    </w:p>
    <w:p>
      <w:pPr>
        <w:spacing w:after="0" w:line="9" w:lineRule="exact"/>
        <w:rPr>
          <w:sz w:val="20"/>
          <w:szCs w:val="20"/>
          <w:color w:val="auto"/>
        </w:rPr>
      </w:pPr>
    </w:p>
    <w:p>
      <w:pPr>
        <w:ind w:left="1460"/>
        <w:spacing w:after="0"/>
        <w:rPr>
          <w:sz w:val="20"/>
          <w:szCs w:val="20"/>
          <w:color w:val="auto"/>
        </w:rPr>
      </w:pPr>
      <w:r>
        <w:rPr>
          <w:rFonts w:ascii="Courier New" w:cs="Courier New" w:eastAsia="Courier New" w:hAnsi="Courier New"/>
          <w:sz w:val="17"/>
          <w:szCs w:val="17"/>
          <w:color w:val="auto"/>
        </w:rPr>
        <w:t>available to common</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shareowners..................................</w:t>
      </w:r>
    </w:p>
    <w:p>
      <w:pPr>
        <w:spacing w:after="0" w:line="9" w:lineRule="exact"/>
        <w:rPr>
          <w:sz w:val="20"/>
          <w:szCs w:val="20"/>
          <w:color w:val="auto"/>
        </w:rPr>
      </w:pPr>
    </w:p>
    <w:p>
      <w:pPr>
        <w:ind w:left="580" w:right="5879" w:firstLine="209"/>
        <w:spacing w:after="0" w:line="251" w:lineRule="auto"/>
        <w:tabs>
          <w:tab w:leader="none" w:pos="999" w:val="left"/>
        </w:tabs>
        <w:numPr>
          <w:ilvl w:val="0"/>
          <w:numId w:val="6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1 $ 1 $ 1 $ 1 $(3,617) $ 3,617 CONSOLIDATED AT&amp;T CORP. ------------</w:t>
      </w: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$39,964 Operating Expenses Costs of services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and products................. 10,458 Access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and other connection.................... 9,289</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Selling, general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administrative............ 8,144 Depreciation</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and other amortization............ 5,116</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Amortization of goodwill, franchise costs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other purchased intangibles..................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1,920 Net restructuring and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charges............ 1,494 Total operating</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expenses....................... 36,421</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(loss)........................ 3,543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income (expense).........................</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(7,195) Interest expense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(benefit)..................... 2,426 Income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(loss) from continuing operations before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income taxes, minority interest, earnings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(losses) from equity investments and</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cumulative effect of accounting change.......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(6,078) Provision (benefit) for income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taxes........... (2,746) Minority interest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income (expenses)............ 1,015 Equity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losses from Liberty Media Group......... 2,711</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Net earnings (losses) from other equity</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480" w:right="5339" w:hanging="425"/>
        <w:spacing w:after="0" w:line="251" w:lineRule="auto"/>
        <w:tabs>
          <w:tab w:leader="none" w:pos="689" w:val="left"/>
        </w:tabs>
        <w:numPr>
          <w:ilvl w:val="0"/>
          <w:numId w:val="6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 from continuing operations before cumulative effect of accounting</w:t>
      </w:r>
    </w:p>
    <w:p>
      <w:pPr>
        <w:ind w:left="360"/>
        <w:spacing w:after="0"/>
        <w:rPr>
          <w:sz w:val="20"/>
          <w:szCs w:val="20"/>
          <w:color w:val="auto"/>
        </w:rPr>
      </w:pPr>
      <w:r>
        <w:rPr>
          <w:rFonts w:ascii="Courier New" w:cs="Courier New" w:eastAsia="Courier New" w:hAnsi="Courier New"/>
          <w:sz w:val="17"/>
          <w:szCs w:val="17"/>
          <w:color w:val="auto"/>
        </w:rPr>
        <w:t>change....... (5,451) Income (loss) from</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discontinued operations (net of income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taxes)............................. 150 Gain</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on the disposition of discontinued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13,503 Income (loss) before cumulative effect</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of accounting</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change............................ 8,202</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Cumulative effect of accounting</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change......... 904 Net income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(loss).............................. 9,106</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Dividend requirements on preferred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stock....... 652 Premium on Wireless tracking</w:t>
      </w:r>
    </w:p>
    <w:p>
      <w:pPr>
        <w:sectPr>
          <w:pgSz w:w="11900" w:h="16848" w:orient="portrait"/>
          <w:cols w:equalWidth="0" w:num="1">
            <w:col w:w="10219"/>
          </w:cols>
          <w:pgMar w:left="240" w:top="141" w:right="1440" w:bottom="0" w:gutter="0" w:footer="0" w:header="0"/>
        </w:sectPr>
      </w:pPr>
    </w:p>
    <w:bookmarkStart w:id="608" w:name="page609"/>
    <w:bookmarkEnd w:id="608"/>
    <w:p>
      <w:pPr>
        <w:ind w:left="320"/>
        <w:spacing w:after="0"/>
        <w:rPr>
          <w:sz w:val="20"/>
          <w:szCs w:val="20"/>
          <w:color w:val="auto"/>
        </w:rPr>
      </w:pPr>
      <w:r>
        <w:rPr>
          <w:rFonts w:ascii="Courier New" w:cs="Courier New" w:eastAsia="Courier New" w:hAnsi="Courier New"/>
          <w:sz w:val="17"/>
          <w:szCs w:val="17"/>
          <w:color w:val="auto"/>
        </w:rPr>
        <w:t>stock exchange.... 80 Net income (loss)</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available to common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shareowners..................................</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$ 8,374</w:t>
      </w:r>
    </w:p>
    <w:p>
      <w:pPr>
        <w:spacing w:after="0" w:line="200" w:lineRule="exact"/>
        <w:rPr>
          <w:sz w:val="20"/>
          <w:szCs w:val="20"/>
          <w:color w:val="auto"/>
        </w:rPr>
      </w:pPr>
    </w:p>
    <w:p>
      <w:pPr>
        <w:spacing w:after="0" w:line="212"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L-25</w:t>
      </w:r>
    </w:p>
    <w:p>
      <w:pPr>
        <w:sectPr>
          <w:pgSz w:w="11900" w:h="16838" w:orient="portrait"/>
          <w:cols w:equalWidth="0" w:num="1">
            <w:col w:w="10119"/>
          </w:cols>
          <w:pgMar w:left="340" w:top="141" w:right="1440" w:bottom="1440" w:gutter="0" w:footer="0" w:header="0"/>
        </w:sectPr>
      </w:pPr>
    </w:p>
    <w:bookmarkStart w:id="609" w:name="page610"/>
    <w:bookmarkEnd w:id="609"/>
    <w:p>
      <w:pPr>
        <w:jc w:val="center"/>
        <w:ind w:right="1819"/>
        <w:spacing w:after="0"/>
        <w:rPr>
          <w:sz w:val="20"/>
          <w:szCs w:val="20"/>
          <w:color w:val="auto"/>
        </w:rPr>
      </w:pPr>
      <w:r>
        <w:rPr>
          <w:rFonts w:ascii="Courier New" w:cs="Courier New" w:eastAsia="Courier New" w:hAnsi="Courier New"/>
          <w:sz w:val="17"/>
          <w:szCs w:val="17"/>
          <w:color w:val="auto"/>
        </w:rPr>
        <w:t>AT&amp;T CORP.</w:t>
      </w:r>
    </w:p>
    <w:p>
      <w:pPr>
        <w:spacing w:after="0" w:line="21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CONSOLIDATING CONDENSED INCOME STATEMENTS</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FOR THE THREE MONTHS ENDED SEPTEMBER 30, 2001</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GUARANTOR GUARANTOR GUARANTOR TCI TCI TCI AT&amp;T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SUBSIDIARY SUBSIDIARY FINANCING FINANCING FINANCING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PARENT TCI MEDIAONE I II IV --------- ---------- ---</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$ 4,847 $ $ $ $ $ Operating Expenses Costs of</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services and products....................... 876</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Access and other</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connection.......................... 1,610 Selling,</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general and administrative.................. 522 2</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(7) Depreciation and other</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amortization.................. 444 15 (6)</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Amortization of goodwill, franchise costs and other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purchased intangibles...............................</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25 123 Net restructuring and other</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charges.................. Total operating</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expenses............................. 3,477 17 110</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(loss).............................. 1,370 (17)</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(110) Other income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(expense)............................... 1,336 8</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(36) 10 12 4 Interest expense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(benefit)........................... 956 150 57 10</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12 4 Income (loss) before income taxes, minority</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interest, earnings (losses) from equity investments</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and cumulative effect of accounting</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change.............. 1,750 (159) (203) Provision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(benefit) for income taxes................. 665 (59)</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(31) Minority interest income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(expenses).................. (40) Equity earnings</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(losses) from Liberty Media Group.... 111 Net</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earnings (losses) from other equity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4659"/>
        <w:spacing w:after="0" w:line="251" w:lineRule="auto"/>
        <w:rPr>
          <w:sz w:val="20"/>
          <w:szCs w:val="20"/>
          <w:color w:val="auto"/>
        </w:rPr>
      </w:pPr>
      <w:r>
        <w:rPr>
          <w:rFonts w:ascii="Courier New" w:cs="Courier New" w:eastAsia="Courier New" w:hAnsi="Courier New"/>
          <w:sz w:val="17"/>
          <w:szCs w:val="17"/>
          <w:color w:val="auto"/>
        </w:rPr>
        <w:t>(2,284) (424) (273) (Loss) income from continuing operations before cumulative effect of accounting change.............. (1,239) (413) (445) Income</w:t>
      </w:r>
    </w:p>
    <w:p>
      <w:pPr>
        <w:jc w:val="both"/>
        <w:ind w:left="160" w:right="4819"/>
        <w:spacing w:after="0" w:line="251" w:lineRule="auto"/>
        <w:rPr>
          <w:sz w:val="20"/>
          <w:szCs w:val="20"/>
          <w:color w:val="auto"/>
        </w:rPr>
      </w:pPr>
      <w:r>
        <w:rPr>
          <w:rFonts w:ascii="Courier New" w:cs="Courier New" w:eastAsia="Courier New" w:hAnsi="Courier New"/>
          <w:sz w:val="17"/>
          <w:szCs w:val="17"/>
          <w:color w:val="auto"/>
        </w:rPr>
        <w:t>(loss) from discontinued operations (net of income taxes)....................................... Gain on the disposition of discontinued operations (net</w:t>
      </w:r>
    </w:p>
    <w:p>
      <w:pPr>
        <w:jc w:val="center"/>
        <w:ind w:right="4659"/>
        <w:spacing w:after="0"/>
        <w:rPr>
          <w:sz w:val="20"/>
          <w:szCs w:val="20"/>
          <w:color w:val="auto"/>
        </w:rPr>
      </w:pPr>
      <w:r>
        <w:rPr>
          <w:rFonts w:ascii="Courier New" w:cs="Courier New" w:eastAsia="Courier New" w:hAnsi="Courier New"/>
          <w:sz w:val="17"/>
          <w:szCs w:val="17"/>
          <w:color w:val="auto"/>
        </w:rPr>
        <w:t>of income taxes)...............................</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13,503 Income (loss) before cumulative effect of</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accounting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change..............................................</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12,264 (413) (445) Cumulative effect of accounting</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change............... Net income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(loss).................................... 12,264</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(413) (445) Dividend requirements on preferred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stock............. 235 Premium on Wireless tracking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stock exchange.......... Net income (loss) available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common shareowners.... $12,029 $(413) $(445) $ $</w:t>
      </w:r>
    </w:p>
    <w:p>
      <w:pPr>
        <w:spacing w:after="0" w:line="9"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MEDIAONE MEDIAONE MEDIAONE MEDIAONE FINANCING</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FINANCING FINANCE FINANCE NON-GUARANTOR I II II III</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SUBSIDIARIES --------- --------- -------- -------- -</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 $ 8,743 Operating Expenses Costs of services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and products....................... 3,040 Access and</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other connection.......................... 1,484</w:t>
      </w:r>
    </w:p>
    <w:p>
      <w:pPr>
        <w:spacing w:after="0" w:line="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Selling, general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administrative.................. 2,025 Depreciation</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and other amortization.................. 1,229</w:t>
      </w:r>
    </w:p>
    <w:p>
      <w:pPr>
        <w:spacing w:after="0" w:line="9" w:lineRule="exact"/>
        <w:rPr>
          <w:sz w:val="20"/>
          <w:szCs w:val="20"/>
          <w:color w:val="auto"/>
        </w:rPr>
      </w:pPr>
    </w:p>
    <w:p>
      <w:pPr>
        <w:jc w:val="center"/>
        <w:ind w:right="4659"/>
        <w:spacing w:after="0" w:line="251" w:lineRule="auto"/>
        <w:rPr>
          <w:sz w:val="20"/>
          <w:szCs w:val="20"/>
          <w:color w:val="auto"/>
        </w:rPr>
      </w:pPr>
      <w:r>
        <w:rPr>
          <w:rFonts w:ascii="Courier New" w:cs="Courier New" w:eastAsia="Courier New" w:hAnsi="Courier New"/>
          <w:sz w:val="17"/>
          <w:szCs w:val="17"/>
          <w:color w:val="auto"/>
        </w:rPr>
        <w:t>Amortization of goodwill, franchise costs and other purchased intangibles............................... 444 Net restructuring and other</w:t>
      </w:r>
    </w:p>
    <w:p>
      <w:pPr>
        <w:ind w:left="420"/>
        <w:spacing w:after="0"/>
        <w:rPr>
          <w:sz w:val="20"/>
          <w:szCs w:val="20"/>
          <w:color w:val="auto"/>
        </w:rPr>
      </w:pPr>
      <w:r>
        <w:rPr>
          <w:rFonts w:ascii="Courier New" w:cs="Courier New" w:eastAsia="Courier New" w:hAnsi="Courier New"/>
          <w:sz w:val="17"/>
          <w:szCs w:val="17"/>
          <w:color w:val="auto"/>
        </w:rPr>
        <w:t>charges.................. 399 Total operating</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expenses............................. 8,621</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(loss).............................. 122 Other</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(expense)............................... 1 1</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6 12 (5,532) Interest expense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(benefit)........................... 1 1 5 11 367</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Income (loss) before income taxes, minority</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interest, earnings (losses) from equity investments</w:t>
      </w:r>
    </w:p>
    <w:p>
      <w:pPr>
        <w:sectPr>
          <w:pgSz w:w="11900" w:h="16838" w:orient="portrait"/>
          <w:cols w:equalWidth="0" w:num="1">
            <w:col w:w="10219"/>
          </w:cols>
          <w:pgMar w:left="240" w:top="720" w:right="1440" w:bottom="0" w:gutter="0" w:footer="0" w:header="0"/>
        </w:sectPr>
      </w:pPr>
    </w:p>
    <w:bookmarkStart w:id="610" w:name="page611"/>
    <w:bookmarkEnd w:id="610"/>
    <w:p>
      <w:pPr>
        <w:ind w:left="940"/>
        <w:spacing w:after="0"/>
        <w:rPr>
          <w:sz w:val="20"/>
          <w:szCs w:val="20"/>
          <w:color w:val="auto"/>
        </w:rPr>
      </w:pPr>
      <w:r>
        <w:rPr>
          <w:rFonts w:ascii="Courier New" w:cs="Courier New" w:eastAsia="Courier New" w:hAnsi="Courier New"/>
          <w:sz w:val="17"/>
          <w:szCs w:val="17"/>
          <w:color w:val="auto"/>
        </w:rPr>
        <w:t>and cumulative effect of accounting</w:t>
      </w:r>
    </w:p>
    <w:p>
      <w:pPr>
        <w:spacing w:after="0" w:line="9" w:lineRule="exact"/>
        <w:rPr>
          <w:sz w:val="20"/>
          <w:szCs w:val="20"/>
          <w:color w:val="auto"/>
        </w:rPr>
      </w:pPr>
    </w:p>
    <w:p>
      <w:pPr>
        <w:ind w:left="60"/>
        <w:spacing w:after="0"/>
        <w:tabs>
          <w:tab w:leader="dot" w:pos="2240" w:val="left"/>
        </w:tabs>
        <w:rPr>
          <w:sz w:val="20"/>
          <w:szCs w:val="20"/>
          <w:color w:val="auto"/>
        </w:rPr>
      </w:pPr>
      <w:r>
        <w:rPr>
          <w:rFonts w:ascii="Courier New" w:cs="Courier New" w:eastAsia="Courier New" w:hAnsi="Courier New"/>
          <w:sz w:val="17"/>
          <w:szCs w:val="17"/>
          <w:color w:val="auto"/>
        </w:rPr>
        <w:t>change</w:t>
      </w:r>
      <w:r>
        <w:rPr>
          <w:sz w:val="20"/>
          <w:szCs w:val="20"/>
          <w:color w:val="auto"/>
        </w:rPr>
        <w:tab/>
      </w:r>
      <w:r>
        <w:rPr>
          <w:rFonts w:ascii="Courier New" w:cs="Courier New" w:eastAsia="Courier New" w:hAnsi="Courier New"/>
          <w:sz w:val="17"/>
          <w:szCs w:val="17"/>
          <w:color w:val="auto"/>
        </w:rPr>
        <w:t>1 1 (5,777) Provision (benefit)</w:t>
      </w:r>
    </w:p>
    <w:p>
      <w:pPr>
        <w:spacing w:after="0" w:line="9" w:lineRule="exact"/>
        <w:rPr>
          <w:sz w:val="20"/>
          <w:szCs w:val="20"/>
          <w:color w:val="auto"/>
        </w:rPr>
      </w:pPr>
    </w:p>
    <w:p>
      <w:pPr>
        <w:ind w:left="160"/>
        <w:spacing w:after="0"/>
        <w:tabs>
          <w:tab w:leader="dot" w:pos="3700" w:val="left"/>
        </w:tabs>
        <w:rPr>
          <w:sz w:val="20"/>
          <w:szCs w:val="20"/>
          <w:color w:val="auto"/>
        </w:rPr>
      </w:pPr>
      <w:r>
        <w:rPr>
          <w:rFonts w:ascii="Courier New" w:cs="Courier New" w:eastAsia="Courier New" w:hAnsi="Courier New"/>
          <w:sz w:val="17"/>
          <w:szCs w:val="17"/>
          <w:color w:val="auto"/>
        </w:rPr>
        <w:t>for income taxes</w:t>
      </w:r>
      <w:r>
        <w:rPr>
          <w:sz w:val="20"/>
          <w:szCs w:val="20"/>
          <w:color w:val="auto"/>
        </w:rPr>
        <w:tab/>
      </w:r>
      <w:r>
        <w:rPr>
          <w:rFonts w:ascii="Courier New" w:cs="Courier New" w:eastAsia="Courier New" w:hAnsi="Courier New"/>
          <w:sz w:val="17"/>
          <w:szCs w:val="17"/>
          <w:color w:val="auto"/>
        </w:rPr>
        <w:t>(2,667) Minority</w:t>
      </w:r>
    </w:p>
    <w:p>
      <w:pPr>
        <w:spacing w:after="0" w:line="9" w:lineRule="exact"/>
        <w:rPr>
          <w:sz w:val="20"/>
          <w:szCs w:val="20"/>
          <w:color w:val="auto"/>
        </w:rPr>
      </w:pPr>
    </w:p>
    <w:p>
      <w:pPr>
        <w:ind w:left="260"/>
        <w:spacing w:after="0"/>
        <w:tabs>
          <w:tab w:leader="dot" w:pos="4960" w:val="left"/>
        </w:tabs>
        <w:rPr>
          <w:sz w:val="20"/>
          <w:szCs w:val="20"/>
          <w:color w:val="auto"/>
        </w:rPr>
      </w:pPr>
      <w:r>
        <w:rPr>
          <w:rFonts w:ascii="Courier New" w:cs="Courier New" w:eastAsia="Courier New" w:hAnsi="Courier New"/>
          <w:sz w:val="17"/>
          <w:szCs w:val="17"/>
          <w:color w:val="auto"/>
        </w:rPr>
        <w:t>interest income (expenses)</w:t>
      </w:r>
      <w:r>
        <w:rPr>
          <w:sz w:val="20"/>
          <w:szCs w:val="20"/>
          <w:color w:val="auto"/>
        </w:rPr>
        <w:tab/>
      </w:r>
      <w:r>
        <w:rPr>
          <w:rFonts w:ascii="Courier New" w:cs="Courier New" w:eastAsia="Courier New" w:hAnsi="Courier New"/>
          <w:sz w:val="17"/>
          <w:szCs w:val="17"/>
          <w:color w:val="auto"/>
        </w:rPr>
        <w:t>217</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Equity earnings (losses) from Liberty Media</w:t>
      </w:r>
    </w:p>
    <w:p>
      <w:pPr>
        <w:spacing w:after="0" w:line="9" w:lineRule="exact"/>
        <w:rPr>
          <w:sz w:val="20"/>
          <w:szCs w:val="20"/>
          <w:color w:val="auto"/>
        </w:rPr>
      </w:pPr>
    </w:p>
    <w:p>
      <w:pPr>
        <w:ind w:left="220"/>
        <w:spacing w:after="0"/>
        <w:tabs>
          <w:tab w:leader="dot" w:pos="1240" w:val="left"/>
        </w:tabs>
        <w:rPr>
          <w:sz w:val="20"/>
          <w:szCs w:val="20"/>
          <w:color w:val="auto"/>
        </w:rPr>
      </w:pPr>
      <w:r>
        <w:rPr>
          <w:rFonts w:ascii="Courier New" w:cs="Courier New" w:eastAsia="Courier New" w:hAnsi="Courier New"/>
          <w:sz w:val="17"/>
          <w:szCs w:val="17"/>
          <w:color w:val="auto"/>
        </w:rPr>
        <w:t>Group</w:t>
      </w:r>
      <w:r>
        <w:rPr>
          <w:sz w:val="20"/>
          <w:szCs w:val="20"/>
          <w:color w:val="auto"/>
        </w:rPr>
        <w:tab/>
      </w:r>
      <w:r>
        <w:rPr>
          <w:rFonts w:ascii="Courier New" w:cs="Courier New" w:eastAsia="Courier New" w:hAnsi="Courier New"/>
          <w:sz w:val="17"/>
          <w:szCs w:val="17"/>
          <w:color w:val="auto"/>
        </w:rPr>
        <w:t>Net earnings (losses) from other equity</w:t>
      </w:r>
    </w:p>
    <w:p>
      <w:pPr>
        <w:spacing w:after="0" w:line="9" w:lineRule="exact"/>
        <w:rPr>
          <w:sz w:val="20"/>
          <w:szCs w:val="20"/>
          <w:color w:val="auto"/>
        </w:rPr>
      </w:pPr>
    </w:p>
    <w:p>
      <w:pPr>
        <w:ind w:left="60"/>
        <w:spacing w:after="0"/>
        <w:tabs>
          <w:tab w:leader="none" w:pos="1180" w:val="left"/>
        </w:tabs>
        <w:rPr>
          <w:sz w:val="20"/>
          <w:szCs w:val="20"/>
          <w:color w:val="auto"/>
        </w:rPr>
      </w:pPr>
      <w:r>
        <w:rPr>
          <w:rFonts w:ascii="Courier New" w:cs="Courier New" w:eastAsia="Courier New" w:hAnsi="Courier New"/>
          <w:sz w:val="17"/>
          <w:szCs w:val="17"/>
          <w:color w:val="auto"/>
        </w:rPr>
        <w:t>investments</w:t>
        <w:tab/>
        <w:t>.........................................</w:t>
      </w:r>
    </w:p>
    <w:p>
      <w:pPr>
        <w:spacing w:after="0" w:line="9" w:lineRule="exact"/>
        <w:rPr>
          <w:sz w:val="20"/>
          <w:szCs w:val="20"/>
          <w:color w:val="auto"/>
        </w:rPr>
      </w:pPr>
    </w:p>
    <w:p>
      <w:pPr>
        <w:jc w:val="both"/>
        <w:ind w:left="60" w:right="4719" w:hanging="3"/>
        <w:spacing w:after="0" w:line="251" w:lineRule="auto"/>
        <w:tabs>
          <w:tab w:leader="none" w:pos="584" w:val="left"/>
        </w:tabs>
        <w:numPr>
          <w:ilvl w:val="0"/>
          <w:numId w:val="6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(Loss) income from continuing operations before cumulative effect of accounting change..............</w:t>
      </w: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 1 (2,981) Income (loss) from discontinued</w:t>
      </w:r>
    </w:p>
    <w:p>
      <w:pPr>
        <w:spacing w:after="0" w:line="8" w:lineRule="exact"/>
        <w:rPr>
          <w:rFonts w:ascii="Courier New" w:cs="Courier New" w:eastAsia="Courier New" w:hAnsi="Courier New"/>
          <w:sz w:val="17"/>
          <w:szCs w:val="17"/>
          <w:color w:val="auto"/>
        </w:rPr>
      </w:pPr>
    </w:p>
    <w:p>
      <w:pPr>
        <w:ind w:left="1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operations (net of income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taxes)....................................... Gain</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on the disposition of discontinued operations (net</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of income taxes)...............................</w:t>
      </w:r>
    </w:p>
    <w:p>
      <w:pPr>
        <w:spacing w:after="0" w:line="9" w:lineRule="exact"/>
        <w:rPr>
          <w:sz w:val="20"/>
          <w:szCs w:val="20"/>
          <w:color w:val="auto"/>
        </w:rPr>
      </w:pPr>
    </w:p>
    <w:p>
      <w:pPr>
        <w:jc w:val="center"/>
        <w:ind w:right="4659"/>
        <w:spacing w:after="0" w:line="251" w:lineRule="auto"/>
        <w:rPr>
          <w:sz w:val="20"/>
          <w:szCs w:val="20"/>
          <w:color w:val="auto"/>
        </w:rPr>
      </w:pPr>
      <w:r>
        <w:rPr>
          <w:rFonts w:ascii="Courier New" w:cs="Courier New" w:eastAsia="Courier New" w:hAnsi="Courier New"/>
          <w:sz w:val="17"/>
          <w:szCs w:val="17"/>
          <w:color w:val="auto"/>
        </w:rPr>
        <w:t>Income (loss) before cumulative effect of accounting change.............................................. 1 1 (2,981) Cumulative effect of accounting</w:t>
      </w:r>
    </w:p>
    <w:p>
      <w:pPr>
        <w:ind w:left="1100"/>
        <w:spacing w:after="0"/>
        <w:rPr>
          <w:sz w:val="20"/>
          <w:szCs w:val="20"/>
          <w:color w:val="auto"/>
        </w:rPr>
      </w:pPr>
      <w:r>
        <w:rPr>
          <w:rFonts w:ascii="Courier New" w:cs="Courier New" w:eastAsia="Courier New" w:hAnsi="Courier New"/>
          <w:sz w:val="17"/>
          <w:szCs w:val="17"/>
          <w:color w:val="auto"/>
        </w:rPr>
        <w:t>change............... Net income</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(loss).................................... 1 1</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(2,981) Dividend requirements on preferred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stock............. Premium on Wireless tracking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stock exchange.......... Net income (loss) available</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to common shareowners.... $ $ $1 $ 1 $(2,981)</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ELIMINATION AND CONSOLIDATION CONSOLIDATED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ADJUSTMENTS AT&amp;T CORP. ---------------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 (503) $13,087 Operating Expenses Costs of services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and products....................... (440) 3,476</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Access and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connection.......................... (61) 3,033</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Selling, general and</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administrative.................. (2) 2,540</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Depreciation and other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amortization.................. 1,682 Amortization of</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goodwill, franchise costs and other purchased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intangibles............................... 592 Net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restructuring and other charges..................</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399 Total operating</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expenses............................. (503) 11,722</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(loss).............................. 1,365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income (expense)...............................</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(788) (4,966) Interest expense</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(benefit)........................... (788) 786</w:t>
      </w:r>
    </w:p>
    <w:p>
      <w:pPr>
        <w:spacing w:after="0" w:line="9" w:lineRule="exact"/>
        <w:rPr>
          <w:sz w:val="20"/>
          <w:szCs w:val="20"/>
          <w:color w:val="auto"/>
        </w:rPr>
      </w:pPr>
    </w:p>
    <w:p>
      <w:pPr>
        <w:jc w:val="center"/>
        <w:ind w:right="4659"/>
        <w:spacing w:after="0" w:line="251" w:lineRule="auto"/>
        <w:rPr>
          <w:sz w:val="20"/>
          <w:szCs w:val="20"/>
          <w:color w:val="auto"/>
        </w:rPr>
      </w:pPr>
      <w:r>
        <w:rPr>
          <w:rFonts w:ascii="Courier New" w:cs="Courier New" w:eastAsia="Courier New" w:hAnsi="Courier New"/>
          <w:sz w:val="17"/>
          <w:szCs w:val="17"/>
          <w:color w:val="auto"/>
        </w:rPr>
        <w:t>Income (loss) before income taxes, minority interest, earnings (losses) from equity investments and cumulative effect of accounting</w:t>
      </w:r>
    </w:p>
    <w:p>
      <w:pPr>
        <w:ind w:left="60"/>
        <w:spacing w:after="0"/>
        <w:rPr>
          <w:sz w:val="20"/>
          <w:szCs w:val="20"/>
          <w:color w:val="auto"/>
        </w:rPr>
      </w:pPr>
      <w:r>
        <w:rPr>
          <w:rFonts w:ascii="Courier New" w:cs="Courier New" w:eastAsia="Courier New" w:hAnsi="Courier New"/>
          <w:sz w:val="17"/>
          <w:szCs w:val="17"/>
          <w:color w:val="auto"/>
        </w:rPr>
        <w:t>change.............. (4,387) Provision (benefit) for</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income taxes................. (2,092) Minority</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interest income (expenses).................. 177</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Equity earnings (losses) from Liberty Media</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Group.... 111 Net earnings (losses) from other</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equity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2,981 (88) (Loss) income from continuing operations</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before cumulative effect of accounting</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change.............. 2,981 (2,095) Income (loss)</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from discontinued operations (net of income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taxes)....................................... Gain</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on the disposition of discontinued operations (net</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of income taxes)...............................</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13,503 Income (loss) before cumulative effect of</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accounting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change..............................................</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2,981 11,408 Cumulative effect of accounting</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change............... Net income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(loss).................................... 2,981</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11,408 Dividend requirements on preferred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stock............. 235 Premium on Wireless tracking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stock exchange.......... Net income (loss) available</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to common shareowners.... $2,981 $11,173</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L-26</w:t>
      </w:r>
    </w:p>
    <w:p>
      <w:pPr>
        <w:sectPr>
          <w:pgSz w:w="11900" w:h="16838" w:orient="portrait"/>
          <w:cols w:equalWidth="0" w:num="1">
            <w:col w:w="10219"/>
          </w:cols>
          <w:pgMar w:left="240" w:top="142" w:right="1440" w:bottom="1440" w:gutter="0" w:footer="0" w:header="0"/>
          <w:type w:val="continuous"/>
        </w:sectPr>
      </w:pPr>
    </w:p>
    <w:bookmarkStart w:id="611" w:name="page612"/>
    <w:bookmarkEnd w:id="611"/>
    <w:p>
      <w:pPr>
        <w:jc w:val="center"/>
        <w:ind w:right="1839"/>
        <w:spacing w:after="0"/>
        <w:rPr>
          <w:sz w:val="20"/>
          <w:szCs w:val="20"/>
          <w:color w:val="auto"/>
        </w:rPr>
      </w:pPr>
      <w:r>
        <w:rPr>
          <w:rFonts w:ascii="Courier New" w:cs="Courier New" w:eastAsia="Courier New" w:hAnsi="Courier New"/>
          <w:sz w:val="17"/>
          <w:szCs w:val="17"/>
          <w:color w:val="auto"/>
        </w:rPr>
        <w:t>AT&amp;T CORP.</w:t>
      </w:r>
    </w:p>
    <w:p>
      <w:pPr>
        <w:spacing w:after="0" w:line="210" w:lineRule="exact"/>
        <w:rPr>
          <w:sz w:val="20"/>
          <w:szCs w:val="20"/>
          <w:color w:val="auto"/>
        </w:rPr>
      </w:pPr>
    </w:p>
    <w:p>
      <w:pPr>
        <w:jc w:val="right"/>
        <w:ind w:right="4039"/>
        <w:spacing w:after="0"/>
        <w:rPr>
          <w:sz w:val="20"/>
          <w:szCs w:val="20"/>
          <w:color w:val="auto"/>
        </w:rPr>
      </w:pPr>
      <w:r>
        <w:rPr>
          <w:rFonts w:ascii="Courier New" w:cs="Courier New" w:eastAsia="Courier New" w:hAnsi="Courier New"/>
          <w:sz w:val="17"/>
          <w:szCs w:val="17"/>
          <w:color w:val="auto"/>
        </w:rPr>
        <w:t>CONSOLIDATING CONDENSED BALANCE SHEETS</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AS OF SEPTEMBER 30, 2001</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GUARANTOR GUARANTOR GUARANTOR</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TCI TCI TCI MEDIAONE MEDIAONE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AT&amp;T SUBSIDIARY SUBSIDIARY</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FINANCING FINANCING FINANCING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FINANCING FINANCING PARENT TCI</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MEDIAONE I II IV I II --------</w:t>
      </w:r>
    </w:p>
    <w:p>
      <w:pPr>
        <w:spacing w:after="0" w:line="9" w:lineRule="exact"/>
        <w:rPr>
          <w:sz w:val="20"/>
          <w:szCs w:val="20"/>
          <w:color w:val="auto"/>
        </w:rPr>
      </w:pPr>
    </w:p>
    <w:p>
      <w:pPr>
        <w:ind w:left="260" w:hanging="206"/>
        <w:spacing w:after="0"/>
        <w:tabs>
          <w:tab w:leader="none" w:pos="260" w:val="left"/>
        </w:tabs>
        <w:numPr>
          <w:ilvl w:val="0"/>
          <w:numId w:val="6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480" w:hanging="426"/>
        <w:spacing w:after="0"/>
        <w:tabs>
          <w:tab w:leader="none" w:pos="480" w:val="left"/>
        </w:tabs>
        <w:numPr>
          <w:ilvl w:val="1"/>
          <w:numId w:val="6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520" w:hanging="413"/>
        <w:spacing w:after="0"/>
        <w:tabs>
          <w:tab w:leader="none" w:pos="520" w:val="left"/>
        </w:tabs>
        <w:numPr>
          <w:ilvl w:val="2"/>
          <w:numId w:val="6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ASSETS Cash and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cash equivalents...... $ 3,595</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 -- $ -- $ -- $ -- $--</w:t>
      </w:r>
    </w:p>
    <w:p>
      <w:pPr>
        <w:spacing w:after="0" w:line="9" w:lineRule="exact"/>
        <w:rPr>
          <w:sz w:val="20"/>
          <w:szCs w:val="20"/>
          <w:color w:val="auto"/>
        </w:rPr>
      </w:pPr>
    </w:p>
    <w:p>
      <w:pPr>
        <w:ind w:left="14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Deferred income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taxes.......... 568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current assets...........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14,691 668 152 11 12 4 1 1</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TOTAL CURRENT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ASSETS........... 18,854 668</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152 11 12 4 1 1 Property,</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plant &amp; equipment,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10,091 102 Franchise costs,</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net........... 1,702 21</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Goodwill,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net.................. 152</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19,284 Investment in Liberty</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Media Group and related</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receivables, net Other</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investments and related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advances......................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132,536 13,230 25,262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4,514 70 527 513 204 51 44</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$167,849 $14,091 $44,698 $538</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$525 $208 $52 $45 LIABILITIES</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Debt maturing within one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ind w:left="260" w:right="7079" w:hanging="153"/>
        <w:spacing w:after="0" w:line="251" w:lineRule="auto"/>
        <w:tabs>
          <w:tab w:leader="none" w:pos="313" w:val="left"/>
        </w:tabs>
        <w:numPr>
          <w:ilvl w:val="0"/>
          <w:numId w:val="6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41,723 $ 398 $ 28 $ -- $ -- $ -- $-- $-- Other current</w:t>
      </w:r>
    </w:p>
    <w:tbl>
      <w:tblPr>
        <w:tblLayout w:type="fixed"/>
        <w:tblInd w:w="60" w:type="dxa"/>
        <w:tblCellMar>
          <w:top w:w="0" w:type="dxa"/>
          <w:left w:w="0" w:type="dxa"/>
          <w:bottom w:w="0" w:type="dxa"/>
          <w:right w:w="0" w:type="dxa"/>
        </w:tblCellMar>
      </w:tblPr>
      <w:tr>
        <w:trPr>
          <w:trHeight w:val="197"/>
        </w:trPr>
        <w:tc>
          <w:tcPr>
            <w:tcW w:w="178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11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8,472 522</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66</w:t>
            </w:r>
          </w:p>
        </w:tc>
      </w:tr>
      <w:tr>
        <w:trPr>
          <w:trHeight w:val="201"/>
        </w:trPr>
        <w:tc>
          <w:tcPr>
            <w:tcW w:w="2900" w:type="dxa"/>
            <w:vAlign w:val="bottom"/>
            <w:gridSpan w:val="4"/>
          </w:tcPr>
          <w:p>
            <w:pPr>
              <w:jc w:val="center"/>
              <w:ind w:left="153"/>
              <w:spacing w:after="0"/>
              <w:rPr>
                <w:sz w:val="20"/>
                <w:szCs w:val="20"/>
                <w:color w:val="auto"/>
              </w:rPr>
            </w:pPr>
            <w:r>
              <w:rPr>
                <w:rFonts w:ascii="Courier New" w:cs="Courier New" w:eastAsia="Courier New" w:hAnsi="Courier New"/>
                <w:sz w:val="17"/>
                <w:szCs w:val="17"/>
                <w:color w:val="auto"/>
              </w:rPr>
              <w:t>11 12 4 1 1 TOTAL CURRENT</w:t>
            </w:r>
          </w:p>
        </w:tc>
        <w:tc>
          <w:tcPr>
            <w:tcW w:w="240" w:type="dxa"/>
            <w:vAlign w:val="bottom"/>
          </w:tcPr>
          <w:p>
            <w:pPr>
              <w:spacing w:after="0"/>
              <w:rPr>
                <w:sz w:val="17"/>
                <w:szCs w:val="17"/>
                <w:color w:val="auto"/>
              </w:rPr>
            </w:pPr>
          </w:p>
        </w:tc>
      </w:tr>
      <w:tr>
        <w:trPr>
          <w:trHeight w:val="201"/>
        </w:trPr>
        <w:tc>
          <w:tcPr>
            <w:tcW w:w="1780" w:type="dxa"/>
            <w:vAlign w:val="bottom"/>
          </w:tcPr>
          <w:p>
            <w:pPr>
              <w:ind w:left="100"/>
              <w:spacing w:after="0"/>
              <w:rPr>
                <w:sz w:val="20"/>
                <w:szCs w:val="20"/>
                <w:color w:val="auto"/>
              </w:rPr>
            </w:pPr>
            <w:r>
              <w:rPr>
                <w:rFonts w:ascii="Courier New" w:cs="Courier New" w:eastAsia="Courier New" w:hAnsi="Courier New"/>
                <w:sz w:val="17"/>
                <w:szCs w:val="17"/>
                <w:color w:val="auto"/>
                <w:w w:val="95"/>
              </w:rPr>
              <w:t>LIABILITIES......</w:t>
            </w:r>
          </w:p>
        </w:tc>
        <w:tc>
          <w:tcPr>
            <w:tcW w:w="136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50,195 920</w:t>
            </w:r>
          </w:p>
        </w:tc>
      </w:tr>
      <w:tr>
        <w:trPr>
          <w:trHeight w:val="201"/>
        </w:trPr>
        <w:tc>
          <w:tcPr>
            <w:tcW w:w="2900" w:type="dxa"/>
            <w:vAlign w:val="bottom"/>
            <w:gridSpan w:val="4"/>
          </w:tcPr>
          <w:p>
            <w:pPr>
              <w:jc w:val="center"/>
              <w:ind w:left="133"/>
              <w:spacing w:after="0"/>
              <w:rPr>
                <w:sz w:val="20"/>
                <w:szCs w:val="20"/>
                <w:color w:val="auto"/>
              </w:rPr>
            </w:pPr>
            <w:r>
              <w:rPr>
                <w:rFonts w:ascii="Courier New" w:cs="Courier New" w:eastAsia="Courier New" w:hAnsi="Courier New"/>
                <w:sz w:val="17"/>
                <w:szCs w:val="17"/>
                <w:color w:val="auto"/>
              </w:rPr>
              <w:t>94 11 12 4 1 1 Long-term</w:t>
            </w:r>
          </w:p>
        </w:tc>
        <w:tc>
          <w:tcPr>
            <w:tcW w:w="240" w:type="dxa"/>
            <w:vAlign w:val="bottom"/>
          </w:tcPr>
          <w:p>
            <w:pPr>
              <w:spacing w:after="0"/>
              <w:rPr>
                <w:sz w:val="17"/>
                <w:szCs w:val="17"/>
                <w:color w:val="auto"/>
              </w:rPr>
            </w:pPr>
          </w:p>
        </w:tc>
      </w:tr>
      <w:tr>
        <w:trPr>
          <w:trHeight w:val="201"/>
        </w:trPr>
        <w:tc>
          <w:tcPr>
            <w:tcW w:w="220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7"/>
              </w:rPr>
              <w:t>debt.................</w:t>
            </w:r>
          </w:p>
        </w:tc>
        <w:tc>
          <w:tcPr>
            <w:tcW w:w="9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14,920</w:t>
            </w:r>
          </w:p>
        </w:tc>
      </w:tr>
      <w:tr>
        <w:trPr>
          <w:trHeight w:val="201"/>
        </w:trPr>
        <w:tc>
          <w:tcPr>
            <w:tcW w:w="1780" w:type="dxa"/>
            <w:vAlign w:val="bottom"/>
          </w:tcPr>
          <w:p>
            <w:pPr>
              <w:spacing w:after="0"/>
              <w:rPr>
                <w:sz w:val="20"/>
                <w:szCs w:val="20"/>
                <w:color w:val="auto"/>
              </w:rPr>
            </w:pPr>
            <w:r>
              <w:rPr>
                <w:rFonts w:ascii="Courier New" w:cs="Courier New" w:eastAsia="Courier New" w:hAnsi="Courier New"/>
                <w:sz w:val="17"/>
                <w:szCs w:val="17"/>
                <w:color w:val="auto"/>
              </w:rPr>
              <w:t>11,162 1,307 527</w:t>
            </w:r>
          </w:p>
        </w:tc>
        <w:tc>
          <w:tcPr>
            <w:tcW w:w="42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1"/>
              </w:rPr>
              <w:t>513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204</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201"/>
        </w:trPr>
        <w:tc>
          <w:tcPr>
            <w:tcW w:w="2560" w:type="dxa"/>
            <w:vAlign w:val="bottom"/>
            <w:gridSpan w:val="3"/>
          </w:tcPr>
          <w:p>
            <w:pPr>
              <w:jc w:val="center"/>
              <w:ind w:left="493"/>
              <w:spacing w:after="0"/>
              <w:rPr>
                <w:sz w:val="20"/>
                <w:szCs w:val="20"/>
                <w:color w:val="auto"/>
              </w:rPr>
            </w:pPr>
            <w:r>
              <w:rPr>
                <w:rFonts w:ascii="Courier New" w:cs="Courier New" w:eastAsia="Courier New" w:hAnsi="Courier New"/>
                <w:sz w:val="17"/>
                <w:szCs w:val="17"/>
                <w:color w:val="auto"/>
              </w:rPr>
              <w:t>Deferred income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1"/>
        </w:trPr>
        <w:tc>
          <w:tcPr>
            <w:tcW w:w="1780" w:type="dxa"/>
            <w:vAlign w:val="bottom"/>
          </w:tcPr>
          <w:p>
            <w:pPr>
              <w:ind w:left="260"/>
              <w:spacing w:after="0"/>
              <w:rPr>
                <w:sz w:val="20"/>
                <w:szCs w:val="20"/>
                <w:color w:val="auto"/>
              </w:rPr>
            </w:pPr>
            <w:r>
              <w:rPr>
                <w:rFonts w:ascii="Courier New" w:cs="Courier New" w:eastAsia="Courier New" w:hAnsi="Courier New"/>
                <w:sz w:val="17"/>
                <w:szCs w:val="17"/>
                <w:color w:val="auto"/>
                <w:w w:val="98"/>
              </w:rPr>
              <w:t>taxes..........</w:t>
            </w:r>
          </w:p>
        </w:tc>
        <w:tc>
          <w:tcPr>
            <w:tcW w:w="11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1,016 973</w:t>
            </w:r>
          </w:p>
        </w:tc>
        <w:tc>
          <w:tcPr>
            <w:tcW w:w="240" w:type="dxa"/>
            <w:vAlign w:val="bottom"/>
          </w:tcPr>
          <w:p>
            <w:pPr>
              <w:spacing w:after="0"/>
              <w:rPr>
                <w:sz w:val="17"/>
                <w:szCs w:val="17"/>
                <w:color w:val="auto"/>
              </w:rPr>
            </w:pPr>
          </w:p>
        </w:tc>
      </w:tr>
      <w:tr>
        <w:trPr>
          <w:trHeight w:val="201"/>
        </w:trPr>
        <w:tc>
          <w:tcPr>
            <w:tcW w:w="314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Other long-term liabilities</w:t>
            </w:r>
          </w:p>
        </w:tc>
      </w:tr>
      <w:tr>
        <w:trPr>
          <w:trHeight w:val="201"/>
        </w:trPr>
        <w:tc>
          <w:tcPr>
            <w:tcW w:w="2200" w:type="dxa"/>
            <w:vAlign w:val="bottom"/>
            <w:gridSpan w:val="2"/>
          </w:tcPr>
          <w:p>
            <w:pPr>
              <w:jc w:val="center"/>
              <w:ind w:left="853"/>
              <w:spacing w:after="0"/>
              <w:rPr>
                <w:sz w:val="20"/>
                <w:szCs w:val="20"/>
                <w:color w:val="auto"/>
              </w:rPr>
            </w:pPr>
            <w:r>
              <w:rPr>
                <w:rFonts w:ascii="Courier New" w:cs="Courier New" w:eastAsia="Courier New" w:hAnsi="Courier New"/>
                <w:sz w:val="17"/>
                <w:szCs w:val="17"/>
                <w:color w:val="auto"/>
              </w:rPr>
              <w:t>and deferred</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1"/>
        </w:trPr>
        <w:tc>
          <w:tcPr>
            <w:tcW w:w="2200" w:type="dxa"/>
            <w:vAlign w:val="bottom"/>
            <w:gridSpan w:val="2"/>
          </w:tcPr>
          <w:p>
            <w:pPr>
              <w:spacing w:after="0"/>
              <w:rPr>
                <w:sz w:val="20"/>
                <w:szCs w:val="20"/>
                <w:color w:val="auto"/>
              </w:rPr>
            </w:pPr>
            <w:r>
              <w:rPr>
                <w:rFonts w:ascii="Courier New" w:cs="Courier New" w:eastAsia="Courier New" w:hAnsi="Courier New"/>
                <w:sz w:val="17"/>
                <w:szCs w:val="17"/>
                <w:color w:val="auto"/>
              </w:rPr>
              <w:t>credits..............</w:t>
            </w:r>
          </w:p>
        </w:tc>
        <w:tc>
          <w:tcPr>
            <w:tcW w:w="7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6,896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80</w:t>
            </w:r>
          </w:p>
        </w:tc>
      </w:tr>
    </w:tbl>
    <w:p>
      <w:pPr>
        <w:spacing w:after="0" w:line="4" w:lineRule="exact"/>
        <w:rPr>
          <w:sz w:val="20"/>
          <w:szCs w:val="20"/>
          <w:color w:val="auto"/>
        </w:rPr>
      </w:pPr>
    </w:p>
    <w:p>
      <w:pPr>
        <w:ind w:left="1460" w:hanging="201"/>
        <w:spacing w:after="0"/>
        <w:tabs>
          <w:tab w:leader="none" w:pos="1460" w:val="left"/>
        </w:tabs>
        <w:numPr>
          <w:ilvl w:val="0"/>
          <w:numId w:val="6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73,027 12,162 2,378 538 525</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208 31 29 Minority</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Company-Obligated Convertible</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Quarterly Income Preferred</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Securities of Subsidiary Trust</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Holding Solely Subordinated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Debt Securities of AT&amp;T.......</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4,718 SHAREOWNERS' EQUITY 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3,536 AT&amp;T Wireless Group</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0 Liberty Media Group Class A</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0 Liberty Media Group Class B</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0 Preferred Stock issued to</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subsidiaries..................</w:t>
      </w:r>
    </w:p>
    <w:p>
      <w:pPr>
        <w:sectPr>
          <w:pgSz w:w="11900" w:h="16838" w:orient="portrait"/>
          <w:cols w:equalWidth="0" w:num="1">
            <w:col w:w="10219"/>
          </w:cols>
          <w:pgMar w:left="240" w:top="720" w:right="1440" w:bottom="0" w:gutter="0" w:footer="0" w:header="0"/>
        </w:sectPr>
      </w:pPr>
    </w:p>
    <w:bookmarkStart w:id="612" w:name="page613"/>
    <w:bookmarkEnd w:id="612"/>
    <w:p>
      <w:pPr>
        <w:spacing w:after="0" w:line="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10,559 Other shareowners'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980" w:type="dxa"/>
            <w:vAlign w:val="bottom"/>
          </w:tcPr>
          <w:p>
            <w:pPr>
              <w:jc w:val="right"/>
              <w:spacing w:after="0"/>
              <w:rPr>
                <w:sz w:val="20"/>
                <w:szCs w:val="20"/>
                <w:color w:val="auto"/>
              </w:rPr>
            </w:pPr>
            <w:r>
              <w:rPr>
                <w:rFonts w:ascii="Courier New" w:cs="Courier New" w:eastAsia="Courier New" w:hAnsi="Courier New"/>
                <w:sz w:val="17"/>
                <w:szCs w:val="17"/>
                <w:color w:val="auto"/>
                <w:w w:val="78"/>
              </w:rPr>
              <w:t>equity......</w:t>
            </w:r>
          </w:p>
        </w:tc>
        <w:tc>
          <w:tcPr>
            <w:tcW w:w="13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76,009</w:t>
            </w:r>
          </w:p>
        </w:tc>
        <w:tc>
          <w:tcPr>
            <w:tcW w:w="72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w w:val="97"/>
              </w:rPr>
              <w:t>1,929</w:t>
            </w:r>
          </w:p>
        </w:tc>
      </w:tr>
      <w:tr>
        <w:trPr>
          <w:trHeight w:val="201"/>
        </w:trPr>
        <w:tc>
          <w:tcPr>
            <w:tcW w:w="2660" w:type="dxa"/>
            <w:vAlign w:val="bottom"/>
            <w:gridSpan w:val="4"/>
          </w:tcPr>
          <w:p>
            <w:pPr>
              <w:jc w:val="right"/>
              <w:ind w:right="73"/>
              <w:spacing w:after="0"/>
              <w:rPr>
                <w:sz w:val="20"/>
                <w:szCs w:val="20"/>
                <w:color w:val="auto"/>
              </w:rPr>
            </w:pPr>
            <w:r>
              <w:rPr>
                <w:rFonts w:ascii="Courier New" w:cs="Courier New" w:eastAsia="Courier New" w:hAnsi="Courier New"/>
                <w:sz w:val="17"/>
                <w:szCs w:val="17"/>
                <w:color w:val="auto"/>
              </w:rPr>
              <w:t>42,320 21 16 TOTAL</w:t>
            </w:r>
          </w:p>
        </w:tc>
        <w:tc>
          <w:tcPr>
            <w:tcW w:w="420" w:type="dxa"/>
            <w:vAlign w:val="bottom"/>
          </w:tcPr>
          <w:p>
            <w:pPr>
              <w:spacing w:after="0"/>
              <w:rPr>
                <w:sz w:val="17"/>
                <w:szCs w:val="17"/>
                <w:color w:val="auto"/>
              </w:rPr>
            </w:pPr>
          </w:p>
        </w:tc>
      </w:tr>
      <w:tr>
        <w:trPr>
          <w:trHeight w:val="201"/>
        </w:trPr>
        <w:tc>
          <w:tcPr>
            <w:tcW w:w="26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SHAREOWNERS' EQUITY......</w:t>
            </w:r>
          </w:p>
        </w:tc>
        <w:tc>
          <w:tcPr>
            <w:tcW w:w="420" w:type="dxa"/>
            <w:vAlign w:val="bottom"/>
          </w:tcPr>
          <w:p>
            <w:pPr>
              <w:spacing w:after="0"/>
              <w:rPr>
                <w:sz w:val="17"/>
                <w:szCs w:val="17"/>
                <w:color w:val="auto"/>
              </w:rPr>
            </w:pPr>
          </w:p>
        </w:tc>
      </w:tr>
      <w:tr>
        <w:trPr>
          <w:trHeight w:val="201"/>
        </w:trPr>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90,104</w:t>
            </w:r>
          </w:p>
        </w:tc>
        <w:tc>
          <w:tcPr>
            <w:tcW w:w="13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1,929 42,320</w:t>
            </w:r>
          </w:p>
        </w:tc>
        <w:tc>
          <w:tcPr>
            <w:tcW w:w="300" w:type="dxa"/>
            <w:vAlign w:val="bottom"/>
          </w:tcPr>
          <w:p>
            <w:pPr>
              <w:jc w:val="right"/>
              <w:ind w:right="13"/>
              <w:spacing w:after="0"/>
              <w:rPr>
                <w:sz w:val="20"/>
                <w:szCs w:val="20"/>
                <w:color w:val="auto"/>
              </w:rPr>
            </w:pPr>
            <w:r>
              <w:rPr>
                <w:rFonts w:ascii="Courier New" w:cs="Courier New" w:eastAsia="Courier New" w:hAnsi="Courier New"/>
                <w:sz w:val="17"/>
                <w:szCs w:val="17"/>
                <w:color w:val="auto"/>
                <w:w w:val="87"/>
              </w:rPr>
              <w:t>21</w:t>
            </w:r>
          </w:p>
        </w:tc>
        <w:tc>
          <w:tcPr>
            <w:tcW w:w="4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16</w:t>
            </w:r>
          </w:p>
        </w:tc>
      </w:tr>
      <w:tr>
        <w:trPr>
          <w:trHeight w:val="201"/>
        </w:trPr>
        <w:tc>
          <w:tcPr>
            <w:tcW w:w="2360" w:type="dxa"/>
            <w:vAlign w:val="bottom"/>
            <w:gridSpan w:val="3"/>
          </w:tcPr>
          <w:p>
            <w:pPr>
              <w:jc w:val="center"/>
              <w:ind w:left="253"/>
              <w:spacing w:after="0"/>
              <w:rPr>
                <w:sz w:val="20"/>
                <w:szCs w:val="20"/>
                <w:color w:val="auto"/>
              </w:rPr>
            </w:pPr>
            <w:r>
              <w:rPr>
                <w:rFonts w:ascii="Courier New" w:cs="Courier New" w:eastAsia="Courier New" w:hAnsi="Courier New"/>
                <w:sz w:val="17"/>
                <w:szCs w:val="17"/>
                <w:color w:val="auto"/>
              </w:rPr>
              <w:t>TOTAL LIABILITIES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AND</w:t>
            </w:r>
          </w:p>
        </w:tc>
        <w:tc>
          <w:tcPr>
            <w:tcW w:w="420" w:type="dxa"/>
            <w:vAlign w:val="bottom"/>
          </w:tcPr>
          <w:p>
            <w:pPr>
              <w:spacing w:after="0"/>
              <w:rPr>
                <w:sz w:val="17"/>
                <w:szCs w:val="17"/>
                <w:color w:val="auto"/>
              </w:rPr>
            </w:pPr>
          </w:p>
        </w:tc>
      </w:tr>
      <w:tr>
        <w:trPr>
          <w:trHeight w:val="201"/>
        </w:trPr>
        <w:tc>
          <w:tcPr>
            <w:tcW w:w="266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86"/>
              </w:rPr>
              <w:t>SHAREOWNERS' EQUITY...........</w:t>
            </w:r>
          </w:p>
        </w:tc>
        <w:tc>
          <w:tcPr>
            <w:tcW w:w="420" w:type="dxa"/>
            <w:vAlign w:val="bottom"/>
          </w:tcPr>
          <w:p>
            <w:pPr>
              <w:spacing w:after="0"/>
              <w:rPr>
                <w:sz w:val="17"/>
                <w:szCs w:val="17"/>
                <w:color w:val="auto"/>
              </w:rPr>
            </w:pPr>
          </w:p>
        </w:tc>
      </w:tr>
      <w:tr>
        <w:trPr>
          <w:trHeight w:val="201"/>
        </w:trPr>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$167,849</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$14,091</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$44,698</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w w:val="97"/>
              </w:rPr>
              <w:t>$538</w:t>
            </w:r>
          </w:p>
        </w:tc>
      </w:tr>
      <w:tr>
        <w:trPr>
          <w:trHeight w:val="201"/>
        </w:trPr>
        <w:tc>
          <w:tcPr>
            <w:tcW w:w="17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$525 $208</w:t>
            </w:r>
          </w:p>
        </w:tc>
        <w:tc>
          <w:tcPr>
            <w:tcW w:w="9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$52 $45</w:t>
            </w:r>
          </w:p>
        </w:tc>
        <w:tc>
          <w:tcPr>
            <w:tcW w:w="420" w:type="dxa"/>
            <w:vAlign w:val="bottom"/>
          </w:tcPr>
          <w:p>
            <w:pPr>
              <w:spacing w:after="0"/>
              <w:rPr>
                <w:sz w:val="17"/>
                <w:szCs w:val="17"/>
                <w:color w:val="auto"/>
              </w:rPr>
            </w:pPr>
          </w:p>
        </w:tc>
      </w:tr>
      <w:tr>
        <w:trPr>
          <w:trHeight w:val="201"/>
        </w:trPr>
        <w:tc>
          <w:tcPr>
            <w:tcW w:w="30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MEDIAONE MEDIAONE ELIMINATION</w:t>
            </w:r>
          </w:p>
        </w:tc>
      </w:tr>
    </w:tbl>
    <w:p>
      <w:pPr>
        <w:spacing w:after="0" w:line="4"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AND FINANCE FINANCE NON-</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GUARANTOR CONSOLIDATION</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CONSOLIDATED II III</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SUBSIDIARIES ADJUSTMENTS AT&amp;T</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CORP. -------- -------- ------</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 ASSETS Cash and cash</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equivalents...... $ -- $ -- $</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603 $ -- $ 4,198</w:t>
      </w:r>
    </w:p>
    <w:p>
      <w:pPr>
        <w:spacing w:after="0" w:line="9"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0 0 Deferred income</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taxes.......... 1,055 1,623</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Other current</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assets........... 6 11 43,478</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(48,398) 10,637 TOTAL CURRENT</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ASSETS........... 6 11 45,136</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(48,398) 16,458 Property,</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plant &amp; equipment,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30,555 40,748 Franchise costs,</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72"/>
              </w:rPr>
              <w:t>net...........</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41,564 43,287</w:t>
            </w:r>
          </w:p>
        </w:tc>
      </w:tr>
      <w:tr>
        <w:trPr>
          <w:trHeight w:val="201"/>
        </w:trPr>
        <w:tc>
          <w:tcPr>
            <w:tcW w:w="1000" w:type="dxa"/>
            <w:vAlign w:val="bottom"/>
          </w:tcPr>
          <w:p>
            <w:pPr>
              <w:spacing w:after="0"/>
              <w:rPr>
                <w:sz w:val="17"/>
                <w:szCs w:val="17"/>
                <w:color w:val="auto"/>
              </w:rPr>
            </w:pPr>
          </w:p>
        </w:tc>
        <w:tc>
          <w:tcPr>
            <w:tcW w:w="194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Goodwill,</w:t>
            </w:r>
          </w:p>
        </w:tc>
      </w:tr>
      <w:tr>
        <w:trPr>
          <w:trHeight w:val="201"/>
        </w:trPr>
        <w:tc>
          <w:tcPr>
            <w:tcW w:w="1000" w:type="dxa"/>
            <w:vAlign w:val="bottom"/>
          </w:tcPr>
          <w:p>
            <w:pPr>
              <w:jc w:val="right"/>
              <w:spacing w:after="0"/>
              <w:rPr>
                <w:sz w:val="20"/>
                <w:szCs w:val="20"/>
                <w:color w:val="auto"/>
              </w:rPr>
            </w:pPr>
            <w:r>
              <w:rPr>
                <w:rFonts w:ascii="Courier New" w:cs="Courier New" w:eastAsia="Courier New" w:hAnsi="Courier New"/>
                <w:sz w:val="11"/>
                <w:szCs w:val="11"/>
                <w:color w:val="auto"/>
                <w:w w:val="70"/>
              </w:rPr>
              <w:t>net..................</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5,338</w:t>
            </w:r>
          </w:p>
        </w:tc>
      </w:tr>
    </w:tbl>
    <w:p>
      <w:pPr>
        <w:spacing w:after="0" w:line="4"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24,774 Investment in Liberty</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Media Group and related</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receivables, net Other</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investments and related</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advances......................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60,141 (206,901) 24,268 Other</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240" w:type="dxa"/>
            <w:vAlign w:val="bottom"/>
            <w:gridSpan w:val="3"/>
          </w:tcPr>
          <w:p>
            <w:pPr>
              <w:ind w:left="40"/>
              <w:spacing w:after="0"/>
              <w:rPr>
                <w:sz w:val="20"/>
                <w:szCs w:val="20"/>
                <w:color w:val="auto"/>
              </w:rPr>
            </w:pPr>
            <w:r>
              <w:rPr>
                <w:rFonts w:ascii="Courier New" w:cs="Courier New" w:eastAsia="Courier New" w:hAnsi="Courier New"/>
                <w:sz w:val="17"/>
                <w:szCs w:val="17"/>
                <w:color w:val="auto"/>
                <w:w w:val="85"/>
              </w:rPr>
              <w:t>assets...................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230</w:t>
            </w:r>
          </w:p>
        </w:tc>
      </w:tr>
      <w:tr>
        <w:trPr>
          <w:trHeight w:val="201"/>
        </w:trPr>
        <w:tc>
          <w:tcPr>
            <w:tcW w:w="3140" w:type="dxa"/>
            <w:vAlign w:val="bottom"/>
            <w:gridSpan w:val="4"/>
          </w:tcPr>
          <w:p>
            <w:pPr>
              <w:spacing w:after="0"/>
              <w:rPr>
                <w:sz w:val="20"/>
                <w:szCs w:val="20"/>
                <w:color w:val="auto"/>
              </w:rPr>
            </w:pPr>
            <w:r>
              <w:rPr>
                <w:rFonts w:ascii="Courier New" w:cs="Courier New" w:eastAsia="Courier New" w:hAnsi="Courier New"/>
                <w:sz w:val="17"/>
                <w:szCs w:val="17"/>
                <w:color w:val="auto"/>
              </w:rPr>
              <w:t>516 8,882 (5,037) 10,514 TOTAL</w:t>
            </w:r>
          </w:p>
        </w:tc>
      </w:tr>
      <w:tr>
        <w:trPr>
          <w:trHeight w:val="201"/>
        </w:trPr>
        <w:tc>
          <w:tcPr>
            <w:tcW w:w="2240" w:type="dxa"/>
            <w:vAlign w:val="bottom"/>
            <w:gridSpan w:val="3"/>
          </w:tcPr>
          <w:p>
            <w:pPr>
              <w:spacing w:after="0"/>
              <w:rPr>
                <w:sz w:val="20"/>
                <w:szCs w:val="20"/>
                <w:color w:val="auto"/>
              </w:rPr>
            </w:pPr>
            <w:r>
              <w:rPr>
                <w:rFonts w:ascii="Courier New" w:cs="Courier New" w:eastAsia="Courier New" w:hAnsi="Courier New"/>
                <w:sz w:val="17"/>
                <w:szCs w:val="17"/>
                <w:color w:val="auto"/>
                <w:w w:val="87"/>
              </w:rPr>
              <w:t>ASSETS...................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$236</w:t>
            </w:r>
          </w:p>
        </w:tc>
      </w:tr>
      <w:tr>
        <w:trPr>
          <w:trHeight w:val="201"/>
        </w:trPr>
        <w:tc>
          <w:tcPr>
            <w:tcW w:w="17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$527 $191,616</w:t>
            </w:r>
          </w:p>
        </w:tc>
        <w:tc>
          <w:tcPr>
            <w:tcW w:w="13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w w:val="99"/>
              </w:rPr>
              <w:t>$(260,336)</w:t>
            </w:r>
          </w:p>
        </w:tc>
      </w:tr>
      <w:tr>
        <w:trPr>
          <w:trHeight w:val="201"/>
        </w:trPr>
        <w:tc>
          <w:tcPr>
            <w:tcW w:w="31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$160,049 LIABILITIES Debt</w:t>
            </w:r>
          </w:p>
        </w:tc>
      </w:tr>
      <w:tr>
        <w:trPr>
          <w:trHeight w:val="201"/>
        </w:trPr>
        <w:tc>
          <w:tcPr>
            <w:tcW w:w="520" w:type="dxa"/>
            <w:vAlign w:val="bottom"/>
          </w:tcPr>
          <w:p>
            <w:pPr>
              <w:spacing w:after="0"/>
              <w:rPr>
                <w:sz w:val="17"/>
                <w:szCs w:val="17"/>
                <w:color w:val="auto"/>
              </w:rPr>
            </w:pPr>
          </w:p>
        </w:tc>
        <w:tc>
          <w:tcPr>
            <w:tcW w:w="2620" w:type="dxa"/>
            <w:vAlign w:val="bottom"/>
            <w:gridSpan w:val="3"/>
          </w:tcPr>
          <w:p>
            <w:pPr>
              <w:jc w:val="center"/>
              <w:ind w:right="433"/>
              <w:spacing w:after="0"/>
              <w:rPr>
                <w:sz w:val="20"/>
                <w:szCs w:val="20"/>
                <w:color w:val="auto"/>
              </w:rPr>
            </w:pPr>
            <w:r>
              <w:rPr>
                <w:rFonts w:ascii="Courier New" w:cs="Courier New" w:eastAsia="Courier New" w:hAnsi="Courier New"/>
                <w:sz w:val="17"/>
                <w:szCs w:val="17"/>
                <w:color w:val="auto"/>
              </w:rPr>
              <w:t>maturing within one</w:t>
            </w:r>
          </w:p>
        </w:tc>
      </w:tr>
      <w:tr>
        <w:trPr>
          <w:trHeight w:val="201"/>
        </w:trPr>
        <w:tc>
          <w:tcPr>
            <w:tcW w:w="1780" w:type="dxa"/>
            <w:vAlign w:val="bottom"/>
            <w:gridSpan w:val="2"/>
          </w:tcPr>
          <w:p>
            <w:pPr>
              <w:spacing w:after="0"/>
              <w:rPr>
                <w:sz w:val="20"/>
                <w:szCs w:val="20"/>
                <w:color w:val="auto"/>
              </w:rPr>
            </w:pPr>
            <w:r>
              <w:rPr>
                <w:rFonts w:ascii="Courier New" w:cs="Courier New" w:eastAsia="Courier New" w:hAnsi="Courier New"/>
                <w:sz w:val="13"/>
                <w:szCs w:val="13"/>
                <w:color w:val="auto"/>
                <w:w w:val="75"/>
              </w:rPr>
              <w:t>year..........................</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1780" w:type="dxa"/>
            <w:vAlign w:val="bottom"/>
            <w:gridSpan w:val="2"/>
          </w:tcPr>
          <w:p>
            <w:pPr>
              <w:spacing w:after="0"/>
              <w:rPr>
                <w:sz w:val="20"/>
                <w:szCs w:val="20"/>
                <w:color w:val="auto"/>
              </w:rPr>
            </w:pPr>
            <w:r>
              <w:rPr>
                <w:rFonts w:ascii="Courier New" w:cs="Courier New" w:eastAsia="Courier New" w:hAnsi="Courier New"/>
                <w:sz w:val="17"/>
                <w:szCs w:val="17"/>
                <w:color w:val="auto"/>
              </w:rPr>
              <w:t>$ -- $ -- $ 9,702</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(33,402) $</w:t>
            </w:r>
          </w:p>
        </w:tc>
      </w:tr>
      <w:tr>
        <w:trPr>
          <w:trHeight w:val="201"/>
        </w:trPr>
        <w:tc>
          <w:tcPr>
            <w:tcW w:w="520" w:type="dxa"/>
            <w:vAlign w:val="bottom"/>
          </w:tcPr>
          <w:p>
            <w:pPr>
              <w:spacing w:after="0"/>
              <w:rPr>
                <w:sz w:val="17"/>
                <w:szCs w:val="17"/>
                <w:color w:val="auto"/>
              </w:rPr>
            </w:pPr>
          </w:p>
        </w:tc>
        <w:tc>
          <w:tcPr>
            <w:tcW w:w="2620" w:type="dxa"/>
            <w:vAlign w:val="bottom"/>
            <w:gridSpan w:val="3"/>
          </w:tcPr>
          <w:p>
            <w:pPr>
              <w:jc w:val="center"/>
              <w:ind w:right="433"/>
              <w:spacing w:after="0"/>
              <w:rPr>
                <w:sz w:val="20"/>
                <w:szCs w:val="20"/>
                <w:color w:val="auto"/>
              </w:rPr>
            </w:pPr>
            <w:r>
              <w:rPr>
                <w:rFonts w:ascii="Courier New" w:cs="Courier New" w:eastAsia="Courier New" w:hAnsi="Courier New"/>
                <w:sz w:val="17"/>
                <w:szCs w:val="17"/>
                <w:color w:val="auto"/>
              </w:rPr>
              <w:t>18,449 Other current</w:t>
            </w:r>
          </w:p>
        </w:tc>
      </w:tr>
      <w:tr>
        <w:trPr>
          <w:trHeight w:val="201"/>
        </w:trPr>
        <w:tc>
          <w:tcPr>
            <w:tcW w:w="17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9"/>
              </w:rPr>
              <w:t>liabilities......</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6 11 13,011</w:t>
            </w:r>
          </w:p>
        </w:tc>
      </w:tr>
      <w:tr>
        <w:trPr>
          <w:trHeight w:val="201"/>
        </w:trPr>
        <w:tc>
          <w:tcPr>
            <w:tcW w:w="31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(8,689) 13,428 TOTAL CURRENT</w:t>
            </w:r>
          </w:p>
        </w:tc>
      </w:tr>
      <w:tr>
        <w:trPr>
          <w:trHeight w:val="201"/>
        </w:trPr>
        <w:tc>
          <w:tcPr>
            <w:tcW w:w="17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9"/>
              </w:rPr>
              <w:t>LIABILITIES......</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6 11 22,713</w:t>
            </w:r>
          </w:p>
        </w:tc>
      </w:tr>
      <w:tr>
        <w:trPr>
          <w:trHeight w:val="201"/>
        </w:trPr>
        <w:tc>
          <w:tcPr>
            <w:tcW w:w="31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(42,091) 31,877 Long-term</w:t>
            </w:r>
          </w:p>
        </w:tc>
      </w:tr>
      <w:tr>
        <w:trPr>
          <w:trHeight w:val="201"/>
        </w:trPr>
        <w:tc>
          <w:tcPr>
            <w:tcW w:w="17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80"/>
              </w:rPr>
              <w:t>debt.................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214 504</w:t>
            </w:r>
          </w:p>
        </w:tc>
      </w:tr>
      <w:tr>
        <w:trPr>
          <w:trHeight w:val="201"/>
        </w:trPr>
        <w:tc>
          <w:tcPr>
            <w:tcW w:w="31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10,587 (9,989) 30,007 Deferred</w:t>
            </w:r>
          </w:p>
        </w:tc>
      </w:tr>
      <w:tr>
        <w:trPr>
          <w:trHeight w:val="201"/>
        </w:trPr>
        <w:tc>
          <w:tcPr>
            <w:tcW w:w="2240" w:type="dxa"/>
            <w:vAlign w:val="bottom"/>
            <w:gridSpan w:val="3"/>
          </w:tcPr>
          <w:p>
            <w:pPr>
              <w:ind w:left="40"/>
              <w:spacing w:after="0"/>
              <w:rPr>
                <w:sz w:val="20"/>
                <w:szCs w:val="20"/>
                <w:color w:val="auto"/>
              </w:rPr>
            </w:pPr>
            <w:r>
              <w:rPr>
                <w:rFonts w:ascii="Courier New" w:cs="Courier New" w:eastAsia="Courier New" w:hAnsi="Courier New"/>
                <w:sz w:val="17"/>
                <w:szCs w:val="17"/>
                <w:color w:val="auto"/>
                <w:w w:val="97"/>
              </w:rPr>
              <w:t>income taxes..........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25,186</w:t>
            </w:r>
          </w:p>
        </w:tc>
      </w:tr>
      <w:tr>
        <w:trPr>
          <w:trHeight w:val="201"/>
        </w:trPr>
        <w:tc>
          <w:tcPr>
            <w:tcW w:w="31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27,175 Other long-term</w:t>
            </w:r>
          </w:p>
        </w:tc>
      </w:tr>
      <w:tr>
        <w:trPr>
          <w:trHeight w:val="201"/>
        </w:trPr>
        <w:tc>
          <w:tcPr>
            <w:tcW w:w="31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liabilities and deferred</w:t>
            </w:r>
          </w:p>
        </w:tc>
      </w:tr>
      <w:tr>
        <w:trPr>
          <w:trHeight w:val="201"/>
        </w:trPr>
        <w:tc>
          <w:tcPr>
            <w:tcW w:w="22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credits..............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5,951</w:t>
            </w:r>
          </w:p>
        </w:tc>
      </w:tr>
      <w:tr>
        <w:trPr>
          <w:trHeight w:val="201"/>
        </w:trPr>
        <w:tc>
          <w:tcPr>
            <w:tcW w:w="520" w:type="dxa"/>
            <w:vAlign w:val="bottom"/>
          </w:tcPr>
          <w:p>
            <w:pPr>
              <w:spacing w:after="0"/>
              <w:rPr>
                <w:sz w:val="17"/>
                <w:szCs w:val="17"/>
                <w:color w:val="auto"/>
              </w:rPr>
            </w:pPr>
          </w:p>
        </w:tc>
        <w:tc>
          <w:tcPr>
            <w:tcW w:w="2620" w:type="dxa"/>
            <w:vAlign w:val="bottom"/>
            <w:gridSpan w:val="3"/>
          </w:tcPr>
          <w:p>
            <w:pPr>
              <w:jc w:val="center"/>
              <w:ind w:right="433"/>
              <w:spacing w:after="0"/>
              <w:rPr>
                <w:sz w:val="20"/>
                <w:szCs w:val="20"/>
                <w:color w:val="auto"/>
              </w:rPr>
            </w:pPr>
            <w:r>
              <w:rPr>
                <w:rFonts w:ascii="Courier New" w:cs="Courier New" w:eastAsia="Courier New" w:hAnsi="Courier New"/>
                <w:sz w:val="17"/>
                <w:szCs w:val="17"/>
                <w:color w:val="auto"/>
              </w:rPr>
              <w:t>(2,479) 10,452 TOTAL</w:t>
            </w:r>
          </w:p>
        </w:tc>
      </w:tr>
      <w:tr>
        <w:trPr>
          <w:trHeight w:val="201"/>
        </w:trPr>
        <w:tc>
          <w:tcPr>
            <w:tcW w:w="2240" w:type="dxa"/>
            <w:vAlign w:val="bottom"/>
            <w:gridSpan w:val="3"/>
          </w:tcPr>
          <w:p>
            <w:pPr>
              <w:ind w:left="40"/>
              <w:spacing w:after="0"/>
              <w:rPr>
                <w:sz w:val="20"/>
                <w:szCs w:val="20"/>
                <w:color w:val="auto"/>
              </w:rPr>
            </w:pPr>
            <w:r>
              <w:rPr>
                <w:rFonts w:ascii="Courier New" w:cs="Courier New" w:eastAsia="Courier New" w:hAnsi="Courier New"/>
                <w:sz w:val="17"/>
                <w:szCs w:val="17"/>
                <w:color w:val="auto"/>
                <w:w w:val="85"/>
              </w:rPr>
              <w:t>LIABILITIES..............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220</w:t>
            </w:r>
          </w:p>
        </w:tc>
      </w:tr>
      <w:tr>
        <w:trPr>
          <w:trHeight w:val="201"/>
        </w:trPr>
        <w:tc>
          <w:tcPr>
            <w:tcW w:w="520" w:type="dxa"/>
            <w:vAlign w:val="bottom"/>
          </w:tcPr>
          <w:p>
            <w:pPr>
              <w:ind w:left="200"/>
              <w:spacing w:after="0"/>
              <w:rPr>
                <w:sz w:val="20"/>
                <w:szCs w:val="20"/>
                <w:color w:val="auto"/>
              </w:rPr>
            </w:pPr>
            <w:r>
              <w:rPr>
                <w:rFonts w:ascii="Courier New" w:cs="Courier New" w:eastAsia="Courier New" w:hAnsi="Courier New"/>
                <w:sz w:val="17"/>
                <w:szCs w:val="17"/>
                <w:color w:val="auto"/>
                <w:w w:val="97"/>
              </w:rPr>
              <w:t>515</w:t>
            </w:r>
          </w:p>
        </w:tc>
        <w:tc>
          <w:tcPr>
            <w:tcW w:w="1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64,437 (54,559)</w:t>
            </w: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99,511</w:t>
            </w:r>
          </w:p>
        </w:tc>
      </w:tr>
      <w:tr>
        <w:trPr>
          <w:trHeight w:val="201"/>
        </w:trPr>
        <w:tc>
          <w:tcPr>
            <w:tcW w:w="520" w:type="dxa"/>
            <w:vAlign w:val="bottom"/>
          </w:tcPr>
          <w:p>
            <w:pPr>
              <w:spacing w:after="0"/>
              <w:rPr>
                <w:sz w:val="17"/>
                <w:szCs w:val="17"/>
                <w:color w:val="auto"/>
              </w:rPr>
            </w:pPr>
          </w:p>
        </w:tc>
        <w:tc>
          <w:tcPr>
            <w:tcW w:w="1720" w:type="dxa"/>
            <w:vAlign w:val="bottom"/>
            <w:gridSpan w:val="2"/>
          </w:tcPr>
          <w:p>
            <w:pPr>
              <w:jc w:val="center"/>
              <w:ind w:left="273"/>
              <w:spacing w:after="0"/>
              <w:rPr>
                <w:sz w:val="20"/>
                <w:szCs w:val="20"/>
                <w:color w:val="auto"/>
              </w:rPr>
            </w:pPr>
            <w:r>
              <w:rPr>
                <w:rFonts w:ascii="Courier New" w:cs="Courier New" w:eastAsia="Courier New" w:hAnsi="Courier New"/>
                <w:sz w:val="17"/>
                <w:szCs w:val="17"/>
                <w:color w:val="auto"/>
              </w:rPr>
              <w:t>Minority</w:t>
            </w:r>
          </w:p>
        </w:tc>
        <w:tc>
          <w:tcPr>
            <w:tcW w:w="900" w:type="dxa"/>
            <w:vAlign w:val="bottom"/>
          </w:tcPr>
          <w:p>
            <w:pPr>
              <w:spacing w:after="0"/>
              <w:rPr>
                <w:sz w:val="17"/>
                <w:szCs w:val="17"/>
                <w:color w:val="auto"/>
              </w:rPr>
            </w:pPr>
          </w:p>
        </w:tc>
      </w:tr>
      <w:tr>
        <w:trPr>
          <w:trHeight w:val="201"/>
        </w:trPr>
        <w:tc>
          <w:tcPr>
            <w:tcW w:w="224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Interest..............</w:t>
            </w: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3,622</w:t>
            </w:r>
          </w:p>
        </w:tc>
      </w:tr>
    </w:tbl>
    <w:p>
      <w:pPr>
        <w:spacing w:after="0" w:line="4"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3,622 Company-Obligated</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Convertible Quarterly Income</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Preferred Securities of</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Subsidiary Trust Holding</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Solely Subordinated Debt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Securities of AT&amp;T.......</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4,718 SHAREOWNERS' EQUITY 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3,536 AT&amp;T Wireless Group</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Liberty Media Group Class A</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Liberty Media Group Class B</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Preferred Stock issued to</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subsidiaries..................</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(10,559) -- Other shareowners'</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equity...... 16 12 123,557</w:t>
      </w:r>
    </w:p>
    <w:p>
      <w:pPr>
        <w:sectPr>
          <w:pgSz w:w="11900" w:h="16849" w:orient="portrait"/>
          <w:cols w:equalWidth="0" w:num="1">
            <w:col w:w="10219"/>
          </w:cols>
          <w:pgMar w:left="240" w:top="141" w:right="1440" w:bottom="0" w:gutter="0" w:footer="0" w:header="0"/>
        </w:sectPr>
      </w:pPr>
    </w:p>
    <w:bookmarkStart w:id="613" w:name="page614"/>
    <w:bookmarkEnd w:id="613"/>
    <w:p>
      <w:pPr>
        <w:jc w:val="center"/>
        <w:ind w:right="7019"/>
        <w:spacing w:after="0"/>
        <w:rPr>
          <w:sz w:val="20"/>
          <w:szCs w:val="20"/>
          <w:color w:val="auto"/>
        </w:rPr>
      </w:pPr>
      <w:r>
        <w:rPr>
          <w:rFonts w:ascii="Courier New" w:cs="Courier New" w:eastAsia="Courier New" w:hAnsi="Courier New"/>
          <w:sz w:val="17"/>
          <w:szCs w:val="17"/>
          <w:color w:val="auto"/>
        </w:rPr>
        <w:t>(195,218) 48,662 TOTAL</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SHAREOWNERS' EQUITY...... 16</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12 123,557 (205,777) 52,198</w:t>
      </w:r>
    </w:p>
    <w:p>
      <w:pPr>
        <w:spacing w:after="0" w:line="9" w:lineRule="exact"/>
        <w:rPr>
          <w:sz w:val="20"/>
          <w:szCs w:val="20"/>
          <w:color w:val="auto"/>
        </w:rPr>
      </w:pPr>
    </w:p>
    <w:p>
      <w:pPr>
        <w:ind w:left="460"/>
        <w:spacing w:after="0"/>
        <w:rPr>
          <w:sz w:val="20"/>
          <w:szCs w:val="20"/>
          <w:color w:val="auto"/>
        </w:rPr>
      </w:pPr>
      <w:r>
        <w:rPr>
          <w:rFonts w:ascii="Courier New" w:cs="Courier New" w:eastAsia="Courier New" w:hAnsi="Courier New"/>
          <w:sz w:val="17"/>
          <w:szCs w:val="17"/>
          <w:color w:val="auto"/>
        </w:rPr>
        <w:t>TOTAL LIABILITIES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SHAREOWNERS' EQUITY...........</w:t>
      </w:r>
    </w:p>
    <w:p>
      <w:pPr>
        <w:spacing w:after="0" w:line="9"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7"/>
          <w:szCs w:val="17"/>
          <w:color w:val="auto"/>
        </w:rPr>
        <w:t>$236 $527 $191,616 $(260,336)</w:t>
      </w:r>
    </w:p>
    <w:p>
      <w:pPr>
        <w:spacing w:after="0" w:line="9"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7"/>
          <w:szCs w:val="17"/>
          <w:color w:val="auto"/>
        </w:rPr>
        <w:t>$160,049</w:t>
      </w:r>
    </w:p>
    <w:p>
      <w:pPr>
        <w:spacing w:after="0" w:line="200" w:lineRule="exact"/>
        <w:rPr>
          <w:sz w:val="20"/>
          <w:szCs w:val="20"/>
          <w:color w:val="auto"/>
        </w:rPr>
      </w:pPr>
    </w:p>
    <w:p>
      <w:pPr>
        <w:spacing w:after="0" w:line="212"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L-27</w:t>
      </w:r>
    </w:p>
    <w:p>
      <w:pPr>
        <w:sectPr>
          <w:pgSz w:w="11900" w:h="16838" w:orient="portrait"/>
          <w:cols w:equalWidth="0" w:num="1">
            <w:col w:w="10159"/>
          </w:cols>
          <w:pgMar w:left="300" w:top="142" w:right="1440" w:bottom="1440" w:gutter="0" w:footer="0" w:header="0"/>
        </w:sectPr>
      </w:pPr>
    </w:p>
    <w:bookmarkStart w:id="614" w:name="page615"/>
    <w:bookmarkEnd w:id="614"/>
    <w:p>
      <w:pPr>
        <w:jc w:val="center"/>
        <w:ind w:right="1819"/>
        <w:spacing w:after="0"/>
        <w:rPr>
          <w:sz w:val="20"/>
          <w:szCs w:val="20"/>
          <w:color w:val="auto"/>
        </w:rPr>
      </w:pPr>
      <w:r>
        <w:rPr>
          <w:rFonts w:ascii="Courier New" w:cs="Courier New" w:eastAsia="Courier New" w:hAnsi="Courier New"/>
          <w:sz w:val="17"/>
          <w:szCs w:val="17"/>
          <w:color w:val="auto"/>
        </w:rPr>
        <w:t>AT&amp;T CORP.</w:t>
      </w:r>
    </w:p>
    <w:p>
      <w:pPr>
        <w:spacing w:after="0" w:line="210"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7"/>
          <w:szCs w:val="17"/>
          <w:color w:val="auto"/>
        </w:rPr>
        <w:t>CONSOLIDATING CONDENSED STATEMENTS OF CASH FLOWS</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FOR THE NINE MONTHS ENDED SEPTEMBER 30, 2001</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GUARANTOR GUARANTOR GUARANTOR TCI TCI TCI AT&amp;T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SUBSIDIARY SUBSIDIARY FINANCING FINANCING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FINANCING PARENT TCI MEDIAONE I II IV --------</w:t>
      </w:r>
    </w:p>
    <w:p>
      <w:pPr>
        <w:spacing w:after="0" w:line="9" w:lineRule="exact"/>
        <w:rPr>
          <w:sz w:val="20"/>
          <w:szCs w:val="20"/>
          <w:color w:val="auto"/>
        </w:rPr>
      </w:pPr>
    </w:p>
    <w:p>
      <w:pPr>
        <w:ind w:left="260" w:hanging="204"/>
        <w:spacing w:after="0"/>
        <w:tabs>
          <w:tab w:leader="none" w:pos="260" w:val="left"/>
        </w:tabs>
        <w:numPr>
          <w:ilvl w:val="0"/>
          <w:numId w:val="6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8" w:lineRule="exact"/>
        <w:rPr>
          <w:rFonts w:ascii="Courier New" w:cs="Courier New" w:eastAsia="Courier New" w:hAnsi="Courier New"/>
          <w:sz w:val="17"/>
          <w:szCs w:val="17"/>
          <w:color w:val="auto"/>
        </w:rPr>
      </w:pPr>
    </w:p>
    <w:p>
      <w:pPr>
        <w:ind w:left="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 CASH PROVIDED BY (USED IN)</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OPERATING ACTIVITIES OF CONTINUING</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OPERATIONS.......... $2,367 $(1,116) $746 $ --</w:t>
      </w:r>
    </w:p>
    <w:p>
      <w:pPr>
        <w:spacing w:after="0" w:line="9" w:lineRule="exact"/>
        <w:rPr>
          <w:sz w:val="20"/>
          <w:szCs w:val="20"/>
          <w:color w:val="auto"/>
        </w:rPr>
      </w:pPr>
    </w:p>
    <w:p>
      <w:pPr>
        <w:jc w:val="both"/>
        <w:ind w:left="420" w:right="5719" w:firstLine="55"/>
        <w:spacing w:after="0" w:line="251" w:lineRule="auto"/>
        <w:tabs>
          <w:tab w:leader="none" w:pos="682" w:val="left"/>
        </w:tabs>
        <w:numPr>
          <w:ilvl w:val="0"/>
          <w:numId w:val="6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INVESTING ACTIVITIES Capital expenditures and other additions.......</w:t>
      </w:r>
    </w:p>
    <w:p>
      <w:pPr>
        <w:ind w:left="160"/>
        <w:spacing w:after="0"/>
        <w:rPr>
          <w:sz w:val="20"/>
          <w:szCs w:val="20"/>
          <w:color w:val="auto"/>
        </w:rPr>
      </w:pPr>
      <w:r>
        <w:rPr>
          <w:rFonts w:ascii="Courier New" w:cs="Courier New" w:eastAsia="Courier New" w:hAnsi="Courier New"/>
          <w:sz w:val="17"/>
          <w:szCs w:val="17"/>
          <w:color w:val="auto"/>
        </w:rPr>
        <w:t>(1,313) (15) Equity investment distributions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and sales...... 694 19,048 Net dispositions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(acquisitions) of businesses, net of cash</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disposed/acquired................ 14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3,658 162 (494) NET CASH (USED IN) PROVIDED BY</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INVESTING ACTIVITIES OF CONTINUING</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OPERATIONS.......... 3,053 19,195 (494)</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FINANCING ACTIVITIES Proceeds from long-term</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debt issuances......... Proceeds from debt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from AT&amp;T................... 2,670 Retirement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of long-term debt................... (976)</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(252) Retirement of AT&amp;T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debt........................ (5,169) (20,419)</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Issuance of convertible preferred securities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and warrants.................................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9,811 Repayment of borrowings from AT&amp;T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Wireless..... (5,803) (Decrease) increase in</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short-term borrowings,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(9,839) (330)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10,151 NET CASH PROVIDED BY (USED IN)</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FINANCING ACTIVITIES OF CONTINUING</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2140" w:type="dxa"/>
            <w:vAlign w:val="bottom"/>
          </w:tcPr>
          <w:p>
            <w:pPr>
              <w:spacing w:after="0"/>
              <w:rPr>
                <w:sz w:val="20"/>
                <w:szCs w:val="20"/>
                <w:color w:val="auto"/>
              </w:rPr>
            </w:pPr>
            <w:r>
              <w:rPr>
                <w:rFonts w:ascii="Courier New" w:cs="Courier New" w:eastAsia="Courier New" w:hAnsi="Courier New"/>
                <w:sz w:val="17"/>
                <w:szCs w:val="17"/>
                <w:color w:val="auto"/>
              </w:rPr>
              <w:t>OPERATIONS..........</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(1,825) (18,079) (252)</w:t>
            </w:r>
          </w:p>
        </w:tc>
      </w:tr>
    </w:tbl>
    <w:p>
      <w:pPr>
        <w:spacing w:after="0" w:line="4"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Net cash provided by (used in) discontinued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Net (decrease) increase in cash and 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equivalents..................................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3,595 Cash and cash equivalents at beginning</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Cash and cash equivalents at end of</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period..... $3,595 $ -- $ -- $ -- $ -- $ --</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MEDIAONE MEDIAONE MEDIAONE MEDIAONE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ELIMINATION AND FINANCING FINANCING FINANCE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FINANCE NON-GUARANTOR CONSOLIDATION I II II</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III SUBSIDIARIES ADJUSTMENTS --------- -------</w:t>
      </w:r>
    </w:p>
    <w:p>
      <w:pPr>
        <w:spacing w:after="0" w:line="9" w:lineRule="exact"/>
        <w:rPr>
          <w:sz w:val="20"/>
          <w:szCs w:val="20"/>
          <w:color w:val="auto"/>
        </w:rPr>
      </w:pPr>
    </w:p>
    <w:p>
      <w:pPr>
        <w:ind w:left="360" w:hanging="304"/>
        <w:spacing w:after="0"/>
        <w:tabs>
          <w:tab w:leader="none" w:pos="360" w:val="left"/>
        </w:tabs>
        <w:numPr>
          <w:ilvl w:val="0"/>
          <w:numId w:val="6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jc w:val="both"/>
        <w:ind w:left="100" w:right="5399" w:firstLine="8"/>
        <w:spacing w:after="0" w:line="251" w:lineRule="auto"/>
        <w:tabs>
          <w:tab w:leader="none" w:pos="624" w:val="left"/>
        </w:tabs>
        <w:numPr>
          <w:ilvl w:val="1"/>
          <w:numId w:val="6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CASH PROVIDED BY (USED IN) OPERATING ACTIVITIES OF CONTINUING OPERATIONS..........</w:t>
      </w:r>
    </w:p>
    <w:p>
      <w:pPr>
        <w:ind w:left="320" w:right="5599" w:firstLine="103"/>
        <w:spacing w:after="0" w:line="251" w:lineRule="auto"/>
        <w:tabs>
          <w:tab w:leader="none" w:pos="635" w:val="left"/>
        </w:tabs>
        <w:numPr>
          <w:ilvl w:val="0"/>
          <w:numId w:val="6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1 $ 1 $ 1 $ 1 $ 4,624 $ 116 INVESTING ACTIVITIES Capital expenditures and other</w:t>
      </w:r>
    </w:p>
    <w:p>
      <w:pPr>
        <w:jc w:val="center"/>
        <w:ind w:right="5299"/>
        <w:spacing w:after="0"/>
        <w:rPr>
          <w:sz w:val="20"/>
          <w:szCs w:val="20"/>
          <w:color w:val="auto"/>
        </w:rPr>
      </w:pPr>
      <w:r>
        <w:rPr>
          <w:rFonts w:ascii="Courier New" w:cs="Courier New" w:eastAsia="Courier New" w:hAnsi="Courier New"/>
          <w:sz w:val="17"/>
          <w:szCs w:val="17"/>
          <w:color w:val="auto"/>
        </w:rPr>
        <w:t>additions....... (5,122) Equity investment</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distributions and sales...... 1,151 (19,048)</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 dispositions (acquisitions) of businesses,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 of cash disposed/acquired................</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4,813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1,807 (5,390) NET CASH (USED IN) PROVIDED BY</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INVESTING ACTIVITIES OF CONTINUING</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 2,649 (24,438) FINANCING</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ACTIVITIES Proceeds from long-term debt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issuances......... 195 Proceeds from debt from</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AT&amp;T................... (2,670) Retirement of</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long-term debt................... (390)</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Retirement of AT&amp;T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debt........................ 823 24,765</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Issuance of convertible preferred securities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and warrants.................................</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Repayment of borrowings from AT&amp;T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Wireless..... (Decrease) increase in short-</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term borrowings,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5,964 (5,375)</w:t>
      </w:r>
    </w:p>
    <w:p>
      <w:pPr>
        <w:sectPr>
          <w:pgSz w:w="11900" w:h="16838" w:orient="portrait"/>
          <w:cols w:equalWidth="0" w:num="1">
            <w:col w:w="10219"/>
          </w:cols>
          <w:pgMar w:left="240" w:top="719" w:right="1440" w:bottom="0" w:gutter="0" w:footer="0" w:header="0"/>
        </w:sectPr>
      </w:pPr>
    </w:p>
    <w:bookmarkStart w:id="615" w:name="page616"/>
    <w:bookmarkEnd w:id="615"/>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100" w:right="5399" w:firstLine="322"/>
        <w:spacing w:after="0" w:line="251" w:lineRule="auto"/>
        <w:tabs>
          <w:tab w:leader="none" w:pos="833" w:val="left"/>
        </w:tabs>
        <w:numPr>
          <w:ilvl w:val="0"/>
          <w:numId w:val="6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(1) (1) (18,025) 7,441 NET CASH PROVIDED BY (USED IN) FINANCING ACTIVITIES OF</w:t>
      </w:r>
    </w:p>
    <w:tbl>
      <w:tblPr>
        <w:tblLayout w:type="fixed"/>
        <w:tblInd w:w="220" w:type="dxa"/>
        <w:tblCellMar>
          <w:top w:w="0" w:type="dxa"/>
          <w:left w:w="0" w:type="dxa"/>
          <w:bottom w:w="0" w:type="dxa"/>
          <w:right w:w="0" w:type="dxa"/>
        </w:tblCellMar>
      </w:tblPr>
      <w:tr>
        <w:trPr>
          <w:trHeight w:val="197"/>
        </w:trPr>
        <w:tc>
          <w:tcPr>
            <w:tcW w:w="3300" w:type="dxa"/>
            <w:vAlign w:val="bottom"/>
          </w:tcPr>
          <w:p>
            <w:pPr>
              <w:spacing w:after="0"/>
              <w:rPr>
                <w:sz w:val="20"/>
                <w:szCs w:val="20"/>
                <w:color w:val="auto"/>
              </w:rPr>
            </w:pPr>
            <w:r>
              <w:rPr>
                <w:rFonts w:ascii="Courier New" w:cs="Courier New" w:eastAsia="Courier New" w:hAnsi="Courier New"/>
                <w:sz w:val="17"/>
                <w:szCs w:val="17"/>
                <w:color w:val="auto"/>
              </w:rPr>
              <w:t>CONTINUING OPERATIONS..........</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 (1) (1)</w:t>
            </w:r>
          </w:p>
        </w:tc>
      </w:tr>
    </w:tbl>
    <w:p>
      <w:pPr>
        <w:spacing w:after="0" w:line="4" w:lineRule="exact"/>
        <w:rPr>
          <w:sz w:val="20"/>
          <w:szCs w:val="20"/>
          <w:color w:val="auto"/>
        </w:rPr>
      </w:pPr>
    </w:p>
    <w:p>
      <w:pPr>
        <w:ind w:left="1620" w:right="5339" w:hanging="1565"/>
        <w:spacing w:after="0" w:line="251" w:lineRule="auto"/>
        <w:tabs>
          <w:tab w:leader="none" w:pos="468" w:val="left"/>
        </w:tabs>
        <w:numPr>
          <w:ilvl w:val="0"/>
          <w:numId w:val="6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(11,433) 24,161 Net cash provided by (used in) discontinued</w:t>
      </w: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4,699 161 Net (decrease) increase in cash and</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equivalents..................................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539 Cash and cash equivalents at beginning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64 Cash and cash equivalents at end of</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period..... $ -- $ -- $ -- $ -- $ 603 $ --</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CONSOLIDATED AT&amp;T CORP. ------------ NET 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PROVIDED BY (USED IN) OPERATING ACTIVITIES OF</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CONTINUING OPERATIONS.......... $6,741</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INVESTING ACTIVITIES Capital expenditures and</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other additions....... (6,450) Equity</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investment distributions and sales...... 1,845</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 dispositions (acquisitions) of businesses,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 of cash disposed/acquired................</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4,827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both"/>
        <w:ind w:left="100" w:right="5339" w:hanging="45"/>
        <w:spacing w:after="0" w:line="251" w:lineRule="auto"/>
        <w:tabs>
          <w:tab w:leader="none" w:pos="676" w:val="left"/>
        </w:tabs>
        <w:numPr>
          <w:ilvl w:val="0"/>
          <w:numId w:val="6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CASH (USED IN) PROVIDED BY INVESTING ACTIVITIES OF CONTINUING OPERATIONS..........</w:t>
      </w: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(35) FINANCING ACTIVITIES Proceeds from long-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term debt issuances......... 195 Proceeds from</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debt from AT&amp;T................... Retirement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of long-term debt................... (1,618)</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Retirement of AT&amp;T</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debt........................ Issuance of</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convertible preferred securities and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warrants.................................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9,811 Repayment of borrowings from AT&amp;T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Wireless..... (5,803) (Decrease) increase in</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short-term borrowings,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(9,580)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both"/>
        <w:ind w:left="100" w:right="5339" w:hanging="45"/>
        <w:spacing w:after="0" w:line="251" w:lineRule="auto"/>
        <w:tabs>
          <w:tab w:leader="none" w:pos="676" w:val="left"/>
        </w:tabs>
        <w:numPr>
          <w:ilvl w:val="0"/>
          <w:numId w:val="6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CASH PROVIDED BY (USED IN) FINANCING ACTIVITIES OF CONTINUING OPERATIONS..........</w:t>
      </w:r>
    </w:p>
    <w:p>
      <w:pPr>
        <w:ind w:left="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(7,432) Net cash provided by (used in)</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discontinued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4,860 Net (decrease) increase in cash and 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equivalents..................................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4,134 Cash and cash equivalents at beginning</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64 Cash and cash equivalents at end of</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period..... $4,198</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L-28</w:t>
      </w:r>
    </w:p>
    <w:p>
      <w:pPr>
        <w:sectPr>
          <w:pgSz w:w="11900" w:h="16838" w:orient="portrait"/>
          <w:cols w:equalWidth="0" w:num="1">
            <w:col w:w="10219"/>
          </w:cols>
          <w:pgMar w:left="240" w:top="143" w:right="1440" w:bottom="1440" w:gutter="0" w:footer="0" w:header="0"/>
        </w:sectPr>
      </w:pPr>
    </w:p>
    <w:bookmarkStart w:id="616" w:name="page617"/>
    <w:bookmarkEnd w:id="616"/>
    <w:p>
      <w:pPr>
        <w:jc w:val="center"/>
        <w:ind w:right="1875"/>
        <w:spacing w:after="0"/>
        <w:rPr>
          <w:sz w:val="20"/>
          <w:szCs w:val="20"/>
          <w:color w:val="auto"/>
        </w:rPr>
      </w:pPr>
      <w:r>
        <w:rPr>
          <w:rFonts w:ascii="Courier New" w:cs="Courier New" w:eastAsia="Courier New" w:hAnsi="Courier New"/>
          <w:sz w:val="17"/>
          <w:szCs w:val="17"/>
          <w:color w:val="auto"/>
        </w:rPr>
        <w:t>AT&amp;T CORP.</w:t>
      </w:r>
    </w:p>
    <w:p>
      <w:pPr>
        <w:spacing w:after="0" w:line="210" w:lineRule="exact"/>
        <w:rPr>
          <w:sz w:val="20"/>
          <w:szCs w:val="20"/>
          <w:color w:val="auto"/>
        </w:rPr>
      </w:pPr>
    </w:p>
    <w:p>
      <w:pPr>
        <w:ind w:left="1944"/>
        <w:spacing w:after="0"/>
        <w:rPr>
          <w:sz w:val="20"/>
          <w:szCs w:val="20"/>
          <w:color w:val="auto"/>
        </w:rPr>
      </w:pPr>
      <w:r>
        <w:rPr>
          <w:rFonts w:ascii="Courier New" w:cs="Courier New" w:eastAsia="Courier New" w:hAnsi="Courier New"/>
          <w:sz w:val="17"/>
          <w:szCs w:val="17"/>
          <w:color w:val="auto"/>
        </w:rPr>
        <w:t>CONSOLIDATING CONDENSED INCOME STATEMENTS</w:t>
      </w:r>
    </w:p>
    <w:p>
      <w:pPr>
        <w:spacing w:after="0" w:line="9"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7"/>
          <w:szCs w:val="17"/>
          <w:color w:val="auto"/>
        </w:rPr>
        <w:t>FOR THE NINE MONTHS ENDED SEPTEMBER 30, 2000</w:t>
      </w:r>
    </w:p>
    <w:p>
      <w:pPr>
        <w:spacing w:after="0" w:line="9" w:lineRule="exact"/>
        <w:rPr>
          <w:sz w:val="20"/>
          <w:szCs w:val="20"/>
          <w:color w:val="auto"/>
        </w:rPr>
      </w:pPr>
    </w:p>
    <w:p>
      <w:pPr>
        <w:ind w:left="2984"/>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ind w:left="4"/>
        <w:spacing w:after="0"/>
        <w:rPr>
          <w:sz w:val="20"/>
          <w:szCs w:val="20"/>
          <w:color w:val="auto"/>
        </w:rPr>
      </w:pPr>
      <w:r>
        <w:rPr>
          <w:rFonts w:ascii="Courier New" w:cs="Courier New" w:eastAsia="Courier New" w:hAnsi="Courier New"/>
          <w:sz w:val="17"/>
          <w:szCs w:val="17"/>
          <w:color w:val="auto"/>
        </w:rPr>
        <w:t>GUARANTOR GUARANTOR GUARANTOR TCI TCI TCI AT&amp;T</w:t>
      </w:r>
    </w:p>
    <w:p>
      <w:pPr>
        <w:spacing w:after="0" w:line="9" w:lineRule="exact"/>
        <w:rPr>
          <w:sz w:val="20"/>
          <w:szCs w:val="20"/>
          <w:color w:val="auto"/>
        </w:rPr>
      </w:pPr>
    </w:p>
    <w:p>
      <w:pPr>
        <w:ind w:left="264"/>
        <w:spacing w:after="0"/>
        <w:rPr>
          <w:sz w:val="20"/>
          <w:szCs w:val="20"/>
          <w:color w:val="auto"/>
        </w:rPr>
      </w:pPr>
      <w:r>
        <w:rPr>
          <w:rFonts w:ascii="Courier New" w:cs="Courier New" w:eastAsia="Courier New" w:hAnsi="Courier New"/>
          <w:sz w:val="17"/>
          <w:szCs w:val="17"/>
          <w:color w:val="auto"/>
        </w:rPr>
        <w:t>SUBSIDIARY SUBSIDIARY FINANCING FINANCING</w:t>
      </w:r>
    </w:p>
    <w:p>
      <w:pPr>
        <w:spacing w:after="0" w:line="9" w:lineRule="exact"/>
        <w:rPr>
          <w:sz w:val="20"/>
          <w:szCs w:val="20"/>
          <w:color w:val="auto"/>
        </w:rPr>
      </w:pPr>
    </w:p>
    <w:p>
      <w:pPr>
        <w:ind w:left="4"/>
        <w:spacing w:after="0"/>
        <w:rPr>
          <w:sz w:val="20"/>
          <w:szCs w:val="20"/>
          <w:color w:val="auto"/>
        </w:rPr>
      </w:pPr>
      <w:r>
        <w:rPr>
          <w:rFonts w:ascii="Courier New" w:cs="Courier New" w:eastAsia="Courier New" w:hAnsi="Courier New"/>
          <w:sz w:val="17"/>
          <w:szCs w:val="17"/>
          <w:color w:val="auto"/>
        </w:rPr>
        <w:t>FINANCING PARENT TCI MEDIAONE I II IV --------</w:t>
      </w:r>
    </w:p>
    <w:p>
      <w:pPr>
        <w:spacing w:after="0" w:line="9" w:lineRule="exact"/>
        <w:rPr>
          <w:sz w:val="20"/>
          <w:szCs w:val="20"/>
          <w:color w:val="auto"/>
        </w:rPr>
      </w:pPr>
    </w:p>
    <w:p>
      <w:pPr>
        <w:ind w:left="204" w:hanging="204"/>
        <w:spacing w:after="0"/>
        <w:tabs>
          <w:tab w:leader="none" w:pos="204" w:val="left"/>
        </w:tabs>
        <w:numPr>
          <w:ilvl w:val="0"/>
          <w:numId w:val="6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8" w:lineRule="exact"/>
        <w:rPr>
          <w:rFonts w:ascii="Courier New" w:cs="Courier New" w:eastAsia="Courier New" w:hAnsi="Courier New"/>
          <w:sz w:val="17"/>
          <w:szCs w:val="17"/>
          <w:color w:val="auto"/>
        </w:rPr>
      </w:pPr>
    </w:p>
    <w:p>
      <w:pPr>
        <w:ind w:left="204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204"/>
        <w:spacing w:after="0"/>
        <w:rPr>
          <w:sz w:val="20"/>
          <w:szCs w:val="20"/>
          <w:color w:val="auto"/>
        </w:rPr>
      </w:pPr>
      <w:r>
        <w:rPr>
          <w:rFonts w:ascii="Courier New" w:cs="Courier New" w:eastAsia="Courier New" w:hAnsi="Courier New"/>
          <w:sz w:val="17"/>
          <w:szCs w:val="17"/>
          <w:color w:val="auto"/>
        </w:rPr>
        <w:t>$16,836 $ -- $ -- $ -- $ -- $ -- Operating</w:t>
      </w:r>
    </w:p>
    <w:p>
      <w:pPr>
        <w:spacing w:after="0" w:line="9" w:lineRule="exact"/>
        <w:rPr>
          <w:sz w:val="20"/>
          <w:szCs w:val="20"/>
          <w:color w:val="auto"/>
        </w:rPr>
      </w:pPr>
    </w:p>
    <w:p>
      <w:pPr>
        <w:ind w:left="844"/>
        <w:spacing w:after="0"/>
        <w:rPr>
          <w:sz w:val="20"/>
          <w:szCs w:val="20"/>
          <w:color w:val="auto"/>
        </w:rPr>
      </w:pPr>
      <w:r>
        <w:rPr>
          <w:rFonts w:ascii="Courier New" w:cs="Courier New" w:eastAsia="Courier New" w:hAnsi="Courier New"/>
          <w:sz w:val="17"/>
          <w:szCs w:val="17"/>
          <w:color w:val="auto"/>
        </w:rPr>
        <w:t>Expenses Costs of services and</w:t>
      </w:r>
    </w:p>
    <w:p>
      <w:pPr>
        <w:spacing w:after="0" w:line="9" w:lineRule="exact"/>
        <w:rPr>
          <w:sz w:val="20"/>
          <w:szCs w:val="20"/>
          <w:color w:val="auto"/>
        </w:rPr>
      </w:pPr>
    </w:p>
    <w:p>
      <w:pPr>
        <w:ind w:left="204"/>
        <w:spacing w:after="0"/>
        <w:rPr>
          <w:sz w:val="20"/>
          <w:szCs w:val="20"/>
          <w:color w:val="auto"/>
        </w:rPr>
      </w:pPr>
      <w:r>
        <w:rPr>
          <w:rFonts w:ascii="Courier New" w:cs="Courier New" w:eastAsia="Courier New" w:hAnsi="Courier New"/>
          <w:sz w:val="17"/>
          <w:szCs w:val="17"/>
          <w:color w:val="auto"/>
        </w:rPr>
        <w:t>products................. 2,188 Access and</w:t>
      </w:r>
    </w:p>
    <w:p>
      <w:pPr>
        <w:spacing w:after="0" w:line="9" w:lineRule="exact"/>
        <w:rPr>
          <w:sz w:val="20"/>
          <w:szCs w:val="20"/>
          <w:color w:val="auto"/>
        </w:rPr>
      </w:pPr>
    </w:p>
    <w:p>
      <w:pPr>
        <w:ind w:left="204"/>
        <w:spacing w:after="0"/>
        <w:rPr>
          <w:sz w:val="20"/>
          <w:szCs w:val="20"/>
          <w:color w:val="auto"/>
        </w:rPr>
      </w:pPr>
      <w:r>
        <w:rPr>
          <w:rFonts w:ascii="Courier New" w:cs="Courier New" w:eastAsia="Courier New" w:hAnsi="Courier New"/>
          <w:sz w:val="17"/>
          <w:szCs w:val="17"/>
          <w:color w:val="auto"/>
        </w:rPr>
        <w:t>other connection.................... 5,339</w:t>
      </w:r>
    </w:p>
    <w:p>
      <w:pPr>
        <w:spacing w:after="0" w:line="9" w:lineRule="exact"/>
        <w:rPr>
          <w:sz w:val="20"/>
          <w:szCs w:val="20"/>
          <w:color w:val="auto"/>
        </w:rPr>
      </w:pPr>
    </w:p>
    <w:p>
      <w:pPr>
        <w:ind w:left="1364"/>
        <w:spacing w:after="0"/>
        <w:rPr>
          <w:sz w:val="20"/>
          <w:szCs w:val="20"/>
          <w:color w:val="auto"/>
        </w:rPr>
      </w:pPr>
      <w:r>
        <w:rPr>
          <w:rFonts w:ascii="Courier New" w:cs="Courier New" w:eastAsia="Courier New" w:hAnsi="Courier New"/>
          <w:sz w:val="17"/>
          <w:szCs w:val="17"/>
          <w:color w:val="auto"/>
        </w:rPr>
        <w:t>Selling, general and</w:t>
      </w:r>
    </w:p>
    <w:p>
      <w:pPr>
        <w:spacing w:after="0" w:line="9" w:lineRule="exact"/>
        <w:rPr>
          <w:sz w:val="20"/>
          <w:szCs w:val="20"/>
          <w:color w:val="auto"/>
        </w:rPr>
      </w:pPr>
    </w:p>
    <w:p>
      <w:pPr>
        <w:ind w:left="424"/>
        <w:spacing w:after="0"/>
        <w:rPr>
          <w:sz w:val="20"/>
          <w:szCs w:val="20"/>
          <w:color w:val="auto"/>
        </w:rPr>
      </w:pPr>
      <w:r>
        <w:rPr>
          <w:rFonts w:ascii="Courier New" w:cs="Courier New" w:eastAsia="Courier New" w:hAnsi="Courier New"/>
          <w:sz w:val="17"/>
          <w:szCs w:val="17"/>
          <w:color w:val="auto"/>
        </w:rPr>
        <w:t>administrative............ 1,532 68 25</w:t>
      </w:r>
    </w:p>
    <w:p>
      <w:pPr>
        <w:spacing w:after="0" w:line="9" w:lineRule="exact"/>
        <w:rPr>
          <w:sz w:val="20"/>
          <w:szCs w:val="20"/>
          <w:color w:val="auto"/>
        </w:rPr>
      </w:pPr>
    </w:p>
    <w:p>
      <w:pPr>
        <w:ind w:left="1264"/>
        <w:spacing w:after="0"/>
        <w:rPr>
          <w:sz w:val="20"/>
          <w:szCs w:val="20"/>
          <w:color w:val="auto"/>
        </w:rPr>
      </w:pPr>
      <w:r>
        <w:rPr>
          <w:rFonts w:ascii="Courier New" w:cs="Courier New" w:eastAsia="Courier New" w:hAnsi="Courier New"/>
          <w:sz w:val="17"/>
          <w:szCs w:val="17"/>
          <w:color w:val="auto"/>
        </w:rPr>
        <w:t>Depreciation and other</w:t>
      </w:r>
    </w:p>
    <w:p>
      <w:pPr>
        <w:spacing w:after="0" w:line="9" w:lineRule="exact"/>
        <w:rPr>
          <w:sz w:val="20"/>
          <w:szCs w:val="20"/>
          <w:color w:val="auto"/>
        </w:rPr>
      </w:pPr>
    </w:p>
    <w:p>
      <w:pPr>
        <w:ind w:left="584"/>
        <w:spacing w:after="0"/>
        <w:rPr>
          <w:sz w:val="20"/>
          <w:szCs w:val="20"/>
          <w:color w:val="auto"/>
        </w:rPr>
      </w:pPr>
      <w:r>
        <w:rPr>
          <w:rFonts w:ascii="Courier New" w:cs="Courier New" w:eastAsia="Courier New" w:hAnsi="Courier New"/>
          <w:sz w:val="17"/>
          <w:szCs w:val="17"/>
          <w:color w:val="auto"/>
        </w:rPr>
        <w:t>amortization............ 1,335 41 4</w:t>
      </w:r>
    </w:p>
    <w:p>
      <w:pPr>
        <w:spacing w:after="0" w:line="9" w:lineRule="exact"/>
        <w:rPr>
          <w:sz w:val="20"/>
          <w:szCs w:val="20"/>
          <w:color w:val="auto"/>
        </w:rPr>
      </w:pPr>
    </w:p>
    <w:p>
      <w:pPr>
        <w:ind w:left="44"/>
        <w:spacing w:after="0"/>
        <w:rPr>
          <w:sz w:val="20"/>
          <w:szCs w:val="20"/>
          <w:color w:val="auto"/>
        </w:rPr>
      </w:pPr>
      <w:r>
        <w:rPr>
          <w:rFonts w:ascii="Courier New" w:cs="Courier New" w:eastAsia="Courier New" w:hAnsi="Courier New"/>
          <w:sz w:val="17"/>
          <w:szCs w:val="17"/>
          <w:color w:val="auto"/>
        </w:rPr>
        <w:t>Amortization of goodwill, franchise costs and</w:t>
      </w:r>
    </w:p>
    <w:p>
      <w:pPr>
        <w:spacing w:after="0" w:line="9" w:lineRule="exact"/>
        <w:rPr>
          <w:sz w:val="20"/>
          <w:szCs w:val="20"/>
          <w:color w:val="auto"/>
        </w:rPr>
      </w:pPr>
    </w:p>
    <w:p>
      <w:pPr>
        <w:ind w:left="44"/>
        <w:spacing w:after="0"/>
        <w:rPr>
          <w:sz w:val="20"/>
          <w:szCs w:val="20"/>
          <w:color w:val="auto"/>
        </w:rPr>
      </w:pPr>
      <w:r>
        <w:rPr>
          <w:rFonts w:ascii="Courier New" w:cs="Courier New" w:eastAsia="Courier New" w:hAnsi="Courier New"/>
          <w:sz w:val="17"/>
          <w:szCs w:val="17"/>
          <w:color w:val="auto"/>
        </w:rPr>
        <w:t>other purchased intangibles..................</w:t>
      </w:r>
    </w:p>
    <w:p>
      <w:pPr>
        <w:spacing w:after="0" w:line="9" w:lineRule="exact"/>
        <w:rPr>
          <w:sz w:val="20"/>
          <w:szCs w:val="20"/>
          <w:color w:val="auto"/>
        </w:rPr>
      </w:pPr>
    </w:p>
    <w:p>
      <w:pPr>
        <w:ind w:left="524"/>
        <w:spacing w:after="0"/>
        <w:rPr>
          <w:sz w:val="20"/>
          <w:szCs w:val="20"/>
          <w:color w:val="auto"/>
        </w:rPr>
      </w:pPr>
      <w:r>
        <w:rPr>
          <w:rFonts w:ascii="Courier New" w:cs="Courier New" w:eastAsia="Courier New" w:hAnsi="Courier New"/>
          <w:sz w:val="17"/>
          <w:szCs w:val="17"/>
          <w:color w:val="auto"/>
        </w:rPr>
        <w:t>36 4 121 Net restructuring and other</w:t>
      </w:r>
    </w:p>
    <w:p>
      <w:pPr>
        <w:spacing w:after="0" w:line="9" w:lineRule="exact"/>
        <w:rPr>
          <w:sz w:val="20"/>
          <w:szCs w:val="20"/>
          <w:color w:val="auto"/>
        </w:rPr>
      </w:pPr>
    </w:p>
    <w:tbl>
      <w:tblPr>
        <w:tblLayout w:type="fixed"/>
        <w:tblInd w:w="4" w:type="dxa"/>
        <w:tblCellMar>
          <w:top w:w="0" w:type="dxa"/>
          <w:left w:w="0" w:type="dxa"/>
          <w:bottom w:w="0" w:type="dxa"/>
          <w:right w:w="0" w:type="dxa"/>
        </w:tblCellMar>
      </w:tblPr>
      <w:tr>
        <w:trPr>
          <w:trHeight w:val="197"/>
        </w:trPr>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w w:val="74"/>
              </w:rPr>
              <w:t>charges............</w:t>
            </w:r>
          </w:p>
        </w:tc>
        <w:tc>
          <w:tcPr>
            <w:tcW w:w="3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663 40 Total operating</w:t>
            </w:r>
          </w:p>
        </w:tc>
      </w:tr>
      <w:tr>
        <w:trPr>
          <w:trHeight w:val="201"/>
        </w:trPr>
        <w:tc>
          <w:tcPr>
            <w:tcW w:w="3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expenses.......................</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11,093 153 150</w:t>
            </w:r>
          </w:p>
        </w:tc>
      </w:tr>
      <w:tr>
        <w:trPr>
          <w:trHeight w:val="201"/>
        </w:trPr>
        <w:tc>
          <w:tcPr>
            <w:tcW w:w="1460" w:type="dxa"/>
            <w:vAlign w:val="bottom"/>
          </w:tcPr>
          <w:p>
            <w:pPr>
              <w:spacing w:after="0"/>
              <w:rPr>
                <w:sz w:val="17"/>
                <w:szCs w:val="17"/>
                <w:color w:val="auto"/>
              </w:rPr>
            </w:pPr>
          </w:p>
        </w:tc>
        <w:tc>
          <w:tcPr>
            <w:tcW w:w="3360" w:type="dxa"/>
            <w:vAlign w:val="bottom"/>
            <w:gridSpan w:val="2"/>
          </w:tcPr>
          <w:p>
            <w:pPr>
              <w:jc w:val="center"/>
              <w:ind w:right="1393"/>
              <w:spacing w:after="0"/>
              <w:rPr>
                <w:sz w:val="20"/>
                <w:szCs w:val="20"/>
                <w:color w:val="auto"/>
              </w:rPr>
            </w:pPr>
            <w:r>
              <w:rPr>
                <w:rFonts w:ascii="Courier New" w:cs="Courier New" w:eastAsia="Courier New" w:hAnsi="Courier New"/>
                <w:sz w:val="17"/>
                <w:szCs w:val="17"/>
                <w:color w:val="auto"/>
              </w:rPr>
              <w:t>Operating income</w:t>
            </w:r>
          </w:p>
        </w:tc>
      </w:tr>
      <w:tr>
        <w:trPr>
          <w:trHeight w:val="201"/>
        </w:trPr>
        <w:tc>
          <w:tcPr>
            <w:tcW w:w="3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(loss)........................</w:t>
            </w:r>
          </w:p>
        </w:tc>
        <w:tc>
          <w:tcPr>
            <w:tcW w:w="1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5,743 (153)</w:t>
            </w:r>
          </w:p>
        </w:tc>
      </w:tr>
      <w:tr>
        <w:trPr>
          <w:trHeight w:val="201"/>
        </w:trPr>
        <w:tc>
          <w:tcPr>
            <w:tcW w:w="1460" w:type="dxa"/>
            <w:vAlign w:val="bottom"/>
          </w:tcPr>
          <w:p>
            <w:pPr>
              <w:spacing w:after="0"/>
              <w:rPr>
                <w:sz w:val="17"/>
                <w:szCs w:val="17"/>
                <w:color w:val="auto"/>
              </w:rPr>
            </w:pPr>
          </w:p>
        </w:tc>
        <w:tc>
          <w:tcPr>
            <w:tcW w:w="3360" w:type="dxa"/>
            <w:vAlign w:val="bottom"/>
            <w:gridSpan w:val="2"/>
          </w:tcPr>
          <w:p>
            <w:pPr>
              <w:jc w:val="center"/>
              <w:ind w:right="1393"/>
              <w:spacing w:after="0"/>
              <w:rPr>
                <w:sz w:val="20"/>
                <w:szCs w:val="20"/>
                <w:color w:val="auto"/>
              </w:rPr>
            </w:pPr>
            <w:r>
              <w:rPr>
                <w:rFonts w:ascii="Courier New" w:cs="Courier New" w:eastAsia="Courier New" w:hAnsi="Courier New"/>
                <w:sz w:val="17"/>
                <w:szCs w:val="17"/>
                <w:color w:val="auto"/>
              </w:rPr>
              <w:t>(150) Other income</w:t>
            </w:r>
          </w:p>
        </w:tc>
      </w:tr>
      <w:tr>
        <w:trPr>
          <w:trHeight w:val="201"/>
        </w:trPr>
        <w:tc>
          <w:tcPr>
            <w:tcW w:w="3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7"/>
              </w:rPr>
              <w:t>(expense).........................</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752 14 64</w:t>
            </w:r>
          </w:p>
        </w:tc>
      </w:tr>
      <w:tr>
        <w:trPr>
          <w:trHeight w:val="201"/>
        </w:trPr>
        <w:tc>
          <w:tcPr>
            <w:tcW w:w="48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32 35 13 Interest expense</w:t>
            </w:r>
          </w:p>
        </w:tc>
      </w:tr>
      <w:tr>
        <w:trPr>
          <w:trHeight w:val="201"/>
        </w:trPr>
        <w:tc>
          <w:tcPr>
            <w:tcW w:w="3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(benefit).....................</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3,406 1,278 90</w:t>
            </w:r>
          </w:p>
        </w:tc>
      </w:tr>
      <w:tr>
        <w:trPr>
          <w:trHeight w:val="201"/>
        </w:trPr>
        <w:tc>
          <w:tcPr>
            <w:tcW w:w="48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32 35 13 Income (loss) from continuing</w:t>
            </w:r>
          </w:p>
        </w:tc>
      </w:tr>
      <w:tr>
        <w:trPr>
          <w:trHeight w:val="201"/>
        </w:trPr>
        <w:tc>
          <w:tcPr>
            <w:tcW w:w="48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operations before income taxes, minority</w:t>
            </w:r>
          </w:p>
        </w:tc>
      </w:tr>
      <w:tr>
        <w:trPr>
          <w:trHeight w:val="201"/>
        </w:trPr>
        <w:tc>
          <w:tcPr>
            <w:tcW w:w="48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interest, earnings (losses) from equity</w:t>
            </w:r>
          </w:p>
        </w:tc>
      </w:tr>
      <w:tr>
        <w:trPr>
          <w:trHeight w:val="201"/>
        </w:trPr>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w w:val="71"/>
              </w:rPr>
              <w:t>investments.............</w:t>
            </w:r>
          </w:p>
        </w:tc>
        <w:tc>
          <w:tcPr>
            <w:tcW w:w="33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3,089 (1,417) (176)</w:t>
            </w:r>
          </w:p>
        </w:tc>
      </w:tr>
      <w:tr>
        <w:trPr>
          <w:trHeight w:val="201"/>
        </w:trPr>
        <w:tc>
          <w:tcPr>
            <w:tcW w:w="48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Provision (benefit) for income</w:t>
            </w:r>
          </w:p>
        </w:tc>
      </w:tr>
      <w:tr>
        <w:trPr>
          <w:trHeight w:val="201"/>
        </w:trPr>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w w:val="88"/>
              </w:rPr>
              <w:t>taxes...........</w:t>
            </w:r>
          </w:p>
        </w:tc>
        <w:tc>
          <w:tcPr>
            <w:tcW w:w="3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1,129 (531) (21) Minority</w:t>
            </w:r>
          </w:p>
        </w:tc>
      </w:tr>
      <w:tr>
        <w:trPr>
          <w:trHeight w:val="201"/>
        </w:trPr>
        <w:tc>
          <w:tcPr>
            <w:tcW w:w="3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7"/>
              </w:rPr>
              <w:t>interest income (expense).............</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(120)</w:t>
            </w:r>
          </w:p>
        </w:tc>
      </w:tr>
      <w:tr>
        <w:trPr>
          <w:trHeight w:val="201"/>
        </w:trPr>
        <w:tc>
          <w:tcPr>
            <w:tcW w:w="48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Equity Earnings from Liberty Media</w:t>
            </w:r>
          </w:p>
        </w:tc>
      </w:tr>
      <w:tr>
        <w:trPr>
          <w:trHeight w:val="201"/>
        </w:trPr>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Group.......</w:t>
            </w:r>
          </w:p>
        </w:tc>
        <w:tc>
          <w:tcPr>
            <w:tcW w:w="3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2,965 Net income (losses) from</w:t>
            </w:r>
          </w:p>
        </w:tc>
      </w:tr>
      <w:tr>
        <w:trPr>
          <w:trHeight w:val="201"/>
        </w:trPr>
        <w:tc>
          <w:tcPr>
            <w:tcW w:w="1460" w:type="dxa"/>
            <w:vAlign w:val="bottom"/>
          </w:tcPr>
          <w:p>
            <w:pPr>
              <w:spacing w:after="0"/>
              <w:rPr>
                <w:sz w:val="17"/>
                <w:szCs w:val="17"/>
                <w:color w:val="auto"/>
              </w:rPr>
            </w:pPr>
          </w:p>
        </w:tc>
        <w:tc>
          <w:tcPr>
            <w:tcW w:w="1580" w:type="dxa"/>
            <w:vAlign w:val="bottom"/>
          </w:tcPr>
          <w:p>
            <w:pPr>
              <w:jc w:val="center"/>
              <w:ind w:left="233"/>
              <w:spacing w:after="0"/>
              <w:rPr>
                <w:sz w:val="20"/>
                <w:szCs w:val="20"/>
                <w:color w:val="auto"/>
              </w:rPr>
            </w:pPr>
            <w:r>
              <w:rPr>
                <w:rFonts w:ascii="Courier New" w:cs="Courier New" w:eastAsia="Courier New" w:hAnsi="Courier New"/>
                <w:sz w:val="17"/>
                <w:szCs w:val="17"/>
                <w:color w:val="auto"/>
              </w:rPr>
              <w:t>other equity</w:t>
            </w:r>
          </w:p>
        </w:tc>
        <w:tc>
          <w:tcPr>
            <w:tcW w:w="1780" w:type="dxa"/>
            <w:vAlign w:val="bottom"/>
          </w:tcPr>
          <w:p>
            <w:pPr>
              <w:spacing w:after="0"/>
              <w:rPr>
                <w:sz w:val="17"/>
                <w:szCs w:val="17"/>
                <w:color w:val="auto"/>
              </w:rPr>
            </w:pPr>
          </w:p>
        </w:tc>
      </w:tr>
      <w:tr>
        <w:trPr>
          <w:trHeight w:val="201"/>
        </w:trPr>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investments..................................</w:t>
            </w:r>
          </w:p>
        </w:tc>
        <w:tc>
          <w:tcPr>
            <w:tcW w:w="1780" w:type="dxa"/>
            <w:vAlign w:val="bottom"/>
          </w:tcPr>
          <w:p>
            <w:pPr>
              <w:spacing w:after="0"/>
              <w:rPr>
                <w:sz w:val="17"/>
                <w:szCs w:val="17"/>
                <w:color w:val="auto"/>
              </w:rPr>
            </w:pPr>
          </w:p>
        </w:tc>
      </w:tr>
      <w:tr>
        <w:trPr>
          <w:trHeight w:val="201"/>
        </w:trPr>
        <w:tc>
          <w:tcPr>
            <w:tcW w:w="48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4,681 (521) (135) Income (loss) from</w:t>
            </w:r>
          </w:p>
        </w:tc>
      </w:tr>
      <w:tr>
        <w:trPr>
          <w:trHeight w:val="201"/>
        </w:trPr>
        <w:tc>
          <w:tcPr>
            <w:tcW w:w="3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continuing operations.......</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6,521 1,558 (290)</w:t>
            </w:r>
          </w:p>
        </w:tc>
      </w:tr>
      <w:tr>
        <w:trPr>
          <w:trHeight w:val="201"/>
        </w:trPr>
        <w:tc>
          <w:tcPr>
            <w:tcW w:w="48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Income from discontinued operations (net of</w:t>
            </w:r>
          </w:p>
        </w:tc>
      </w:tr>
      <w:tr>
        <w:trPr>
          <w:trHeight w:val="201"/>
        </w:trPr>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income taxes)................................</w:t>
            </w:r>
          </w:p>
        </w:tc>
        <w:tc>
          <w:tcPr>
            <w:tcW w:w="1780" w:type="dxa"/>
            <w:vAlign w:val="bottom"/>
          </w:tcPr>
          <w:p>
            <w:pPr>
              <w:spacing w:after="0"/>
              <w:rPr>
                <w:sz w:val="17"/>
                <w:szCs w:val="17"/>
                <w:color w:val="auto"/>
              </w:rPr>
            </w:pPr>
          </w:p>
        </w:tc>
      </w:tr>
      <w:tr>
        <w:trPr>
          <w:trHeight w:val="201"/>
        </w:trPr>
        <w:tc>
          <w:tcPr>
            <w:tcW w:w="1460" w:type="dxa"/>
            <w:vAlign w:val="bottom"/>
          </w:tcPr>
          <w:p>
            <w:pPr>
              <w:spacing w:after="0"/>
              <w:rPr>
                <w:sz w:val="17"/>
                <w:szCs w:val="17"/>
                <w:color w:val="auto"/>
              </w:rPr>
            </w:pPr>
          </w:p>
        </w:tc>
        <w:tc>
          <w:tcPr>
            <w:tcW w:w="1580" w:type="dxa"/>
            <w:vAlign w:val="bottom"/>
          </w:tcPr>
          <w:p>
            <w:pPr>
              <w:jc w:val="center"/>
              <w:ind w:left="213"/>
              <w:spacing w:after="0"/>
              <w:rPr>
                <w:sz w:val="20"/>
                <w:szCs w:val="20"/>
                <w:color w:val="auto"/>
              </w:rPr>
            </w:pPr>
            <w:r>
              <w:rPr>
                <w:rFonts w:ascii="Courier New" w:cs="Courier New" w:eastAsia="Courier New" w:hAnsi="Courier New"/>
                <w:sz w:val="17"/>
                <w:szCs w:val="17"/>
                <w:color w:val="auto"/>
              </w:rPr>
              <w:t>Net income</w:t>
            </w:r>
          </w:p>
        </w:tc>
        <w:tc>
          <w:tcPr>
            <w:tcW w:w="1780" w:type="dxa"/>
            <w:vAlign w:val="bottom"/>
          </w:tcPr>
          <w:p>
            <w:pPr>
              <w:spacing w:after="0"/>
              <w:rPr>
                <w:sz w:val="17"/>
                <w:szCs w:val="17"/>
                <w:color w:val="auto"/>
              </w:rPr>
            </w:pPr>
          </w:p>
        </w:tc>
      </w:tr>
      <w:tr>
        <w:trPr>
          <w:trHeight w:val="201"/>
        </w:trPr>
        <w:tc>
          <w:tcPr>
            <w:tcW w:w="3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2"/>
              </w:rPr>
              <w:t>(loss)..............................</w:t>
            </w:r>
          </w:p>
        </w:tc>
        <w:tc>
          <w:tcPr>
            <w:tcW w:w="1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6,521</w:t>
            </w:r>
          </w:p>
        </w:tc>
      </w:tr>
      <w:tr>
        <w:trPr>
          <w:trHeight w:val="201"/>
        </w:trPr>
        <w:tc>
          <w:tcPr>
            <w:tcW w:w="1460" w:type="dxa"/>
            <w:vAlign w:val="bottom"/>
          </w:tcPr>
          <w:p>
            <w:pPr>
              <w:spacing w:after="0"/>
              <w:rPr>
                <w:sz w:val="17"/>
                <w:szCs w:val="17"/>
                <w:color w:val="auto"/>
              </w:rPr>
            </w:pPr>
          </w:p>
        </w:tc>
        <w:tc>
          <w:tcPr>
            <w:tcW w:w="1580" w:type="dxa"/>
            <w:vAlign w:val="bottom"/>
          </w:tcPr>
          <w:p>
            <w:pPr>
              <w:jc w:val="center"/>
              <w:ind w:left="213"/>
              <w:spacing w:after="0"/>
              <w:rPr>
                <w:sz w:val="20"/>
                <w:szCs w:val="20"/>
                <w:color w:val="auto"/>
              </w:rPr>
            </w:pPr>
            <w:r>
              <w:rPr>
                <w:rFonts w:ascii="Courier New" w:cs="Courier New" w:eastAsia="Courier New" w:hAnsi="Courier New"/>
                <w:sz w:val="17"/>
                <w:szCs w:val="17"/>
                <w:color w:val="auto"/>
              </w:rPr>
              <w:t>1,558 (290)</w:t>
            </w:r>
          </w:p>
        </w:tc>
        <w:tc>
          <w:tcPr>
            <w:tcW w:w="1780" w:type="dxa"/>
            <w:vAlign w:val="bottom"/>
          </w:tcPr>
          <w:p>
            <w:pPr>
              <w:spacing w:after="0"/>
              <w:rPr>
                <w:sz w:val="17"/>
                <w:szCs w:val="17"/>
                <w:color w:val="auto"/>
              </w:rPr>
            </w:pPr>
          </w:p>
        </w:tc>
      </w:tr>
      <w:tr>
        <w:trPr>
          <w:trHeight w:val="201"/>
        </w:trPr>
        <w:tc>
          <w:tcPr>
            <w:tcW w:w="48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MEDIAONE MEDIAONE MEDIAONE MEDIAONE</w:t>
            </w:r>
          </w:p>
        </w:tc>
      </w:tr>
      <w:tr>
        <w:trPr>
          <w:trHeight w:val="201"/>
        </w:trPr>
        <w:tc>
          <w:tcPr>
            <w:tcW w:w="48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ELIMINATION AND FINANCING FINANCING FINANCE</w:t>
            </w:r>
          </w:p>
        </w:tc>
      </w:tr>
      <w:tr>
        <w:trPr>
          <w:trHeight w:val="201"/>
        </w:trPr>
        <w:tc>
          <w:tcPr>
            <w:tcW w:w="48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FINANCE NON-GUARANTOR CONSOLIDATION I II II</w:t>
            </w:r>
          </w:p>
        </w:tc>
      </w:tr>
      <w:tr>
        <w:trPr>
          <w:trHeight w:val="201"/>
        </w:trPr>
        <w:tc>
          <w:tcPr>
            <w:tcW w:w="3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III SUBSIDIARIES ADJUSTMENTS</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r>
    </w:tbl>
    <w:p>
      <w:pPr>
        <w:spacing w:after="0" w:line="4" w:lineRule="exact"/>
        <w:rPr>
          <w:sz w:val="20"/>
          <w:szCs w:val="20"/>
          <w:color w:val="auto"/>
        </w:rPr>
      </w:pPr>
    </w:p>
    <w:p>
      <w:pPr>
        <w:ind w:left="304" w:hanging="304"/>
        <w:spacing w:after="0"/>
        <w:tabs>
          <w:tab w:leader="none" w:pos="304" w:val="left"/>
        </w:tabs>
        <w:numPr>
          <w:ilvl w:val="0"/>
          <w:numId w:val="6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22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844" w:right="5339" w:hanging="844"/>
        <w:spacing w:after="0" w:line="251" w:lineRule="auto"/>
        <w:tabs>
          <w:tab w:leader="none" w:pos="216" w:val="left"/>
        </w:tabs>
        <w:numPr>
          <w:ilvl w:val="0"/>
          <w:numId w:val="6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 $ -- $26,209 $(1,422) Operating Expenses Costs of services and</w:t>
      </w:r>
    </w:p>
    <w:p>
      <w:pPr>
        <w:ind w:left="4"/>
        <w:spacing w:after="0"/>
        <w:tabs>
          <w:tab w:leader="dot" w:pos="2704" w:val="left"/>
        </w:tabs>
        <w:rPr>
          <w:sz w:val="20"/>
          <w:szCs w:val="20"/>
          <w:color w:val="auto"/>
        </w:rPr>
      </w:pPr>
      <w:r>
        <w:rPr>
          <w:rFonts w:ascii="Courier New" w:cs="Courier New" w:eastAsia="Courier New" w:hAnsi="Courier New"/>
          <w:sz w:val="17"/>
          <w:szCs w:val="17"/>
          <w:color w:val="auto"/>
        </w:rPr>
        <w:t>products</w:t>
      </w:r>
      <w:r>
        <w:rPr>
          <w:sz w:val="20"/>
          <w:szCs w:val="20"/>
          <w:color w:val="auto"/>
        </w:rPr>
        <w:tab/>
      </w:r>
      <w:r>
        <w:rPr>
          <w:rFonts w:ascii="Courier New" w:cs="Courier New" w:eastAsia="Courier New" w:hAnsi="Courier New"/>
          <w:sz w:val="17"/>
          <w:szCs w:val="17"/>
          <w:color w:val="auto"/>
        </w:rPr>
        <w:t>8,265 (1,204) Access</w:t>
      </w:r>
    </w:p>
    <w:p>
      <w:pPr>
        <w:spacing w:after="0" w:line="9" w:lineRule="exact"/>
        <w:rPr>
          <w:sz w:val="20"/>
          <w:szCs w:val="20"/>
          <w:color w:val="auto"/>
        </w:rPr>
      </w:pPr>
    </w:p>
    <w:p>
      <w:pPr>
        <w:ind w:left="4"/>
        <w:spacing w:after="0"/>
        <w:tabs>
          <w:tab w:leader="dot" w:pos="4284" w:val="left"/>
        </w:tabs>
        <w:rPr>
          <w:sz w:val="20"/>
          <w:szCs w:val="20"/>
          <w:color w:val="auto"/>
        </w:rPr>
      </w:pPr>
      <w:r>
        <w:rPr>
          <w:rFonts w:ascii="Courier New" w:cs="Courier New" w:eastAsia="Courier New" w:hAnsi="Courier New"/>
          <w:sz w:val="17"/>
          <w:szCs w:val="17"/>
          <w:color w:val="auto"/>
        </w:rPr>
        <w:t>and other connection</w:t>
      </w:r>
      <w:r>
        <w:rPr>
          <w:sz w:val="20"/>
          <w:szCs w:val="20"/>
          <w:color w:val="auto"/>
        </w:rPr>
        <w:tab/>
      </w:r>
      <w:r>
        <w:rPr>
          <w:rFonts w:ascii="Courier New" w:cs="Courier New" w:eastAsia="Courier New" w:hAnsi="Courier New"/>
          <w:sz w:val="17"/>
          <w:szCs w:val="17"/>
          <w:color w:val="auto"/>
        </w:rPr>
        <w:t>5,026</w:t>
      </w:r>
    </w:p>
    <w:p>
      <w:pPr>
        <w:spacing w:after="0" w:line="9" w:lineRule="exact"/>
        <w:rPr>
          <w:sz w:val="20"/>
          <w:szCs w:val="20"/>
          <w:color w:val="auto"/>
        </w:rPr>
      </w:pPr>
    </w:p>
    <w:p>
      <w:pPr>
        <w:ind w:left="1044"/>
        <w:spacing w:after="0"/>
        <w:rPr>
          <w:sz w:val="20"/>
          <w:szCs w:val="20"/>
          <w:color w:val="auto"/>
        </w:rPr>
      </w:pPr>
      <w:r>
        <w:rPr>
          <w:rFonts w:ascii="Courier New" w:cs="Courier New" w:eastAsia="Courier New" w:hAnsi="Courier New"/>
          <w:sz w:val="17"/>
          <w:szCs w:val="17"/>
          <w:color w:val="auto"/>
        </w:rPr>
        <w:t>(185) Selling, general and</w:t>
      </w:r>
    </w:p>
    <w:p>
      <w:pPr>
        <w:spacing w:after="0" w:line="9" w:lineRule="exact"/>
        <w:rPr>
          <w:sz w:val="20"/>
          <w:szCs w:val="20"/>
          <w:color w:val="auto"/>
        </w:rPr>
      </w:pPr>
    </w:p>
    <w:p>
      <w:pPr>
        <w:ind w:left="524"/>
        <w:spacing w:after="0"/>
        <w:tabs>
          <w:tab w:leader="dot" w:pos="3324" w:val="left"/>
        </w:tabs>
        <w:rPr>
          <w:sz w:val="20"/>
          <w:szCs w:val="20"/>
          <w:color w:val="auto"/>
        </w:rPr>
      </w:pPr>
      <w:r>
        <w:rPr>
          <w:rFonts w:ascii="Courier New" w:cs="Courier New" w:eastAsia="Courier New" w:hAnsi="Courier New"/>
          <w:sz w:val="17"/>
          <w:szCs w:val="17"/>
          <w:color w:val="auto"/>
        </w:rPr>
        <w:t>administrative</w:t>
      </w:r>
      <w:r>
        <w:rPr>
          <w:sz w:val="20"/>
          <w:szCs w:val="20"/>
          <w:color w:val="auto"/>
        </w:rPr>
        <w:tab/>
      </w:r>
      <w:r>
        <w:rPr>
          <w:rFonts w:ascii="Courier New" w:cs="Courier New" w:eastAsia="Courier New" w:hAnsi="Courier New"/>
          <w:sz w:val="17"/>
          <w:szCs w:val="17"/>
          <w:color w:val="auto"/>
        </w:rPr>
        <w:t>5,749 (8)</w:t>
      </w:r>
    </w:p>
    <w:p>
      <w:pPr>
        <w:spacing w:after="0" w:line="9" w:lineRule="exact"/>
        <w:rPr>
          <w:sz w:val="20"/>
          <w:szCs w:val="20"/>
          <w:color w:val="auto"/>
        </w:rPr>
      </w:pPr>
    </w:p>
    <w:p>
      <w:pPr>
        <w:ind w:left="1264"/>
        <w:spacing w:after="0"/>
        <w:rPr>
          <w:sz w:val="20"/>
          <w:szCs w:val="20"/>
          <w:color w:val="auto"/>
        </w:rPr>
      </w:pPr>
      <w:r>
        <w:rPr>
          <w:rFonts w:ascii="Courier New" w:cs="Courier New" w:eastAsia="Courier New" w:hAnsi="Courier New"/>
          <w:sz w:val="17"/>
          <w:szCs w:val="17"/>
          <w:color w:val="auto"/>
        </w:rPr>
        <w:t>Depreciation and other</w:t>
      </w:r>
    </w:p>
    <w:p>
      <w:pPr>
        <w:spacing w:after="0" w:line="9" w:lineRule="exact"/>
        <w:rPr>
          <w:sz w:val="20"/>
          <w:szCs w:val="20"/>
          <w:color w:val="auto"/>
        </w:rPr>
      </w:pPr>
    </w:p>
    <w:p>
      <w:pPr>
        <w:ind w:left="4"/>
        <w:spacing w:after="0"/>
        <w:tabs>
          <w:tab w:leader="dot" w:pos="2604" w:val="left"/>
        </w:tabs>
        <w:rPr>
          <w:sz w:val="20"/>
          <w:szCs w:val="20"/>
          <w:color w:val="auto"/>
        </w:rPr>
      </w:pPr>
      <w:r>
        <w:rPr>
          <w:rFonts w:ascii="Courier New" w:cs="Courier New" w:eastAsia="Courier New" w:hAnsi="Courier New"/>
          <w:sz w:val="17"/>
          <w:szCs w:val="17"/>
          <w:color w:val="auto"/>
        </w:rPr>
        <w:t>amortization</w:t>
      </w:r>
      <w:r>
        <w:rPr>
          <w:sz w:val="20"/>
          <w:szCs w:val="20"/>
          <w:color w:val="auto"/>
        </w:rPr>
        <w:tab/>
      </w:r>
      <w:r>
        <w:rPr>
          <w:rFonts w:ascii="Courier New" w:cs="Courier New" w:eastAsia="Courier New" w:hAnsi="Courier New"/>
          <w:sz w:val="17"/>
          <w:szCs w:val="17"/>
          <w:color w:val="auto"/>
        </w:rPr>
        <w:t>2,824 Amortization of</w:t>
      </w:r>
    </w:p>
    <w:p>
      <w:pPr>
        <w:spacing w:after="0" w:line="9" w:lineRule="exact"/>
        <w:rPr>
          <w:sz w:val="20"/>
          <w:szCs w:val="20"/>
          <w:color w:val="auto"/>
        </w:rPr>
      </w:pPr>
    </w:p>
    <w:p>
      <w:pPr>
        <w:ind w:left="44"/>
        <w:spacing w:after="0"/>
        <w:rPr>
          <w:sz w:val="20"/>
          <w:szCs w:val="20"/>
          <w:color w:val="auto"/>
        </w:rPr>
      </w:pPr>
      <w:r>
        <w:rPr>
          <w:rFonts w:ascii="Courier New" w:cs="Courier New" w:eastAsia="Courier New" w:hAnsi="Courier New"/>
          <w:sz w:val="17"/>
          <w:szCs w:val="17"/>
          <w:color w:val="auto"/>
        </w:rPr>
        <w:t>goodwill, franchise costs and other purchased</w:t>
      </w:r>
    </w:p>
    <w:p>
      <w:pPr>
        <w:spacing w:after="0" w:line="9" w:lineRule="exact"/>
        <w:rPr>
          <w:sz w:val="20"/>
          <w:szCs w:val="20"/>
          <w:color w:val="auto"/>
        </w:rPr>
      </w:pPr>
    </w:p>
    <w:p>
      <w:pPr>
        <w:ind w:left="364"/>
        <w:spacing w:after="0"/>
        <w:tabs>
          <w:tab w:leader="dot" w:pos="3484" w:val="left"/>
        </w:tabs>
        <w:rPr>
          <w:sz w:val="20"/>
          <w:szCs w:val="20"/>
          <w:color w:val="auto"/>
        </w:rPr>
      </w:pPr>
      <w:r>
        <w:rPr>
          <w:rFonts w:ascii="Courier New" w:cs="Courier New" w:eastAsia="Courier New" w:hAnsi="Courier New"/>
          <w:sz w:val="17"/>
          <w:szCs w:val="17"/>
          <w:color w:val="auto"/>
        </w:rPr>
        <w:t>intangibles</w:t>
      </w:r>
      <w:r>
        <w:rPr>
          <w:sz w:val="20"/>
          <w:szCs w:val="20"/>
          <w:color w:val="auto"/>
        </w:rPr>
        <w:tab/>
      </w:r>
      <w:r>
        <w:rPr>
          <w:rFonts w:ascii="Courier New" w:cs="Courier New" w:eastAsia="Courier New" w:hAnsi="Courier New"/>
          <w:sz w:val="17"/>
          <w:szCs w:val="17"/>
          <w:color w:val="auto"/>
        </w:rPr>
        <w:t>1,272 Net</w:t>
      </w:r>
    </w:p>
    <w:p>
      <w:pPr>
        <w:spacing w:after="0" w:line="9" w:lineRule="exact"/>
        <w:rPr>
          <w:sz w:val="20"/>
          <w:szCs w:val="20"/>
          <w:color w:val="auto"/>
        </w:rPr>
      </w:pPr>
    </w:p>
    <w:p>
      <w:pPr>
        <w:ind w:left="4"/>
        <w:spacing w:after="0"/>
        <w:tabs>
          <w:tab w:leader="dot" w:pos="4584" w:val="left"/>
        </w:tabs>
        <w:rPr>
          <w:sz w:val="20"/>
          <w:szCs w:val="20"/>
          <w:color w:val="auto"/>
        </w:rPr>
      </w:pPr>
      <w:r>
        <w:rPr>
          <w:rFonts w:ascii="Courier New" w:cs="Courier New" w:eastAsia="Courier New" w:hAnsi="Courier New"/>
          <w:sz w:val="17"/>
          <w:szCs w:val="17"/>
          <w:color w:val="auto"/>
        </w:rPr>
        <w:t>restructuring and other charges</w:t>
      </w:r>
      <w:r>
        <w:rPr>
          <w:sz w:val="20"/>
          <w:szCs w:val="20"/>
          <w:color w:val="auto"/>
        </w:rPr>
        <w:tab/>
      </w:r>
      <w:r>
        <w:rPr>
          <w:rFonts w:ascii="Courier New" w:cs="Courier New" w:eastAsia="Courier New" w:hAnsi="Courier New"/>
          <w:sz w:val="17"/>
          <w:szCs w:val="17"/>
          <w:color w:val="auto"/>
        </w:rPr>
        <w:t>94</w:t>
      </w:r>
    </w:p>
    <w:p>
      <w:pPr>
        <w:spacing w:after="0" w:line="9" w:lineRule="exact"/>
        <w:rPr>
          <w:sz w:val="20"/>
          <w:szCs w:val="20"/>
          <w:color w:val="auto"/>
        </w:rPr>
      </w:pPr>
    </w:p>
    <w:p>
      <w:pPr>
        <w:ind w:left="1624"/>
        <w:spacing w:after="0"/>
        <w:rPr>
          <w:sz w:val="20"/>
          <w:szCs w:val="20"/>
          <w:color w:val="auto"/>
        </w:rPr>
      </w:pPr>
      <w:r>
        <w:rPr>
          <w:rFonts w:ascii="Courier New" w:cs="Courier New" w:eastAsia="Courier New" w:hAnsi="Courier New"/>
          <w:sz w:val="17"/>
          <w:szCs w:val="17"/>
          <w:color w:val="auto"/>
        </w:rPr>
        <w:t>Total operating</w:t>
      </w:r>
    </w:p>
    <w:p>
      <w:pPr>
        <w:spacing w:after="0" w:line="9" w:lineRule="exact"/>
        <w:rPr>
          <w:sz w:val="20"/>
          <w:szCs w:val="20"/>
          <w:color w:val="auto"/>
        </w:rPr>
      </w:pPr>
    </w:p>
    <w:p>
      <w:pPr>
        <w:ind w:left="4"/>
        <w:spacing w:after="0"/>
        <w:tabs>
          <w:tab w:leader="dot" w:pos="3324" w:val="left"/>
        </w:tabs>
        <w:rPr>
          <w:sz w:val="20"/>
          <w:szCs w:val="20"/>
          <w:color w:val="auto"/>
        </w:rPr>
      </w:pPr>
      <w:r>
        <w:rPr>
          <w:rFonts w:ascii="Courier New" w:cs="Courier New" w:eastAsia="Courier New" w:hAnsi="Courier New"/>
          <w:sz w:val="17"/>
          <w:szCs w:val="17"/>
          <w:color w:val="auto"/>
        </w:rPr>
        <w:t>expenses</w:t>
      </w:r>
      <w:r>
        <w:rPr>
          <w:sz w:val="20"/>
          <w:szCs w:val="20"/>
          <w:color w:val="auto"/>
        </w:rPr>
        <w:tab/>
      </w:r>
      <w:r>
        <w:rPr>
          <w:rFonts w:ascii="Courier New" w:cs="Courier New" w:eastAsia="Courier New" w:hAnsi="Courier New"/>
          <w:sz w:val="17"/>
          <w:szCs w:val="17"/>
          <w:color w:val="auto"/>
        </w:rPr>
        <w:t>23,230 (1,397)</w:t>
      </w:r>
    </w:p>
    <w:p>
      <w:pPr>
        <w:spacing w:after="0" w:line="9" w:lineRule="exact"/>
        <w:rPr>
          <w:sz w:val="20"/>
          <w:szCs w:val="20"/>
          <w:color w:val="auto"/>
        </w:rPr>
      </w:pPr>
    </w:p>
    <w:p>
      <w:pPr>
        <w:ind w:left="1564"/>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ind w:left="264"/>
        <w:spacing w:after="0"/>
        <w:tabs>
          <w:tab w:leader="dot" w:pos="3484" w:val="left"/>
        </w:tabs>
        <w:rPr>
          <w:sz w:val="20"/>
          <w:szCs w:val="20"/>
          <w:color w:val="auto"/>
        </w:rPr>
      </w:pPr>
      <w:r>
        <w:rPr>
          <w:rFonts w:ascii="Courier New" w:cs="Courier New" w:eastAsia="Courier New" w:hAnsi="Courier New"/>
          <w:sz w:val="17"/>
          <w:szCs w:val="17"/>
          <w:color w:val="auto"/>
        </w:rPr>
        <w:t>(loss)</w:t>
      </w:r>
      <w:r>
        <w:rPr>
          <w:sz w:val="20"/>
          <w:szCs w:val="20"/>
          <w:color w:val="auto"/>
        </w:rPr>
        <w:tab/>
      </w:r>
      <w:r>
        <w:rPr>
          <w:rFonts w:ascii="Courier New" w:cs="Courier New" w:eastAsia="Courier New" w:hAnsi="Courier New"/>
          <w:sz w:val="17"/>
          <w:szCs w:val="17"/>
          <w:color w:val="auto"/>
        </w:rPr>
        <w:t>2,979 (25)</w:t>
      </w:r>
    </w:p>
    <w:p>
      <w:pPr>
        <w:spacing w:after="0" w:line="9" w:lineRule="exact"/>
        <w:rPr>
          <w:sz w:val="20"/>
          <w:szCs w:val="20"/>
          <w:color w:val="auto"/>
        </w:rPr>
      </w:pPr>
    </w:p>
    <w:p>
      <w:pPr>
        <w:ind w:left="1784"/>
        <w:spacing w:after="0"/>
        <w:rPr>
          <w:sz w:val="20"/>
          <w:szCs w:val="20"/>
          <w:color w:val="auto"/>
        </w:rPr>
      </w:pPr>
      <w:r>
        <w:rPr>
          <w:rFonts w:ascii="Courier New" w:cs="Courier New" w:eastAsia="Courier New" w:hAnsi="Courier New"/>
          <w:sz w:val="17"/>
          <w:szCs w:val="17"/>
          <w:color w:val="auto"/>
        </w:rPr>
        <w:t>Other income</w:t>
      </w:r>
    </w:p>
    <w:p>
      <w:pPr>
        <w:spacing w:after="0" w:line="9" w:lineRule="exact"/>
        <w:rPr>
          <w:sz w:val="20"/>
          <w:szCs w:val="20"/>
          <w:color w:val="auto"/>
        </w:rPr>
      </w:pPr>
    </w:p>
    <w:p>
      <w:pPr>
        <w:ind w:left="164"/>
        <w:spacing w:after="0"/>
        <w:tabs>
          <w:tab w:leader="dot" w:pos="3804" w:val="left"/>
        </w:tabs>
        <w:rPr>
          <w:sz w:val="20"/>
          <w:szCs w:val="20"/>
          <w:color w:val="auto"/>
        </w:rPr>
      </w:pPr>
      <w:r>
        <w:rPr>
          <w:rFonts w:ascii="Courier New" w:cs="Courier New" w:eastAsia="Courier New" w:hAnsi="Courier New"/>
          <w:sz w:val="17"/>
          <w:szCs w:val="17"/>
          <w:color w:val="auto"/>
        </w:rPr>
        <w:t>(expense)</w:t>
      </w:r>
      <w:r>
        <w:rPr>
          <w:sz w:val="20"/>
          <w:szCs w:val="20"/>
          <w:color w:val="auto"/>
        </w:rPr>
        <w:tab/>
      </w:r>
      <w:r>
        <w:rPr>
          <w:rFonts w:ascii="Courier New" w:cs="Courier New" w:eastAsia="Courier New" w:hAnsi="Courier New"/>
          <w:sz w:val="17"/>
          <w:szCs w:val="17"/>
          <w:color w:val="auto"/>
        </w:rPr>
        <w:t>1 1 6 13</w:t>
      </w:r>
    </w:p>
    <w:p>
      <w:pPr>
        <w:spacing w:after="0" w:line="9" w:lineRule="exact"/>
        <w:rPr>
          <w:sz w:val="20"/>
          <w:szCs w:val="20"/>
          <w:color w:val="auto"/>
        </w:rPr>
      </w:pPr>
    </w:p>
    <w:p>
      <w:pPr>
        <w:ind w:left="844"/>
        <w:spacing w:after="0"/>
        <w:rPr>
          <w:sz w:val="20"/>
          <w:szCs w:val="20"/>
          <w:color w:val="auto"/>
        </w:rPr>
      </w:pPr>
      <w:r>
        <w:rPr>
          <w:rFonts w:ascii="Courier New" w:cs="Courier New" w:eastAsia="Courier New" w:hAnsi="Courier New"/>
          <w:sz w:val="17"/>
          <w:szCs w:val="17"/>
          <w:color w:val="auto"/>
        </w:rPr>
        <w:t>3,446 (3,019) Interest expense</w:t>
      </w:r>
    </w:p>
    <w:p>
      <w:pPr>
        <w:spacing w:after="0" w:line="9" w:lineRule="exact"/>
        <w:rPr>
          <w:sz w:val="20"/>
          <w:szCs w:val="20"/>
          <w:color w:val="auto"/>
        </w:rPr>
      </w:pPr>
    </w:p>
    <w:p>
      <w:pPr>
        <w:ind w:left="164"/>
        <w:spacing w:after="0"/>
        <w:tabs>
          <w:tab w:leader="dot" w:pos="3384" w:val="left"/>
        </w:tabs>
        <w:rPr>
          <w:sz w:val="20"/>
          <w:szCs w:val="20"/>
          <w:color w:val="auto"/>
        </w:rPr>
      </w:pPr>
      <w:r>
        <w:rPr>
          <w:rFonts w:ascii="Courier New" w:cs="Courier New" w:eastAsia="Courier New" w:hAnsi="Courier New"/>
          <w:sz w:val="17"/>
          <w:szCs w:val="17"/>
          <w:color w:val="auto"/>
        </w:rPr>
        <w:t>(benefit)</w:t>
      </w:r>
      <w:r>
        <w:rPr>
          <w:sz w:val="20"/>
          <w:szCs w:val="20"/>
          <w:color w:val="auto"/>
        </w:rPr>
        <w:tab/>
      </w:r>
      <w:r>
        <w:rPr>
          <w:rFonts w:ascii="Courier New" w:cs="Courier New" w:eastAsia="Courier New" w:hAnsi="Courier New"/>
          <w:sz w:val="17"/>
          <w:szCs w:val="17"/>
          <w:color w:val="auto"/>
        </w:rPr>
        <w:t>1 1 6 13 141</w:t>
      </w:r>
    </w:p>
    <w:p>
      <w:pPr>
        <w:spacing w:after="0" w:line="9" w:lineRule="exact"/>
        <w:rPr>
          <w:sz w:val="20"/>
          <w:szCs w:val="20"/>
          <w:color w:val="auto"/>
        </w:rPr>
      </w:pPr>
    </w:p>
    <w:p>
      <w:pPr>
        <w:ind w:left="464"/>
        <w:spacing w:after="0"/>
        <w:rPr>
          <w:sz w:val="20"/>
          <w:szCs w:val="20"/>
          <w:color w:val="auto"/>
        </w:rPr>
      </w:pPr>
      <w:r>
        <w:rPr>
          <w:rFonts w:ascii="Courier New" w:cs="Courier New" w:eastAsia="Courier New" w:hAnsi="Courier New"/>
          <w:sz w:val="17"/>
          <w:szCs w:val="17"/>
          <w:color w:val="auto"/>
        </w:rPr>
        <w:t>(3,016) Income (loss) from continuing</w:t>
      </w:r>
    </w:p>
    <w:p>
      <w:pPr>
        <w:spacing w:after="0" w:line="9" w:lineRule="exact"/>
        <w:rPr>
          <w:sz w:val="20"/>
          <w:szCs w:val="20"/>
          <w:color w:val="auto"/>
        </w:rPr>
      </w:pPr>
    </w:p>
    <w:p>
      <w:pPr>
        <w:ind w:left="304"/>
        <w:spacing w:after="0"/>
        <w:rPr>
          <w:sz w:val="20"/>
          <w:szCs w:val="20"/>
          <w:color w:val="auto"/>
        </w:rPr>
      </w:pPr>
      <w:r>
        <w:rPr>
          <w:rFonts w:ascii="Courier New" w:cs="Courier New" w:eastAsia="Courier New" w:hAnsi="Courier New"/>
          <w:sz w:val="17"/>
          <w:szCs w:val="17"/>
          <w:color w:val="auto"/>
        </w:rPr>
        <w:t>operations before income taxes, minority</w:t>
      </w:r>
    </w:p>
    <w:p>
      <w:pPr>
        <w:spacing w:after="0" w:line="9" w:lineRule="exact"/>
        <w:rPr>
          <w:sz w:val="20"/>
          <w:szCs w:val="20"/>
          <w:color w:val="auto"/>
        </w:rPr>
      </w:pPr>
    </w:p>
    <w:p>
      <w:pPr>
        <w:ind w:left="364"/>
        <w:spacing w:after="0"/>
        <w:rPr>
          <w:sz w:val="20"/>
          <w:szCs w:val="20"/>
          <w:color w:val="auto"/>
        </w:rPr>
      </w:pPr>
      <w:r>
        <w:rPr>
          <w:rFonts w:ascii="Courier New" w:cs="Courier New" w:eastAsia="Courier New" w:hAnsi="Courier New"/>
          <w:sz w:val="17"/>
          <w:szCs w:val="17"/>
          <w:color w:val="auto"/>
        </w:rPr>
        <w:t>interest, earnings (losses) from equity</w:t>
      </w:r>
    </w:p>
    <w:p>
      <w:pPr>
        <w:spacing w:after="0" w:line="9" w:lineRule="exact"/>
        <w:rPr>
          <w:sz w:val="20"/>
          <w:szCs w:val="20"/>
          <w:color w:val="auto"/>
        </w:rPr>
      </w:pPr>
    </w:p>
    <w:p>
      <w:pPr>
        <w:ind w:left="44"/>
        <w:spacing w:after="0"/>
        <w:tabs>
          <w:tab w:leader="dot" w:pos="2644" w:val="left"/>
        </w:tabs>
        <w:rPr>
          <w:sz w:val="20"/>
          <w:szCs w:val="20"/>
          <w:color w:val="auto"/>
        </w:rPr>
      </w:pPr>
      <w:r>
        <w:rPr>
          <w:rFonts w:ascii="Courier New" w:cs="Courier New" w:eastAsia="Courier New" w:hAnsi="Courier New"/>
          <w:sz w:val="17"/>
          <w:szCs w:val="17"/>
          <w:color w:val="auto"/>
        </w:rPr>
        <w:t>investments</w:t>
      </w:r>
      <w:r>
        <w:rPr>
          <w:sz w:val="20"/>
          <w:szCs w:val="20"/>
          <w:color w:val="auto"/>
        </w:rPr>
        <w:tab/>
      </w:r>
      <w:r>
        <w:rPr>
          <w:rFonts w:ascii="Courier New" w:cs="Courier New" w:eastAsia="Courier New" w:hAnsi="Courier New"/>
          <w:sz w:val="17"/>
          <w:szCs w:val="17"/>
          <w:color w:val="auto"/>
        </w:rPr>
        <w:t>6,284 (28) Provision</w:t>
      </w:r>
    </w:p>
    <w:p>
      <w:pPr>
        <w:spacing w:after="0" w:line="9" w:lineRule="exact"/>
        <w:rPr>
          <w:sz w:val="20"/>
          <w:szCs w:val="20"/>
          <w:color w:val="auto"/>
        </w:rPr>
      </w:pPr>
    </w:p>
    <w:p>
      <w:pPr>
        <w:ind w:left="164"/>
        <w:spacing w:after="0"/>
        <w:tabs>
          <w:tab w:leader="dot" w:pos="4124" w:val="left"/>
        </w:tabs>
        <w:rPr>
          <w:sz w:val="20"/>
          <w:szCs w:val="20"/>
          <w:color w:val="auto"/>
        </w:rPr>
      </w:pPr>
      <w:r>
        <w:rPr>
          <w:rFonts w:ascii="Courier New" w:cs="Courier New" w:eastAsia="Courier New" w:hAnsi="Courier New"/>
          <w:sz w:val="17"/>
          <w:szCs w:val="17"/>
          <w:color w:val="auto"/>
        </w:rPr>
        <w:t>(benefit) for income taxes</w:t>
      </w:r>
      <w:r>
        <w:rPr>
          <w:sz w:val="20"/>
          <w:szCs w:val="20"/>
          <w:color w:val="auto"/>
        </w:rPr>
        <w:tab/>
      </w:r>
      <w:r>
        <w:rPr>
          <w:rFonts w:ascii="Courier New" w:cs="Courier New" w:eastAsia="Courier New" w:hAnsi="Courier New"/>
          <w:sz w:val="17"/>
          <w:szCs w:val="17"/>
          <w:color w:val="auto"/>
        </w:rPr>
        <w:t>1,955</w:t>
      </w:r>
    </w:p>
    <w:p>
      <w:pPr>
        <w:sectPr>
          <w:pgSz w:w="11900" w:h="16838" w:orient="portrait"/>
          <w:cols w:equalWidth="0" w:num="1">
            <w:col w:w="10164"/>
          </w:cols>
          <w:pgMar w:left="296" w:top="720" w:right="1440" w:bottom="0" w:gutter="0" w:footer="0" w:header="0"/>
        </w:sectPr>
      </w:pPr>
    </w:p>
    <w:bookmarkStart w:id="617" w:name="page618"/>
    <w:bookmarkEnd w:id="617"/>
    <w:p>
      <w:pPr>
        <w:jc w:val="center"/>
        <w:ind w:right="5299"/>
        <w:spacing w:after="0"/>
        <w:rPr>
          <w:sz w:val="20"/>
          <w:szCs w:val="20"/>
          <w:color w:val="auto"/>
        </w:rPr>
      </w:pPr>
      <w:r>
        <w:rPr>
          <w:rFonts w:ascii="Courier New" w:cs="Courier New" w:eastAsia="Courier New" w:hAnsi="Courier New"/>
          <w:sz w:val="17"/>
          <w:szCs w:val="17"/>
          <w:color w:val="auto"/>
        </w:rPr>
        <w:t>Minority interest income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(expense)............. 131 Equity Earnings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from Liberty Media Group....... Net income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(losses) from other equity</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(614) (4,026) Income (loss) from continuing</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operations....... 3,846 (4,054) Income from</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discontinued operations (net of income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taxes)................................ 180 28</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Net income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(loss).............................. 4,026</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(4,026)</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CONSOLIDATED AT&amp;T CORP. ------------</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$41,623 Operating Expenses Costs of services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and products................. 9,249 Access and</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other connection.................... 10,180</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Selling, general and</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administrative............ 7,366 Depreciation</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and other amortization............ 4,204</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Amortization of goodwill, franchise costs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other purchased intangibles..................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1,433 Net restructuring and other</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charges............ 797 Total operating</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expenses....................... 33,229</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(loss)........................ 8,394 Other</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income (expense).........................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1,358 Interest expense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(benefit)..................... 2,000 Income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(loss) from continuing operations before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income taxes, minority interest, earnings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(losses) from equity investments.............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7,752 Provision (benefit) for income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taxes........... 2,532 Minority interest</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income (expense)............. 11 Equity</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Earnings from Liberty Media Group....... 2,965</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Net income (losses) from other equity</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(615) Income (loss) from continuing</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operations</w:t>
            </w:r>
          </w:p>
        </w:tc>
        <w:tc>
          <w:tcPr>
            <w:tcW w:w="2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7,581 Income from</w:t>
            </w:r>
          </w:p>
        </w:tc>
        <w:tc>
          <w:tcPr>
            <w:tcW w:w="380" w:type="dxa"/>
            <w:vAlign w:val="bottom"/>
          </w:tcPr>
          <w:p>
            <w:pPr>
              <w:spacing w:after="0"/>
              <w:rPr>
                <w:sz w:val="17"/>
                <w:szCs w:val="17"/>
                <w:color w:val="auto"/>
              </w:rPr>
            </w:pPr>
          </w:p>
        </w:tc>
      </w:tr>
      <w:tr>
        <w:trPr>
          <w:trHeight w:val="201"/>
        </w:trPr>
        <w:tc>
          <w:tcPr>
            <w:tcW w:w="4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discontinued operations (net of income</w:t>
            </w:r>
          </w:p>
        </w:tc>
        <w:tc>
          <w:tcPr>
            <w:tcW w:w="380" w:type="dxa"/>
            <w:vAlign w:val="bottom"/>
          </w:tcPr>
          <w:p>
            <w:pPr>
              <w:spacing w:after="0"/>
              <w:rPr>
                <w:sz w:val="17"/>
                <w:szCs w:val="17"/>
                <w:color w:val="auto"/>
              </w:rPr>
            </w:pPr>
          </w:p>
        </w:tc>
      </w:tr>
      <w:tr>
        <w:trPr>
          <w:trHeight w:val="201"/>
        </w:trPr>
        <w:tc>
          <w:tcPr>
            <w:tcW w:w="1620" w:type="dxa"/>
            <w:vAlign w:val="bottom"/>
          </w:tcPr>
          <w:p>
            <w:pPr>
              <w:jc w:val="right"/>
              <w:spacing w:after="0"/>
              <w:rPr>
                <w:sz w:val="20"/>
                <w:szCs w:val="20"/>
                <w:color w:val="auto"/>
              </w:rPr>
            </w:pPr>
            <w:r>
              <w:rPr>
                <w:rFonts w:ascii="Courier New" w:cs="Courier New" w:eastAsia="Courier New" w:hAnsi="Courier New"/>
                <w:sz w:val="10"/>
                <w:szCs w:val="10"/>
                <w:color w:val="auto"/>
                <w:w w:val="70"/>
              </w:rPr>
              <w:t>taxes)................................</w:t>
            </w:r>
          </w:p>
        </w:tc>
        <w:tc>
          <w:tcPr>
            <w:tcW w:w="2820" w:type="dxa"/>
            <w:vAlign w:val="bottom"/>
          </w:tcPr>
          <w:p>
            <w:pPr>
              <w:jc w:val="right"/>
              <w:spacing w:after="0"/>
              <w:rPr>
                <w:sz w:val="20"/>
                <w:szCs w:val="20"/>
                <w:color w:val="auto"/>
              </w:rPr>
            </w:pPr>
            <w:r>
              <w:rPr>
                <w:rFonts w:ascii="Courier New" w:cs="Courier New" w:eastAsia="Courier New" w:hAnsi="Courier New"/>
                <w:sz w:val="17"/>
                <w:szCs w:val="17"/>
                <w:color w:val="auto"/>
              </w:rPr>
              <w:t>208</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Net</w:t>
            </w:r>
          </w:p>
        </w:tc>
      </w:tr>
      <w:tr>
        <w:trPr>
          <w:trHeight w:val="201"/>
        </w:trPr>
        <w:tc>
          <w:tcPr>
            <w:tcW w:w="4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income (loss)..............................</w:t>
            </w:r>
          </w:p>
        </w:tc>
        <w:tc>
          <w:tcPr>
            <w:tcW w:w="380" w:type="dxa"/>
            <w:vAlign w:val="bottom"/>
          </w:tcPr>
          <w:p>
            <w:pPr>
              <w:spacing w:after="0"/>
              <w:rPr>
                <w:sz w:val="17"/>
                <w:szCs w:val="17"/>
                <w:color w:val="auto"/>
              </w:rPr>
            </w:pPr>
          </w:p>
        </w:tc>
      </w:tr>
      <w:tr>
        <w:trPr>
          <w:trHeight w:val="201"/>
        </w:trPr>
        <w:tc>
          <w:tcPr>
            <w:tcW w:w="1620" w:type="dxa"/>
            <w:vAlign w:val="bottom"/>
          </w:tcPr>
          <w:p>
            <w:pPr>
              <w:spacing w:after="0"/>
              <w:rPr>
                <w:sz w:val="17"/>
                <w:szCs w:val="17"/>
                <w:color w:val="auto"/>
              </w:rPr>
            </w:pPr>
          </w:p>
        </w:tc>
        <w:tc>
          <w:tcPr>
            <w:tcW w:w="2820" w:type="dxa"/>
            <w:vAlign w:val="bottom"/>
          </w:tcPr>
          <w:p>
            <w:pPr>
              <w:jc w:val="right"/>
              <w:ind w:right="1693"/>
              <w:spacing w:after="0"/>
              <w:rPr>
                <w:sz w:val="20"/>
                <w:szCs w:val="20"/>
                <w:color w:val="auto"/>
              </w:rPr>
            </w:pPr>
            <w:r>
              <w:rPr>
                <w:rFonts w:ascii="Courier New" w:cs="Courier New" w:eastAsia="Courier New" w:hAnsi="Courier New"/>
                <w:sz w:val="17"/>
                <w:szCs w:val="17"/>
                <w:color w:val="auto"/>
              </w:rPr>
              <w:t>7,789</w:t>
            </w:r>
          </w:p>
        </w:tc>
        <w:tc>
          <w:tcPr>
            <w:tcW w:w="380" w:type="dxa"/>
            <w:vAlign w:val="bottom"/>
          </w:tcPr>
          <w:p>
            <w:pPr>
              <w:spacing w:after="0"/>
              <w:rPr>
                <w:sz w:val="17"/>
                <w:szCs w:val="17"/>
                <w:color w:val="auto"/>
              </w:rPr>
            </w:pPr>
          </w:p>
        </w:tc>
      </w:tr>
      <w:tr>
        <w:trPr>
          <w:trHeight w:val="604"/>
        </w:trPr>
        <w:tc>
          <w:tcPr>
            <w:tcW w:w="1620" w:type="dxa"/>
            <w:vAlign w:val="bottom"/>
          </w:tcPr>
          <w:p>
            <w:pPr>
              <w:spacing w:after="0"/>
              <w:rPr>
                <w:sz w:val="24"/>
                <w:szCs w:val="24"/>
                <w:color w:val="auto"/>
              </w:rPr>
            </w:pPr>
          </w:p>
        </w:tc>
        <w:tc>
          <w:tcPr>
            <w:tcW w:w="32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L-29</w:t>
            </w:r>
          </w:p>
        </w:tc>
      </w:tr>
    </w:tbl>
    <w:p>
      <w:pPr>
        <w:sectPr>
          <w:pgSz w:w="11900" w:h="16838" w:orient="portrait"/>
          <w:cols w:equalWidth="0" w:num="1">
            <w:col w:w="10219"/>
          </w:cols>
          <w:pgMar w:left="240" w:top="142" w:right="1440" w:bottom="1440" w:gutter="0" w:footer="0" w:header="0"/>
        </w:sectPr>
      </w:pPr>
    </w:p>
    <w:bookmarkStart w:id="618" w:name="page619"/>
    <w:bookmarkEnd w:id="618"/>
    <w:p>
      <w:pPr>
        <w:jc w:val="center"/>
        <w:ind w:right="1819"/>
        <w:spacing w:after="0"/>
        <w:rPr>
          <w:sz w:val="20"/>
          <w:szCs w:val="20"/>
          <w:color w:val="auto"/>
        </w:rPr>
      </w:pPr>
      <w:r>
        <w:rPr>
          <w:rFonts w:ascii="Courier New" w:cs="Courier New" w:eastAsia="Courier New" w:hAnsi="Courier New"/>
          <w:sz w:val="17"/>
          <w:szCs w:val="17"/>
          <w:color w:val="auto"/>
        </w:rPr>
        <w:t>AT&amp;T CORP.</w:t>
      </w:r>
    </w:p>
    <w:p>
      <w:pPr>
        <w:spacing w:after="0" w:line="21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CONSOLIDATING CONDENSED INCOME STATEMENTS</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FOR THE THREE MONTHS ENDED SEPTEMBER 30, 2000</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GUARANTOR GUARANTOR GUARANTOR TCI TCI TCI AT&amp;T</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SUBSIDIARY SUBSIDIARY FINANCING FINANCING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FINANCING PARENT TCI MEDIAONE I II IV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 -----</w:t>
      </w:r>
    </w:p>
    <w:p>
      <w:pPr>
        <w:spacing w:after="0" w:line="9"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$5,314 $ $ $ $ $ Operating Expenses Costs of</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services and products.................. 648</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Access and other</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connection..................... 1,619 Selling,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general and administrative............. 451 (5)</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22 Depreciation and other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amortization............. 424 10 3 Amortization</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of goodwill, franchise costs and other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purchased intangibles................... 14 1</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99 Net restructuring and other</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charges............. 24 Total operating</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expenses........................ 3,156 30 124</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(loss)......................... 2,158 (30)</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(124) Other income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(expense).......................... 149 1 (2)</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10 11 4 Interest expense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(benefit)...................... 1,323 493 81 10</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11 4 Income (loss) from continuing operations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before income taxes, minority interest and</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earnings (losses) from equity</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investments.............. 984 (522) (207)</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Provision (benefit) for income</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taxes............ 377 (196) (40) Minority</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interest income (expense).............. (39) 0</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Equity Earnings from Liberty Media</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Group........ 1,756 Net income (losses) from</w:t>
      </w:r>
    </w:p>
    <w:p>
      <w:pPr>
        <w:spacing w:after="0" w:line="9"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other equity</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1,511 (182) (88) Income (loss) from continuing</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operations........ 2,079 1,248 (255) (Loss)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income from discontinued operations (net of</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taxes).............................. Net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 (loss)...............................</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2,079 1,248 (255)</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MEDIAONE MEDIAONE MEDIAONE MEDIAONE ELIMINATION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AND FINANCING FINANCING FINANCE FINANCE NON-</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GUARANTOR CONSOLIDATION I II II III</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SUBSIDIARIES ADJUSTMENTS --------- ---------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320" w:right="5239" w:hanging="263"/>
        <w:spacing w:after="0" w:line="251" w:lineRule="auto"/>
        <w:tabs>
          <w:tab w:leader="none" w:pos="268" w:val="left"/>
        </w:tabs>
        <w:numPr>
          <w:ilvl w:val="0"/>
          <w:numId w:val="6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$9,390 $ (528) Operating Expenses Costs of services and products..................</w:t>
      </w:r>
    </w:p>
    <w:p>
      <w:pPr>
        <w:ind w:left="1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3,100 (466) Access and other</w:t>
      </w:r>
    </w:p>
    <w:p>
      <w:pPr>
        <w:spacing w:after="0" w:line="9" w:lineRule="exact"/>
        <w:rPr>
          <w:sz w:val="20"/>
          <w:szCs w:val="20"/>
          <w:color w:val="auto"/>
        </w:rPr>
      </w:pPr>
    </w:p>
    <w:p>
      <w:pPr>
        <w:ind w:left="320"/>
        <w:spacing w:after="0"/>
        <w:tabs>
          <w:tab w:leader="dot" w:pos="3660" w:val="left"/>
        </w:tabs>
        <w:rPr>
          <w:sz w:val="20"/>
          <w:szCs w:val="20"/>
          <w:color w:val="auto"/>
        </w:rPr>
      </w:pPr>
      <w:r>
        <w:rPr>
          <w:rFonts w:ascii="Courier New" w:cs="Courier New" w:eastAsia="Courier New" w:hAnsi="Courier New"/>
          <w:sz w:val="17"/>
          <w:szCs w:val="17"/>
          <w:color w:val="auto"/>
        </w:rPr>
        <w:t>connection</w:t>
      </w:r>
      <w:r>
        <w:rPr>
          <w:sz w:val="20"/>
          <w:szCs w:val="20"/>
          <w:color w:val="auto"/>
        </w:rPr>
        <w:tab/>
      </w:r>
      <w:r>
        <w:rPr>
          <w:rFonts w:ascii="Courier New" w:cs="Courier New" w:eastAsia="Courier New" w:hAnsi="Courier New"/>
          <w:sz w:val="17"/>
          <w:szCs w:val="17"/>
          <w:color w:val="auto"/>
        </w:rPr>
        <w:t>1,578 (50)</w:t>
      </w:r>
    </w:p>
    <w:p>
      <w:pPr>
        <w:spacing w:after="0" w:line="9"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Selling, general and</w:t>
      </w:r>
    </w:p>
    <w:p>
      <w:pPr>
        <w:spacing w:after="0" w:line="9" w:lineRule="exact"/>
        <w:rPr>
          <w:sz w:val="20"/>
          <w:szCs w:val="20"/>
          <w:color w:val="auto"/>
        </w:rPr>
      </w:pPr>
    </w:p>
    <w:p>
      <w:pPr>
        <w:ind w:left="580"/>
        <w:spacing w:after="0"/>
        <w:tabs>
          <w:tab w:leader="dot" w:pos="3500" w:val="left"/>
        </w:tabs>
        <w:rPr>
          <w:sz w:val="20"/>
          <w:szCs w:val="20"/>
          <w:color w:val="auto"/>
        </w:rPr>
      </w:pPr>
      <w:r>
        <w:rPr>
          <w:rFonts w:ascii="Courier New" w:cs="Courier New" w:eastAsia="Courier New" w:hAnsi="Courier New"/>
          <w:sz w:val="17"/>
          <w:szCs w:val="17"/>
          <w:color w:val="auto"/>
        </w:rPr>
        <w:t>administrative</w:t>
      </w:r>
      <w:r>
        <w:rPr>
          <w:sz w:val="20"/>
          <w:szCs w:val="20"/>
          <w:color w:val="auto"/>
        </w:rPr>
        <w:tab/>
      </w:r>
      <w:r>
        <w:rPr>
          <w:rFonts w:ascii="Courier New" w:cs="Courier New" w:eastAsia="Courier New" w:hAnsi="Courier New"/>
          <w:sz w:val="17"/>
          <w:szCs w:val="17"/>
          <w:color w:val="auto"/>
        </w:rPr>
        <w:t>1,996 (3)</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Depreciation and other</w:t>
      </w:r>
    </w:p>
    <w:p>
      <w:pPr>
        <w:spacing w:after="0" w:line="9" w:lineRule="exact"/>
        <w:rPr>
          <w:sz w:val="20"/>
          <w:szCs w:val="20"/>
          <w:color w:val="auto"/>
        </w:rPr>
      </w:pPr>
    </w:p>
    <w:p>
      <w:pPr>
        <w:ind w:left="60"/>
        <w:spacing w:after="0"/>
        <w:tabs>
          <w:tab w:leader="dot" w:pos="2760" w:val="left"/>
        </w:tabs>
        <w:rPr>
          <w:sz w:val="20"/>
          <w:szCs w:val="20"/>
          <w:color w:val="auto"/>
        </w:rPr>
      </w:pPr>
      <w:r>
        <w:rPr>
          <w:rFonts w:ascii="Courier New" w:cs="Courier New" w:eastAsia="Courier New" w:hAnsi="Courier New"/>
          <w:sz w:val="17"/>
          <w:szCs w:val="17"/>
          <w:color w:val="auto"/>
        </w:rPr>
        <w:t>amortization</w:t>
      </w:r>
      <w:r>
        <w:rPr>
          <w:sz w:val="20"/>
          <w:szCs w:val="20"/>
          <w:color w:val="auto"/>
        </w:rPr>
        <w:tab/>
      </w:r>
      <w:r>
        <w:rPr>
          <w:rFonts w:ascii="Courier New" w:cs="Courier New" w:eastAsia="Courier New" w:hAnsi="Courier New"/>
          <w:sz w:val="17"/>
          <w:szCs w:val="17"/>
          <w:color w:val="auto"/>
        </w:rPr>
        <w:t>1,131 Amortization of</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goodwill, franchise costs and other purchased</w:t>
      </w:r>
    </w:p>
    <w:p>
      <w:pPr>
        <w:spacing w:after="0" w:line="9" w:lineRule="exact"/>
        <w:rPr>
          <w:sz w:val="20"/>
          <w:szCs w:val="20"/>
          <w:color w:val="auto"/>
        </w:rPr>
      </w:pPr>
    </w:p>
    <w:p>
      <w:pPr>
        <w:ind w:left="520"/>
        <w:spacing w:after="0"/>
        <w:tabs>
          <w:tab w:leader="dot" w:pos="3760" w:val="left"/>
        </w:tabs>
        <w:rPr>
          <w:sz w:val="20"/>
          <w:szCs w:val="20"/>
          <w:color w:val="auto"/>
        </w:rPr>
      </w:pPr>
      <w:r>
        <w:rPr>
          <w:rFonts w:ascii="Courier New" w:cs="Courier New" w:eastAsia="Courier New" w:hAnsi="Courier New"/>
          <w:sz w:val="17"/>
          <w:szCs w:val="17"/>
          <w:color w:val="auto"/>
        </w:rPr>
        <w:t>intangibles</w:t>
      </w:r>
      <w:r>
        <w:rPr>
          <w:sz w:val="20"/>
          <w:szCs w:val="20"/>
          <w:color w:val="auto"/>
        </w:rPr>
        <w:tab/>
      </w:r>
      <w:r>
        <w:rPr>
          <w:rFonts w:ascii="Courier New" w:cs="Courier New" w:eastAsia="Courier New" w:hAnsi="Courier New"/>
          <w:sz w:val="17"/>
          <w:szCs w:val="17"/>
          <w:color w:val="auto"/>
        </w:rPr>
        <w:t>673 Net</w:t>
      </w:r>
    </w:p>
    <w:p>
      <w:pPr>
        <w:spacing w:after="0" w:line="9" w:lineRule="exact"/>
        <w:rPr>
          <w:sz w:val="20"/>
          <w:szCs w:val="20"/>
          <w:color w:val="auto"/>
        </w:rPr>
      </w:pPr>
    </w:p>
    <w:p>
      <w:pPr>
        <w:ind w:left="100"/>
        <w:spacing w:after="0"/>
        <w:tabs>
          <w:tab w:leader="dot" w:pos="4800" w:val="left"/>
        </w:tabs>
        <w:rPr>
          <w:sz w:val="20"/>
          <w:szCs w:val="20"/>
          <w:color w:val="auto"/>
        </w:rPr>
      </w:pPr>
      <w:r>
        <w:rPr>
          <w:rFonts w:ascii="Courier New" w:cs="Courier New" w:eastAsia="Courier New" w:hAnsi="Courier New"/>
          <w:sz w:val="17"/>
          <w:szCs w:val="17"/>
          <w:color w:val="auto"/>
        </w:rPr>
        <w:t>restructuring and other charges</w:t>
      </w:r>
      <w:r>
        <w:rPr>
          <w:sz w:val="20"/>
          <w:szCs w:val="20"/>
          <w:color w:val="auto"/>
        </w:rPr>
        <w:tab/>
      </w:r>
      <w:r>
        <w:rPr>
          <w:rFonts w:ascii="Courier New" w:cs="Courier New" w:eastAsia="Courier New" w:hAnsi="Courier New"/>
          <w:sz w:val="16"/>
          <w:szCs w:val="16"/>
          <w:color w:val="auto"/>
        </w:rPr>
        <w:t>0</w:t>
      </w:r>
    </w:p>
    <w:p>
      <w:pPr>
        <w:spacing w:after="0" w:line="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Total operating</w:t>
      </w:r>
    </w:p>
    <w:p>
      <w:pPr>
        <w:spacing w:after="0" w:line="9" w:lineRule="exact"/>
        <w:rPr>
          <w:sz w:val="20"/>
          <w:szCs w:val="20"/>
          <w:color w:val="auto"/>
        </w:rPr>
      </w:pPr>
    </w:p>
    <w:p>
      <w:pPr>
        <w:ind w:left="220"/>
        <w:spacing w:after="0"/>
        <w:tabs>
          <w:tab w:leader="dot" w:pos="3660" w:val="left"/>
        </w:tabs>
        <w:rPr>
          <w:sz w:val="20"/>
          <w:szCs w:val="20"/>
          <w:color w:val="auto"/>
        </w:rPr>
      </w:pPr>
      <w:r>
        <w:rPr>
          <w:rFonts w:ascii="Courier New" w:cs="Courier New" w:eastAsia="Courier New" w:hAnsi="Courier New"/>
          <w:sz w:val="17"/>
          <w:szCs w:val="17"/>
          <w:color w:val="auto"/>
        </w:rPr>
        <w:t>expenses</w:t>
      </w:r>
      <w:r>
        <w:rPr>
          <w:sz w:val="20"/>
          <w:szCs w:val="20"/>
          <w:color w:val="auto"/>
        </w:rPr>
        <w:tab/>
      </w:r>
      <w:r>
        <w:rPr>
          <w:rFonts w:ascii="Courier New" w:cs="Courier New" w:eastAsia="Courier New" w:hAnsi="Courier New"/>
          <w:sz w:val="17"/>
          <w:szCs w:val="17"/>
          <w:color w:val="auto"/>
        </w:rPr>
        <w:t>8,478 (519)</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ind w:left="160"/>
        <w:spacing w:after="0"/>
        <w:tabs>
          <w:tab w:leader="dot" w:pos="3500" w:val="left"/>
        </w:tabs>
        <w:rPr>
          <w:sz w:val="20"/>
          <w:szCs w:val="20"/>
          <w:color w:val="auto"/>
        </w:rPr>
      </w:pPr>
      <w:r>
        <w:rPr>
          <w:rFonts w:ascii="Courier New" w:cs="Courier New" w:eastAsia="Courier New" w:hAnsi="Courier New"/>
          <w:sz w:val="17"/>
          <w:szCs w:val="17"/>
          <w:color w:val="auto"/>
        </w:rPr>
        <w:t>(loss)</w:t>
      </w:r>
      <w:r>
        <w:rPr>
          <w:sz w:val="20"/>
          <w:szCs w:val="20"/>
          <w:color w:val="auto"/>
        </w:rPr>
        <w:tab/>
      </w:r>
      <w:r>
        <w:rPr>
          <w:rFonts w:ascii="Courier New" w:cs="Courier New" w:eastAsia="Courier New" w:hAnsi="Courier New"/>
          <w:sz w:val="17"/>
          <w:szCs w:val="17"/>
          <w:color w:val="auto"/>
        </w:rPr>
        <w:t>912 (9) Other</w:t>
      </w:r>
    </w:p>
    <w:p>
      <w:pPr>
        <w:spacing w:after="0" w:line="9" w:lineRule="exact"/>
        <w:rPr>
          <w:sz w:val="20"/>
          <w:szCs w:val="20"/>
          <w:color w:val="auto"/>
        </w:rPr>
      </w:pPr>
    </w:p>
    <w:p>
      <w:pPr>
        <w:ind w:left="100"/>
        <w:spacing w:after="0"/>
        <w:tabs>
          <w:tab w:leader="dot" w:pos="4600" w:val="left"/>
        </w:tabs>
        <w:rPr>
          <w:sz w:val="20"/>
          <w:szCs w:val="20"/>
          <w:color w:val="auto"/>
        </w:rPr>
      </w:pPr>
      <w:r>
        <w:rPr>
          <w:rFonts w:ascii="Courier New" w:cs="Courier New" w:eastAsia="Courier New" w:hAnsi="Courier New"/>
          <w:sz w:val="17"/>
          <w:szCs w:val="17"/>
          <w:color w:val="auto"/>
        </w:rPr>
        <w:t>income (expense)</w:t>
      </w:r>
      <w:r>
        <w:rPr>
          <w:sz w:val="20"/>
          <w:szCs w:val="20"/>
          <w:color w:val="auto"/>
        </w:rPr>
        <w:tab/>
      </w:r>
      <w:r>
        <w:rPr>
          <w:rFonts w:ascii="Courier New" w:cs="Courier New" w:eastAsia="Courier New" w:hAnsi="Courier New"/>
          <w:sz w:val="16"/>
          <w:szCs w:val="16"/>
          <w:color w:val="auto"/>
        </w:rPr>
        <w:t>1 1</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5 11 1,333 (1,159) Interest expense</w:t>
      </w:r>
    </w:p>
    <w:p>
      <w:pPr>
        <w:spacing w:after="0" w:line="9" w:lineRule="exact"/>
        <w:rPr>
          <w:sz w:val="20"/>
          <w:szCs w:val="20"/>
          <w:color w:val="auto"/>
        </w:rPr>
      </w:pPr>
    </w:p>
    <w:p>
      <w:pPr>
        <w:ind w:left="260"/>
        <w:spacing w:after="0"/>
        <w:tabs>
          <w:tab w:leader="dot" w:pos="3600" w:val="left"/>
        </w:tabs>
        <w:rPr>
          <w:sz w:val="20"/>
          <w:szCs w:val="20"/>
          <w:color w:val="auto"/>
        </w:rPr>
      </w:pPr>
      <w:r>
        <w:rPr>
          <w:rFonts w:ascii="Courier New" w:cs="Courier New" w:eastAsia="Courier New" w:hAnsi="Courier New"/>
          <w:sz w:val="17"/>
          <w:szCs w:val="17"/>
          <w:color w:val="auto"/>
        </w:rPr>
        <w:t>(benefit)</w:t>
      </w:r>
      <w:r>
        <w:rPr>
          <w:sz w:val="20"/>
          <w:szCs w:val="20"/>
          <w:color w:val="auto"/>
        </w:rPr>
        <w:tab/>
      </w:r>
      <w:r>
        <w:rPr>
          <w:rFonts w:ascii="Courier New" w:cs="Courier New" w:eastAsia="Courier New" w:hAnsi="Courier New"/>
          <w:sz w:val="17"/>
          <w:szCs w:val="17"/>
          <w:color w:val="auto"/>
        </w:rPr>
        <w:t>1 1 5 11 97</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(1,141) Income (loss) from continuing</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operations before income taxes, minority</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interest and earnings (losses) from equity</w:t>
      </w:r>
    </w:p>
    <w:p>
      <w:pPr>
        <w:spacing w:after="0" w:line="9" w:lineRule="exact"/>
        <w:rPr>
          <w:sz w:val="20"/>
          <w:szCs w:val="20"/>
          <w:color w:val="auto"/>
        </w:rPr>
      </w:pPr>
    </w:p>
    <w:p>
      <w:pPr>
        <w:ind w:left="100"/>
        <w:spacing w:after="0"/>
        <w:tabs>
          <w:tab w:leader="dot" w:pos="2820" w:val="left"/>
        </w:tabs>
        <w:rPr>
          <w:sz w:val="20"/>
          <w:szCs w:val="20"/>
          <w:color w:val="auto"/>
        </w:rPr>
      </w:pPr>
      <w:r>
        <w:rPr>
          <w:rFonts w:ascii="Courier New" w:cs="Courier New" w:eastAsia="Courier New" w:hAnsi="Courier New"/>
          <w:sz w:val="17"/>
          <w:szCs w:val="17"/>
          <w:color w:val="auto"/>
        </w:rPr>
        <w:t>investments</w:t>
      </w:r>
      <w:r>
        <w:rPr>
          <w:sz w:val="20"/>
          <w:szCs w:val="20"/>
          <w:color w:val="auto"/>
        </w:rPr>
        <w:tab/>
      </w:r>
      <w:r>
        <w:rPr>
          <w:rFonts w:ascii="Courier New" w:cs="Courier New" w:eastAsia="Courier New" w:hAnsi="Courier New"/>
          <w:sz w:val="17"/>
          <w:szCs w:val="17"/>
          <w:color w:val="auto"/>
        </w:rPr>
        <w:t>2,148 (27) Provision</w:t>
      </w:r>
    </w:p>
    <w:p>
      <w:pPr>
        <w:spacing w:after="0" w:line="9" w:lineRule="exact"/>
        <w:rPr>
          <w:sz w:val="20"/>
          <w:szCs w:val="20"/>
          <w:color w:val="auto"/>
        </w:rPr>
      </w:pPr>
    </w:p>
    <w:p>
      <w:pPr>
        <w:ind w:left="320"/>
        <w:spacing w:after="0"/>
        <w:tabs>
          <w:tab w:leader="dot" w:pos="4380" w:val="left"/>
        </w:tabs>
        <w:rPr>
          <w:sz w:val="20"/>
          <w:szCs w:val="20"/>
          <w:color w:val="auto"/>
        </w:rPr>
      </w:pPr>
      <w:r>
        <w:rPr>
          <w:rFonts w:ascii="Courier New" w:cs="Courier New" w:eastAsia="Courier New" w:hAnsi="Courier New"/>
          <w:sz w:val="17"/>
          <w:szCs w:val="17"/>
          <w:color w:val="auto"/>
        </w:rPr>
        <w:t>(benefit) for income taxes</w:t>
      </w:r>
      <w:r>
        <w:rPr>
          <w:sz w:val="20"/>
          <w:szCs w:val="20"/>
          <w:color w:val="auto"/>
        </w:rPr>
        <w:tab/>
      </w:r>
      <w:r>
        <w:rPr>
          <w:rFonts w:ascii="Courier New" w:cs="Courier New" w:eastAsia="Courier New" w:hAnsi="Courier New"/>
          <w:sz w:val="17"/>
          <w:szCs w:val="17"/>
          <w:color w:val="auto"/>
        </w:rPr>
        <w:t>798</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Minority interest income</w:t>
      </w:r>
    </w:p>
    <w:p>
      <w:pPr>
        <w:spacing w:after="0" w:line="9" w:lineRule="exact"/>
        <w:rPr>
          <w:sz w:val="20"/>
          <w:szCs w:val="20"/>
          <w:color w:val="auto"/>
        </w:rPr>
      </w:pPr>
    </w:p>
    <w:p>
      <w:pPr>
        <w:ind w:left="260"/>
        <w:spacing w:after="0"/>
        <w:tabs>
          <w:tab w:leader="dot" w:pos="2760" w:val="left"/>
        </w:tabs>
        <w:rPr>
          <w:sz w:val="20"/>
          <w:szCs w:val="20"/>
          <w:color w:val="auto"/>
        </w:rPr>
      </w:pPr>
      <w:r>
        <w:rPr>
          <w:rFonts w:ascii="Courier New" w:cs="Courier New" w:eastAsia="Courier New" w:hAnsi="Courier New"/>
          <w:sz w:val="17"/>
          <w:szCs w:val="17"/>
          <w:color w:val="auto"/>
        </w:rPr>
        <w:t>(expense)</w:t>
      </w:r>
      <w:r>
        <w:rPr>
          <w:sz w:val="20"/>
          <w:szCs w:val="20"/>
          <w:color w:val="auto"/>
        </w:rPr>
        <w:tab/>
      </w:r>
      <w:r>
        <w:rPr>
          <w:rFonts w:ascii="Courier New" w:cs="Courier New" w:eastAsia="Courier New" w:hAnsi="Courier New"/>
          <w:sz w:val="17"/>
          <w:szCs w:val="17"/>
          <w:color w:val="auto"/>
        </w:rPr>
        <w:t>142 Equity Earnings</w:t>
      </w:r>
    </w:p>
    <w:p>
      <w:pPr>
        <w:spacing w:after="0" w:line="9" w:lineRule="exact"/>
        <w:rPr>
          <w:sz w:val="20"/>
          <w:szCs w:val="20"/>
          <w:color w:val="auto"/>
        </w:rPr>
      </w:pPr>
    </w:p>
    <w:p>
      <w:pPr>
        <w:ind w:left="260"/>
        <w:spacing w:after="0"/>
        <w:tabs>
          <w:tab w:leader="dot" w:pos="3700" w:val="left"/>
        </w:tabs>
        <w:rPr>
          <w:sz w:val="20"/>
          <w:szCs w:val="20"/>
          <w:color w:val="auto"/>
        </w:rPr>
      </w:pPr>
      <w:r>
        <w:rPr>
          <w:rFonts w:ascii="Courier New" w:cs="Courier New" w:eastAsia="Courier New" w:hAnsi="Courier New"/>
          <w:sz w:val="17"/>
          <w:szCs w:val="17"/>
          <w:color w:val="auto"/>
        </w:rPr>
        <w:t>from Liberty Media Group</w:t>
      </w:r>
      <w:r>
        <w:rPr>
          <w:sz w:val="20"/>
          <w:szCs w:val="20"/>
          <w:color w:val="auto"/>
        </w:rPr>
        <w:tab/>
      </w:r>
      <w:r>
        <w:rPr>
          <w:rFonts w:ascii="Courier New" w:cs="Courier New" w:eastAsia="Courier New" w:hAnsi="Courier New"/>
          <w:sz w:val="17"/>
          <w:szCs w:val="17"/>
          <w:color w:val="auto"/>
        </w:rPr>
        <w:t>Net income</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(losses) from other equity</w:t>
      </w:r>
    </w:p>
    <w:p>
      <w:pPr>
        <w:sectPr>
          <w:pgSz w:w="11900" w:h="16838" w:orient="portrait"/>
          <w:cols w:equalWidth="0" w:num="1">
            <w:col w:w="10219"/>
          </w:cols>
          <w:pgMar w:left="240" w:top="719" w:right="1440" w:bottom="0" w:gutter="0" w:footer="0" w:header="0"/>
        </w:sectPr>
      </w:pPr>
    </w:p>
    <w:bookmarkStart w:id="619" w:name="page620"/>
    <w:bookmarkEnd w:id="619"/>
    <w:p>
      <w:pPr>
        <w:ind w:left="100"/>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(221) (1,242) Income (loss) from continuing</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operations........ 1,271 (1,269) (Loss) income</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from discontinued operations (net of income</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taxes).............................. (29) 27</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Net income</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(loss)............................... 1,242</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(1,242)</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CONSOLIDATED AT&amp;T CORP. ------------</w:t>
      </w:r>
    </w:p>
    <w:p>
      <w:pPr>
        <w:spacing w:after="0" w:line="9"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$14,176 Operating Expenses Costs of services</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and products.................. 3,282 Access and</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other connection..................... 3,147</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Selling, general and</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administrative............. 2,461 Depreciation</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and other amortization............. 1,568</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Amortization of goodwill, franchise costs and</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other purchased intangibles...................</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787 Net restructuring and other</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charges............. 24 Total operating</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expenses........................ 11,269</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(loss)......................... 2,907 Other</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income (expense).......................... 365</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Interest expense</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(benefit)...................... 896 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(loss) from continuing operations before income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taxes, minority interest and earnings (losses)</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from equity investments.............. 2,376</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Provision (benefit) for income</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taxes............ 939 Minority interest income</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(expense).............. 103 Equity Earnings</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from Liberty Media Group........ 1,756 Net</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income (losses) from other equity</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(222) Income (loss) from continuing</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operations........ 3,074 (Loss) income from</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discontinued operations (net of income</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taxes).............................. (2) Net</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income (loss)...............................</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3,072</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L-30</w:t>
      </w:r>
    </w:p>
    <w:p>
      <w:pPr>
        <w:sectPr>
          <w:pgSz w:w="11900" w:h="16838" w:orient="portrait"/>
          <w:cols w:equalWidth="0" w:num="1">
            <w:col w:w="10219"/>
          </w:cols>
          <w:pgMar w:left="240" w:top="142" w:right="1440" w:bottom="1440" w:gutter="0" w:footer="0" w:header="0"/>
        </w:sectPr>
      </w:pPr>
    </w:p>
    <w:bookmarkStart w:id="620" w:name="page621"/>
    <w:bookmarkEnd w:id="620"/>
    <w:p>
      <w:pPr>
        <w:jc w:val="center"/>
        <w:ind w:right="1819"/>
        <w:spacing w:after="0"/>
        <w:rPr>
          <w:sz w:val="20"/>
          <w:szCs w:val="20"/>
          <w:color w:val="auto"/>
        </w:rPr>
      </w:pPr>
      <w:r>
        <w:rPr>
          <w:rFonts w:ascii="Courier New" w:cs="Courier New" w:eastAsia="Courier New" w:hAnsi="Courier New"/>
          <w:sz w:val="17"/>
          <w:szCs w:val="17"/>
          <w:color w:val="auto"/>
        </w:rPr>
        <w:t>AT&amp;T CORP.</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CONSOLIDATING CONDENSED BALANCE SHEETS</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AS OF DECEMBER 31, 2000</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GUARANTOR GUARANTOR GUARANTOR TCI TCI AT&amp;T SUBSIDIARY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SUBSIDIARY FINANCING FINANCING PARENT TCI MEDIAONE I II ---</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 ---------- ---------- --------- --------- ASSETS</w:t>
      </w:r>
    </w:p>
    <w:p>
      <w:pPr>
        <w:spacing w:after="0" w:line="9"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Cash and cash</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equivalents................................... $ -- $ -- $</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 $ -- $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11,424 2,577 78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Deferred income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taxes....................................... 811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current assets........................................</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1,103 11 TOTAL CURRENT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ASSETS........................................ 13,338 2,588</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78 Property, plant &amp; equipment,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net............................ 9,463 102 22 Franchise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costs, net........................................ 838 30</w:t>
      </w:r>
    </w:p>
    <w:p>
      <w:pPr>
        <w:spacing w:after="0" w:line="9"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Goodwill,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net............................................... 161</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19,786 Investment in Liberty Media Group and related</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34,290 Other investments and related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advances...................... 164,844 32,650 27,712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5,500 186 528 514 Net assets of discontinued</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operations.......................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$194,144 $69,846 $47,598 $528 $514 LIABILITIES Debt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maturing within one year............................... $</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52,556 $ 664 $ 2,337 $ $ Liability under put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options................................. Other current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liabilities................................... 9,535 1,129</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76 TOTAL CURRENT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LIABILITIES................................... 62,091 1,793</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2,413 Long-term</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debt.............................................. 21,333</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30,096 1,702 528 514 Deferred 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taxes....................................... 569 230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long-term liabilities and deferred credits............</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7,341 773 129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91,334 32,662 4,474 528 514 Minority</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Company-Obligated Convertible Quarterly Income Preferred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Securities of Subsidiary Trust Holding Solely Subordinated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Debt Securities of AT&amp;T....................................</w:t>
      </w:r>
    </w:p>
    <w:p>
      <w:pPr>
        <w:spacing w:after="0" w:line="9"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4,710 SHAREOWNERS' EQUITY AT&amp;T Common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Stock........................................... 4,176 AT&amp;T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Wireless Group common stock............................ 362</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Liberty Media Group Class A Common</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Stock............................................... 2,364</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Liberty Media Group Class B Common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Stock............................................... 206</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Other shareowners'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equity................................... 90,992 37,184</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43,124 TOTAL SHAREOWNERS'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EQUITY................................... 98,100 37,184</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43,124 TOTAL LIABILITIES AND SHAREOWNERS'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EQUITY................... $194,144 $69,846 $47,598 $528</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$514</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TCI MEDIAONE MEDIAONE MEDIAONE MEDIAONE FINANCING FINANCING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FINANCING FINANCE FINANCE IV I II II III --------- --------</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 --------- -------- -------- ASSETS Cash and cash</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equivalents................................... $ -- $-- $--</w:t>
      </w:r>
    </w:p>
    <w:p>
      <w:pPr>
        <w:spacing w:after="0" w:line="9"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Deferred 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taxes....................................... Other current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assets........................................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CURRENT ASSETS........................................</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Property, plant &amp; equipment,</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net............................ Franchise costs,</w:t>
      </w:r>
    </w:p>
    <w:p>
      <w:pPr>
        <w:sectPr>
          <w:pgSz w:w="11900" w:h="16838" w:orient="portrait"/>
          <w:cols w:equalWidth="0" w:num="1">
            <w:col w:w="10219"/>
          </w:cols>
          <w:pgMar w:left="240" w:top="719" w:right="1440" w:bottom="0" w:gutter="0" w:footer="0" w:header="0"/>
        </w:sectPr>
      </w:pPr>
    </w:p>
    <w:bookmarkStart w:id="621" w:name="page622"/>
    <w:bookmarkEnd w:id="621"/>
    <w:p>
      <w:pPr>
        <w:spacing w:after="0" w:line="12"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net........................................ Goodwill,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Investment in Liberty Media Group and related receivables,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Other investments and related</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advances...................... Other</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assets................................................ 204</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51 44 230 516 Net assets of discontinued</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operations....................... TOTAL</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ASSETS................................................ $204</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$51 $44 $230 $516 LIABILITIES Debt maturing within one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year............................... $ $ $ $ $ Liability</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under put options.................................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current liabilities...................................</w:t>
      </w:r>
    </w:p>
    <w:p>
      <w:pPr>
        <w:spacing w:after="0" w:line="9"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TOTAL CURRENT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LIABILITIES................................... Long-term</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debt.............................................. 204 30</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28 214 504 Deferred income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taxes....................................... Other long-</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term liabilities and deferred credits............ TOTAL</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LIABILITIES........................................... 204</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30 28 214 504 Minority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Debt Securities of AT&amp;T....................................</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SHAREOWNERS' EQUITY AT&amp;T Common</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Stock........................................... 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Wireless Group common stock............................</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Liberty Media Group Class A Common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Liberty Media Group Class B Common</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Stock............................................... Other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shareowners' equity................................... 21</w:t>
      </w:r>
    </w:p>
    <w:p>
      <w:pPr>
        <w:spacing w:after="0" w:line="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16 16 12 TOTAL SHAREOWNERS'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EQUITY................................... 21 16 16 12 TOTAL</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LIABILITIES AND SHAREOWNERS' EQUITY................... $204</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$51 $44 $230 $516</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ELIMINATION AND NON-GUARANTOR CONSOLIDATION CONSOLIDATED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SUBSIDIARIES ADJUSTMENTS AT&amp;T CORP. -------------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 ------------ ASSETS Cash and cash</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equivalents................................... $ 64 $ -- $</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64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48,896 (51,922) 11,053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2,102 2,102 Deferred 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taxes....................................... (91) 720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current assets........................................</w:t>
      </w:r>
    </w:p>
    <w:p>
      <w:pPr>
        <w:spacing w:after="0" w:line="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(328) (5) 781 TOTAL CURRENT</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ASSETS........................................ 50,643</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(51,927) 14,720 Property, plant &amp; equipment,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 31,685 (3) 41,269 Franchise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costs, net........................................ 47,350</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48,218 Goodwill,</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net............................................... 6,835</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26,782 Investment in Liberty Media Group and related</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34,290 Other investments and related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advances...................... 19,673 (214,004) 30,875</w:t>
      </w:r>
    </w:p>
    <w:p>
      <w:pPr>
        <w:spacing w:after="0" w:line="9"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15,714 (12,505) 10,982 Net assets of discontinued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operations....................... 24,876 2,348 27,224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$196,776 $(276,091) $234,360 LIABILITIES Debt maturing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within one year............................... $ 5,432 $</w:t>
      </w:r>
    </w:p>
    <w:p>
      <w:pPr>
        <w:spacing w:after="0" w:line="9"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(29,151) $ 31,838 Liability under put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options................................. 2,564 2,564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current liabilities...................................</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11,219 (8,386) 13,573 TOTAL CURRENT</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LIABILITIES................................... 19,215</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(37,537) 47,975 Long-term</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debt.............................................. 2,558</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(24,622) 33,089 Deferred 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taxes....................................... 31,255 32,054</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Other long-term liabilities and deferred</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credits............ 331 (81) 8,493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53,359 (62,240) 121,611 Minority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Interest........................................... 4,841</w:t>
      </w:r>
    </w:p>
    <w:p>
      <w:pPr>
        <w:sectPr>
          <w:pgSz w:w="11900" w:h="16850" w:orient="portrait"/>
          <w:cols w:equalWidth="0" w:num="1">
            <w:col w:w="10219"/>
          </w:cols>
          <w:pgMar w:left="240" w:top="143" w:right="1440" w:bottom="0" w:gutter="0" w:footer="0" w:header="0"/>
        </w:sectPr>
      </w:pPr>
    </w:p>
    <w:bookmarkStart w:id="622" w:name="page623"/>
    <w:bookmarkEnd w:id="622"/>
    <w:p>
      <w:pPr>
        <w:jc w:val="center"/>
        <w:ind w:right="3979"/>
        <w:spacing w:after="0"/>
        <w:rPr>
          <w:sz w:val="20"/>
          <w:szCs w:val="20"/>
          <w:color w:val="auto"/>
        </w:rPr>
      </w:pPr>
      <w:r>
        <w:rPr>
          <w:rFonts w:ascii="Courier New" w:cs="Courier New" w:eastAsia="Courier New" w:hAnsi="Courier New"/>
          <w:sz w:val="17"/>
          <w:szCs w:val="17"/>
          <w:color w:val="auto"/>
        </w:rPr>
        <w:t>4,841 Company-Obligated Convertible Quarterly Income</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Preferred Securities of Subsidiary Trust Holding Solely</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Subordinated Debt Securities of</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AT&amp;T.................................... 4,710 SHAREOWNERS'</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EQUITY AT&amp;T Common</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Stock........................................... (416)</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3,760 AT&amp;T Wireless Group common</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stock............................ 362 Liberty Media Group</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Class A Common</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Stock............................................... 2,364</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Liberty Media Group Class B Common</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Stock............................................... 206</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Other shareowners'</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equity................................... 138,992 (213,851)</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96,506 TOTAL SHAREOWNERS'</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EQUITY................................... 138,576 (213,851)</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103,198 TOTAL LIABILITIES AND SHAREOWNERS'</w:t>
      </w:r>
    </w:p>
    <w:p>
      <w:pPr>
        <w:spacing w:after="0" w:line="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7"/>
          <w:szCs w:val="17"/>
          <w:color w:val="auto"/>
        </w:rPr>
        <w:t>EQUITY................... $196,776 $(276,091) $234,360</w:t>
      </w:r>
    </w:p>
    <w:p>
      <w:pPr>
        <w:spacing w:after="0" w:line="200" w:lineRule="exact"/>
        <w:rPr>
          <w:sz w:val="20"/>
          <w:szCs w:val="20"/>
          <w:color w:val="auto"/>
        </w:rPr>
      </w:pPr>
    </w:p>
    <w:p>
      <w:pPr>
        <w:spacing w:after="0" w:line="21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L-31</w:t>
      </w:r>
    </w:p>
    <w:p>
      <w:pPr>
        <w:sectPr>
          <w:pgSz w:w="11900" w:h="16838" w:orient="portrait"/>
          <w:cols w:equalWidth="0" w:num="1">
            <w:col w:w="10159"/>
          </w:cols>
          <w:pgMar w:left="300" w:top="141" w:right="1440" w:bottom="1440" w:gutter="0" w:footer="0" w:header="0"/>
        </w:sectPr>
      </w:pPr>
    </w:p>
    <w:bookmarkStart w:id="623" w:name="page624"/>
    <w:bookmarkEnd w:id="623"/>
    <w:p>
      <w:pPr>
        <w:jc w:val="center"/>
        <w:ind w:right="1819"/>
        <w:spacing w:after="0"/>
        <w:rPr>
          <w:sz w:val="20"/>
          <w:szCs w:val="20"/>
          <w:color w:val="auto"/>
        </w:rPr>
      </w:pPr>
      <w:r>
        <w:rPr>
          <w:rFonts w:ascii="Courier New" w:cs="Courier New" w:eastAsia="Courier New" w:hAnsi="Courier New"/>
          <w:sz w:val="17"/>
          <w:szCs w:val="17"/>
          <w:color w:val="auto"/>
        </w:rPr>
        <w:t>AT&amp;T CORP.</w:t>
      </w:r>
    </w:p>
    <w:p>
      <w:pPr>
        <w:spacing w:after="0" w:line="210"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7"/>
          <w:szCs w:val="17"/>
          <w:color w:val="auto"/>
        </w:rPr>
        <w:t>CONSOLIDATING CONDENSED STATEMENTS OF CASH FLOWS</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FOR THE NINE MONTHS ENDED SEPTEMBER 30, 2000</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GUARANTOR GUARANTOR GUARANTOR TCI TCI TCI</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MEDIAONE AT&amp;T SUBSIDIARY SUBSIDIARY FINANCING</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FINANCING FINANCING FINANCING PARENT TCI</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MEDIAONE I II IV I --------- ---------- -----</w:t>
      </w:r>
    </w:p>
    <w:p>
      <w:pPr>
        <w:spacing w:after="0" w:line="9" w:lineRule="exact"/>
        <w:rPr>
          <w:sz w:val="20"/>
          <w:szCs w:val="20"/>
          <w:color w:val="auto"/>
        </w:rPr>
      </w:pPr>
    </w:p>
    <w:p>
      <w:pPr>
        <w:ind w:left="680" w:hanging="626"/>
        <w:spacing w:after="0"/>
        <w:tabs>
          <w:tab w:leader="none" w:pos="680" w:val="left"/>
        </w:tabs>
        <w:numPr>
          <w:ilvl w:val="0"/>
          <w:numId w:val="6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CASH PROVIDED BY (USED IN) OPERATING</w:t>
      </w:r>
    </w:p>
    <w:p>
      <w:pPr>
        <w:spacing w:after="0" w:line="210" w:lineRule="exact"/>
        <w:rPr>
          <w:sz w:val="20"/>
          <w:szCs w:val="20"/>
          <w:color w:val="auto"/>
        </w:rPr>
      </w:pPr>
    </w:p>
    <w:p>
      <w:pPr>
        <w:ind w:left="60" w:right="5459" w:firstLine="257"/>
        <w:spacing w:after="0" w:line="251" w:lineRule="auto"/>
        <w:tabs>
          <w:tab w:leader="none" w:pos="532" w:val="left"/>
        </w:tabs>
        <w:numPr>
          <w:ilvl w:val="0"/>
          <w:numId w:val="6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334 $(3,634) $ 130 $ -- $ -- $ -- $ -- INVESTING ACTIVITIES Capital expenditures and</w:t>
      </w:r>
    </w:p>
    <w:p>
      <w:pPr>
        <w:ind w:left="360"/>
        <w:spacing w:after="0"/>
        <w:rPr>
          <w:sz w:val="20"/>
          <w:szCs w:val="20"/>
          <w:color w:val="auto"/>
        </w:rPr>
      </w:pPr>
      <w:r>
        <w:rPr>
          <w:rFonts w:ascii="Courier New" w:cs="Courier New" w:eastAsia="Courier New" w:hAnsi="Courier New"/>
          <w:sz w:val="17"/>
          <w:szCs w:val="17"/>
          <w:color w:val="auto"/>
        </w:rPr>
        <w:t>other additions...... (762) (53) Equity</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investment contributions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purchases...................................</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(1,783) (6,583) Net dispositions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(acquisitions) of businesses net of cash</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disposed/acquired............... (23,839)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956 (9) 839 NET CASH (USED IN) PROVIDED BY</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INVESTING ACTIVITIES OF CONTINUING</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OPERATIONS......... (25,428) (6,645) 839</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debt issuances........ 739 Proceeds from debt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from AT&amp;T.................. 5,738 12,816 725</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Retirement of long-term</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debt.................. (494) (77) Retirement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of AT&amp;T debt....................... (1,724)</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(1,694) Issuance of AT&amp;T Wireless Group</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7"/>
          <w:szCs w:val="17"/>
          <w:color w:val="auto"/>
        </w:rPr>
        <w:t>10,291 Dividends paid on common</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stock................ (2,221) (Decrease)</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increase in short-term borrowings,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16,248 (902)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(5,207) 166 NET CASH PROVIDED BY (USED IN)</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FINANCING ACTIVITIES OF CONTINUING</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OPERATIONS......... 25,094 10,279 (969) Net</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cash (used in) provided by discontinued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7"/>
          <w:szCs w:val="17"/>
          <w:color w:val="auto"/>
        </w:rPr>
        <w:t>Net (decrease) in cash and cash</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equivalents... Cash and cash equivalents at</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beginning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Cash and cash equivalents at end of</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period.... $ -- $ -- $ -- $ -- $ -- $ -- $ --</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MEDIAONE MEDIAONE MEDIAONE ELIMINATION AND</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FINANCING FINANCE FINANCE NON-GUARANTOR</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CONSOLIDATION CONSOLIDATED II II III</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SUBSIDIARIES ADJUSTMENTS AT&amp;T CORP.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ind w:left="520" w:hanging="309"/>
        <w:spacing w:after="0"/>
        <w:tabs>
          <w:tab w:leader="none" w:pos="520" w:val="left"/>
        </w:tabs>
        <w:numPr>
          <w:ilvl w:val="0"/>
          <w:numId w:val="6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NET CASH PROVIDED BY (USED</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OPERATING ACTIVITIES OF CONTINUING</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 $ -- $ -- $ -- $11,242 $</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42 $ 8,114 INVESTING ACTIVITIES Capital</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expenditures and other additions......</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(6,938) (7,753) Equity investment</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contributions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purchases...................................</w:t>
      </w:r>
    </w:p>
    <w:p>
      <w:pPr>
        <w:spacing w:after="0" w:line="9" w:lineRule="exact"/>
        <w:rPr>
          <w:sz w:val="20"/>
          <w:szCs w:val="20"/>
          <w:color w:val="auto"/>
        </w:rPr>
      </w:pPr>
    </w:p>
    <w:p>
      <w:pPr>
        <w:ind w:left="320" w:right="5719" w:firstLine="206"/>
        <w:spacing w:after="0" w:line="251" w:lineRule="auto"/>
        <w:tabs>
          <w:tab w:leader="none" w:pos="1158" w:val="left"/>
        </w:tabs>
        <w:numPr>
          <w:ilvl w:val="0"/>
          <w:numId w:val="6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6,583 (2,364) Net dispositions (acquisitions) of businesses net of cash</w:t>
      </w: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disposed/acquired............... 7,225</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(16,614)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(9,414) 7,923 295 NET CASH (USED IN) PROVIDED</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BY INVESTING ACTIVITIES OF CONTINUING</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OPERATIONS......... (9,708) 14,506 (26,436)</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debt issuances........ 739 Proceeds from debt</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from AT&amp;T.................. (19,279)</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Retirement of long-term</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debt.................. (1,383) (1,954)</w:t>
      </w:r>
    </w:p>
    <w:p>
      <w:pPr>
        <w:spacing w:after="0" w:line="9" w:lineRule="exact"/>
        <w:rPr>
          <w:sz w:val="20"/>
          <w:szCs w:val="20"/>
          <w:color w:val="auto"/>
        </w:rPr>
      </w:pPr>
    </w:p>
    <w:p>
      <w:pPr>
        <w:ind w:left="1460"/>
        <w:spacing w:after="0"/>
        <w:rPr>
          <w:sz w:val="20"/>
          <w:szCs w:val="20"/>
          <w:color w:val="auto"/>
        </w:rPr>
      </w:pPr>
      <w:r>
        <w:rPr>
          <w:rFonts w:ascii="Courier New" w:cs="Courier New" w:eastAsia="Courier New" w:hAnsi="Courier New"/>
          <w:sz w:val="17"/>
          <w:szCs w:val="17"/>
          <w:color w:val="auto"/>
        </w:rPr>
        <w:t>Retirement of AT&amp;T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debt....................... 3,418 Issuance of</w:t>
      </w:r>
    </w:p>
    <w:p>
      <w:pPr>
        <w:spacing w:after="0" w:line="9"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AT&amp;T Wireless Group common</w:t>
      </w:r>
    </w:p>
    <w:p>
      <w:pPr>
        <w:sectPr>
          <w:pgSz w:w="11900" w:h="16838" w:orient="portrait"/>
          <w:cols w:equalWidth="0" w:num="1">
            <w:col w:w="10219"/>
          </w:cols>
          <w:pgMar w:left="240" w:top="719" w:right="1440" w:bottom="0" w:gutter="0" w:footer="0" w:header="0"/>
        </w:sectPr>
      </w:pPr>
    </w:p>
    <w:bookmarkStart w:id="624" w:name="page625"/>
    <w:bookmarkEnd w:id="624"/>
    <w:p>
      <w:pPr>
        <w:ind w:left="100"/>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10,291 Dividends paid on common</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stock................ (2,221) (Decrease)</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increase in short-term borrowings,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662 1,355 17,363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4,194 (70) (917) NET CASH PROVIDED BY (USED</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IN) FINANCING ACTIVITIES OF CONTINUING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OPERATIONS......... 3,473 (14,576) 23,301 Net</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cash (used in) provided by discontinued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(5,714) 28 (5,686) Net (decrease) in cash and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cash equivalents... (707) (707) Cash and cash</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equivalents at beginning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1,018 1,018 Cash and cash equivalents at end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400" w:type="dxa"/>
            <w:vAlign w:val="bottom"/>
          </w:tcPr>
          <w:p>
            <w:pPr>
              <w:spacing w:after="0"/>
              <w:rPr>
                <w:sz w:val="20"/>
                <w:szCs w:val="20"/>
                <w:color w:val="auto"/>
              </w:rPr>
            </w:pPr>
            <w:r>
              <w:rPr>
                <w:rFonts w:ascii="Courier New" w:cs="Courier New" w:eastAsia="Courier New" w:hAnsi="Courier New"/>
                <w:sz w:val="17"/>
                <w:szCs w:val="17"/>
                <w:color w:val="auto"/>
              </w:rPr>
              <w:t>of period....</w:t>
            </w: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 -- $ -- $ -- $ 311</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 -- $ 311</w:t>
            </w:r>
          </w:p>
        </w:tc>
      </w:tr>
      <w:tr>
        <w:trPr>
          <w:trHeight w:val="604"/>
        </w:trPr>
        <w:tc>
          <w:tcPr>
            <w:tcW w:w="1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0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L-32</w:t>
            </w:r>
          </w:p>
        </w:tc>
      </w:tr>
    </w:tbl>
    <w:p>
      <w:pPr>
        <w:sectPr>
          <w:pgSz w:w="11900" w:h="16838" w:orient="portrait"/>
          <w:cols w:equalWidth="0" w:num="1">
            <w:col w:w="10219"/>
          </w:cols>
          <w:pgMar w:left="240" w:top="142" w:right="1440" w:bottom="1440" w:gutter="0" w:footer="0" w:header="0"/>
        </w:sectPr>
      </w:pPr>
    </w:p>
    <w:bookmarkStart w:id="625" w:name="page626"/>
    <w:bookmarkEnd w:id="625"/>
    <w:p>
      <w:pPr>
        <w:ind w:left="540" w:hanging="533"/>
        <w:spacing w:after="0"/>
        <w:tabs>
          <w:tab w:leader="none" w:pos="540" w:val="left"/>
        </w:tabs>
        <w:numPr>
          <w:ilvl w:val="0"/>
          <w:numId w:val="6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ACCOUNTING PRONOUNCEMENTS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June 2001, the Financial Accounting Standards Board (FASB) issued SFAS No. 141, "Business Combinations," which supercedes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These requirements are effective for fiscal years beginning after December 15, 2001, which for AT&amp;T means January 1, 2002. AT&amp;T does not expect that the adoption of SFAS No. 141 will have a material effect on AT&amp;T's results of operations, financial position or cash flows.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Also in June 2001, the FASB issued SFAS No. 142, "Goodwill and Other Intangible Assets," which supercedes APB Opinion No. 17. Under SFAS No.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fiscal years beginning after December 15, 2001, which for AT&amp;T means the standard will be adopted on January 1, 2002. In connection with the adoption of this standard, AT&amp;T's unamortized goodwill balance will no longer be amortized, but will continue to be tested for impairment. Therefore, we expect that this standard will have a significant impact on our future operating results. We are assessing the impact of the standard on other indefinite lived assets and the total impact, including adoption impairment impacts, if any, of such standard on our results of operations.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which for AT&amp;T means the standard will be adopted on January 1, 2003. AT&amp;T does not expect that the adoption of this statement will have a material impact on AT&amp;T's results of operations, financial position or cash flows.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October 2001, the FASB issued SFAS No. 144, "Accounting for the Impairment or Disposal of Long-Lived Assets," which supercedes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is effective for financial statements issued for fiscal years beginning after December 15, 2001, which for AT&amp;T means the standard will be adopted on January 1, 2002. AT&amp;T does not expect that the adoption of SFAS No. 144 will have a material impact on AT&amp;T's results of operations, financial position or cash flows.</w:t>
      </w:r>
    </w:p>
    <w:p>
      <w:pPr>
        <w:spacing w:after="0" w:line="200" w:lineRule="exact"/>
        <w:rPr>
          <w:sz w:val="20"/>
          <w:szCs w:val="20"/>
          <w:color w:val="auto"/>
        </w:rPr>
      </w:pPr>
    </w:p>
    <w:p>
      <w:pPr>
        <w:spacing w:after="0" w:line="203" w:lineRule="exact"/>
        <w:rPr>
          <w:sz w:val="20"/>
          <w:szCs w:val="20"/>
          <w:color w:val="auto"/>
        </w:rPr>
      </w:pPr>
    </w:p>
    <w:p>
      <w:pPr>
        <w:ind w:left="540" w:hanging="533"/>
        <w:spacing w:after="0"/>
        <w:tabs>
          <w:tab w:leader="none" w:pos="540" w:val="left"/>
        </w:tabs>
        <w:numPr>
          <w:ilvl w:val="0"/>
          <w:numId w:val="6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EVENTS</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On October 23, 2001, AT&amp;T sold approximately 19.2 million shares of Cablevision NY Group Class A common stock and, through a trust, 23.4 million shares of a mandatorily exchangeable trust security that will be exchangeable into up to 23.4 million shares of Cablevision NY Group Class A common stock at maturity in three years. The offering price was $36.05 per share for both the common shares and the exchangeable securities. The offerings generated approximately $1.3 billion of pretax proceeds, net of underwriting fees. The sale resulted in a pretax loss of approximately $0.2 billion. In</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L-33</w:t>
      </w:r>
    </w:p>
    <w:p>
      <w:pPr>
        <w:sectPr>
          <w:pgSz w:w="11900" w:h="16838" w:orient="portrait"/>
          <w:cols w:equalWidth="0" w:num="1">
            <w:col w:w="10219"/>
          </w:cols>
          <w:pgMar w:left="240" w:top="720" w:right="1440" w:bottom="256" w:gutter="0" w:footer="0" w:header="0"/>
        </w:sectPr>
      </w:pPr>
    </w:p>
    <w:bookmarkStart w:id="626" w:name="page627"/>
    <w:bookmarkEnd w:id="626"/>
    <w:p>
      <w:pPr>
        <w:ind w:right="1939"/>
        <w:spacing w:after="0" w:line="253" w:lineRule="auto"/>
        <w:rPr>
          <w:sz w:val="20"/>
          <w:szCs w:val="20"/>
          <w:color w:val="auto"/>
        </w:rPr>
      </w:pPr>
      <w:r>
        <w:rPr>
          <w:rFonts w:ascii="Courier New" w:cs="Courier New" w:eastAsia="Courier New" w:hAnsi="Courier New"/>
          <w:sz w:val="17"/>
          <w:szCs w:val="17"/>
          <w:color w:val="auto"/>
        </w:rPr>
        <w:t>addition, the underwriters' have exercised a portion of their over-allotment options, which resulted in the sale of an additional 3.5 million shares of the exchangeable securities through the trust. AT&amp;T received additional proceeds of approximately $0.1 billion from this transaction.</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October 2001, AT&amp;T completed the disposition of 45 million shares of AT&amp;T Wireless generating proceeds of approximately $0.6 billion. In December of 2001, AT&amp;T completed the disposition of its remaining interest in AT&amp;T Wireless through the monetization of 45.8 million AT&amp;T Wireless shares generating proceeds of approximately $0.7 billion.</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November 21, 2001 AT&amp;T closed a $10.1 billion global bond offering consisting of five tranches: $1.5 billion in five-year notes; $2.75 billion in ten-year notes; $2.75 billion in 30-year notes; 1.5 billion euros of two-year notes; and 2.0 billion euros of five-year notes. The proceeds from the offering will primarily be used to retire short-term debt.</w:t>
      </w:r>
    </w:p>
    <w:p>
      <w:pPr>
        <w:spacing w:after="0" w:line="197"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On December 14, 2001, AT&amp;T entered into a 364-day, $8 billion syndicated revolving-credit facility.</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On December 18, 2001, AT&amp;T sold 14.7 million shares of Rainbow Media Group Class A tracking stock and 9.8 million shares of a trust security that will be exchangeable into up to 9.8 million shares of Rainbow Media Group Class A tracking stock at maturity in approximately three years. The offerings generated approximately $487 million of pretax net proceeds.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December 19, 2001, AT&amp;T and Comcast Corporation announced an agreement to combine AT&amp;T Broadband with Comcast in a transaction valuing AT&amp;T Broadband. Under the terms of the agreement, AT&amp;T will spin-off AT&amp;T Broadband and simultaneously merge it with Comcast, forming a new company to be called AT&amp;T Comcast Corporation. AT&amp;T shareholders will receive a number of shares of AT&amp;T Comcast common stock calculated pursuant to a formula specified in the merger agreement. If determined as of the date of the merger agreement, the exchange ratio would have been approximately .34, assuming the AT&amp;T shares held by Comcast are included in the number of shares of AT&amp;T common stock outstanding. Assuming Comcast retains its AT&amp;T shares and converts them into exchangeable preferred stock of AT&amp;T as contemplated by the merger agreement, the exchange ratio would be approximately 0.35 as of the date of the execution of the merger agreement. AT&amp;T shareowners will own a 56% economic stake and have a 66% voting interest, calculated as of the date of the merger agreement, in the new company. The merger remains subject to regulatory review, shareholder approval by both companies and certain other conditions and is expected to close by the end of 2002. AT&amp;T also reaffirmed its commitment to create a tracking stock designed to reflect the economic value and financial performance of its AT&amp;T Consumer business. The tracking stock is expected to be distributed to AT&amp;T shareholders following shareholder approval in 2002.</w:t>
      </w:r>
    </w:p>
    <w:p>
      <w:pPr>
        <w:spacing w:after="0" w:line="202"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In January and February of 2002, AT&amp;T announced that it will redeem $1.3 billion of trust preferred securities in February and March of 2002. These amounts are classified as long-term debt in the accompanying consolidated balance sheets.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January 2002, AT&amp;T Corp. entered into a $2.6 billion five-year agreement with Accenture Ltd. for Accenture to provide management, new technology and training for AT&amp;T Consumer Services. Under the terms of the agreement, Accenture will be responsible for providing new technology development and ongoing management direction to improve AT&amp;T Consumer Services' customer care operations, with goals of reducing costs, raising productivity, and improving sales and customer service. AT&amp;T Consumer Services will continue to develop and implement its overall business and marketing strategies and new product offerings.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connection with the adoption of SFAS No. 142, AT&amp;T believes that franchise cost represents an indefinite-lived asset as defined in SFAS No. 142. Accordingly, effective January 1, 2002, AT&amp;T will no longer amortize franchise costs, but will test the asset for impairment. As of September 30, 2001, AT&amp;T had franchise costs of $43.3 billion and goodwill of $24.8 billion, both of which will no longer be amortized. For the nine months ended September 30, 2001, amortization of these intangible assets was $1,636. In addition, AT&amp;T had excess basis related to our equity method investments of $8.6 billion at September 30, 2001, with related amortization of $179 for the nine months ended September 30, 2001. In accordance with this statement these costs will no longer be amortized beginning January 1, 2002. We are continuing to assess the adoption impairment impacts of such standard on our results of operations.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L-34</w:t>
      </w:r>
    </w:p>
    <w:p>
      <w:pPr>
        <w:sectPr>
          <w:pgSz w:w="11900" w:h="16838" w:orient="portrait"/>
          <w:cols w:equalWidth="0" w:num="1">
            <w:col w:w="10219"/>
          </w:cols>
          <w:pgMar w:left="240" w:top="719" w:right="1440" w:bottom="55" w:gutter="0" w:footer="0" w:header="0"/>
        </w:sectPr>
      </w:pPr>
    </w:p>
    <w:bookmarkStart w:id="627" w:name="page628"/>
    <w:bookmarkEnd w:id="627"/>
    <w:p>
      <w:pPr>
        <w:ind w:left="2420"/>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 Shareowners of AT&amp;T Corp.:</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our opinion, based on our audits and the report of other auditors, the accompanying consolidated balance sheets and the related consolidated statements of income, changes in shareowners' equity and of cash flows present fairly, in all material respects, the financial position of AT&amp;T Corp. and its subsidiaries (AT&amp;T) at December 31, 2000 and 1999, and the results of their operations and their cash flows for each of the three years ended December 31, 2000, in conformity with accounting principles generally accepted in the United States of America. These financial statements are the responsibility of AT&amp;T's management; our responsibility is to express an opinion on these financial statements based on our audits. We did not audit the financial statements of Liberty Media Group, an equity method investee, which was acquired by AT&amp;T on March 9, 1999. AT&amp;T's financial statements include an investment of $34,290 million and $38,460 million as of December 31, 2000 and 1999, respectively, and equity method earnings (losses) of $1,488 million and $(2,022) million, for the years ended December 31, 2000 and 1999, respectively. Those statements were audited by other auditors whose report thereon has been furnished to us, and our opinion expressed herein, insofar as it relates to the amounts included for Liberty Media Group, as of and for the years ended December 31, 2000 and 1999, is based solely on the report of the other auditors.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our opinion.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PRICEWATERHOUSECOOPERS LLP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w:t>
      </w:r>
    </w:p>
    <w:p>
      <w:pPr>
        <w:spacing w:after="0" w:line="9"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March 16, 2001, except for Note 6 as to which the date is May 29, 2001, and Note 23 as to which the date is August 10, 2001</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L-35</w:t>
      </w:r>
    </w:p>
    <w:p>
      <w:pPr>
        <w:sectPr>
          <w:pgSz w:w="11900" w:h="16838" w:orient="portrait"/>
          <w:cols w:equalWidth="0" w:num="1">
            <w:col w:w="10219"/>
          </w:cols>
          <w:pgMar w:left="240" w:top="719" w:right="1440" w:bottom="1440" w:gutter="0" w:footer="0" w:header="0"/>
        </w:sectPr>
      </w:pPr>
    </w:p>
    <w:bookmarkStart w:id="628" w:name="page629"/>
    <w:bookmarkEnd w:id="628"/>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------ 2000 1999 1998 -------- -------- -------- (DOLLARS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 MILLIONS, EXCEPT PER SHARE AMOUNTS)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$55,533 $54,973 $47,817 Operating Expenses Access and other</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4560" w:type="dxa"/>
            <w:vAlign w:val="bottom"/>
          </w:tcPr>
          <w:p>
            <w:pPr>
              <w:spacing w:after="0"/>
              <w:rPr>
                <w:sz w:val="20"/>
                <w:szCs w:val="20"/>
                <w:color w:val="auto"/>
              </w:rPr>
            </w:pPr>
            <w:r>
              <w:rPr>
                <w:rFonts w:ascii="Courier New" w:cs="Courier New" w:eastAsia="Courier New" w:hAnsi="Courier New"/>
                <w:sz w:val="17"/>
                <w:szCs w:val="17"/>
                <w:color w:val="auto"/>
              </w:rPr>
              <w:t>connection.................................</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13,140 14,439</w:t>
            </w:r>
          </w:p>
        </w:tc>
      </w:tr>
    </w:tbl>
    <w:p>
      <w:pPr>
        <w:spacing w:after="0" w:line="4"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15,116 Costs of services and products (excluding</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depreciation of $4,410, $4,215 and $2,763 included</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below)................. 12,795 11,013 8,285 Selling,</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general and administrative......................... 9,752</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10,894 10,693 Depreciation and other</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amortization......................... 5,924 5,137 3,533</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Amortization of goodwill, franchise costs and other</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purchased intangibles.....................................</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2,665 1,057 44 Net restructuring and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charges......................... 7,029 975 2,514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operating expenses....................................</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51,305 43,515 40,185 Operating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 4,228</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11,458 7,632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1,150 826 812 Interest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expense............................................ 2,964</w:t>
      </w:r>
    </w:p>
    <w:p>
      <w:pPr>
        <w:spacing w:after="0" w:line="9" w:lineRule="exact"/>
        <w:rPr>
          <w:sz w:val="20"/>
          <w:szCs w:val="20"/>
          <w:color w:val="auto"/>
        </w:rPr>
      </w:pPr>
    </w:p>
    <w:p>
      <w:pPr>
        <w:ind w:left="120" w:right="4039" w:firstLine="53"/>
        <w:spacing w:after="0" w:line="251" w:lineRule="auto"/>
        <w:rPr>
          <w:sz w:val="20"/>
          <w:szCs w:val="20"/>
          <w:color w:val="auto"/>
        </w:rPr>
      </w:pPr>
      <w:r>
        <w:rPr>
          <w:rFonts w:ascii="Courier New" w:cs="Courier New" w:eastAsia="Courier New" w:hAnsi="Courier New"/>
          <w:sz w:val="17"/>
          <w:szCs w:val="17"/>
          <w:color w:val="auto"/>
        </w:rPr>
        <w:t>1,503 293 Income from continuing operations before income taxes, minority interest and earnings (losses) from equity</w:t>
      </w:r>
    </w:p>
    <w:p>
      <w:pPr>
        <w:ind w:left="120"/>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2,414 10,781 8,151 Provision for income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taxes.................................. 3,284 4,016 2,989</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Minority interest 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(expense).......................... 4,103 (126) (1) Equity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earnings (losses) from Liberty Media Group........... 1,488</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(2,022) -- Net losses from other equity</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investments.................... 588 756 109 Income from</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continuing operations........................... 4,133</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3,861 5,052 Discontinued Operations Income from</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discontinued operations (net of income taxes of $307,</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$(238) and $158).................................... 536</w:t>
      </w:r>
    </w:p>
    <w:p>
      <w:pPr>
        <w:spacing w:after="0" w:line="9" w:lineRule="exact"/>
        <w:rPr>
          <w:sz w:val="20"/>
          <w:szCs w:val="20"/>
          <w:color w:val="auto"/>
        </w:rPr>
      </w:pPr>
    </w:p>
    <w:p>
      <w:pPr>
        <w:ind w:left="2360" w:right="4079" w:hanging="2196"/>
        <w:spacing w:after="0" w:line="251" w:lineRule="auto"/>
        <w:tabs>
          <w:tab w:leader="none" w:pos="788" w:val="left"/>
        </w:tabs>
        <w:numPr>
          <w:ilvl w:val="0"/>
          <w:numId w:val="6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193 Gain on sale of discontinued operations (net of income taxes of</w:t>
      </w:r>
    </w:p>
    <w:tbl>
      <w:tblPr>
        <w:tblLayout w:type="fixed"/>
        <w:tblInd w:w="60" w:type="dxa"/>
        <w:tblCellMar>
          <w:top w:w="0" w:type="dxa"/>
          <w:left w:w="0" w:type="dxa"/>
          <w:bottom w:w="0" w:type="dxa"/>
          <w:right w:w="0" w:type="dxa"/>
        </w:tblCellMar>
      </w:tblPr>
      <w:tr>
        <w:trPr>
          <w:trHeight w:val="197"/>
        </w:trPr>
        <w:tc>
          <w:tcPr>
            <w:tcW w:w="3080" w:type="dxa"/>
            <w:vAlign w:val="bottom"/>
          </w:tcPr>
          <w:p>
            <w:pPr>
              <w:jc w:val="right"/>
              <w:spacing w:after="0"/>
              <w:rPr>
                <w:sz w:val="20"/>
                <w:szCs w:val="20"/>
                <w:color w:val="auto"/>
              </w:rPr>
            </w:pPr>
            <w:r>
              <w:rPr>
                <w:rFonts w:ascii="Courier New" w:cs="Courier New" w:eastAsia="Courier New" w:hAnsi="Courier New"/>
                <w:sz w:val="13"/>
                <w:szCs w:val="13"/>
                <w:color w:val="auto"/>
                <w:w w:val="71"/>
              </w:rPr>
              <w:t>$799)..................................................</w:t>
            </w:r>
          </w:p>
        </w:tc>
        <w:tc>
          <w:tcPr>
            <w:tcW w:w="3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-- 1,290 Income before extraordinary</w:t>
            </w:r>
          </w:p>
        </w:tc>
      </w:tr>
      <w:tr>
        <w:trPr>
          <w:trHeight w:val="201"/>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w w:val="93"/>
              </w:rPr>
              <w:t>loss............................</w:t>
            </w:r>
          </w:p>
        </w:tc>
        <w:tc>
          <w:tcPr>
            <w:tcW w:w="3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4,669 3,428 6,535</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Extraordinary loss (net of income taxes of</w:t>
            </w:r>
          </w:p>
        </w:tc>
      </w:tr>
      <w:tr>
        <w:trPr>
          <w:trHeight w:val="201"/>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$80).............</w:t>
            </w:r>
          </w:p>
        </w:tc>
        <w:tc>
          <w:tcPr>
            <w:tcW w:w="3100" w:type="dxa"/>
            <w:vAlign w:val="bottom"/>
          </w:tcPr>
          <w:p>
            <w:pPr>
              <w:jc w:val="right"/>
              <w:ind w:right="1373"/>
              <w:spacing w:after="0"/>
              <w:rPr>
                <w:sz w:val="20"/>
                <w:szCs w:val="20"/>
                <w:color w:val="auto"/>
              </w:rPr>
            </w:pPr>
            <w:r>
              <w:rPr>
                <w:rFonts w:ascii="Courier New" w:cs="Courier New" w:eastAsia="Courier New" w:hAnsi="Courier New"/>
                <w:sz w:val="17"/>
                <w:szCs w:val="17"/>
                <w:color w:val="auto"/>
              </w:rPr>
              <w:t>-- -- 137 Net</w:t>
            </w:r>
          </w:p>
        </w:tc>
      </w:tr>
      <w:tr>
        <w:trPr>
          <w:trHeight w:val="201"/>
        </w:trPr>
        <w:tc>
          <w:tcPr>
            <w:tcW w:w="3080" w:type="dxa"/>
            <w:vAlign w:val="bottom"/>
          </w:tcPr>
          <w:p>
            <w:pPr>
              <w:jc w:val="right"/>
              <w:spacing w:after="0"/>
              <w:rPr>
                <w:sz w:val="20"/>
                <w:szCs w:val="20"/>
                <w:color w:val="auto"/>
              </w:rPr>
            </w:pPr>
            <w:r>
              <w:rPr>
                <w:rFonts w:ascii="Courier New" w:cs="Courier New" w:eastAsia="Courier New" w:hAnsi="Courier New"/>
                <w:sz w:val="13"/>
                <w:szCs w:val="13"/>
                <w:color w:val="auto"/>
                <w:w w:val="70"/>
              </w:rPr>
              <w:t>income..................................................</w:t>
            </w:r>
          </w:p>
        </w:tc>
        <w:tc>
          <w:tcPr>
            <w:tcW w:w="3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4,669 $ 3,428 $ 6,398 -------</w:t>
            </w:r>
          </w:p>
        </w:tc>
        <w:tc>
          <w:tcPr>
            <w:tcW w:w="3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 AT&amp;T Common</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Stock Group -- per basic share: Income from continuing</w:t>
            </w:r>
          </w:p>
        </w:tc>
      </w:tr>
      <w:tr>
        <w:trPr>
          <w:trHeight w:val="201"/>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w w:val="81"/>
              </w:rPr>
              <w:t>operations...........................</w:t>
            </w:r>
          </w:p>
        </w:tc>
        <w:tc>
          <w:tcPr>
            <w:tcW w:w="3100" w:type="dxa"/>
            <w:vAlign w:val="bottom"/>
          </w:tcPr>
          <w:p>
            <w:pPr>
              <w:jc w:val="right"/>
              <w:spacing w:after="0"/>
              <w:rPr>
                <w:sz w:val="20"/>
                <w:szCs w:val="20"/>
                <w:color w:val="auto"/>
              </w:rPr>
            </w:pPr>
            <w:r>
              <w:rPr>
                <w:rFonts w:ascii="Courier New" w:cs="Courier New" w:eastAsia="Courier New" w:hAnsi="Courier New"/>
                <w:sz w:val="17"/>
                <w:szCs w:val="17"/>
                <w:color w:val="auto"/>
              </w:rPr>
              <w:t>$ 0.76 $ 1.91 $ 1.89</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Income (loss) from discontinued</w:t>
            </w:r>
          </w:p>
        </w:tc>
      </w:tr>
      <w:tr>
        <w:trPr>
          <w:trHeight w:val="201"/>
        </w:trPr>
        <w:tc>
          <w:tcPr>
            <w:tcW w:w="30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operations..................</w:t>
            </w:r>
          </w:p>
        </w:tc>
        <w:tc>
          <w:tcPr>
            <w:tcW w:w="3100" w:type="dxa"/>
            <w:vAlign w:val="bottom"/>
          </w:tcPr>
          <w:p>
            <w:pPr>
              <w:jc w:val="right"/>
              <w:spacing w:after="0"/>
              <w:rPr>
                <w:sz w:val="20"/>
                <w:szCs w:val="20"/>
                <w:color w:val="auto"/>
              </w:rPr>
            </w:pPr>
            <w:r>
              <w:rPr>
                <w:rFonts w:ascii="Courier New" w:cs="Courier New" w:eastAsia="Courier New" w:hAnsi="Courier New"/>
                <w:sz w:val="17"/>
                <w:szCs w:val="17"/>
                <w:color w:val="auto"/>
              </w:rPr>
              <w:t>0.13 (0.14) 0.07 Gain on sale</w:t>
            </w:r>
          </w:p>
        </w:tc>
      </w:tr>
      <w:tr>
        <w:trPr>
          <w:trHeight w:val="201"/>
        </w:trPr>
        <w:tc>
          <w:tcPr>
            <w:tcW w:w="3080" w:type="dxa"/>
            <w:vAlign w:val="bottom"/>
          </w:tcPr>
          <w:p>
            <w:pPr>
              <w:jc w:val="right"/>
              <w:spacing w:after="0"/>
              <w:rPr>
                <w:sz w:val="20"/>
                <w:szCs w:val="20"/>
                <w:color w:val="auto"/>
              </w:rPr>
            </w:pPr>
            <w:r>
              <w:rPr>
                <w:rFonts w:ascii="Courier New" w:cs="Courier New" w:eastAsia="Courier New" w:hAnsi="Courier New"/>
                <w:sz w:val="15"/>
                <w:szCs w:val="15"/>
                <w:color w:val="auto"/>
                <w:w w:val="72"/>
              </w:rPr>
              <w:t>of discontinued operations.....................</w:t>
            </w:r>
          </w:p>
        </w:tc>
        <w:tc>
          <w:tcPr>
            <w:tcW w:w="3100" w:type="dxa"/>
            <w:vAlign w:val="bottom"/>
          </w:tcPr>
          <w:p>
            <w:pPr>
              <w:jc w:val="right"/>
              <w:spacing w:after="0"/>
              <w:rPr>
                <w:sz w:val="20"/>
                <w:szCs w:val="20"/>
                <w:color w:val="auto"/>
              </w:rPr>
            </w:pPr>
            <w:r>
              <w:rPr>
                <w:rFonts w:ascii="Courier New" w:cs="Courier New" w:eastAsia="Courier New" w:hAnsi="Courier New"/>
                <w:sz w:val="17"/>
                <w:szCs w:val="17"/>
                <w:color w:val="auto"/>
              </w:rPr>
              <w:t>-- -- 0.48</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Extraordinary</w:t>
            </w:r>
          </w:p>
        </w:tc>
      </w:tr>
      <w:tr>
        <w:trPr>
          <w:trHeight w:val="201"/>
        </w:trPr>
        <w:tc>
          <w:tcPr>
            <w:tcW w:w="3080" w:type="dxa"/>
            <w:vAlign w:val="bottom"/>
          </w:tcPr>
          <w:p>
            <w:pPr>
              <w:jc w:val="right"/>
              <w:spacing w:after="0"/>
              <w:rPr>
                <w:sz w:val="20"/>
                <w:szCs w:val="20"/>
                <w:color w:val="auto"/>
              </w:rPr>
            </w:pPr>
            <w:r>
              <w:rPr>
                <w:rFonts w:ascii="Courier New" w:cs="Courier New" w:eastAsia="Courier New" w:hAnsi="Courier New"/>
                <w:sz w:val="15"/>
                <w:szCs w:val="15"/>
                <w:color w:val="auto"/>
                <w:w w:val="73"/>
              </w:rPr>
              <w:t>loss..........................................</w:t>
            </w:r>
          </w:p>
        </w:tc>
        <w:tc>
          <w:tcPr>
            <w:tcW w:w="3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-- 0.05</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AT&amp;T Common Stock Group</w:t>
            </w:r>
          </w:p>
        </w:tc>
      </w:tr>
      <w:tr>
        <w:trPr>
          <w:trHeight w:val="201"/>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w w:val="83"/>
              </w:rPr>
              <w:t>earnings............................</w:t>
            </w:r>
          </w:p>
        </w:tc>
        <w:tc>
          <w:tcPr>
            <w:tcW w:w="3100" w:type="dxa"/>
            <w:vAlign w:val="bottom"/>
          </w:tcPr>
          <w:p>
            <w:pPr>
              <w:jc w:val="right"/>
              <w:spacing w:after="0"/>
              <w:rPr>
                <w:sz w:val="20"/>
                <w:szCs w:val="20"/>
                <w:color w:val="auto"/>
              </w:rPr>
            </w:pPr>
            <w:r>
              <w:rPr>
                <w:rFonts w:ascii="Courier New" w:cs="Courier New" w:eastAsia="Courier New" w:hAnsi="Courier New"/>
                <w:sz w:val="17"/>
                <w:szCs w:val="17"/>
                <w:color w:val="auto"/>
              </w:rPr>
              <w:t>$ 0.89 $ 1.77 $ 2.39 -</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 ------- ------- AT&amp;T Common Stock Group -- per</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diluted share: Income from continuing</w:t>
            </w:r>
          </w:p>
        </w:tc>
      </w:tr>
      <w:tr>
        <w:trPr>
          <w:trHeight w:val="201"/>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w w:val="81"/>
              </w:rPr>
              <w:t>operations...........................</w:t>
            </w:r>
          </w:p>
        </w:tc>
        <w:tc>
          <w:tcPr>
            <w:tcW w:w="3100" w:type="dxa"/>
            <w:vAlign w:val="bottom"/>
          </w:tcPr>
          <w:p>
            <w:pPr>
              <w:jc w:val="right"/>
              <w:spacing w:after="0"/>
              <w:rPr>
                <w:sz w:val="20"/>
                <w:szCs w:val="20"/>
                <w:color w:val="auto"/>
              </w:rPr>
            </w:pPr>
            <w:r>
              <w:rPr>
                <w:rFonts w:ascii="Courier New" w:cs="Courier New" w:eastAsia="Courier New" w:hAnsi="Courier New"/>
                <w:sz w:val="17"/>
                <w:szCs w:val="17"/>
                <w:color w:val="auto"/>
              </w:rPr>
              <w:t>$ 0.75 $ 1.87 $ 1.87</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Income (loss) from discontinued</w:t>
            </w:r>
          </w:p>
        </w:tc>
      </w:tr>
      <w:tr>
        <w:trPr>
          <w:trHeight w:val="201"/>
        </w:trPr>
        <w:tc>
          <w:tcPr>
            <w:tcW w:w="30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operations..................</w:t>
            </w:r>
          </w:p>
        </w:tc>
        <w:tc>
          <w:tcPr>
            <w:tcW w:w="3100" w:type="dxa"/>
            <w:vAlign w:val="bottom"/>
          </w:tcPr>
          <w:p>
            <w:pPr>
              <w:jc w:val="right"/>
              <w:spacing w:after="0"/>
              <w:rPr>
                <w:sz w:val="20"/>
                <w:szCs w:val="20"/>
                <w:color w:val="auto"/>
              </w:rPr>
            </w:pPr>
            <w:r>
              <w:rPr>
                <w:rFonts w:ascii="Courier New" w:cs="Courier New" w:eastAsia="Courier New" w:hAnsi="Courier New"/>
                <w:sz w:val="17"/>
                <w:szCs w:val="17"/>
                <w:color w:val="auto"/>
              </w:rPr>
              <w:t>0.13 (0.13) 0.07 Gain on sale</w:t>
            </w:r>
          </w:p>
        </w:tc>
      </w:tr>
      <w:tr>
        <w:trPr>
          <w:trHeight w:val="201"/>
        </w:trPr>
        <w:tc>
          <w:tcPr>
            <w:tcW w:w="3080" w:type="dxa"/>
            <w:vAlign w:val="bottom"/>
          </w:tcPr>
          <w:p>
            <w:pPr>
              <w:jc w:val="right"/>
              <w:spacing w:after="0"/>
              <w:rPr>
                <w:sz w:val="20"/>
                <w:szCs w:val="20"/>
                <w:color w:val="auto"/>
              </w:rPr>
            </w:pPr>
            <w:r>
              <w:rPr>
                <w:rFonts w:ascii="Courier New" w:cs="Courier New" w:eastAsia="Courier New" w:hAnsi="Courier New"/>
                <w:sz w:val="15"/>
                <w:szCs w:val="15"/>
                <w:color w:val="auto"/>
                <w:w w:val="72"/>
              </w:rPr>
              <w:t>of discontinued operations.....................</w:t>
            </w:r>
          </w:p>
        </w:tc>
        <w:tc>
          <w:tcPr>
            <w:tcW w:w="3100" w:type="dxa"/>
            <w:vAlign w:val="bottom"/>
          </w:tcPr>
          <w:p>
            <w:pPr>
              <w:jc w:val="right"/>
              <w:spacing w:after="0"/>
              <w:rPr>
                <w:sz w:val="20"/>
                <w:szCs w:val="20"/>
                <w:color w:val="auto"/>
              </w:rPr>
            </w:pPr>
            <w:r>
              <w:rPr>
                <w:rFonts w:ascii="Courier New" w:cs="Courier New" w:eastAsia="Courier New" w:hAnsi="Courier New"/>
                <w:sz w:val="17"/>
                <w:szCs w:val="17"/>
                <w:color w:val="auto"/>
              </w:rPr>
              <w:t>-- -- 0.48</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Extraordinary</w:t>
            </w:r>
          </w:p>
        </w:tc>
      </w:tr>
      <w:tr>
        <w:trPr>
          <w:trHeight w:val="201"/>
        </w:trPr>
        <w:tc>
          <w:tcPr>
            <w:tcW w:w="3080" w:type="dxa"/>
            <w:vAlign w:val="bottom"/>
          </w:tcPr>
          <w:p>
            <w:pPr>
              <w:jc w:val="right"/>
              <w:spacing w:after="0"/>
              <w:rPr>
                <w:sz w:val="20"/>
                <w:szCs w:val="20"/>
                <w:color w:val="auto"/>
              </w:rPr>
            </w:pPr>
            <w:r>
              <w:rPr>
                <w:rFonts w:ascii="Courier New" w:cs="Courier New" w:eastAsia="Courier New" w:hAnsi="Courier New"/>
                <w:sz w:val="15"/>
                <w:szCs w:val="15"/>
                <w:color w:val="auto"/>
                <w:w w:val="73"/>
              </w:rPr>
              <w:t>loss..........................................</w:t>
            </w:r>
          </w:p>
        </w:tc>
        <w:tc>
          <w:tcPr>
            <w:tcW w:w="3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-- 0.05</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AT&amp;T Common Stock Group</w:t>
            </w:r>
          </w:p>
        </w:tc>
      </w:tr>
      <w:tr>
        <w:trPr>
          <w:trHeight w:val="201"/>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w w:val="83"/>
              </w:rPr>
              <w:t>earnings............................</w:t>
            </w:r>
          </w:p>
        </w:tc>
        <w:tc>
          <w:tcPr>
            <w:tcW w:w="3100" w:type="dxa"/>
            <w:vAlign w:val="bottom"/>
          </w:tcPr>
          <w:p>
            <w:pPr>
              <w:jc w:val="right"/>
              <w:spacing w:after="0"/>
              <w:rPr>
                <w:sz w:val="20"/>
                <w:szCs w:val="20"/>
                <w:color w:val="auto"/>
              </w:rPr>
            </w:pPr>
            <w:r>
              <w:rPr>
                <w:rFonts w:ascii="Courier New" w:cs="Courier New" w:eastAsia="Courier New" w:hAnsi="Courier New"/>
                <w:sz w:val="17"/>
                <w:szCs w:val="17"/>
                <w:color w:val="auto"/>
              </w:rPr>
              <w:t>$ 0.88 $ 1.74 $ 2.37 -</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 ------- AT&amp;T Wireless Group: Earnings per</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share: Basic and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diluted....................................... $ 0.21 $ --</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 -- Liberty Media Group: Earnings (loss) per share: Basic</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and diluted....................................... $ 0.58 $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(0.80) $ --</w:t>
      </w:r>
    </w:p>
    <w:p>
      <w:pPr>
        <w:spacing w:after="0" w:line="200" w:lineRule="exact"/>
        <w:rPr>
          <w:sz w:val="20"/>
          <w:szCs w:val="20"/>
          <w:color w:val="auto"/>
        </w:rPr>
      </w:pPr>
    </w:p>
    <w:p>
      <w:pPr>
        <w:spacing w:after="0" w:line="212"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The notes are an integral part of the consolidated financial statements.</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L-36</w:t>
      </w:r>
    </w:p>
    <w:p>
      <w:pPr>
        <w:sectPr>
          <w:pgSz w:w="11900" w:h="16838" w:orient="portrait"/>
          <w:cols w:equalWidth="0" w:num="1">
            <w:col w:w="10219"/>
          </w:cols>
          <w:pgMar w:left="240" w:top="720" w:right="1440" w:bottom="0" w:gutter="0" w:footer="0" w:header="0"/>
        </w:sectPr>
      </w:pPr>
    </w:p>
    <w:bookmarkStart w:id="629" w:name="page630"/>
    <w:bookmarkEnd w:id="629"/>
    <w:p>
      <w:pPr>
        <w:ind w:left="2740"/>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CONSOLIDATED BALANCE SHEETS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---------------------- 2000 1999 --------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 (DOLLARS IN MILLIONS) ASSETS Cash and cash</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equivalents................................. $ 64 $ 1,018</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Receivables, less allowances of $1,185 and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$1,151......... 9,408 8,657 Other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1,645 585</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2,102 -- Deferred income</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taxes..................................... 720 1,160</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Other current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assets...................................... 781 924</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Total Current Assets..................................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14,720 12,344 Property, plant and equipment,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net........................ 41,269 33,366 Franchise</w:t>
      </w:r>
    </w:p>
    <w:p>
      <w:pPr>
        <w:spacing w:after="0" w:line="9" w:lineRule="exact"/>
        <w:rPr>
          <w:sz w:val="20"/>
          <w:szCs w:val="20"/>
          <w:color w:val="auto"/>
        </w:rPr>
      </w:pPr>
    </w:p>
    <w:p>
      <w:pPr>
        <w:jc w:val="center"/>
        <w:ind w:right="4139"/>
        <w:spacing w:after="0" w:line="251" w:lineRule="auto"/>
        <w:rPr>
          <w:sz w:val="20"/>
          <w:szCs w:val="20"/>
          <w:color w:val="auto"/>
        </w:rPr>
      </w:pPr>
      <w:r>
        <w:rPr>
          <w:rFonts w:ascii="Courier New" w:cs="Courier New" w:eastAsia="Courier New" w:hAnsi="Courier New"/>
          <w:sz w:val="17"/>
          <w:szCs w:val="17"/>
          <w:color w:val="auto"/>
        </w:rPr>
        <w:t>costs, net of accumulated amortization of $1,664 and $697................................................ 48,218 32,693 Goodwill, net of accumulated amortization</w:t>
      </w:r>
    </w:p>
    <w:p>
      <w:pPr>
        <w:jc w:val="center"/>
        <w:ind w:right="4139"/>
        <w:spacing w:after="0"/>
        <w:rPr>
          <w:sz w:val="20"/>
          <w:szCs w:val="20"/>
          <w:color w:val="auto"/>
        </w:rPr>
      </w:pPr>
      <w:r>
        <w:rPr>
          <w:rFonts w:ascii="Courier New" w:cs="Courier New" w:eastAsia="Courier New" w:hAnsi="Courier New"/>
          <w:sz w:val="17"/>
          <w:szCs w:val="17"/>
          <w:color w:val="auto"/>
        </w:rPr>
        <w:t>of $609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$195....................................................</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26,782 5,310 Investment in Liberty Media Group and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related receivables,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34,290 38,460 Other investments and related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advances.................... 30,875 14,856 Prepaid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pension costs..................................... 3,003</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2,464 Other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7,979 6,601 Net assets of discontinued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operations..................... 27,224 17,363 Total</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Assets.......................................... $234,360</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$163,457 -------- -------- LIABILITIES Accounts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payable.......................................... $ 5,382</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$ 5,848 Payroll and benefit-related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liabilities................... 1,991 2,360 Debt maturing</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within one year............................. 31,838</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12,480 Liability under put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options............................... 2,564 -- Other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current liabilities.................................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6,200 5,330 Total Current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Liabilities............................. 47,975 26,018</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Long-term</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debt............................................ 33,089</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23,214 Long-term benefit-related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liabilities..................... 3,670 3,964 Deferred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income taxes..................................... 32,054</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20,507 Other long-term liabilities and deferred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credits.......... 4,823 3,755 Total</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Liabilities..................................... 121,611</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77,458 Minority</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Interest......................................... 4,841</w:t>
      </w:r>
    </w:p>
    <w:p>
      <w:pPr>
        <w:spacing w:after="0" w:line="9" w:lineRule="exact"/>
        <w:rPr>
          <w:sz w:val="20"/>
          <w:szCs w:val="20"/>
          <w:color w:val="auto"/>
        </w:rPr>
      </w:pPr>
    </w:p>
    <w:p>
      <w:pPr>
        <w:ind w:left="100" w:right="4239" w:firstLine="210"/>
        <w:spacing w:after="0" w:line="251" w:lineRule="auto"/>
        <w:rPr>
          <w:sz w:val="20"/>
          <w:szCs w:val="20"/>
          <w:color w:val="auto"/>
        </w:rPr>
      </w:pPr>
      <w:r>
        <w:rPr>
          <w:rFonts w:ascii="Courier New" w:cs="Courier New" w:eastAsia="Courier New" w:hAnsi="Courier New"/>
          <w:sz w:val="17"/>
          <w:szCs w:val="17"/>
          <w:color w:val="auto"/>
        </w:rPr>
        <w:t>2,372 Company-Obligated Convertible Quarterly Income Preferred Securities of Subsidiary Trust Holding Solely Subordinated Debt Securities of AT&amp;T....................</w:t>
      </w:r>
    </w:p>
    <w:p>
      <w:pPr>
        <w:jc w:val="center"/>
        <w:ind w:right="4139"/>
        <w:spacing w:after="0" w:line="251" w:lineRule="auto"/>
        <w:rPr>
          <w:sz w:val="20"/>
          <w:szCs w:val="20"/>
          <w:color w:val="auto"/>
        </w:rPr>
      </w:pPr>
      <w:r>
        <w:rPr>
          <w:rFonts w:ascii="Courier New" w:cs="Courier New" w:eastAsia="Courier New" w:hAnsi="Courier New"/>
          <w:sz w:val="17"/>
          <w:szCs w:val="17"/>
          <w:color w:val="auto"/>
        </w:rPr>
        <w:t>4,710 4,700 SHAREOWNERS' EQUITY Common Stock: AT&amp;T Common Stock, $1 par value, authorized 6,000,000,000 shares; issued and outstanding 3,760,151,185 shares (net of 416,887,452 treasury shares) at December 31, 2000, and 3,196,436,757 shares (net of 287,866,419 treasury shares)</w:t>
      </w:r>
    </w:p>
    <w:tbl>
      <w:tblPr>
        <w:tblLayout w:type="fixed"/>
        <w:tblInd w:w="220" w:type="dxa"/>
        <w:tblCellMar>
          <w:top w:w="0" w:type="dxa"/>
          <w:left w:w="0" w:type="dxa"/>
          <w:bottom w:w="0" w:type="dxa"/>
          <w:right w:w="0" w:type="dxa"/>
        </w:tblCellMar>
      </w:tblPr>
      <w:tr>
        <w:trPr>
          <w:trHeight w:val="197"/>
        </w:trPr>
        <w:tc>
          <w:tcPr>
            <w:tcW w:w="5080" w:type="dxa"/>
            <w:vAlign w:val="bottom"/>
          </w:tcPr>
          <w:p>
            <w:pPr>
              <w:spacing w:after="0"/>
              <w:rPr>
                <w:sz w:val="20"/>
                <w:szCs w:val="20"/>
                <w:color w:val="auto"/>
              </w:rPr>
            </w:pPr>
            <w:r>
              <w:rPr>
                <w:rFonts w:ascii="Courier New" w:cs="Courier New" w:eastAsia="Courier New" w:hAnsi="Courier New"/>
                <w:sz w:val="17"/>
                <w:szCs w:val="17"/>
                <w:color w:val="auto"/>
              </w:rPr>
              <w:t>at December 31, 1999............................</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3,760</w:t>
            </w:r>
          </w:p>
        </w:tc>
      </w:tr>
    </w:tbl>
    <w:p>
      <w:pPr>
        <w:spacing w:after="0" w:line="4"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3,196 AT&amp;T Wireless Group Common Stock, $1 par value,</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authorized 6,000,000,000 shares; issued and outstanding</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2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361,802,200</w:t>
            </w: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shares at</w:t>
            </w:r>
          </w:p>
        </w:tc>
        <w:tc>
          <w:tcPr>
            <w:tcW w:w="2340" w:type="dxa"/>
            <w:vAlign w:val="bottom"/>
          </w:tcPr>
          <w:p>
            <w:pPr>
              <w:ind w:left="40"/>
              <w:spacing w:after="0"/>
              <w:rPr>
                <w:sz w:val="20"/>
                <w:szCs w:val="20"/>
                <w:color w:val="auto"/>
              </w:rPr>
            </w:pPr>
            <w:r>
              <w:rPr>
                <w:rFonts w:ascii="Courier New" w:cs="Courier New" w:eastAsia="Courier New" w:hAnsi="Courier New"/>
                <w:sz w:val="17"/>
                <w:szCs w:val="17"/>
                <w:color w:val="auto"/>
              </w:rPr>
              <w:t>December 31,</w:t>
            </w:r>
          </w:p>
        </w:tc>
      </w:tr>
      <w:tr>
        <w:trPr>
          <w:trHeight w:val="201"/>
        </w:trPr>
        <w:tc>
          <w:tcPr>
            <w:tcW w:w="33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2000.............................</w:t>
            </w:r>
          </w:p>
        </w:tc>
        <w:tc>
          <w:tcPr>
            <w:tcW w:w="2340" w:type="dxa"/>
            <w:vAlign w:val="bottom"/>
          </w:tcPr>
          <w:p>
            <w:pPr>
              <w:ind w:left="260"/>
              <w:spacing w:after="0"/>
              <w:rPr>
                <w:sz w:val="20"/>
                <w:szCs w:val="20"/>
                <w:color w:val="auto"/>
              </w:rPr>
            </w:pPr>
            <w:r>
              <w:rPr>
                <w:rFonts w:ascii="Courier New" w:cs="Courier New" w:eastAsia="Courier New" w:hAnsi="Courier New"/>
                <w:sz w:val="17"/>
                <w:szCs w:val="17"/>
                <w:color w:val="auto"/>
              </w:rPr>
              <w:t>362 -- Liberty Media</w:t>
            </w:r>
          </w:p>
        </w:tc>
      </w:tr>
      <w:tr>
        <w:trPr>
          <w:trHeight w:val="201"/>
        </w:trPr>
        <w:tc>
          <w:tcPr>
            <w:tcW w:w="2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Group Class A Common</w:t>
            </w: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Stock, $1</w:t>
            </w:r>
          </w:p>
        </w:tc>
        <w:tc>
          <w:tcPr>
            <w:tcW w:w="2340" w:type="dxa"/>
            <w:vAlign w:val="bottom"/>
          </w:tcPr>
          <w:p>
            <w:pPr>
              <w:ind w:left="40"/>
              <w:spacing w:after="0"/>
              <w:rPr>
                <w:sz w:val="20"/>
                <w:szCs w:val="20"/>
                <w:color w:val="auto"/>
              </w:rPr>
            </w:pPr>
            <w:r>
              <w:rPr>
                <w:rFonts w:ascii="Courier New" w:cs="Courier New" w:eastAsia="Courier New" w:hAnsi="Courier New"/>
                <w:sz w:val="17"/>
                <w:szCs w:val="17"/>
                <w:color w:val="auto"/>
              </w:rPr>
              <w:t>par value, authorized</w:t>
            </w:r>
          </w:p>
        </w:tc>
      </w:tr>
    </w:tbl>
    <w:p>
      <w:pPr>
        <w:spacing w:after="0" w:line="4"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4,000,000,000 shares; issued and outstanding</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2,363,738,198 shares (net of 59,512,496 treasury shares)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at December 31, 2000, and 2,313,557,460 shares at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December 31, 1999.......................................</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2,364 2,314 Liberty Media Group Class B Common Stock, $1</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par value, authorized 400,000,000 shares; issued and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outstanding 206,221,288 shares (net of 10,607,776</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treasury shares) at December 31, 2000, and 216,842,228</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shares at December 31,</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1999................................................ 206</w:t>
      </w:r>
    </w:p>
    <w:p>
      <w:pPr>
        <w:sectPr>
          <w:pgSz w:w="11900" w:h="16838" w:orient="portrait"/>
          <w:cols w:equalWidth="0" w:num="1">
            <w:col w:w="10219"/>
          </w:cols>
          <w:pgMar w:left="240" w:top="720" w:right="1440" w:bottom="0" w:gutter="0" w:footer="0" w:header="0"/>
        </w:sectPr>
      </w:pPr>
    </w:p>
    <w:bookmarkStart w:id="630" w:name="page631"/>
    <w:bookmarkEnd w:id="630"/>
    <w:p>
      <w:pPr>
        <w:jc w:val="center"/>
        <w:ind w:right="4239"/>
        <w:spacing w:after="0"/>
        <w:rPr>
          <w:sz w:val="20"/>
          <w:szCs w:val="20"/>
          <w:color w:val="auto"/>
        </w:rPr>
      </w:pPr>
      <w:r>
        <w:rPr>
          <w:rFonts w:ascii="Courier New" w:cs="Courier New" w:eastAsia="Courier New" w:hAnsi="Courier New"/>
          <w:sz w:val="17"/>
          <w:szCs w:val="17"/>
          <w:color w:val="auto"/>
        </w:rPr>
        <w:t>217 Additional paid-in</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capital................................ 90,496 59,526</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Guaranteed ESOP</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obligation................................ -- (17)</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Retained</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earnings......................................... 7,408</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6,712 Accumulated other comprehensive</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income.................... (1,398) 6,979 Total</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Shareowners' Equity............................. 103,198</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78,927 Total Liabilities and Shareowners'</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Equity............. $234,360 $163,457 -------- --------</w:t>
      </w:r>
    </w:p>
    <w:p>
      <w:pPr>
        <w:spacing w:after="0" w:line="200" w:lineRule="exact"/>
        <w:rPr>
          <w:sz w:val="20"/>
          <w:szCs w:val="20"/>
          <w:color w:val="auto"/>
        </w:rPr>
      </w:pPr>
    </w:p>
    <w:p>
      <w:pPr>
        <w:spacing w:after="0" w:line="212"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The notes are an integral part of the consolidated financial statements.</w:t>
      </w:r>
    </w:p>
    <w:p>
      <w:pPr>
        <w:spacing w:after="0" w:line="21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L-37</w:t>
      </w:r>
    </w:p>
    <w:p>
      <w:pPr>
        <w:sectPr>
          <w:pgSz w:w="11900" w:h="16838" w:orient="portrait"/>
          <w:cols w:equalWidth="0" w:num="1">
            <w:col w:w="10119"/>
          </w:cols>
          <w:pgMar w:left="340" w:top="143" w:right="1440" w:bottom="1440" w:gutter="0" w:footer="0" w:header="0"/>
        </w:sectPr>
      </w:pPr>
    </w:p>
    <w:bookmarkStart w:id="631" w:name="page632"/>
    <w:bookmarkEnd w:id="631"/>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CONSOLIDATED STATEMENTS OF CHANGES IN SHAREOWNERS' EQUITY</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---------- 2000 1999 1998</w:t>
            </w:r>
          </w:p>
        </w:tc>
        <w:tc>
          <w:tcPr>
            <w:tcW w:w="540" w:type="dxa"/>
            <w:vAlign w:val="bottom"/>
          </w:tcPr>
          <w:p>
            <w:pPr>
              <w:jc w:val="center"/>
              <w:ind w:left="41"/>
              <w:spacing w:after="0"/>
              <w:rPr>
                <w:sz w:val="20"/>
                <w:szCs w:val="20"/>
                <w:color w:val="auto"/>
              </w:rPr>
            </w:pPr>
            <w:r>
              <w:rPr>
                <w:rFonts w:ascii="Courier New" w:cs="Courier New" w:eastAsia="Courier New" w:hAnsi="Courier New"/>
                <w:sz w:val="9"/>
                <w:szCs w:val="9"/>
                <w:color w:val="auto"/>
                <w:w w:val="77"/>
              </w:rPr>
              <w:t>----------</w:t>
            </w:r>
          </w:p>
        </w:tc>
        <w:tc>
          <w:tcPr>
            <w:tcW w:w="2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201"/>
        </w:trPr>
        <w:tc>
          <w:tcPr>
            <w:tcW w:w="60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(DOLLARS IN MILLIONS) AT&amp;T Common Shares Balance at</w:t>
            </w: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beginning of year..............................</w:t>
            </w:r>
          </w:p>
        </w:tc>
        <w:tc>
          <w:tcPr>
            <w:tcW w:w="1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$ 3,196 $</w:t>
            </w:r>
          </w:p>
        </w:tc>
      </w:tr>
      <w:tr>
        <w:trPr>
          <w:trHeight w:val="201"/>
        </w:trPr>
        <w:tc>
          <w:tcPr>
            <w:tcW w:w="60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2,630 $ 2,684 Shares issued (acquired), net: Under</w:t>
            </w: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employee plans...................................</w:t>
            </w:r>
          </w:p>
        </w:tc>
        <w:tc>
          <w:tcPr>
            <w:tcW w:w="1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3 -- 2</w:t>
            </w: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For acquisitions.......................................</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607</w:t>
            </w:r>
          </w:p>
        </w:tc>
        <w:tc>
          <w:tcPr>
            <w:tcW w:w="540" w:type="dxa"/>
            <w:vAlign w:val="bottom"/>
          </w:tcPr>
          <w:p>
            <w:pPr>
              <w:jc w:val="right"/>
              <w:ind w:right="41"/>
              <w:spacing w:after="0"/>
              <w:rPr>
                <w:sz w:val="20"/>
                <w:szCs w:val="20"/>
                <w:color w:val="auto"/>
              </w:rPr>
            </w:pPr>
            <w:r>
              <w:rPr>
                <w:rFonts w:ascii="Courier New" w:cs="Courier New" w:eastAsia="Courier New" w:hAnsi="Courier New"/>
                <w:sz w:val="17"/>
                <w:szCs w:val="17"/>
                <w:color w:val="auto"/>
              </w:rPr>
              <w:t>566</w:t>
            </w:r>
          </w:p>
        </w:tc>
        <w:tc>
          <w:tcPr>
            <w:tcW w:w="1300" w:type="dxa"/>
            <w:vAlign w:val="bottom"/>
          </w:tcPr>
          <w:p>
            <w:pPr>
              <w:jc w:val="right"/>
              <w:ind w:right="793"/>
              <w:spacing w:after="0"/>
              <w:rPr>
                <w:sz w:val="20"/>
                <w:szCs w:val="20"/>
                <w:color w:val="auto"/>
              </w:rPr>
            </w:pPr>
            <w:r>
              <w:rPr>
                <w:rFonts w:ascii="Courier New" w:cs="Courier New" w:eastAsia="Courier New" w:hAnsi="Courier New"/>
                <w:sz w:val="17"/>
                <w:szCs w:val="17"/>
                <w:color w:val="auto"/>
                <w:w w:val="97"/>
              </w:rPr>
              <w:t>(56)</w:t>
            </w:r>
          </w:p>
        </w:tc>
        <w:tc>
          <w:tcPr>
            <w:tcW w:w="1460" w:type="dxa"/>
            <w:vAlign w:val="bottom"/>
          </w:tcPr>
          <w:p>
            <w:pPr>
              <w:spacing w:after="0"/>
              <w:rPr>
                <w:sz w:val="17"/>
                <w:szCs w:val="17"/>
                <w:color w:val="auto"/>
              </w:rPr>
            </w:pP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Other*.................................................</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560" w:type="dxa"/>
            <w:vAlign w:val="bottom"/>
            <w:gridSpan w:val="3"/>
          </w:tcPr>
          <w:p>
            <w:pPr>
              <w:jc w:val="center"/>
              <w:ind w:left="1437"/>
              <w:spacing w:after="0"/>
              <w:rPr>
                <w:sz w:val="20"/>
                <w:szCs w:val="20"/>
                <w:color w:val="auto"/>
              </w:rPr>
            </w:pPr>
            <w:r>
              <w:rPr>
                <w:rFonts w:ascii="Courier New" w:cs="Courier New" w:eastAsia="Courier New" w:hAnsi="Courier New"/>
                <w:sz w:val="17"/>
                <w:szCs w:val="17"/>
                <w:color w:val="auto"/>
              </w:rPr>
              <w:t>(46) -- -- Balance at end of</w:t>
            </w:r>
          </w:p>
        </w:tc>
        <w:tc>
          <w:tcPr>
            <w:tcW w:w="1460" w:type="dxa"/>
            <w:vAlign w:val="bottom"/>
          </w:tcPr>
          <w:p>
            <w:pPr>
              <w:spacing w:after="0"/>
              <w:rPr>
                <w:sz w:val="17"/>
                <w:szCs w:val="17"/>
                <w:color w:val="auto"/>
              </w:rPr>
            </w:pP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5"/>
              </w:rPr>
              <w:t>year......................................</w:t>
            </w:r>
          </w:p>
        </w:tc>
        <w:tc>
          <w:tcPr>
            <w:tcW w:w="130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3,760 3,196</w:t>
            </w:r>
          </w:p>
        </w:tc>
      </w:tr>
      <w:tr>
        <w:trPr>
          <w:trHeight w:val="201"/>
        </w:trPr>
        <w:tc>
          <w:tcPr>
            <w:tcW w:w="60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2,630 AT&amp;T Wireless Group Common Stock Balance at</w:t>
            </w: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beginning of year..............................</w:t>
            </w:r>
          </w:p>
        </w:tc>
        <w:tc>
          <w:tcPr>
            <w:tcW w:w="1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 -- --</w:t>
            </w:r>
          </w:p>
        </w:tc>
      </w:tr>
      <w:tr>
        <w:trPr>
          <w:trHeight w:val="201"/>
        </w:trPr>
        <w:tc>
          <w:tcPr>
            <w:tcW w:w="4560" w:type="dxa"/>
            <w:vAlign w:val="bottom"/>
            <w:gridSpan w:val="3"/>
          </w:tcPr>
          <w:p>
            <w:pPr>
              <w:jc w:val="center"/>
              <w:ind w:left="1437"/>
              <w:spacing w:after="0"/>
              <w:rPr>
                <w:sz w:val="20"/>
                <w:szCs w:val="20"/>
                <w:color w:val="auto"/>
              </w:rPr>
            </w:pPr>
            <w:r>
              <w:rPr>
                <w:rFonts w:ascii="Courier New" w:cs="Courier New" w:eastAsia="Courier New" w:hAnsi="Courier New"/>
                <w:sz w:val="17"/>
                <w:szCs w:val="17"/>
                <w:color w:val="auto"/>
              </w:rPr>
              <w:t>Shares issued: For stock</w:t>
            </w:r>
          </w:p>
        </w:tc>
        <w:tc>
          <w:tcPr>
            <w:tcW w:w="1460" w:type="dxa"/>
            <w:vAlign w:val="bottom"/>
          </w:tcPr>
          <w:p>
            <w:pPr>
              <w:spacing w:after="0"/>
              <w:rPr>
                <w:sz w:val="17"/>
                <w:szCs w:val="17"/>
                <w:color w:val="auto"/>
              </w:rPr>
            </w:pP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0"/>
              </w:rPr>
              <w:t>offering.....................................</w:t>
            </w:r>
          </w:p>
        </w:tc>
        <w:tc>
          <w:tcPr>
            <w:tcW w:w="1300" w:type="dxa"/>
            <w:vAlign w:val="bottom"/>
          </w:tcPr>
          <w:p>
            <w:pPr>
              <w:spacing w:after="0"/>
              <w:rPr>
                <w:sz w:val="17"/>
                <w:szCs w:val="17"/>
                <w:color w:val="auto"/>
              </w:rPr>
            </w:pP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360 -- --</w:t>
            </w: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Under employee plans...................................</w:t>
            </w:r>
          </w:p>
        </w:tc>
        <w:tc>
          <w:tcPr>
            <w:tcW w:w="1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201"/>
        </w:trPr>
        <w:tc>
          <w:tcPr>
            <w:tcW w:w="4560" w:type="dxa"/>
            <w:vAlign w:val="bottom"/>
            <w:gridSpan w:val="3"/>
          </w:tcPr>
          <w:p>
            <w:pPr>
              <w:jc w:val="center"/>
              <w:ind w:left="1437"/>
              <w:spacing w:after="0"/>
              <w:rPr>
                <w:sz w:val="20"/>
                <w:szCs w:val="20"/>
                <w:color w:val="auto"/>
              </w:rPr>
            </w:pPr>
            <w:r>
              <w:rPr>
                <w:rFonts w:ascii="Courier New" w:cs="Courier New" w:eastAsia="Courier New" w:hAnsi="Courier New"/>
                <w:sz w:val="17"/>
                <w:szCs w:val="17"/>
                <w:color w:val="auto"/>
              </w:rPr>
              <w:t>-- -- Balance at end of</w:t>
            </w:r>
          </w:p>
        </w:tc>
        <w:tc>
          <w:tcPr>
            <w:tcW w:w="1460" w:type="dxa"/>
            <w:vAlign w:val="bottom"/>
          </w:tcPr>
          <w:p>
            <w:pPr>
              <w:spacing w:after="0"/>
              <w:rPr>
                <w:sz w:val="17"/>
                <w:szCs w:val="17"/>
                <w:color w:val="auto"/>
              </w:rPr>
            </w:pP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5"/>
              </w:rPr>
              <w:t>year......................................</w:t>
            </w:r>
          </w:p>
        </w:tc>
        <w:tc>
          <w:tcPr>
            <w:tcW w:w="1300" w:type="dxa"/>
            <w:vAlign w:val="bottom"/>
          </w:tcPr>
          <w:p>
            <w:pPr>
              <w:spacing w:after="0"/>
              <w:rPr>
                <w:sz w:val="17"/>
                <w:szCs w:val="17"/>
                <w:color w:val="auto"/>
              </w:rPr>
            </w:pP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362 -- --</w:t>
            </w:r>
          </w:p>
        </w:tc>
      </w:tr>
      <w:tr>
        <w:trPr>
          <w:trHeight w:val="201"/>
        </w:trPr>
        <w:tc>
          <w:tcPr>
            <w:tcW w:w="60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Liberty Media Group Class A Common Stock Balance at</w:t>
            </w: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beginning of year..............................</w:t>
            </w:r>
          </w:p>
        </w:tc>
        <w:tc>
          <w:tcPr>
            <w:tcW w:w="1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2,314 --</w:t>
            </w:r>
          </w:p>
        </w:tc>
      </w:tr>
      <w:tr>
        <w:trPr>
          <w:trHeight w:val="201"/>
        </w:trPr>
        <w:tc>
          <w:tcPr>
            <w:tcW w:w="60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 Shares issued (acquired), net: For</w:t>
            </w: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acquisitions.......................................</w:t>
            </w:r>
          </w:p>
        </w:tc>
        <w:tc>
          <w:tcPr>
            <w:tcW w:w="130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62</w:t>
            </w:r>
          </w:p>
        </w:tc>
      </w:tr>
      <w:tr>
        <w:trPr>
          <w:trHeight w:val="201"/>
        </w:trPr>
        <w:tc>
          <w:tcPr>
            <w:tcW w:w="4560" w:type="dxa"/>
            <w:vAlign w:val="bottom"/>
            <w:gridSpan w:val="3"/>
          </w:tcPr>
          <w:p>
            <w:pPr>
              <w:jc w:val="center"/>
              <w:ind w:left="1437"/>
              <w:spacing w:after="0"/>
              <w:rPr>
                <w:sz w:val="20"/>
                <w:szCs w:val="20"/>
                <w:color w:val="auto"/>
              </w:rPr>
            </w:pPr>
            <w:r>
              <w:rPr>
                <w:rFonts w:ascii="Courier New" w:cs="Courier New" w:eastAsia="Courier New" w:hAnsi="Courier New"/>
                <w:sz w:val="17"/>
                <w:szCs w:val="17"/>
                <w:color w:val="auto"/>
              </w:rPr>
              <w:t>2,280 --</w:t>
            </w:r>
          </w:p>
        </w:tc>
        <w:tc>
          <w:tcPr>
            <w:tcW w:w="1460" w:type="dxa"/>
            <w:vAlign w:val="bottom"/>
          </w:tcPr>
          <w:p>
            <w:pPr>
              <w:spacing w:after="0"/>
              <w:rPr>
                <w:sz w:val="17"/>
                <w:szCs w:val="17"/>
                <w:color w:val="auto"/>
              </w:rPr>
            </w:pP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Other..................................................</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560" w:type="dxa"/>
            <w:vAlign w:val="bottom"/>
            <w:gridSpan w:val="3"/>
          </w:tcPr>
          <w:p>
            <w:pPr>
              <w:jc w:val="center"/>
              <w:ind w:left="1437"/>
              <w:spacing w:after="0"/>
              <w:rPr>
                <w:sz w:val="20"/>
                <w:szCs w:val="20"/>
                <w:color w:val="auto"/>
              </w:rPr>
            </w:pPr>
            <w:r>
              <w:rPr>
                <w:rFonts w:ascii="Courier New" w:cs="Courier New" w:eastAsia="Courier New" w:hAnsi="Courier New"/>
                <w:sz w:val="17"/>
                <w:szCs w:val="17"/>
                <w:color w:val="auto"/>
              </w:rPr>
              <w:t>(12) 34 -- Balance at end of</w:t>
            </w:r>
          </w:p>
        </w:tc>
        <w:tc>
          <w:tcPr>
            <w:tcW w:w="1460" w:type="dxa"/>
            <w:vAlign w:val="bottom"/>
          </w:tcPr>
          <w:p>
            <w:pPr>
              <w:spacing w:after="0"/>
              <w:rPr>
                <w:sz w:val="17"/>
                <w:szCs w:val="17"/>
                <w:color w:val="auto"/>
              </w:rPr>
            </w:pP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5"/>
              </w:rPr>
              <w:t>year......................................</w:t>
            </w:r>
          </w:p>
        </w:tc>
        <w:tc>
          <w:tcPr>
            <w:tcW w:w="1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2,364 2,314 --</w:t>
            </w:r>
          </w:p>
        </w:tc>
      </w:tr>
      <w:tr>
        <w:trPr>
          <w:trHeight w:val="201"/>
        </w:trPr>
        <w:tc>
          <w:tcPr>
            <w:tcW w:w="60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Liberty Media Group Class B Common Stock Balance at</w:t>
            </w: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beginning of year..............................</w:t>
            </w:r>
          </w:p>
        </w:tc>
        <w:tc>
          <w:tcPr>
            <w:tcW w:w="1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217 -- --</w:t>
            </w:r>
          </w:p>
        </w:tc>
      </w:tr>
      <w:tr>
        <w:trPr>
          <w:trHeight w:val="201"/>
        </w:trPr>
        <w:tc>
          <w:tcPr>
            <w:tcW w:w="60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Shares issued (acquired), net: For</w:t>
            </w: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acquisitions.......................................</w:t>
            </w:r>
          </w:p>
        </w:tc>
        <w:tc>
          <w:tcPr>
            <w:tcW w:w="1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201"/>
        </w:trPr>
        <w:tc>
          <w:tcPr>
            <w:tcW w:w="2720" w:type="dxa"/>
            <w:vAlign w:val="bottom"/>
          </w:tcPr>
          <w:p>
            <w:pPr>
              <w:spacing w:after="0"/>
              <w:rPr>
                <w:sz w:val="17"/>
                <w:szCs w:val="17"/>
                <w:color w:val="auto"/>
              </w:rPr>
            </w:pPr>
          </w:p>
        </w:tc>
        <w:tc>
          <w:tcPr>
            <w:tcW w:w="1840" w:type="dxa"/>
            <w:vAlign w:val="bottom"/>
            <w:gridSpan w:val="2"/>
          </w:tcPr>
          <w:p>
            <w:pPr>
              <w:jc w:val="center"/>
              <w:ind w:right="1113"/>
              <w:spacing w:after="0"/>
              <w:rPr>
                <w:sz w:val="20"/>
                <w:szCs w:val="20"/>
                <w:color w:val="auto"/>
              </w:rPr>
            </w:pPr>
            <w:r>
              <w:rPr>
                <w:rFonts w:ascii="Courier New" w:cs="Courier New" w:eastAsia="Courier New" w:hAnsi="Courier New"/>
                <w:sz w:val="17"/>
                <w:szCs w:val="17"/>
                <w:color w:val="auto"/>
              </w:rPr>
              <w:t>220 --</w:t>
            </w:r>
          </w:p>
        </w:tc>
        <w:tc>
          <w:tcPr>
            <w:tcW w:w="1460" w:type="dxa"/>
            <w:vAlign w:val="bottom"/>
          </w:tcPr>
          <w:p>
            <w:pPr>
              <w:spacing w:after="0"/>
              <w:rPr>
                <w:sz w:val="17"/>
                <w:szCs w:val="17"/>
                <w:color w:val="auto"/>
              </w:rPr>
            </w:pP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Other..................................................</w:t>
            </w:r>
          </w:p>
        </w:tc>
        <w:tc>
          <w:tcPr>
            <w:tcW w:w="1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560" w:type="dxa"/>
            <w:vAlign w:val="bottom"/>
            <w:gridSpan w:val="3"/>
          </w:tcPr>
          <w:p>
            <w:pPr>
              <w:jc w:val="center"/>
              <w:ind w:left="1437"/>
              <w:spacing w:after="0"/>
              <w:rPr>
                <w:sz w:val="20"/>
                <w:szCs w:val="20"/>
                <w:color w:val="auto"/>
              </w:rPr>
            </w:pPr>
            <w:r>
              <w:rPr>
                <w:rFonts w:ascii="Courier New" w:cs="Courier New" w:eastAsia="Courier New" w:hAnsi="Courier New"/>
                <w:sz w:val="17"/>
                <w:szCs w:val="17"/>
                <w:color w:val="auto"/>
              </w:rPr>
              <w:t>- (3) -- Balance at end of</w:t>
            </w:r>
          </w:p>
        </w:tc>
        <w:tc>
          <w:tcPr>
            <w:tcW w:w="1460" w:type="dxa"/>
            <w:vAlign w:val="bottom"/>
          </w:tcPr>
          <w:p>
            <w:pPr>
              <w:spacing w:after="0"/>
              <w:rPr>
                <w:sz w:val="17"/>
                <w:szCs w:val="17"/>
                <w:color w:val="auto"/>
              </w:rPr>
            </w:pP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5"/>
              </w:rPr>
              <w:t>year......................................</w:t>
            </w:r>
          </w:p>
        </w:tc>
        <w:tc>
          <w:tcPr>
            <w:tcW w:w="1300" w:type="dxa"/>
            <w:vAlign w:val="bottom"/>
          </w:tcPr>
          <w:p>
            <w:pPr>
              <w:spacing w:after="0"/>
              <w:rPr>
                <w:sz w:val="17"/>
                <w:szCs w:val="17"/>
                <w:color w:val="auto"/>
              </w:rPr>
            </w:pPr>
          </w:p>
        </w:tc>
        <w:tc>
          <w:tcPr>
            <w:tcW w:w="1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206 217 --</w:t>
            </w:r>
          </w:p>
        </w:tc>
      </w:tr>
      <w:tr>
        <w:trPr>
          <w:trHeight w:val="201"/>
        </w:trPr>
        <w:tc>
          <w:tcPr>
            <w:tcW w:w="60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Additional Paid-In Capital Balance at beginning of</w:t>
            </w: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3"/>
              </w:rPr>
              <w:t>year..............................</w:t>
            </w:r>
          </w:p>
        </w:tc>
        <w:tc>
          <w:tcPr>
            <w:tcW w:w="27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59,526 15,195 17,121</w:t>
            </w:r>
          </w:p>
        </w:tc>
      </w:tr>
      <w:tr>
        <w:trPr>
          <w:trHeight w:val="201"/>
        </w:trPr>
        <w:tc>
          <w:tcPr>
            <w:tcW w:w="60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Shares issued (acquired), net: Under employee</w:t>
            </w: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9"/>
              </w:rPr>
              <w:t>plans...................................</w:t>
            </w:r>
          </w:p>
        </w:tc>
        <w:tc>
          <w:tcPr>
            <w:tcW w:w="27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98 431 67 For</w:t>
            </w: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acquisitions.......................................</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560" w:type="dxa"/>
            <w:vAlign w:val="bottom"/>
            <w:gridSpan w:val="3"/>
          </w:tcPr>
          <w:p>
            <w:pPr>
              <w:jc w:val="center"/>
              <w:ind w:left="1437"/>
              <w:spacing w:after="0"/>
              <w:rPr>
                <w:sz w:val="20"/>
                <w:szCs w:val="20"/>
                <w:color w:val="auto"/>
              </w:rPr>
            </w:pPr>
            <w:r>
              <w:rPr>
                <w:rFonts w:ascii="Courier New" w:cs="Courier New" w:eastAsia="Courier New" w:hAnsi="Courier New"/>
                <w:sz w:val="17"/>
                <w:szCs w:val="17"/>
                <w:color w:val="auto"/>
              </w:rPr>
              <w:t>23,097 42,425 (2,105)</w:t>
            </w:r>
          </w:p>
        </w:tc>
        <w:tc>
          <w:tcPr>
            <w:tcW w:w="1460" w:type="dxa"/>
            <w:vAlign w:val="bottom"/>
          </w:tcPr>
          <w:p>
            <w:pPr>
              <w:spacing w:after="0"/>
              <w:rPr>
                <w:sz w:val="17"/>
                <w:szCs w:val="17"/>
                <w:color w:val="auto"/>
              </w:rPr>
            </w:pP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Other*.................................................</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60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(2,767) 323 112 Proceeds in excess of par value from</w:t>
            </w:r>
          </w:p>
        </w:tc>
      </w:tr>
      <w:tr>
        <w:trPr>
          <w:trHeight w:val="201"/>
        </w:trPr>
        <w:tc>
          <w:tcPr>
            <w:tcW w:w="60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issuance of AT&amp;T Wireless common</w:t>
            </w: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1"/>
              </w:rPr>
              <w:t>stock..................................</w:t>
            </w:r>
          </w:p>
        </w:tc>
        <w:tc>
          <w:tcPr>
            <w:tcW w:w="1300" w:type="dxa"/>
            <w:vAlign w:val="bottom"/>
          </w:tcPr>
          <w:p>
            <w:pPr>
              <w:spacing w:after="0"/>
              <w:rPr>
                <w:sz w:val="17"/>
                <w:szCs w:val="17"/>
                <w:color w:val="auto"/>
              </w:rPr>
            </w:pPr>
          </w:p>
        </w:tc>
        <w:tc>
          <w:tcPr>
            <w:tcW w:w="14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9,915 -- --</w:t>
            </w:r>
          </w:p>
        </w:tc>
      </w:tr>
      <w:tr>
        <w:trPr>
          <w:trHeight w:val="201"/>
        </w:trPr>
        <w:tc>
          <w:tcPr>
            <w:tcW w:w="4560" w:type="dxa"/>
            <w:vAlign w:val="bottom"/>
            <w:gridSpan w:val="3"/>
          </w:tcPr>
          <w:p>
            <w:pPr>
              <w:jc w:val="center"/>
              <w:ind w:left="1437"/>
              <w:spacing w:after="0"/>
              <w:rPr>
                <w:sz w:val="20"/>
                <w:szCs w:val="20"/>
                <w:color w:val="auto"/>
              </w:rPr>
            </w:pPr>
            <w:r>
              <w:rPr>
                <w:rFonts w:ascii="Courier New" w:cs="Courier New" w:eastAsia="Courier New" w:hAnsi="Courier New"/>
                <w:sz w:val="17"/>
                <w:szCs w:val="17"/>
                <w:color w:val="auto"/>
              </w:rPr>
              <w:t>Common stock warrants</w:t>
            </w:r>
          </w:p>
        </w:tc>
        <w:tc>
          <w:tcPr>
            <w:tcW w:w="1460" w:type="dxa"/>
            <w:vAlign w:val="bottom"/>
          </w:tcPr>
          <w:p>
            <w:pPr>
              <w:spacing w:after="0"/>
              <w:rPr>
                <w:sz w:val="17"/>
                <w:szCs w:val="17"/>
                <w:color w:val="auto"/>
              </w:rPr>
            </w:pP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8"/>
              </w:rPr>
              <w:t>issued..............................</w:t>
            </w:r>
          </w:p>
        </w:tc>
        <w:tc>
          <w:tcPr>
            <w:tcW w:w="27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-- 306 -- Gain on</w:t>
            </w:r>
          </w:p>
        </w:tc>
      </w:tr>
      <w:tr>
        <w:trPr>
          <w:trHeight w:val="201"/>
        </w:trPr>
        <w:tc>
          <w:tcPr>
            <w:tcW w:w="456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89"/>
              </w:rPr>
              <w:t>issuance of common stock by affiliates............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530</w:t>
            </w:r>
          </w:p>
        </w:tc>
      </w:tr>
      <w:tr>
        <w:trPr>
          <w:trHeight w:val="201"/>
        </w:trPr>
        <w:tc>
          <w:tcPr>
            <w:tcW w:w="2720" w:type="dxa"/>
            <w:vAlign w:val="bottom"/>
          </w:tcPr>
          <w:p>
            <w:pPr>
              <w:spacing w:after="0"/>
              <w:rPr>
                <w:sz w:val="17"/>
                <w:szCs w:val="17"/>
                <w:color w:val="auto"/>
              </w:rPr>
            </w:pPr>
          </w:p>
        </w:tc>
        <w:tc>
          <w:tcPr>
            <w:tcW w:w="1840" w:type="dxa"/>
            <w:vAlign w:val="bottom"/>
            <w:gridSpan w:val="2"/>
          </w:tcPr>
          <w:p>
            <w:pPr>
              <w:jc w:val="center"/>
              <w:ind w:right="1113"/>
              <w:spacing w:after="0"/>
              <w:rPr>
                <w:sz w:val="20"/>
                <w:szCs w:val="20"/>
                <w:color w:val="auto"/>
              </w:rPr>
            </w:pPr>
            <w:r>
              <w:rPr>
                <w:rFonts w:ascii="Courier New" w:cs="Courier New" w:eastAsia="Courier New" w:hAnsi="Courier New"/>
                <w:sz w:val="17"/>
                <w:szCs w:val="17"/>
                <w:color w:val="auto"/>
              </w:rPr>
              <w:t>667 --</w:t>
            </w:r>
          </w:p>
        </w:tc>
        <w:tc>
          <w:tcPr>
            <w:tcW w:w="1460" w:type="dxa"/>
            <w:vAlign w:val="bottom"/>
          </w:tcPr>
          <w:p>
            <w:pPr>
              <w:spacing w:after="0"/>
              <w:rPr>
                <w:sz w:val="17"/>
                <w:szCs w:val="17"/>
                <w:color w:val="auto"/>
              </w:rPr>
            </w:pP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Other.....................................................</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1"/>
        </w:trPr>
        <w:tc>
          <w:tcPr>
            <w:tcW w:w="4560" w:type="dxa"/>
            <w:vAlign w:val="bottom"/>
            <w:gridSpan w:val="3"/>
          </w:tcPr>
          <w:p>
            <w:pPr>
              <w:jc w:val="center"/>
              <w:ind w:left="1437"/>
              <w:spacing w:after="0"/>
              <w:rPr>
                <w:sz w:val="20"/>
                <w:szCs w:val="20"/>
                <w:color w:val="auto"/>
              </w:rPr>
            </w:pPr>
            <w:r>
              <w:rPr>
                <w:rFonts w:ascii="Courier New" w:cs="Courier New" w:eastAsia="Courier New" w:hAnsi="Courier New"/>
                <w:sz w:val="17"/>
                <w:szCs w:val="17"/>
                <w:color w:val="auto"/>
              </w:rPr>
              <w:t>97 179 -- Balance at end of</w:t>
            </w:r>
          </w:p>
        </w:tc>
        <w:tc>
          <w:tcPr>
            <w:tcW w:w="1460" w:type="dxa"/>
            <w:vAlign w:val="bottom"/>
          </w:tcPr>
          <w:p>
            <w:pPr>
              <w:spacing w:after="0"/>
              <w:rPr>
                <w:sz w:val="17"/>
                <w:szCs w:val="17"/>
                <w:color w:val="auto"/>
              </w:rPr>
            </w:pPr>
          </w:p>
        </w:tc>
      </w:tr>
      <w:tr>
        <w:trPr>
          <w:trHeight w:val="201"/>
        </w:trPr>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5"/>
              </w:rPr>
              <w:t>year......................................</w:t>
            </w:r>
          </w:p>
        </w:tc>
        <w:tc>
          <w:tcPr>
            <w:tcW w:w="1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90,496 59,526</w:t>
            </w:r>
          </w:p>
        </w:tc>
      </w:tr>
      <w:tr>
        <w:trPr>
          <w:trHeight w:val="201"/>
        </w:trPr>
        <w:tc>
          <w:tcPr>
            <w:tcW w:w="2720" w:type="dxa"/>
            <w:vAlign w:val="bottom"/>
          </w:tcPr>
          <w:p>
            <w:pPr>
              <w:spacing w:after="0"/>
              <w:rPr>
                <w:sz w:val="17"/>
                <w:szCs w:val="17"/>
                <w:color w:val="auto"/>
              </w:rPr>
            </w:pPr>
          </w:p>
        </w:tc>
        <w:tc>
          <w:tcPr>
            <w:tcW w:w="1840" w:type="dxa"/>
            <w:vAlign w:val="bottom"/>
            <w:gridSpan w:val="2"/>
          </w:tcPr>
          <w:p>
            <w:pPr>
              <w:jc w:val="center"/>
              <w:ind w:right="1113"/>
              <w:spacing w:after="0"/>
              <w:rPr>
                <w:sz w:val="20"/>
                <w:szCs w:val="20"/>
                <w:color w:val="auto"/>
              </w:rPr>
            </w:pPr>
            <w:r>
              <w:rPr>
                <w:rFonts w:ascii="Courier New" w:cs="Courier New" w:eastAsia="Courier New" w:hAnsi="Courier New"/>
                <w:sz w:val="17"/>
                <w:szCs w:val="17"/>
                <w:color w:val="auto"/>
              </w:rPr>
              <w:t>15,195</w:t>
            </w:r>
          </w:p>
        </w:tc>
        <w:tc>
          <w:tcPr>
            <w:tcW w:w="1460" w:type="dxa"/>
            <w:vAlign w:val="bottom"/>
          </w:tcPr>
          <w:p>
            <w:pPr>
              <w:spacing w:after="0"/>
              <w:rPr>
                <w:sz w:val="17"/>
                <w:szCs w:val="17"/>
                <w:color w:val="auto"/>
              </w:rPr>
            </w:pPr>
          </w:p>
        </w:tc>
      </w:tr>
      <w:tr>
        <w:trPr>
          <w:trHeight w:val="604"/>
        </w:trPr>
        <w:tc>
          <w:tcPr>
            <w:tcW w:w="2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L-38</w:t>
            </w:r>
          </w:p>
        </w:tc>
        <w:tc>
          <w:tcPr>
            <w:tcW w:w="1460" w:type="dxa"/>
            <w:vAlign w:val="bottom"/>
          </w:tcPr>
          <w:p>
            <w:pPr>
              <w:spacing w:after="0"/>
              <w:rPr>
                <w:sz w:val="24"/>
                <w:szCs w:val="24"/>
                <w:color w:val="auto"/>
              </w:rPr>
            </w:pPr>
          </w:p>
        </w:tc>
      </w:tr>
    </w:tbl>
    <w:p>
      <w:pPr>
        <w:sectPr>
          <w:pgSz w:w="11900" w:h="16838" w:orient="portrait"/>
          <w:cols w:equalWidth="0" w:num="1">
            <w:col w:w="10219"/>
          </w:cols>
          <w:pgMar w:left="240" w:top="720" w:right="1440" w:bottom="1440" w:gutter="0" w:footer="0" w:header="0"/>
        </w:sectPr>
      </w:pPr>
    </w:p>
    <w:bookmarkStart w:id="632" w:name="page633"/>
    <w:bookmarkEnd w:id="632"/>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---------- 2000 1999 1998 ---------- --------- ---------</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(DOLLARS IN MILLIONS) Guaranteed ESOP Obligation Balance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at beginning of year.............................. (17)</w:t>
      </w:r>
    </w:p>
    <w:p>
      <w:pPr>
        <w:spacing w:after="0" w:line="9"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(44) (70)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Amortization..............................................</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17 27 26 Balance at end of</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year...................................... -- (17) (44)</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Retained Earnings Balance at beginning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year.............................. 6,712 7,800 3,981 Net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4,669 3,428 6,398 Dividends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declared........................................ (2,485)</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(2,807) (2,230) Treasury shares issued at less than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cost.................. (1,488) (1,709) (370) Other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changes............................................. -- -</w:t>
      </w:r>
    </w:p>
    <w:p>
      <w:pPr>
        <w:spacing w:after="0" w:line="9"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- 21 Balance at end of</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year...................................... 7,408 6,712</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7,800 Accumulated Comprehensive Income Balance at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beginning of year.............................. 6,979</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(59) (38) Other comprehensive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(8,377) 7,038 (21)</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Balance at end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year...................................... (1,398) 6,979</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(59) Total Shareowners'</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Equity................................... $103,198</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$78,927 $25,522 -------- ------- ------- Summary of Total</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Comprehensive Income: Net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ind w:left="1000" w:right="4299" w:hanging="838"/>
        <w:spacing w:after="0" w:line="251" w:lineRule="auto"/>
        <w:tabs>
          <w:tab w:leader="none" w:pos="372" w:val="left"/>
        </w:tabs>
        <w:numPr>
          <w:ilvl w:val="0"/>
          <w:numId w:val="6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4,669 $ 3,428 $ 6,398 Other comprehensive income [net of income taxes of $(5,348), $4,600 and</w:t>
      </w:r>
    </w:p>
    <w:tbl>
      <w:tblPr>
        <w:tblLayout w:type="fixed"/>
        <w:tblInd w:w="100" w:type="dxa"/>
        <w:tblCellMar>
          <w:top w:w="0" w:type="dxa"/>
          <w:left w:w="0" w:type="dxa"/>
          <w:bottom w:w="0" w:type="dxa"/>
          <w:right w:w="0" w:type="dxa"/>
        </w:tblCellMar>
      </w:tblPr>
      <w:tr>
        <w:trPr>
          <w:trHeight w:val="197"/>
        </w:trPr>
        <w:tc>
          <w:tcPr>
            <w:tcW w:w="34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0"/>
              </w:rPr>
              <w:t>$(53)].........................................</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(8,377)</w:t>
            </w:r>
          </w:p>
        </w:tc>
      </w:tr>
      <w:tr>
        <w:trPr>
          <w:trHeight w:val="201"/>
        </w:trPr>
        <w:tc>
          <w:tcPr>
            <w:tcW w:w="1680" w:type="dxa"/>
            <w:vAlign w:val="bottom"/>
          </w:tcPr>
          <w:p>
            <w:pPr>
              <w:spacing w:after="0"/>
              <w:rPr>
                <w:sz w:val="17"/>
                <w:szCs w:val="17"/>
                <w:color w:val="auto"/>
              </w:rPr>
            </w:pPr>
          </w:p>
        </w:tc>
        <w:tc>
          <w:tcPr>
            <w:tcW w:w="2580" w:type="dxa"/>
            <w:vAlign w:val="bottom"/>
            <w:gridSpan w:val="2"/>
          </w:tcPr>
          <w:p>
            <w:pPr>
              <w:spacing w:after="0"/>
              <w:rPr>
                <w:sz w:val="20"/>
                <w:szCs w:val="20"/>
                <w:color w:val="auto"/>
              </w:rPr>
            </w:pPr>
            <w:r>
              <w:rPr>
                <w:rFonts w:ascii="Courier New" w:cs="Courier New" w:eastAsia="Courier New" w:hAnsi="Courier New"/>
                <w:sz w:val="17"/>
                <w:szCs w:val="17"/>
                <w:color w:val="auto"/>
              </w:rPr>
              <w:t>7,038 (21) Comprehensive</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34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2"/>
              </w:rPr>
              <w:t>Income........................................</w:t>
            </w:r>
          </w:p>
        </w:tc>
        <w:tc>
          <w:tcPr>
            <w:tcW w:w="8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(3,708)</w:t>
            </w:r>
          </w:p>
        </w:tc>
      </w:tr>
      <w:tr>
        <w:trPr>
          <w:trHeight w:val="201"/>
        </w:trPr>
        <w:tc>
          <w:tcPr>
            <w:tcW w:w="1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$10,466</w:t>
            </w:r>
          </w:p>
        </w:tc>
        <w:tc>
          <w:tcPr>
            <w:tcW w:w="1740" w:type="dxa"/>
            <w:vAlign w:val="bottom"/>
          </w:tcPr>
          <w:p>
            <w:pPr>
              <w:spacing w:after="0"/>
              <w:rPr>
                <w:sz w:val="20"/>
                <w:szCs w:val="20"/>
                <w:color w:val="auto"/>
              </w:rPr>
            </w:pPr>
            <w:r>
              <w:rPr>
                <w:rFonts w:ascii="Courier New" w:cs="Courier New" w:eastAsia="Courier New" w:hAnsi="Courier New"/>
                <w:sz w:val="17"/>
                <w:szCs w:val="17"/>
                <w:color w:val="auto"/>
              </w:rPr>
              <w:t>$ 6,377 --------</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220" w:right="2559" w:hanging="213"/>
        <w:spacing w:after="0" w:line="254" w:lineRule="auto"/>
        <w:tabs>
          <w:tab w:leader="none" w:pos="220" w:val="left"/>
        </w:tabs>
        <w:numPr>
          <w:ilvl w:val="0"/>
          <w:numId w:val="6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Activity in 2000 primarily represents AT&amp;T stock received from Cox Communications, Inc. in exchange for an entity owning cable systems and certain other assets.</w:t>
      </w:r>
    </w:p>
    <w:p>
      <w:pPr>
        <w:spacing w:after="0" w:line="194" w:lineRule="exact"/>
        <w:rPr>
          <w:rFonts w:ascii="Courier New" w:cs="Courier New" w:eastAsia="Courier New" w:hAnsi="Courier New"/>
          <w:sz w:val="17"/>
          <w:szCs w:val="17"/>
          <w:color w:val="auto"/>
        </w:rPr>
      </w:pPr>
    </w:p>
    <w:p>
      <w:pPr>
        <w:ind w:left="220" w:right="18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AT&amp;T accounts for treasury stock as retired stock, and as of December 31, 2000 and 1999, had 417 million and 288 million treasury shares, respectively, of which 346 million and 216 million shares, respectively, were owned by AT&amp;T Broadband subsidiaries. In addition, 70 million treasury shares related to the purchase of AT&amp;T shares previously owned by Liberty Media Group.</w:t>
      </w:r>
    </w:p>
    <w:p>
      <w:pPr>
        <w:spacing w:after="0" w:line="197" w:lineRule="exact"/>
        <w:rPr>
          <w:rFonts w:ascii="Courier New" w:cs="Courier New" w:eastAsia="Courier New" w:hAnsi="Courier New"/>
          <w:sz w:val="17"/>
          <w:szCs w:val="17"/>
          <w:color w:val="auto"/>
        </w:rPr>
      </w:pPr>
    </w:p>
    <w:p>
      <w:pPr>
        <w:ind w:left="220" w:right="20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We have 100 million authorized shares of preferred stock at $1 par value. No preferred stock was issued or outstanding.</w:t>
      </w:r>
    </w:p>
    <w:p>
      <w:pPr>
        <w:spacing w:after="0" w:line="192"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The notes are an integral part of the consolidated financial statements.</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L-39</w:t>
      </w:r>
    </w:p>
    <w:p>
      <w:pPr>
        <w:sectPr>
          <w:pgSz w:w="11900" w:h="16838" w:orient="portrait"/>
          <w:cols w:equalWidth="0" w:num="1">
            <w:col w:w="10219"/>
          </w:cols>
          <w:pgMar w:left="240" w:top="719" w:right="1440" w:bottom="1440" w:gutter="0" w:footer="0" w:header="0"/>
        </w:sectPr>
      </w:pPr>
    </w:p>
    <w:bookmarkStart w:id="633" w:name="page634"/>
    <w:bookmarkEnd w:id="633"/>
    <w:p>
      <w:pPr>
        <w:jc w:val="center"/>
        <w:ind w:right="1939"/>
        <w:spacing w:after="0"/>
        <w:rPr>
          <w:sz w:val="20"/>
          <w:szCs w:val="20"/>
          <w:color w:val="auto"/>
        </w:rPr>
      </w:pPr>
      <w:r>
        <w:rPr>
          <w:rFonts w:ascii="Courier New" w:cs="Courier New" w:eastAsia="Courier New" w:hAnsi="Courier New"/>
          <w:sz w:val="17"/>
          <w:szCs w:val="17"/>
          <w:color w:val="auto"/>
        </w:rPr>
        <w:t>AT&amp;T CORP. AND SUBSIDIARIES</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-------- 2000 1999 1998 -------- -------- --------</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(DOLLARS IN MILLIONS) OPERATING ACTIVITIES Net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$ 4,669 $ 3,428 $ 6,398 Deduct: Income (loss) from</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discontinued operations........ 536 (433) 193 Gain on</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sale of discontinued operations................. -- --</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1,290 Add: Extraordinary loss on retirement of</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debt............. -- -- 137 Income from continuing</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operations......................... 4,133 3,861 5,052</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Adjustments to reconcile net income to net cash</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provided by operating activities of continuing</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operations: Net gains on sales of businesses and</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investments........ (1,321) (585) (408) Net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restructuring and other charges.....................</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6,793 678 2,362 Depreciation and</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amortization........................... 8,589 6,194</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3,577 Provision for uncollectible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receivables................. 1,080 1,216 1,290 Deferred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taxes................................... 341 354</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(105) Minority interest (income)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expense...................... (4,329) 24 5 Net equity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(earnings) losses from Liberty Media Group... (1,488)</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2,022 -- Net losses from other equity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investments................ 1,017 1,224 177 Increase in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receivables................................. (2,512)</w:t>
      </w:r>
    </w:p>
    <w:p>
      <w:pPr>
        <w:spacing w:after="0" w:line="9"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(2,409) (1,299) Decrease in accounts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payable............................ (577) (165) (456)</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Net change in other operating assets and</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liabilities.... (376) (1,785) 130 Other adjustments,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net.................................. 315 (120) (381)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 cash provided by operating activities of continuing</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operations................................ 11,665</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10,509 9,944 INVESTING ACTIVITIES Capital expenditures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and other additions.................. (11,511) (11,876)</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(6,822) Proceeds from sale or disposal of property,</w:t>
      </w:r>
    </w:p>
    <w:p>
      <w:pPr>
        <w:spacing w:after="0" w:line="9"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plant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equipment...............................................</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600 286 104 (Increase) decrease in other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receivables.................. (1,052) 17 6,403 Sales of</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marketable securities............................ 96 --</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2,003 Purchases of marketable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securities........................ -- -- (1,696) Equity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investment distributions and sales................. 992</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1,574 146 Equity investment contributions and</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purchases............. (2,394) (7,837) (125) Net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(acquisitions) dispositions of businesses including</w:t>
      </w:r>
    </w:p>
    <w:p>
      <w:pPr>
        <w:spacing w:after="0" w:line="9"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cash</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acquired...........................................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(16,657) (5,969) 4,183 Other investing activities,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 (119) (79) (61) Net cash</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(used in) provided by investing activities of</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continuing operations................................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(30,045) (23,884) 4,135 FINANCING ACTIVITIES Proceeds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from long-term debt issuances.................... 4,601</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8,396 17 Retirement of long-term</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debt.............................. (2,118) (2,255)</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(2,594) Issuance of convertible</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securities........................ -- 4,638 --</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Redemption of redeemable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securities....................... (152) -- -- Issuance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of AT&amp;T common shares............................ 99 --</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7"/>
          <w:szCs w:val="17"/>
          <w:color w:val="auto"/>
        </w:rPr>
        <w:t>32 Issuance of AT&amp;T Wireless Group common</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shares............. 10,314 -- -- Net acquisition of</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treasury shares........................ (581) (4,624)</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(3,321) Dividends paid on common</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stock............................ (3,047) (2,712)</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(2,187) Dividends on preferred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securities......................... (294) (135) --</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Increase (decrease) in short-term borrowings,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net......... 16,973 10,173 (3,091) Other financing</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activities, net........................... (63) 373 93</w:t>
      </w:r>
    </w:p>
    <w:p>
      <w:pPr>
        <w:spacing w:after="0" w:line="9" w:lineRule="exact"/>
        <w:rPr>
          <w:sz w:val="20"/>
          <w:szCs w:val="20"/>
          <w:color w:val="auto"/>
        </w:rPr>
      </w:pPr>
    </w:p>
    <w:p>
      <w:pPr>
        <w:jc w:val="both"/>
        <w:ind w:left="160" w:right="4459" w:hanging="51"/>
        <w:spacing w:after="0" w:line="251" w:lineRule="auto"/>
        <w:rPr>
          <w:sz w:val="20"/>
          <w:szCs w:val="20"/>
          <w:color w:val="auto"/>
        </w:rPr>
      </w:pPr>
      <w:r>
        <w:rPr>
          <w:rFonts w:ascii="Courier New" w:cs="Courier New" w:eastAsia="Courier New" w:hAnsi="Courier New"/>
          <w:sz w:val="17"/>
          <w:szCs w:val="17"/>
          <w:color w:val="auto"/>
        </w:rPr>
        <w:t>Net cash provided by (used in) financing activities of continuing operations................................</w:t>
      </w:r>
    </w:p>
    <w:p>
      <w:pPr>
        <w:ind w:left="220"/>
        <w:spacing w:after="0"/>
        <w:rPr>
          <w:sz w:val="20"/>
          <w:szCs w:val="20"/>
          <w:color w:val="auto"/>
        </w:rPr>
      </w:pPr>
      <w:r>
        <w:rPr>
          <w:rFonts w:ascii="Courier New" w:cs="Courier New" w:eastAsia="Courier New" w:hAnsi="Courier New"/>
          <w:sz w:val="17"/>
          <w:szCs w:val="17"/>
          <w:color w:val="auto"/>
        </w:rPr>
        <w:t>25,732 13,854 (11,051) Net cash used in discontinued</w:t>
      </w:r>
    </w:p>
    <w:p>
      <w:pPr>
        <w:sectPr>
          <w:pgSz w:w="11900" w:h="16838" w:orient="portrait"/>
          <w:cols w:equalWidth="0" w:num="1">
            <w:col w:w="10219"/>
          </w:cols>
          <w:pgMar w:left="240" w:top="719" w:right="1440" w:bottom="0" w:gutter="0" w:footer="0" w:header="0"/>
        </w:sectPr>
      </w:pPr>
    </w:p>
    <w:bookmarkStart w:id="634" w:name="page635"/>
    <w:bookmarkEnd w:id="634"/>
    <w:p>
      <w:pPr>
        <w:jc w:val="center"/>
        <w:ind w:right="4459"/>
        <w:spacing w:after="0" w:line="252" w:lineRule="auto"/>
        <w:rPr>
          <w:sz w:val="20"/>
          <w:szCs w:val="20"/>
          <w:color w:val="auto"/>
        </w:rPr>
      </w:pPr>
      <w:r>
        <w:rPr>
          <w:rFonts w:ascii="Courier New" w:cs="Courier New" w:eastAsia="Courier New" w:hAnsi="Courier New"/>
          <w:sz w:val="17"/>
          <w:szCs w:val="17"/>
          <w:color w:val="auto"/>
        </w:rPr>
        <w:t>operations.............. (8,306) (2,594) (207) Net (decrease) increase in cash and cash equivalents........ (954) (2,115) 2,821 Cash and cash equivalents at beginning of year.............. 1,018 3,133 312 Cash and cash equivalents at end of year.................... $ 64 $ 1,018 $ 3,133 -------- -------- --------</w:t>
      </w:r>
    </w:p>
    <w:p>
      <w:pPr>
        <w:spacing w:after="0" w:line="397"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The notes are an integral part of the consolidated financial statements.</w:t>
      </w:r>
    </w:p>
    <w:p>
      <w:pPr>
        <w:spacing w:after="0" w:line="210" w:lineRule="exact"/>
        <w:rPr>
          <w:sz w:val="20"/>
          <w:szCs w:val="20"/>
          <w:color w:val="auto"/>
        </w:rPr>
      </w:pPr>
    </w:p>
    <w:p>
      <w:pPr>
        <w:ind w:left="4000"/>
        <w:spacing w:after="0"/>
        <w:rPr>
          <w:sz w:val="20"/>
          <w:szCs w:val="20"/>
          <w:color w:val="auto"/>
        </w:rPr>
      </w:pPr>
      <w:r>
        <w:rPr>
          <w:rFonts w:ascii="Courier New" w:cs="Courier New" w:eastAsia="Courier New" w:hAnsi="Courier New"/>
          <w:sz w:val="17"/>
          <w:szCs w:val="17"/>
          <w:color w:val="auto"/>
        </w:rPr>
        <w:t>L-40</w:t>
      </w:r>
    </w:p>
    <w:p>
      <w:pPr>
        <w:sectPr>
          <w:pgSz w:w="11900" w:h="16838" w:orient="portrait"/>
          <w:cols w:equalWidth="0" w:num="1">
            <w:col w:w="10119"/>
          </w:cols>
          <w:pgMar w:left="340" w:top="143" w:right="1440" w:bottom="1440" w:gutter="0" w:footer="0" w:header="0"/>
        </w:sectPr>
      </w:pPr>
    </w:p>
    <w:bookmarkStart w:id="635" w:name="page636"/>
    <w:bookmarkEnd w:id="635"/>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DOLLARS IN MILLIONS UNLESS OTHERWISE NOTED</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(EXCEPT PER SHARE AMOUNTS)</w:t>
      </w:r>
    </w:p>
    <w:p>
      <w:pPr>
        <w:spacing w:after="0" w:line="210" w:lineRule="exact"/>
        <w:rPr>
          <w:sz w:val="20"/>
          <w:szCs w:val="20"/>
          <w:color w:val="auto"/>
        </w:rPr>
      </w:pPr>
    </w:p>
    <w:p>
      <w:pPr>
        <w:ind w:left="220" w:right="5399" w:hanging="213"/>
        <w:spacing w:after="0" w:line="502" w:lineRule="auto"/>
        <w:tabs>
          <w:tab w:leader="none" w:pos="430" w:val="left"/>
        </w:tabs>
        <w:numPr>
          <w:ilvl w:val="0"/>
          <w:numId w:val="6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 CONSOLIDATION</w:t>
      </w:r>
    </w:p>
    <w:p>
      <w:pPr>
        <w:ind w:right="1839" w:firstLine="524"/>
        <w:spacing w:after="0" w:line="251" w:lineRule="auto"/>
        <w:rPr>
          <w:sz w:val="20"/>
          <w:szCs w:val="20"/>
          <w:color w:val="auto"/>
        </w:rPr>
      </w:pPr>
      <w:r>
        <w:rPr>
          <w:rFonts w:ascii="Courier New" w:cs="Courier New" w:eastAsia="Courier New" w:hAnsi="Courier New"/>
          <w:sz w:val="17"/>
          <w:szCs w:val="17"/>
          <w:color w:val="auto"/>
        </w:rPr>
        <w:t>The consolidated financial statements include all controlled subsidiaries. All significant intercompany accounts and transactions have been eliminated in consolidation. Investments in majority-owned subsidiaries where control does not exist and investments in which we exercise significant influence but do not control (generally a 20% to 50% ownership interest) are accounted for under the equity method of accounting. This represents the majority of our investments. Investments in which we have less than a 20% ownership interest and in which there is no significant influence are accounted for under the cost method of accounting.</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FOREIGN CURRENCY TRANSLATION</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For operations outside the United States that prepare financial statements in currencies other than the U.S. dollar, we translate income statement amounts at average exchange rates for the year, and we translate assets and liabilities at year-end exchange rates. We present these translation adjustments as a component of accumulated other comprehensive income within shareowners' equity. Gains and losses from foreign currency transactions are included in results of operations.</w:t>
      </w:r>
    </w:p>
    <w:p>
      <w:pPr>
        <w:spacing w:after="0" w:line="19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REVENUE RECOGNITION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recognize long distance and local services revenue based upon minutes of traffic processed or contracted fee schedules. Cable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Customer activation fees, along with the related costs, are deferred and amortized over the customer relationship period. We recognize other products and services revenue when the products are delivered and accepted by customers and when services are provided in accordance with contract terms. During 2000, we adopted Securities and Exchange Commission (SEC) Staff Accounting Bulletin No. 101, "Revenue Recognition in Financial Statements." The adoption did not have a material impact on our results of operations or financial condition.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ADVERTISING AND PROMOTIONAL COSTS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We expense costs of advertising and promotions, including cash incentives used to acquire customers, as incurred. Advertising and promotional expenses were $1,377, $1,418 and $1,576 in 2000, 1999 and 1998, respectively. Of these amounts, $288, $320 and $622 were cash incentives to acquire customers in 2000, 1999 and 1998, respectively.</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INVESTMENT TAX CREDITS</w:t>
      </w:r>
    </w:p>
    <w:p>
      <w:pPr>
        <w:spacing w:after="0" w:line="210" w:lineRule="exact"/>
        <w:rPr>
          <w:sz w:val="20"/>
          <w:szCs w:val="20"/>
          <w:color w:val="auto"/>
        </w:rPr>
      </w:pPr>
    </w:p>
    <w:p>
      <w:pPr>
        <w:jc w:val="both"/>
        <w:ind w:right="2359" w:firstLine="524"/>
        <w:spacing w:after="0" w:line="257" w:lineRule="auto"/>
        <w:rPr>
          <w:sz w:val="20"/>
          <w:szCs w:val="20"/>
          <w:color w:val="auto"/>
        </w:rPr>
      </w:pPr>
      <w:r>
        <w:rPr>
          <w:rFonts w:ascii="Courier New" w:cs="Courier New" w:eastAsia="Courier New" w:hAnsi="Courier New"/>
          <w:sz w:val="17"/>
          <w:szCs w:val="17"/>
          <w:color w:val="auto"/>
        </w:rPr>
        <w:t>We amortize investment tax credits as a reduction to the provision for income taxes over the useful lives of the assets that produced the credits.</w:t>
      </w:r>
    </w:p>
    <w:p>
      <w:pPr>
        <w:spacing w:after="0" w:line="19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CASH EQUIVALENTS</w:t>
      </w:r>
    </w:p>
    <w:p>
      <w:pPr>
        <w:spacing w:after="0" w:line="210"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We consider all highly liquid investments with original maturities of generally three months or less to be cash equivalents.</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L-41</w:t>
      </w:r>
    </w:p>
    <w:p>
      <w:pPr>
        <w:sectPr>
          <w:pgSz w:w="11900" w:h="16838" w:orient="portrait"/>
          <w:cols w:equalWidth="0" w:num="1">
            <w:col w:w="10219"/>
          </w:cols>
          <w:pgMar w:left="240" w:top="720" w:right="1440" w:bottom="1440" w:gutter="0" w:footer="0" w:header="0"/>
        </w:sectPr>
      </w:pPr>
    </w:p>
    <w:bookmarkStart w:id="636" w:name="page637"/>
    <w:bookmarkEnd w:id="636"/>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PROPERTY, PLANT AND EQUIPMENT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state property, plant and equipment at cost and determine depreciation based upon the assets' estimated useful lives using either the group or unit method. The useful lives of communications and network equipment range from three to 15 years. The useful lives of other equipment ranges from three to seven years. The useful lives of buildings and improvements range from 10 to 40 years. The group method is used for most depreciable assets, including the majority of communications and network equipment. When we sell or retire assets depreciated using the group method, the cost is deducted from property, plant and equipment and charged to accumulated depreciation, without recognition of a gain or loss. The unit method is primarily used for large computer systems and support assets. When we sell assets that were depreciated using the unit method, we include the related gains or losses in other income.</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We use accelerated depreciation methods primarily for certain high-technology computer-processing equipment and digital equipment used in the telecommunications network, except for switching equipment placed in service before 1989, where a straight-line method is used. All other plant and equipment, including capitalized software, is depreciated on a straight-line basis.</w:t>
      </w:r>
    </w:p>
    <w:p>
      <w:pPr>
        <w:spacing w:after="0" w:line="39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FRANCHISE COSTS</w:t>
      </w:r>
    </w:p>
    <w:p>
      <w:pPr>
        <w:spacing w:after="0" w:line="210" w:lineRule="exact"/>
        <w:rPr>
          <w:sz w:val="20"/>
          <w:szCs w:val="20"/>
          <w:color w:val="auto"/>
        </w:rPr>
      </w:pPr>
    </w:p>
    <w:p>
      <w:pPr>
        <w:ind w:right="2459" w:firstLine="524"/>
        <w:spacing w:after="0" w:line="253" w:lineRule="auto"/>
        <w:rPr>
          <w:sz w:val="20"/>
          <w:szCs w:val="20"/>
          <w:color w:val="auto"/>
        </w:rPr>
      </w:pPr>
      <w:r>
        <w:rPr>
          <w:rFonts w:ascii="Courier New" w:cs="Courier New" w:eastAsia="Courier New" w:hAnsi="Courier New"/>
          <w:sz w:val="17"/>
          <w:szCs w:val="17"/>
          <w:color w:val="auto"/>
        </w:rPr>
        <w:t>Franchise costs include the value attributed to agreements with local authorities that allow access to homes in cable service areas acquired in connection with business combinations. Such amounts are amortized on a straight-line basis over 40 years.</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GOODWILL</w:t>
      </w:r>
    </w:p>
    <w:p>
      <w:pPr>
        <w:spacing w:after="0" w:line="210" w:lineRule="exact"/>
        <w:rPr>
          <w:sz w:val="20"/>
          <w:szCs w:val="20"/>
          <w:color w:val="auto"/>
        </w:rPr>
      </w:pPr>
    </w:p>
    <w:p>
      <w:pPr>
        <w:ind w:right="2259" w:firstLine="524"/>
        <w:spacing w:after="0" w:line="253" w:lineRule="auto"/>
        <w:rPr>
          <w:sz w:val="20"/>
          <w:szCs w:val="20"/>
          <w:color w:val="auto"/>
        </w:rPr>
      </w:pPr>
      <w:r>
        <w:rPr>
          <w:rFonts w:ascii="Courier New" w:cs="Courier New" w:eastAsia="Courier New" w:hAnsi="Courier New"/>
          <w:sz w:val="17"/>
          <w:szCs w:val="17"/>
          <w:color w:val="auto"/>
        </w:rPr>
        <w:t>Goodwill is the excess of the purchase price over the fair value of net assets acquired in business combinations accounted for under the purchase method. We amortize goodwill on a straight-line basis over the periods benefited, ranging from five to 40 years.</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SOFTWARE CAPITALIZATION</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Certain direct development costs associated with internal-use software are capitalized, including external direct costs of material and services, and payroll costs for employees devoting time to the software projects. These costs are included within other assets and are amortized over a period not to exceed five years beginning when the asset is substantially ready for use. Costs incurred during the preliminary project stage, as well as maintenance and training costs, are expensed as incurred. AT&amp;T also capitalizes initial operating-system software costs and amortizes them over the life of the associated hardware.</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also capitalizes costs associated with the development of application software incurred from the time technological feasibility is established until the software is ready to provide service to customers. These capitalized costs are included in property, plant and equipment and are amortized over a useful life not to exceed five years.</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VALUATION OF LONG-LIVED ASSETS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Long-lived assets, such as property, plant and equipment, franchise costs, goodwill, investments and software, are reviewed for impairment whenever events or changes in circumstances indicate that the carrying amount may not be recoverable. If the total of the expected future undiscounted cash flows is less than the carrying amount of the asset, a loss is recognized for the difference between the fair value and carrying value of the asset. In addition, in accordance with Accounting Principles Board (APB) Opinion No. 17, "Intangible Assets," we continue to evaluate the amortization periods to determine whether events or circumstances warrant revised amortization periods.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L-42</w:t>
      </w:r>
    </w:p>
    <w:p>
      <w:pPr>
        <w:sectPr>
          <w:pgSz w:w="11900" w:h="16838" w:orient="portrait"/>
          <w:cols w:equalWidth="0" w:num="1">
            <w:col w:w="10219"/>
          </w:cols>
          <w:pgMar w:left="240" w:top="519" w:right="1440" w:bottom="1440" w:gutter="0" w:footer="0" w:header="0"/>
        </w:sectPr>
      </w:pPr>
    </w:p>
    <w:bookmarkStart w:id="637" w:name="page638"/>
    <w:bookmarkEnd w:id="637"/>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DERIVATIVE FINANCIAL INSTRUMENTS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use various financial instruments, including derivative financial instruments, for purposes other than trading. We do not use derivative financial instruments for speculative purposes. Derivatives, used as part of our risk-management strategy, must be designated at inception as a hedge and measured for effectiveness both at inception and on an ongoing basis. Gains and losses related to qualifying hedges of foreign currency firm commitments are deferred in current assets or liabilities and recognized as part of the underlying transactions as they occur. All other foreign exchange contracts are marked to market on a current basis, and the respective gains or losses are recognized in other income. Interest rate differentials associated with interest rate swaps used to hedge AT&amp;T's debt obligations are recorded as an adjustment to interest payable or receivable, with the offset to interest expense over the life of the swaps. If we terminate an interest rate swap agreement, the gain or loss is deferred and amortized over the remaining life of the liability. Cash flows from financial instruments are classified in the Consolidated Statements of Cash Flows under the same categories as the cash flows from the related assets, liabilities or anticipated transactions.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USE OF ESTIMATES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long-term contracts, allowance for doubtful accounts, depreciation and amortization, employee benefit plans, taxes, restructuring reserves and contingencies.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CONCENTRATIONS</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As of December 31, 2000, we do not have any significant concentration of business transacted with a particular customer, supplier or lender that could, if suddenly eliminated, severely impact our operations. We also do not have a concentration of available sources of labor, services, franchises or other rights that could, if suddenly eliminated, severely impact our operations. We invest our cash with several high-quality credit institutions.</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ISSUANCE OF COMMON STOCK BY AFFILIATES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Changes in our proportionate share of the underlying equity of a subsidiary or equity method investee, which result from the issuance of additional equity securities by such entity, are recognized as increases or decreases to additional paid-in capital in the Consolidated Statements of Shareowners' Equity.</w:t>
      </w:r>
    </w:p>
    <w:p>
      <w:pPr>
        <w:spacing w:after="0" w:line="39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RECLASSIFICATIONS AND RESTATEMENTS</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We reclassified certain amounts for previous years to conform to the 2000 presentation. In addition, we restated prior year share and per share amounts to reflect the June 2000 two-for-one split of Liberty Media Group common stock.</w:t>
      </w:r>
    </w:p>
    <w:p>
      <w:pPr>
        <w:spacing w:after="0" w:line="194" w:lineRule="exact"/>
        <w:rPr>
          <w:sz w:val="20"/>
          <w:szCs w:val="20"/>
          <w:color w:val="auto"/>
        </w:rPr>
      </w:pPr>
    </w:p>
    <w:p>
      <w:pPr>
        <w:ind w:left="420" w:hanging="413"/>
        <w:spacing w:after="0"/>
        <w:tabs>
          <w:tab w:leader="none" w:pos="420" w:val="left"/>
        </w:tabs>
        <w:numPr>
          <w:ilvl w:val="0"/>
          <w:numId w:val="6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RESTRUCTURING OF AT&amp;T</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On October 25, 2000, AT&amp;T announced a restructuring plan designed to fully separate or issue separately tracked stocks intended to reflect the financial performance and economic value of each of AT&amp;T's four major operating units. If the plan is completed as announced, AT&amp;T Wireless, AT&amp;T</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L-43</w:t>
      </w:r>
    </w:p>
    <w:p>
      <w:pPr>
        <w:sectPr>
          <w:pgSz w:w="11900" w:h="16838" w:orient="portrait"/>
          <w:cols w:equalWidth="0" w:num="1">
            <w:col w:w="10219"/>
          </w:cols>
          <w:pgMar w:left="240" w:top="518" w:right="1440" w:bottom="1440" w:gutter="0" w:footer="0" w:header="0"/>
        </w:sectPr>
      </w:pPr>
    </w:p>
    <w:bookmarkStart w:id="638" w:name="page639"/>
    <w:bookmarkEnd w:id="638"/>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879"/>
        <w:spacing w:after="0" w:line="257" w:lineRule="auto"/>
        <w:rPr>
          <w:sz w:val="20"/>
          <w:szCs w:val="20"/>
          <w:color w:val="auto"/>
        </w:rPr>
      </w:pPr>
      <w:r>
        <w:rPr>
          <w:rFonts w:ascii="Courier New" w:cs="Courier New" w:eastAsia="Courier New" w:hAnsi="Courier New"/>
          <w:sz w:val="17"/>
          <w:szCs w:val="17"/>
          <w:color w:val="auto"/>
        </w:rPr>
        <w:t>Broadband, AT&amp;T Business and AT&amp;T Consumer would all be represented by asset-based or tracking stocks.</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July 8, 2001, Comcast Corp. (Comcast) made an unsolicited offer to acquire AT&amp;T Broadband. On July 18, AT&amp;T's Board of Directors unanimously voted to reject Comcast's proposal to acquire AT&amp;T Broadband. The Board has directed management to explore financial and strategic alternatives relating to AT&amp;T Broadband, including the previously announced restructuring plans, with the goal to provide the greatest long-term value to shareowners. The Board also decided to delay finalizing and mailing to shareowners the proxy materials, filed preliminary with the SEC on July 3, 2001, for its current restructuring plans. However, AT&amp;T remains committed to separate AT&amp;T Consumer and AT&amp;T Business from AT&amp;T Broadband and to creating a separate tracking stock designed to represent the financial performance of AT&amp;T Consumer.</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May 25, 2001, AT&amp;T completed an exchange offer of AT&amp;T common stock for AT&amp;T Wireless stock. Under the terms of the exchange offer, AT&amp;T issued 1.176 shares of AT&amp;T Wireless Group tracking stock in exchange for each share of AT&amp;T common stock validly tendered. A total of 372.2 million shares of AT&amp;T common stock were tendered in exchange for 437.7 million shares of AT&amp;T Wireless Group tracking stock.</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July 9, 2001, AT&amp;T completed the split-off of AT&amp;T Wireless as a separate, independently-traded company. All AT&amp;T Wireless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Internal Revenue Service (IRS) ruled that the transaction qualified as tax-free for AT&amp;T and its shareowners for U.S. federal income tax purposes, with the exception of cash received for fractional shares. AT&amp;T retained approximately $3 billion, or 7.3%, of AT&amp;T Wireless common stock, about half of which was used in a debt-for-equity exchange in July. The remaining shares will be sold, exchanged or monetized within the next six months. AT&amp;T Wireless will continue trading on the New York Stock Exchange (NYSE) under the symbol "AWE."</w:t>
      </w:r>
    </w:p>
    <w:p>
      <w:pPr>
        <w:spacing w:after="0" w:line="20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August 10, 2001, AT&amp;T completed the split-off of Liberty Media Corporation as an independent, publicly-traded company. AT&amp;T redeemed each outstanding share of Class A and Class B Liberty Media Group (LMG) tracking stock for one share of Liberty Media Corporation's Series A and Series B common stock, respectively. The IRS ruled that the split-off of Liberty Media Corporation qualified as a tax-free transaction for AT&amp;T, Liberty Media and their shareowners. Liberty Media Corporation's Series A common stock and Series B common stock is now listed on the NYSE under the symbols "LMC.A" and "LMC.B," respectively.</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AT&amp;T's restructuring plan is complicated and involves a substantial number of steps and transactions, including obtaining various conditions, such as Internal Revenue Service rulings. AT&amp;T expects that the transactions associated with AT&amp;T's restructuring plan will be tax-free to U.S. shareowners. In addition, future financial conditions, superior alternatives or other factors may arise or occur that make it inadvisable to proceed with part or all of AT&amp;T's restructuring plans. Any or all of the elements of AT&amp;T's restructuring plan may not occur as we currently expect or in the time frames that we currently contemplate, or at all. Alternative forms of restructuring, including sales of interests in these businesses, would reduce what is available for distribution to shareowners in the restructuring.</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L-44</w:t>
      </w:r>
    </w:p>
    <w:p>
      <w:pPr>
        <w:sectPr>
          <w:pgSz w:w="11900" w:h="16838" w:orient="portrait"/>
          <w:cols w:equalWidth="0" w:num="1">
            <w:col w:w="10219"/>
          </w:cols>
          <w:pgMar w:left="240" w:top="518" w:right="1440" w:bottom="1440" w:gutter="0" w:footer="0" w:header="0"/>
        </w:sectPr>
      </w:pPr>
    </w:p>
    <w:bookmarkStart w:id="639" w:name="page640"/>
    <w:bookmarkEnd w:id="639"/>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220" w:right="5599" w:hanging="213"/>
        <w:spacing w:after="0" w:line="502" w:lineRule="auto"/>
        <w:tabs>
          <w:tab w:leader="none" w:pos="430" w:val="left"/>
        </w:tabs>
        <w:numPr>
          <w:ilvl w:val="0"/>
          <w:numId w:val="6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SUPPLEMENTARY FINANCIAL INFORMATION SUPPLEMENTARY INCOME STATEMENT INFORMATION</w:t>
      </w:r>
    </w:p>
    <w:p>
      <w:pPr>
        <w:ind w:left="60"/>
        <w:spacing w:after="0"/>
        <w:rPr>
          <w:sz w:val="20"/>
          <w:szCs w:val="20"/>
          <w:color w:val="auto"/>
        </w:rPr>
      </w:pPr>
      <w:r>
        <w:rPr>
          <w:rFonts w:ascii="Courier New" w:cs="Courier New" w:eastAsia="Courier New" w:hAnsi="Courier New"/>
          <w:sz w:val="17"/>
          <w:szCs w:val="17"/>
          <w:color w:val="auto"/>
        </w:rPr>
        <w:t>FOR THE YEARS ENDED DECEMBER 31, 2000 1999 1998</w:t>
      </w:r>
    </w:p>
    <w:p>
      <w:pPr>
        <w:spacing w:after="0" w:line="9" w:lineRule="exact"/>
        <w:rPr>
          <w:sz w:val="20"/>
          <w:szCs w:val="20"/>
          <w:color w:val="auto"/>
        </w:rPr>
      </w:pPr>
    </w:p>
    <w:p>
      <w:pPr>
        <w:ind w:left="320" w:hanging="211"/>
        <w:spacing w:after="0"/>
        <w:tabs>
          <w:tab w:leader="none" w:pos="320" w:val="left"/>
        </w:tabs>
        <w:numPr>
          <w:ilvl w:val="0"/>
          <w:numId w:val="6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jc w:val="both"/>
        <w:ind w:left="640" w:right="5759" w:hanging="60"/>
        <w:spacing w:after="0" w:line="251" w:lineRule="auto"/>
        <w:tabs>
          <w:tab w:leader="none" w:pos="1111" w:val="left"/>
        </w:tabs>
        <w:numPr>
          <w:ilvl w:val="1"/>
          <w:numId w:val="6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INCLUDED IN SELLING, GENERAL AND ADMINISTRATIVE EXPENSES Research and</w:t>
      </w:r>
    </w:p>
    <w:p>
      <w:pPr>
        <w:ind w:left="60"/>
        <w:spacing w:after="0"/>
        <w:rPr>
          <w:sz w:val="20"/>
          <w:szCs w:val="20"/>
          <w:color w:val="auto"/>
        </w:rPr>
      </w:pPr>
      <w:r>
        <w:rPr>
          <w:rFonts w:ascii="Courier New" w:cs="Courier New" w:eastAsia="Courier New" w:hAnsi="Courier New"/>
          <w:sz w:val="17"/>
          <w:szCs w:val="17"/>
          <w:color w:val="auto"/>
        </w:rPr>
        <w:t>development expenses...........................</w:t>
      </w:r>
    </w:p>
    <w:p>
      <w:pPr>
        <w:spacing w:after="0" w:line="9" w:lineRule="exact"/>
        <w:rPr>
          <w:sz w:val="20"/>
          <w:szCs w:val="20"/>
          <w:color w:val="auto"/>
        </w:rPr>
      </w:pPr>
    </w:p>
    <w:p>
      <w:pPr>
        <w:ind w:left="1580" w:right="5339" w:hanging="1418"/>
        <w:spacing w:after="0" w:line="251" w:lineRule="auto"/>
        <w:tabs>
          <w:tab w:leader="none" w:pos="376" w:val="left"/>
        </w:tabs>
        <w:numPr>
          <w:ilvl w:val="0"/>
          <w:numId w:val="6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402 $550 $513 ====== ==== ==== OTHER INCOME Investment-related</w:t>
      </w:r>
    </w:p>
    <w:p>
      <w:pPr>
        <w:jc w:val="center"/>
        <w:ind w:right="5199"/>
        <w:spacing w:after="0"/>
        <w:rPr>
          <w:sz w:val="20"/>
          <w:szCs w:val="20"/>
          <w:color w:val="auto"/>
        </w:rPr>
      </w:pPr>
      <w:r>
        <w:rPr>
          <w:rFonts w:ascii="Courier New" w:cs="Courier New" w:eastAsia="Courier New" w:hAnsi="Courier New"/>
          <w:sz w:val="17"/>
          <w:szCs w:val="17"/>
          <w:color w:val="auto"/>
        </w:rPr>
        <w:t>income................................... $ 512</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$203 $374 Net gains on sales of businesses and</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investments............ 1,321 585 408 Mark-to-</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market charge on put</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options........................ (537) -- --</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Investment impairment</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charges............................... (248)</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(40) -- Miscellaneous,</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102 78 30 ------ ---- ---- Total other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$1,150 $826 $812 ====== ==== ==== DEDUCTED FROM</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INTEREST EXPENSE Capitalized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$ 177 $143 $106 ====== ==== ====</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SUPPLEMENTARY BALANCE SHEET INFORMATION</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2000 1999 - --------------- ------</w:t>
      </w:r>
    </w:p>
    <w:p>
      <w:pPr>
        <w:spacing w:after="0" w:line="9" w:lineRule="exact"/>
        <w:rPr>
          <w:sz w:val="20"/>
          <w:szCs w:val="20"/>
          <w:color w:val="auto"/>
        </w:rPr>
      </w:pPr>
    </w:p>
    <w:p>
      <w:pPr>
        <w:ind w:left="940" w:right="5399" w:hanging="415"/>
        <w:spacing w:after="0" w:line="251" w:lineRule="auto"/>
        <w:tabs>
          <w:tab w:leader="none" w:pos="835" w:val="left"/>
        </w:tabs>
        <w:numPr>
          <w:ilvl w:val="0"/>
          <w:numId w:val="6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PROPERTY, PLANT AND EQUIPMENT Communications, network and other</w:t>
      </w:r>
    </w:p>
    <w:p>
      <w:pPr>
        <w:ind w:left="360"/>
        <w:spacing w:after="0"/>
        <w:rPr>
          <w:sz w:val="20"/>
          <w:szCs w:val="20"/>
          <w:color w:val="auto"/>
        </w:rPr>
      </w:pPr>
      <w:r>
        <w:rPr>
          <w:rFonts w:ascii="Courier New" w:cs="Courier New" w:eastAsia="Courier New" w:hAnsi="Courier New"/>
          <w:sz w:val="17"/>
          <w:szCs w:val="17"/>
          <w:color w:val="auto"/>
        </w:rPr>
        <w:t>equipment................. $ 60,232 $ 50,971</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Buildings and</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improvements..................................</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8,643 7,855 Land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improvements.......................................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523 579 -------- -------- Total property, plant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and equipment......................... 69,398</w:t>
      </w:r>
    </w:p>
    <w:p>
      <w:pPr>
        <w:spacing w:after="0" w:line="9"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59,405 Accumulated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depreciation....................................</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(28,129) (26,039) -------- -------- Property,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plant and equipment, net..........................</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$ 41,269 $ 33,366 ======== ========</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SUPPLEMENTARY SHAREOWNERS' EQUITY INFORMATION</w:t>
      </w:r>
    </w:p>
    <w:p>
      <w:pPr>
        <w:spacing w:after="0" w:line="210"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FOR THE YEARS ENDED DECEMBER 31,</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1999 1998 -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OTHER COMPREHENSIVE INCOME Net</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foreign currency translation</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adjustment [net of income taxes of</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540" w:type="dxa"/>
            <w:vAlign w:val="bottom"/>
          </w:tcPr>
          <w:p>
            <w:pPr>
              <w:spacing w:after="0"/>
              <w:rPr>
                <w:sz w:val="17"/>
                <w:szCs w:val="17"/>
                <w:color w:val="auto"/>
              </w:rPr>
            </w:pPr>
          </w:p>
        </w:tc>
        <w:tc>
          <w:tcPr>
            <w:tcW w:w="3140" w:type="dxa"/>
            <w:vAlign w:val="bottom"/>
          </w:tcPr>
          <w:p>
            <w:pPr>
              <w:jc w:val="right"/>
              <w:ind w:right="973"/>
              <w:spacing w:after="0"/>
              <w:rPr>
                <w:sz w:val="20"/>
                <w:szCs w:val="20"/>
                <w:color w:val="auto"/>
              </w:rPr>
            </w:pPr>
            <w:r>
              <w:rPr>
                <w:rFonts w:ascii="Courier New" w:cs="Courier New" w:eastAsia="Courier New" w:hAnsi="Courier New"/>
                <w:sz w:val="17"/>
                <w:szCs w:val="17"/>
                <w:color w:val="auto"/>
              </w:rPr>
              <w:t>$(181), $87 and</w:t>
            </w:r>
          </w:p>
        </w:tc>
      </w:tr>
      <w:tr>
        <w:trPr>
          <w:trHeight w:val="201"/>
        </w:trPr>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314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r>
    </w:tbl>
    <w:p>
      <w:pPr>
        <w:spacing w:after="0" w:line="4" w:lineRule="exact"/>
        <w:rPr>
          <w:sz w:val="20"/>
          <w:szCs w:val="20"/>
          <w:color w:val="auto"/>
        </w:rPr>
      </w:pPr>
    </w:p>
    <w:p>
      <w:pPr>
        <w:ind w:left="160" w:right="6399" w:hanging="104"/>
        <w:spacing w:after="0" w:line="251" w:lineRule="auto"/>
        <w:tabs>
          <w:tab w:leader="none" w:pos="684" w:val="left"/>
        </w:tabs>
        <w:numPr>
          <w:ilvl w:val="0"/>
          <w:numId w:val="6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$ 148 $ (5) Net revaluation of securities [net of income taxes of</w:t>
      </w:r>
    </w:p>
    <w:p>
      <w:pPr>
        <w:jc w:val="center"/>
        <w:ind w:right="6339"/>
        <w:spacing w:after="0"/>
        <w:rPr>
          <w:sz w:val="20"/>
          <w:szCs w:val="20"/>
          <w:color w:val="auto"/>
        </w:rPr>
      </w:pPr>
      <w:r>
        <w:rPr>
          <w:rFonts w:ascii="Courier New" w:cs="Courier New" w:eastAsia="Courier New" w:hAnsi="Courier New"/>
          <w:sz w:val="17"/>
          <w:szCs w:val="17"/>
          <w:color w:val="auto"/>
        </w:rPr>
        <w:t>$(5,166), $4,506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$(35)]...............................</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(8,067) 6,878 (25) Net minimum</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pension liability adjustment [net of</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income taxes of $(1), $7 and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$(15)]..............................</w:t>
      </w:r>
    </w:p>
    <w:p>
      <w:pPr>
        <w:spacing w:after="0" w:line="9" w:lineRule="exact"/>
        <w:rPr>
          <w:sz w:val="20"/>
          <w:szCs w:val="20"/>
          <w:color w:val="auto"/>
        </w:rPr>
      </w:pPr>
    </w:p>
    <w:p>
      <w:pPr>
        <w:ind w:left="940" w:right="6499" w:hanging="779"/>
        <w:spacing w:after="0" w:line="251" w:lineRule="auto"/>
        <w:tabs>
          <w:tab w:leader="none" w:pos="574" w:val="left"/>
        </w:tabs>
        <w:numPr>
          <w:ilvl w:val="0"/>
          <w:numId w:val="6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 9 ------- ------ ---- Total other comprehensive</w:t>
      </w:r>
    </w:p>
    <w:p>
      <w:pPr>
        <w:ind w:left="160"/>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$(8,377) $7,038 $(21) ======= ======</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right="2259" w:firstLine="524"/>
        <w:spacing w:after="0" w:line="253" w:lineRule="auto"/>
        <w:rPr>
          <w:sz w:val="20"/>
          <w:szCs w:val="20"/>
          <w:color w:val="auto"/>
        </w:rPr>
      </w:pPr>
      <w:r>
        <w:rPr>
          <w:rFonts w:ascii="Courier New" w:cs="Courier New" w:eastAsia="Courier New" w:hAnsi="Courier New"/>
          <w:sz w:val="17"/>
          <w:szCs w:val="17"/>
          <w:color w:val="auto"/>
        </w:rPr>
        <w:t>In 2000, other comprehensive income included LMG's foreign currency translation adjustments totaling $(202), net of applicable income taxes, revaluation of LMG's available-for-sale securities totaling $(6,117), net of applicable income taxes, and the recognition of previously unrecognized</w:t>
      </w:r>
    </w:p>
    <w:p>
      <w:pPr>
        <w:sectPr>
          <w:pgSz w:w="11900" w:h="16838" w:orient="portrait"/>
          <w:cols w:equalWidth="0" w:num="1">
            <w:col w:w="10219"/>
          </w:cols>
          <w:pgMar w:left="240" w:top="518" w:right="1440" w:bottom="0" w:gutter="0" w:footer="0" w:header="0"/>
        </w:sectPr>
      </w:pPr>
    </w:p>
    <w:bookmarkStart w:id="640" w:name="page641"/>
    <w:bookmarkEnd w:id="640"/>
    <w:p>
      <w:pPr>
        <w:spacing w:after="0"/>
        <w:rPr>
          <w:sz w:val="20"/>
          <w:szCs w:val="20"/>
          <w:color w:val="auto"/>
        </w:rPr>
      </w:pPr>
      <w:r>
        <w:rPr>
          <w:rFonts w:ascii="Courier New" w:cs="Courier New" w:eastAsia="Courier New" w:hAnsi="Courier New"/>
          <w:sz w:val="17"/>
          <w:szCs w:val="17"/>
          <w:color w:val="auto"/>
        </w:rPr>
        <w:t>available-for-sale securities totaling $(635), net of applicable income taxes.</w:t>
      </w:r>
    </w:p>
    <w:p>
      <w:pPr>
        <w:sectPr>
          <w:pgSz w:w="11900" w:h="16838" w:orient="portrait"/>
          <w:cols w:equalWidth="0" w:num="1">
            <w:col w:w="10219"/>
          </w:cols>
          <w:pgMar w:left="240" w:top="143" w:right="1440" w:bottom="1440" w:gutter="0" w:footer="0" w:header="0"/>
        </w:sectPr>
      </w:pP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L-45</w:t>
      </w:r>
    </w:p>
    <w:p>
      <w:pPr>
        <w:sectPr>
          <w:pgSz w:w="11900" w:h="16838" w:orient="portrait"/>
          <w:cols w:equalWidth="0" w:num="1">
            <w:col w:w="10219"/>
          </w:cols>
          <w:pgMar w:left="240" w:top="143" w:right="1440" w:bottom="1440" w:gutter="0" w:footer="0" w:header="0"/>
          <w:type w:val="continuous"/>
        </w:sectPr>
      </w:pPr>
    </w:p>
    <w:bookmarkStart w:id="641" w:name="page642"/>
    <w:bookmarkEnd w:id="641"/>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459" w:firstLine="524"/>
        <w:spacing w:after="0" w:line="253" w:lineRule="auto"/>
        <w:rPr>
          <w:sz w:val="20"/>
          <w:szCs w:val="20"/>
          <w:color w:val="auto"/>
        </w:rPr>
      </w:pPr>
      <w:r>
        <w:rPr>
          <w:rFonts w:ascii="Courier New" w:cs="Courier New" w:eastAsia="Courier New" w:hAnsi="Courier New"/>
          <w:sz w:val="17"/>
          <w:szCs w:val="17"/>
          <w:color w:val="auto"/>
        </w:rPr>
        <w:t>In 1999, other comprehensive income included LMG's foreign currency translation adjustments totaling $60, net of applicable income taxes, and revaluation of LMG's available-for-sale securities totaling $6,497, net of applicable income taxes.</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SUPPLEMENTARY CASH FLOW INFORMATION</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FOR THE YEARS ENDED DECEMBER 31, 2000 1999 1998</w:t>
      </w:r>
    </w:p>
    <w:p>
      <w:pPr>
        <w:spacing w:after="0" w:line="9" w:lineRule="exact"/>
        <w:rPr>
          <w:sz w:val="20"/>
          <w:szCs w:val="20"/>
          <w:color w:val="auto"/>
        </w:rPr>
      </w:pPr>
    </w:p>
    <w:p>
      <w:pPr>
        <w:ind w:left="260" w:hanging="202"/>
        <w:spacing w:after="0"/>
        <w:tabs>
          <w:tab w:leader="none" w:pos="260" w:val="left"/>
        </w:tabs>
        <w:numPr>
          <w:ilvl w:val="0"/>
          <w:numId w:val="6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Interest payments, net of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capitalized...............</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$3,234</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$1,162</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$ 287</w:t>
            </w:r>
          </w:p>
        </w:tc>
      </w:tr>
      <w:tr>
        <w:trPr>
          <w:trHeight w:val="201"/>
        </w:trPr>
        <w:tc>
          <w:tcPr>
            <w:tcW w:w="368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Income tax</w:t>
            </w: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1"/>
        </w:trPr>
        <w:tc>
          <w:tcPr>
            <w:tcW w:w="36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3"/>
              </w:rPr>
              <w:t>payments.........................................</w:t>
            </w: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1"/>
        </w:trPr>
        <w:tc>
          <w:tcPr>
            <w:tcW w:w="2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2,369 3,948</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2,761</w:t>
            </w: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left="220" w:right="3199" w:hanging="213"/>
        <w:spacing w:after="0" w:line="502" w:lineRule="auto"/>
        <w:tabs>
          <w:tab w:leader="none" w:pos="430" w:val="left"/>
        </w:tabs>
        <w:numPr>
          <w:ilvl w:val="0"/>
          <w:numId w:val="6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MERGERS WITH MEDIAONE GROUP, INC. AND TELE-COMMUNICATIONS, INC. MERGER WITH MEDIAONE GROUP, INC.</w:t>
      </w:r>
    </w:p>
    <w:p>
      <w:pPr>
        <w:ind w:right="1939" w:firstLine="524"/>
        <w:spacing w:after="0" w:line="251" w:lineRule="auto"/>
        <w:rPr>
          <w:sz w:val="20"/>
          <w:szCs w:val="20"/>
          <w:color w:val="auto"/>
        </w:rPr>
      </w:pPr>
      <w:r>
        <w:rPr>
          <w:rFonts w:ascii="Courier New" w:cs="Courier New" w:eastAsia="Courier New" w:hAnsi="Courier New"/>
          <w:sz w:val="17"/>
          <w:szCs w:val="17"/>
          <w:color w:val="auto"/>
        </w:rPr>
        <w:t>On June 15, 2000, AT&amp;T completed a merger with MediaOne Group, Inc. (MediaOne) in a cash and stock transaction valued at approximately $45 billion. For each share of MediaOne stock, MediaOne shareowners received, in the aggregate, 0.95 of a share of AT&amp;T common stock and $36.27 per share in cash, consisting of $30.85 per share as stipulated in the merger agreement and $5.42 per share based on AT&amp;T's stock price preceding the merger, which was below a predetermined amount. AT&amp;T issued approximately 603 million shares of common stock in the transaction, of which approximately 60 million were treasury shares. The AT&amp;T shares had an aggregate market value of approximately $21 billion and cash payments totaled approximately $24 billion.</w:t>
      </w:r>
    </w:p>
    <w:p>
      <w:pPr>
        <w:spacing w:after="0" w:line="201"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The merger was accounted for under the purchase method. Accordingly, the results of MediaOne have been included in the accompanying consolidated financial statements since the date of acquisition as part of our Broadband segment.</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Approximately $16 billion of the purchase price of $45 billion has been attributed to agreements with local franchise authorities that allow access to homes in our broadband service areas ("franchise costs") and is being amortized on a straight-line basis over 40 years. Also included in the purchase price was approximately $22 billion related to nonconsolidated investments, including investments in Time Warner Entertainment Company, L.P. (TWE) and Vodafone Group plc (Vodafone), approximately $5 billion related to property, plant and equipment, and approximately $7 billion of other net assets. In addition, included was approximately $14 billion in deferred income liabilities, approximately $10 billion attributable to MediaOne debt, and approximately $1 billion of minority interest in Centaur Funding Corporation, a subsidiary of MediaOne. The purchase resulted in preliminary goodwill of approximately $20 billion, which is being amortized on a straight-line basis over 40 years. AT&amp;T may make refinements to the allocation of the purchase price in future periods as the related fair value appraisals of certain assets and liabilities are finalized.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MERGER WITH TELE-COMMUNICATIONS, INC.</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March 9, 1999, AT&amp;T completed a merger with Tele-Communications, Inc. (TCI), renamed AT&amp;T Broadband, in an all-stock transaction valued at approximately $52 billion. Each share of TCI Group Series A common stock was converted into 1.16355 shares of AT&amp;T common stock, and each share of TCI Group Series B common stock was converted into 1.27995 shares of AT&amp;T common stock. AT&amp;T issued approximately 664 million shares of common stock in the transaction, of which approximately 149 million were treasury shares. The AT&amp;T shares had an aggregate market value of approximately $27 billion. Certain subsidiaries of TCI held TCI Group Series A common stock, which was converted into 216 million shares of AT&amp;T common stock. These subsidiaries continue to hold these shares, which are reflected as treasury stock in the accompanying Consolidated Balance Sheets.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L-46</w:t>
      </w:r>
    </w:p>
    <w:p>
      <w:pPr>
        <w:sectPr>
          <w:pgSz w:w="11900" w:h="16838" w:orient="portrait"/>
          <w:cols w:equalWidth="0" w:num="1">
            <w:col w:w="10219"/>
          </w:cols>
          <w:pgMar w:left="240" w:top="518" w:right="1440" w:bottom="1061" w:gutter="0" w:footer="0" w:header="0"/>
        </w:sectPr>
      </w:pPr>
    </w:p>
    <w:bookmarkStart w:id="642" w:name="page643"/>
    <w:bookmarkEnd w:id="642"/>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TCI simultaneously combined its Liberty Media Group programming business with its TCI Ventures Group technology investment business, forming LMG. In connection with the closing, AT&amp;T issued separate tracking stock in exchange for the TCI Liberty Media Group and TCI Ventures Group tracking shares previously outstanding. We issued 2,280 million shares of Liberty Media Group Class A tracking stock (including 120 million shares related to the conversion of convertible notes) and 220 million shares of Liberty Media Group Class B tracking stock. The tracking stock is designed to reflect the separate financial performance and economic value of LMG. These shares had an aggregate market value of approximately $23 billion.</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does not have a controlling financial interest for financial accounting purposes in LMG. Therefore, our investment in LMG has been reflected as an investment accounted for under the equity method in the accompanying consolidated financial statements. The amounts attributable to LMG are reflected as "Equity earnings (losses) from Liberty Media Group" and "Investment in Liberty Media Group and related receivables, net" in the accompanying consolidated financial statements. As a separate tracking stock, all of the earnings or losses related to LMG are excluded from the earnings available to the holders of AT&amp;T common stock.</w:t>
      </w:r>
    </w:p>
    <w:p>
      <w:pPr>
        <w:spacing w:after="0" w:line="200" w:lineRule="exact"/>
        <w:rPr>
          <w:sz w:val="20"/>
          <w:szCs w:val="20"/>
          <w:color w:val="auto"/>
        </w:rPr>
      </w:pPr>
    </w:p>
    <w:p>
      <w:pPr>
        <w:spacing w:after="0" w:line="203"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Each share of Liberty Media Group Class A common stock is entitled to</w:t>
      </w:r>
    </w:p>
    <w:p>
      <w:pPr>
        <w:spacing w:after="0" w:line="9"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0.0375 of a vote, and each share of Liberty Media Group Class B common stock is entitled to 0.375 of a vote.</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TCI merger was accounted for under the purchase method. Accordingly, the results of TCI have been included in the financial results of AT&amp;T since the date of acquisition. The operating results of TCI have been included in the accompanying consolidated financial statements at their fair value since March 1, 1999, the deemed effective date of acquisition for accounting purposes. The impact of the results from March 1 through March 9, 1999, were deemed immaterial to our consolidated results.</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Approximately $20 billion of the purchase price of $52 billion was attributed to franchise costs and is being amortized on a straight-line basis over 40 years. Pursuant to Statement of Financial Accounting Standards (SFAS) No. 109, "Accounting for Income Taxes," AT&amp;T recorded an approximate $13 billion deferred tax liability in connection with this franchise intangible, which is also included in franchise costs. We do not expect that this deferred tax liability will ever be paid. This deferred tax liability is being amortized on a straight-line basis over 40 years and is included in the provision for income taxes. Also included was approximately $11 billion related to nonconsolidated investments, approximately $5 billion related to property, plant and equipment, approximately $11 billion of TCI long-term debt and approximately $7 billion related to other net liabilities. In addition, our investment in LMG was recorded at approximately $34 billion, including approximately $11 billion of goodwill that is being amortized on a straight- line basis over 20 years as a component of "Equity earnings (losses) from Liberty Media Group."</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L-47</w:t>
      </w:r>
    </w:p>
    <w:p>
      <w:pPr>
        <w:sectPr>
          <w:pgSz w:w="11900" w:h="16838" w:orient="portrait"/>
          <w:cols w:equalWidth="0" w:num="1">
            <w:col w:w="10219"/>
          </w:cols>
          <w:pgMar w:left="240" w:top="518" w:right="1440" w:bottom="1440" w:gutter="0" w:footer="0" w:header="0"/>
        </w:sectPr>
      </w:pPr>
    </w:p>
    <w:bookmarkStart w:id="643" w:name="page644"/>
    <w:bookmarkEnd w:id="643"/>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Following is a summary of the pro forma results of AT&amp;T as if the mergers with MediaOne and TCI had closed effective January 1, 1999:</w:t>
      </w:r>
    </w:p>
    <w:p>
      <w:pPr>
        <w:spacing w:after="0" w:line="192"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2000 1999 FOR THE YEARS ENDED DECEMBER 31, ------- -------</w:t>
      </w:r>
    </w:p>
    <w:p>
      <w:pPr>
        <w:spacing w:after="0" w:line="9" w:lineRule="exact"/>
        <w:rPr>
          <w:sz w:val="20"/>
          <w:szCs w:val="20"/>
          <w:color w:val="auto"/>
        </w:rPr>
      </w:pPr>
    </w:p>
    <w:p>
      <w:pPr>
        <w:jc w:val="center"/>
        <w:ind w:left="2740" w:right="4139" w:hanging="2523"/>
        <w:spacing w:after="0" w:line="251" w:lineRule="auto"/>
        <w:tabs>
          <w:tab w:leader="none" w:pos="436" w:val="left"/>
        </w:tabs>
        <w:numPr>
          <w:ilvl w:val="0"/>
          <w:numId w:val="6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(UNAUDITED) Shares in millions</w:t>
      </w: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$56,858 $58,609 Income from continuing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operations........................... 5,081 6,885 Weighted-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average AT&amp;T common shares......................... 3,762</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3,784 Weighted-average AT&amp;T common shares and potential</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3,821 3,906 Weighted-average Liberty Media Group</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shares................. 2,572 2,519 AT&amp;T Common Stock Group</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earnings from continuing operations per common share: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Basic.................................................. $</w:t>
      </w:r>
    </w:p>
    <w:p>
      <w:pPr>
        <w:spacing w:after="0" w:line="9"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0.96 $ 2.41</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Diluted................................................ $</w:t>
      </w:r>
    </w:p>
    <w:p>
      <w:pPr>
        <w:spacing w:after="0" w:line="394" w:lineRule="exact"/>
        <w:rPr>
          <w:sz w:val="20"/>
          <w:szCs w:val="20"/>
          <w:color w:val="auto"/>
        </w:rPr>
      </w:pPr>
    </w:p>
    <w:p>
      <w:pPr>
        <w:ind w:left="160" w:right="4039" w:hanging="52"/>
        <w:spacing w:after="0" w:line="254" w:lineRule="auto"/>
        <w:rPr>
          <w:sz w:val="20"/>
          <w:szCs w:val="20"/>
          <w:color w:val="auto"/>
        </w:rPr>
      </w:pPr>
      <w:r>
        <w:rPr>
          <w:rFonts w:ascii="Courier New" w:cs="Courier New" w:eastAsia="Courier New" w:hAnsi="Courier New"/>
          <w:sz w:val="17"/>
          <w:szCs w:val="17"/>
          <w:color w:val="auto"/>
        </w:rPr>
        <w:t>0.95 $ 2.34 Liberty Media Group earnings (loss) per share: Basic and diluted...................................... $ 0.58 $ (0.89)</w:t>
      </w:r>
    </w:p>
    <w:p>
      <w:pPr>
        <w:spacing w:after="0" w:line="396"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Pro forma data may not be indicative of the results that would have been obtained had these events actually occurred at the beginning of the periods presented, nor does it intend to be a projection of future results.</w:t>
      </w:r>
    </w:p>
    <w:p>
      <w:pPr>
        <w:spacing w:after="0" w:line="194" w:lineRule="exact"/>
        <w:rPr>
          <w:sz w:val="20"/>
          <w:szCs w:val="20"/>
          <w:color w:val="auto"/>
        </w:rPr>
      </w:pPr>
    </w:p>
    <w:p>
      <w:pPr>
        <w:ind w:left="220" w:right="2459" w:hanging="213"/>
        <w:spacing w:after="0" w:line="502" w:lineRule="auto"/>
        <w:tabs>
          <w:tab w:leader="none" w:pos="430" w:val="left"/>
        </w:tabs>
        <w:numPr>
          <w:ilvl w:val="0"/>
          <w:numId w:val="6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MERGERS, ACQUISITIONS, STOCK OFFERING, VENTURE, AND DISPOSITIONS AT HOME CORPORATION</w:t>
      </w:r>
    </w:p>
    <w:p>
      <w:pPr>
        <w:ind w:right="1839" w:firstLine="524"/>
        <w:spacing w:after="0" w:line="251" w:lineRule="auto"/>
        <w:rPr>
          <w:sz w:val="20"/>
          <w:szCs w:val="20"/>
          <w:color w:val="auto"/>
        </w:rPr>
      </w:pPr>
      <w:r>
        <w:rPr>
          <w:rFonts w:ascii="Courier New" w:cs="Courier New" w:eastAsia="Courier New" w:hAnsi="Courier New"/>
          <w:sz w:val="17"/>
          <w:szCs w:val="17"/>
          <w:color w:val="auto"/>
        </w:rPr>
        <w:t>On August 28, 2000, AT&amp;T and At Home Corporation (Excite@Home) announced shareholder approval of a new board of directors and governance structure for Excite@Home and completion of the extension of distribution contracts with AT&amp;T, Cox Communications, Inc. (Cox) and Comcast Corporation (Comcast). AT&amp;T was given the right to designate six of the 11 Excite@Home board members. In addition, Excite@Home converted approximately 50 million of AT&amp;T's Series A shares into Series B shares, each of which has 10 votes. As a result of these governance changes, AT&amp;T gained a controlling interest and began consolidating Excite@Home's results upon the closing of the transaction on September 1, 2000. As of December 31, 2000, AT&amp;T had, on a fully diluted basis, approximately 23% of the economic interest and 74% of the voting interest in Excite@Home.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exchange for Cox and Comcast relinquishing their rights under the shareholder agreement, AT&amp;T granted put options to Cox and Comcast on a combined total of 60.4 million shares of Excite@Home Series A common stock. The put options provide Cox and Comcast with the right to convert their Excite@Home shares into either AT&amp;T stock or cash at their option, at any time between January 1, 2001 and June 4, 2002, at the higher of (i) $48 per share or (ii) the 30-day average trading price at the time of exercise (beginning 15 trading days prior to the exercise date, and ending 15 days after the exercise date). The maximum amount that AT&amp;T would be required to pay in cash or stock is approximately $2.9 billion based on the $48 strike price. The obligation under these put options was recorded at fair value, with gains or losses resulting from changes in fair value being recorded as a component of other income. For the year, changes in fair market value resulted in a pretax expense of $537. Subsequent to December 31, 2000, Cox and Comcast exercised their put options, electing to receive AT&amp;T common shares (see Note 23).</w:t>
      </w:r>
    </w:p>
    <w:p>
      <w:pPr>
        <w:spacing w:after="0" w:line="202"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Also, in connection with the distribution agreements which extend through 2008, AT&amp;T obtained the right to purchase up to approximately 25 million Excite@Home Series A shares and 25 million Series B</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L-48</w:t>
      </w:r>
    </w:p>
    <w:p>
      <w:pPr>
        <w:sectPr>
          <w:pgSz w:w="11900" w:h="16838" w:orient="portrait"/>
          <w:cols w:equalWidth="0" w:num="1">
            <w:col w:w="10219"/>
          </w:cols>
          <w:pgMar w:left="240" w:top="518" w:right="1440" w:bottom="1440" w:gutter="0" w:footer="0" w:header="0"/>
        </w:sectPr>
      </w:pPr>
    </w:p>
    <w:bookmarkStart w:id="644" w:name="page645"/>
    <w:bookmarkEnd w:id="644"/>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shares. In addition, Cox and Comcast will each receive new warrants to purchase two Series A shares for each home its cable system passes. These warrants will vest in installments every six months beginning in June 2001, and will be fully vested by June 2006 if Cox and Comcast elect to continue their extended non-exclusive distribution agreements through that period.</w:t>
      </w:r>
    </w:p>
    <w:p>
      <w:pPr>
        <w:spacing w:after="0" w:line="197"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The consolidation of Excite@Home resulted in minority interest of approximately $2.2 billion, goodwill of approximately $2.4 billion, short-term liabilities of approximately $2.4 billion (including an initial put option liability), other net assets of approximately $1.2 billion and the removal of our investment in Excite@Home of approximately $1.9 billion.</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AT&amp;T WIRELESS GROUP</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April 27, 2000, AT&amp;T created a new class of stock and completed a public stock offering of 360 million shares, which represented 15.6% of AT&amp;T Wireless Group tracking stock at a price of $29.50 per share. This stock was intended to track the financial performance and economic value of AT&amp;T's wireless services' business. The net proceeds to AT&amp;T after deducting underwriter's discount and related fees and expenses were $10.3 billion. AT&amp;T allocated $7.0 billion of the net proceeds to AT&amp;T Wireless Group, which were used for acquisitions, network expansion, capital expenditures and for general corporate purposes. The remaining net proceeds of $3.3 billion were utilized by AT&amp;T for general corporate purposes. On July 9, 2001, AT&amp;T completed the split-off of AT&amp;T Wireless (see Note 23).</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COX COMMUNICATIONS, INC.</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On March 15, 2000, AT&amp;T received 50.3 million shares of AT&amp;T common stock held by Cox in exchange for an entity owning cable television systems serving approximately 312,000 customers and certain other net assets. Specifically, AT&amp;T exchanged $1.1 billion of investments and related advances, $0.9 billion of franchise costs and $0.5 billion of other net assets for stock valued at $2.7 billion on March 15, 2000. The transaction resulted in a pretax gain of $189.</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LENFEST COMMUNICATIONS, INC.</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On January 18, 2000, AT&amp;T sold its ownership in Lenfest Communications, Inc. to a subsidiary of Comcast. In connection with the sale, we received 47.3 million shares of Comcast Class A Special common stock. The transaction resulted in a pretax gain of $224.</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CONCERT</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January 5, 2000, AT&amp;T and British Telecommunications plc (BT) announced financial closure of Concert, their global communications joint venture. AT&amp;T contributed all of its international gateway-to-gateway assets, as well as the economic value of approximately 270 multinational customers specifically targeted for direct sales by Concert.</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ACC EUROPE</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November 5, 1999, AT&amp;T sold ACC Corp. (ACC) in Europe, including ACC's principal operations in the United Kingdom as well as ACC's operating companies in France, Germany and Italy, to WORLDxCHANGE Communications. We were required to dispose of this investment pursuant to a government mandate since it would have competed directly with Concert. The transaction resulted in a pretax loss of $179.</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L-49</w:t>
      </w:r>
    </w:p>
    <w:p>
      <w:pPr>
        <w:sectPr>
          <w:pgSz w:w="11900" w:h="16838" w:orient="portrait"/>
          <w:cols w:equalWidth="0" w:num="1">
            <w:col w:w="10219"/>
          </w:cols>
          <w:pgMar w:left="240" w:top="518" w:right="1440" w:bottom="1440" w:gutter="0" w:footer="0" w:header="0"/>
        </w:sectPr>
      </w:pPr>
    </w:p>
    <w:bookmarkStart w:id="645" w:name="page646"/>
    <w:bookmarkEnd w:id="645"/>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IBM GLOBAL NETWORK</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April 30, 1999, AT&amp;T completed its acquisition of the IBM Global Network business (renamed AT&amp;T Global Network Services or AGNS) and its assets in the United States. The non-U.S. acquisitions were completed in phases throughout 1999 and during the first quarter of 2000. Under the terms of the agreement, AT&amp;T acquired the global network of IBM, and the two companies entered into outsourcing agreements with each other. The acquisition was accounted for under the purchase method. Accordingly, the operating results of AGNS have been included in the accompanying consolidated financial statements since the date of acquisition. The pro forma impact of AGNS on historical AT&amp;T results is not material.</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TELEPORT COMMUNICATIONS GROUP INC.</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On July 23, 1998, AT&amp;T completed a merger with Teleport Communications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Group Inc. (TCG) pursuant to an agreement and plan of merger dated January 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1998. Each share of TCG common stock was exchanged for 1.4145 shares of AT&amp;T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resulting in the issuance of 272.4 million shares in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 The merger was accounted for as a pooling of interests,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accordingly, AT&amp;T's results of operations, financial position and cash flows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were restated to reflect the merger. In 1998, we recognized $85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merger-related expenses. Premerger TCG revenue was $455, and net losses were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$118, for the six months ended June 30, 1998. Elimination entries between AT&amp;T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TCG were not material. On April 22, 1998, TCG purchased ACC for an aggregate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value of approximately $1,100, including approximately $700 in goodwill.</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OTHER DISPOSITIONS</w:t>
      </w:r>
    </w:p>
    <w:p>
      <w:pPr>
        <w:spacing w:after="0" w:line="210" w:lineRule="exact"/>
        <w:rPr>
          <w:sz w:val="20"/>
          <w:szCs w:val="20"/>
          <w:color w:val="auto"/>
        </w:rPr>
      </w:pPr>
    </w:p>
    <w:p>
      <w:pPr>
        <w:ind w:right="2679" w:firstLine="524"/>
        <w:spacing w:after="0" w:line="254" w:lineRule="auto"/>
        <w:rPr>
          <w:sz w:val="20"/>
          <w:szCs w:val="20"/>
          <w:color w:val="auto"/>
        </w:rPr>
      </w:pPr>
      <w:r>
        <w:rPr>
          <w:rFonts w:ascii="Courier New" w:cs="Courier New" w:eastAsia="Courier New" w:hAnsi="Courier New"/>
          <w:sz w:val="17"/>
          <w:szCs w:val="17"/>
          <w:color w:val="auto"/>
        </w:rPr>
        <w:t>On March 3, 1998, AT&amp;T sold AT&amp;T Solutions Customer Care to MATRIXX Marketing Inc., a teleservices unit of Cincinnati Bell, for $625. AT&amp;T recognized a pretax gain of $350 in 1998 on the sale.</w:t>
      </w:r>
    </w:p>
    <w:p>
      <w:pPr>
        <w:spacing w:after="0" w:line="194" w:lineRule="exact"/>
        <w:rPr>
          <w:sz w:val="20"/>
          <w:szCs w:val="20"/>
          <w:color w:val="auto"/>
        </w:rPr>
      </w:pPr>
    </w:p>
    <w:p>
      <w:pPr>
        <w:ind w:left="420" w:hanging="413"/>
        <w:spacing w:after="0"/>
        <w:tabs>
          <w:tab w:leader="none" w:pos="420" w:val="left"/>
        </w:tabs>
        <w:numPr>
          <w:ilvl w:val="0"/>
          <w:numId w:val="6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DISCONTINUED OPERATIONS</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Pursuant to AT&amp;T's restructuring plan (see Note 2), AT&amp;T completed the split-off of AT&amp;T Wireless as a separate, independently-traded company on July 9, 2001. The split-off of AT&amp;T Wireless will result in a non-cash gain of approximately $13 billion, which represents the difference between the fair value of the Wireless tracking stock at the date of the split-off and AT&amp;T's book value in AT&amp;T Wireless Services. This gain will be recorded in the third quarter of 2001 and be reflected as "Gain on the disposition of discontinued operations."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On April 2, 1998, AT&amp;T sold AT&amp;T Universal Card Services Inc. (UCS) 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$3,500 to Citigroup, Inc. The after-tax gain resulting from the disposal of UCS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 $1,290, or $0.48 per diluted share. Included in the transaction was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cobranding and joint-marketing agreement. In addition, we received $5,722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settlement of receivables from UCS.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consolidated financial statements of AT&amp;T reflect AT&amp;T Wireless and UCS as discontinued operations. Accordingly, the revenue, costs and expenses, assets and liabilities and cash flows of these discontinued operations have been excluded from the respective captions in the Consolidated Statements of Operations, Consolidated Balance Sheets and Consolidated Statements of Cash Flows and have been reported as "Income from discontinued operations," net of applicable income taxes; as "Net assets of discontinued operations"; and as "Net cash used in discontinued operations" for all periods presented. The gain associated with the sale of UCS in 1998 is reflected as "Gain on sale of discontinued operations," net of applicable income taxes.</w:t>
      </w:r>
    </w:p>
    <w:p>
      <w:pPr>
        <w:spacing w:after="0" w:line="201"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Revenue for discontinued operations was $10,448, $7,627, and $5,771 for 2000, 1999 and 1998, respectively.</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L-50</w:t>
      </w:r>
    </w:p>
    <w:p>
      <w:pPr>
        <w:sectPr>
          <w:pgSz w:w="11900" w:h="16838" w:orient="portrait"/>
          <w:cols w:equalWidth="0" w:num="1">
            <w:col w:w="10219"/>
          </w:cols>
          <w:pgMar w:left="240" w:top="518" w:right="1440" w:bottom="1440" w:gutter="0" w:footer="0" w:header="0"/>
        </w:sectPr>
      </w:pPr>
    </w:p>
    <w:bookmarkStart w:id="646" w:name="page647"/>
    <w:bookmarkEnd w:id="646"/>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Net assets of discontinued operations included assets of $35,087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$23,312 at December 31, 2000 and 1999, respectively, and total liabilities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$7,822 and $5,929 at December 31, 2000 and 1999, respectively. Total assets were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comprised primarily of licensing costs, property, plant and equipment, goodwill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investments. Total liabilities were comprised primarily of deferred income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taxes, other short-term liabilities and accounts payable. Net assets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discontinued operations also included minority interest of $41 and $20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2000 and 1999, respectively.</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Interest expense of $330, $253 and $221 was allocated to AT&amp;T Wireless discontinued operations in 2000, 1999 and 1998, respectively, based on the debt of AT&amp;T Corp. that was attributable to AT&amp;T Wireless. This debt was repaid to AT&amp;T in connection with the subsequent distribution of AT&amp;T Wireless. No interest was allocated to UCS in 1998 due to the immateriality of the amounts; however, UCS recorded direct interest expense of $85 in 1998, primarily related to amounts payable to AT&amp;T.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ACQUISITION-RELATED INTANGIBLE ASSETS</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As a result of our evaluation of recent changes in our industry and the views of regulatory authorities, AT&amp;T expects that the amortization period for all franchise costs and goodwill associated with newly acquired telecommunications and cable operations will not exceed 25 years.</w:t>
      </w:r>
    </w:p>
    <w:p>
      <w:pPr>
        <w:spacing w:after="0" w:line="195" w:lineRule="exact"/>
        <w:rPr>
          <w:sz w:val="20"/>
          <w:szCs w:val="20"/>
          <w:color w:val="auto"/>
        </w:rPr>
      </w:pPr>
    </w:p>
    <w:p>
      <w:pPr>
        <w:ind w:left="420" w:hanging="413"/>
        <w:spacing w:after="0"/>
        <w:tabs>
          <w:tab w:leader="none" w:pos="420" w:val="left"/>
        </w:tabs>
        <w:numPr>
          <w:ilvl w:val="0"/>
          <w:numId w:val="6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COMMON SHARE AND POTENTIAL COMMON SHARE</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Income (loss) attributable to the different classes of AT&amp;T common stock is as follows:</w:t>
      </w:r>
    </w:p>
    <w:p>
      <w:pPr>
        <w:spacing w:after="0" w:line="192"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AT&amp;T COMMON STOCK GROUP</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AT&amp;T WIRELESS GROUP</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LIBERTY MEDIA GROUP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FOR THE YEARS</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ENDED DECEMBER 31, 2000</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1999 1998 2000 1999 1998</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2000 1999 1998 -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580" w:hanging="524"/>
        <w:spacing w:after="0"/>
        <w:tabs>
          <w:tab w:leader="none" w:pos="580" w:val="left"/>
        </w:tabs>
        <w:numPr>
          <w:ilvl w:val="0"/>
          <w:numId w:val="6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640" w:hanging="532"/>
        <w:spacing w:after="0"/>
        <w:tabs>
          <w:tab w:leader="none" w:pos="640" w:val="left"/>
        </w:tabs>
        <w:numPr>
          <w:ilvl w:val="1"/>
          <w:numId w:val="6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900" w:right="7599" w:hanging="687"/>
        <w:spacing w:after="0" w:line="251" w:lineRule="auto"/>
        <w:tabs>
          <w:tab w:leader="none" w:pos="743" w:val="left"/>
        </w:tabs>
        <w:numPr>
          <w:ilvl w:val="2"/>
          <w:numId w:val="6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 from continuing</w:t>
      </w:r>
    </w:p>
    <w:p>
      <w:pPr>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$2,645 $5,883 $5,052 $--</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 $-- $1,488 $(2,022) $-</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 Income (loss) from</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discontinued</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460 (433) 193 76 -- -- --</w:t>
      </w:r>
    </w:p>
    <w:p>
      <w:pPr>
        <w:spacing w:after="0" w:line="9" w:lineRule="exact"/>
        <w:rPr>
          <w:sz w:val="20"/>
          <w:szCs w:val="20"/>
          <w:color w:val="auto"/>
        </w:rPr>
      </w:pPr>
    </w:p>
    <w:p>
      <w:pPr>
        <w:ind w:left="780" w:right="7699" w:hanging="462"/>
        <w:spacing w:after="0" w:line="251" w:lineRule="auto"/>
        <w:tabs>
          <w:tab w:leader="none" w:pos="623" w:val="left"/>
        </w:tabs>
        <w:numPr>
          <w:ilvl w:val="0"/>
          <w:numId w:val="6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Gain on sale of discontinued</w:t>
      </w:r>
    </w:p>
    <w:p>
      <w:pPr>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-- 1,290 -- -- -- -- --</w:t>
      </w:r>
    </w:p>
    <w:p>
      <w:pPr>
        <w:spacing w:after="0" w:line="9" w:lineRule="exact"/>
        <w:rPr>
          <w:sz w:val="20"/>
          <w:szCs w:val="20"/>
          <w:color w:val="auto"/>
        </w:rPr>
      </w:pPr>
    </w:p>
    <w:p>
      <w:pPr>
        <w:ind w:left="100" w:right="7499" w:firstLine="479"/>
        <w:spacing w:after="0" w:line="251" w:lineRule="auto"/>
        <w:tabs>
          <w:tab w:leader="none" w:pos="885" w:val="left"/>
        </w:tabs>
        <w:numPr>
          <w:ilvl w:val="1"/>
          <w:numId w:val="6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Extraordinary loss........... -- -- 137</w:t>
      </w:r>
    </w:p>
    <w:p>
      <w:pPr>
        <w:ind w:left="60" w:right="7439" w:firstLine="258"/>
        <w:spacing w:after="0" w:line="251" w:lineRule="auto"/>
        <w:tabs>
          <w:tab w:leader="none" w:pos="637" w:val="left"/>
        </w:tabs>
        <w:numPr>
          <w:ilvl w:val="0"/>
          <w:numId w:val="6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 Net income (loss) available to</w:t>
      </w:r>
    </w:p>
    <w:p>
      <w:pPr>
        <w:ind w:left="1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8"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shareowners.........</w:t>
      </w:r>
    </w:p>
    <w:p>
      <w:pPr>
        <w:spacing w:after="0" w:line="8" w:lineRule="exact"/>
        <w:rPr>
          <w:rFonts w:ascii="Courier New" w:cs="Courier New" w:eastAsia="Courier New" w:hAnsi="Courier New"/>
          <w:sz w:val="17"/>
          <w:szCs w:val="17"/>
          <w:color w:val="auto"/>
        </w:rPr>
      </w:pPr>
    </w:p>
    <w:p>
      <w:pPr>
        <w:jc w:val="center"/>
        <w:ind w:left="60" w:right="7439" w:firstLine="105"/>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$3,105 $5,450 $6,398 $76 $-- $-- $1,488 $(2,022) $-</w:t>
      </w:r>
    </w:p>
    <w:p>
      <w:pPr>
        <w:ind w:left="1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Basic earnings per share (EPS) for AT&amp;T Common Stock Group for 2000, 1999 and 1998 were computed by dividing AT&amp;T Common Stock Group income by the weighted-average number of shares outstanding during the year.</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Diluted EPS for AT&amp;T Common Stock Group was computed by dividing AT&amp;T Common Stock Group income, adjusted for the conversion of securities, by the weighted-average number of shares and dilutive potential shares outstanding during the year, assuming conversion of the potential shares at the beginning of the years presented. Shares issuable upon conversion of preferred stock of subsidiaries, convertible debt securities of subsidiary, stock options and other performance awards have been included in the diluted calculation of</w:t>
      </w:r>
    </w:p>
    <w:p>
      <w:pPr>
        <w:sectPr>
          <w:pgSz w:w="11900" w:h="16838" w:orient="portrait"/>
          <w:cols w:equalWidth="0" w:num="1">
            <w:col w:w="10219"/>
          </w:cols>
          <w:pgMar w:left="240" w:top="518" w:right="1440" w:bottom="0" w:gutter="0" w:footer="0" w:header="0"/>
        </w:sectPr>
      </w:pPr>
    </w:p>
    <w:bookmarkStart w:id="647" w:name="page648"/>
    <w:bookmarkEnd w:id="647"/>
    <w:p>
      <w:pPr>
        <w:ind w:right="1839"/>
        <w:spacing w:after="0" w:line="252" w:lineRule="auto"/>
        <w:rPr>
          <w:sz w:val="20"/>
          <w:szCs w:val="20"/>
          <w:color w:val="auto"/>
        </w:rPr>
      </w:pPr>
      <w:r>
        <w:rPr>
          <w:rFonts w:ascii="Courier New" w:cs="Courier New" w:eastAsia="Courier New" w:hAnsi="Courier New"/>
          <w:sz w:val="17"/>
          <w:szCs w:val="17"/>
          <w:color w:val="auto"/>
        </w:rPr>
        <w:t>weighted-average shares to the extent that the assumed issuance of such shares would have been dilutive, as illustrated below. The convertible quarterly income preferred securities were antidilutive and were excluded from the computation of diluted EPS. Computed on a yearly basis, the dividends would have an after-tax impact to earnings of approximately $155. Assuming conversion of the securities, the dividends would no longer be included as a reduction to net income and the securities would convert into 67 million shares of AT&amp;T common stock.</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L-51</w:t>
      </w:r>
    </w:p>
    <w:p>
      <w:pPr>
        <w:sectPr>
          <w:pgSz w:w="11900" w:h="16838" w:orient="portrait"/>
          <w:cols w:equalWidth="0" w:num="1">
            <w:col w:w="10219"/>
          </w:cols>
          <w:pgMar w:left="240" w:top="141" w:right="1440" w:bottom="1440" w:gutter="0" w:footer="0" w:header="0"/>
        </w:sectPr>
      </w:pPr>
    </w:p>
    <w:bookmarkStart w:id="648" w:name="page649"/>
    <w:bookmarkEnd w:id="648"/>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jc w:val="both"/>
        <w:ind w:right="2039" w:firstLine="524"/>
        <w:spacing w:after="0" w:line="254" w:lineRule="auto"/>
        <w:rPr>
          <w:sz w:val="20"/>
          <w:szCs w:val="20"/>
          <w:color w:val="auto"/>
        </w:rPr>
      </w:pPr>
      <w:r>
        <w:rPr>
          <w:rFonts w:ascii="Courier New" w:cs="Courier New" w:eastAsia="Courier New" w:hAnsi="Courier New"/>
          <w:sz w:val="17"/>
          <w:szCs w:val="17"/>
          <w:color w:val="auto"/>
        </w:rPr>
        <w:t>A reconciliation of the income and share components for basic and diluted EPS calculations with respect to AT&amp;T Common Stock Group continuing operations is as follows:</w:t>
      </w:r>
    </w:p>
    <w:p>
      <w:pPr>
        <w:spacing w:after="0" w:line="194" w:lineRule="exact"/>
        <w:rPr>
          <w:sz w:val="20"/>
          <w:szCs w:val="20"/>
          <w:color w:val="auto"/>
        </w:rPr>
      </w:pPr>
    </w:p>
    <w:p>
      <w:pPr>
        <w:jc w:val="center"/>
        <w:ind w:right="4239"/>
        <w:spacing w:after="0" w:line="251" w:lineRule="auto"/>
        <w:rPr>
          <w:sz w:val="20"/>
          <w:szCs w:val="20"/>
          <w:color w:val="auto"/>
        </w:rPr>
      </w:pPr>
      <w:r>
        <w:rPr>
          <w:rFonts w:ascii="Courier New" w:cs="Courier New" w:eastAsia="Courier New" w:hAnsi="Courier New"/>
          <w:sz w:val="17"/>
          <w:szCs w:val="17"/>
          <w:color w:val="auto"/>
        </w:rPr>
        <w:t>FOR THE YEARS ENDED DECEMBER 31, 2000 1999 1998 - ------ -------------------------- ------ ------ ------ AT&amp;T Common Stock Group: Income from continuing operations.......................... $2,645 $5,883</w:t>
      </w:r>
    </w:p>
    <w:p>
      <w:pPr>
        <w:jc w:val="center"/>
        <w:ind w:right="4259"/>
        <w:spacing w:after="0"/>
        <w:rPr>
          <w:sz w:val="20"/>
          <w:szCs w:val="20"/>
          <w:color w:val="auto"/>
        </w:rPr>
      </w:pPr>
      <w:r>
        <w:rPr>
          <w:rFonts w:ascii="Courier New" w:cs="Courier New" w:eastAsia="Courier New" w:hAnsi="Courier New"/>
          <w:sz w:val="17"/>
          <w:szCs w:val="17"/>
          <w:color w:val="auto"/>
        </w:rPr>
        <w:t>$5,052 Income impact of assumed conversion of preferred</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stock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subsidiary...............................................</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32 26 -- Income adjusted for conversion of</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securities............... $2,677 $5,909 $5,052 Shares in</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millions Weighted-average common</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shares............................. 3,486 3,082 2,676</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options.............................................. 19</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35 24 Preferred stock of</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subsidiary.............................. 40 33 --</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Convertible debt securities of</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subsidiary.................. -- 2 -- Weighted-average</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common shares and potential common</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3,545 3,152 2,700</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Basic EPS from discontinued operations for AT&amp;T Wireless Group for the period from April 27, 2000, the stock offering date, through December 31, 2000, was computed by dividing AT&amp;T Wireless Group income by the weighted-average number of shares outstanding of AT&amp;T Wireless Group of 361 million. There were no potentially dilutive securities outstanding at December 31, 2000.</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Basic EPS for LMG was computed by dividing LMG income (loss) by the weighted-average number of shares outstanding of LMG of 2,572 million in 2000 and 2,519 million from the March 9, 1999, date of issuance through December 31, 1999. Potentially dilutive securities, including fixed and nonvested performance awards and stock options, have not been factored into the dilutive calculations because past history has indicated that these contracts are generally settled in cash. There were 96 million and 124 million of these potentially dilutive securities outstanding at December 31, 2000 and 1999, respectively. The diluted earnings per share calculation for 2000 also excludes approximately 700,000 warrants outstanding at December 31, 2000, which were antidilutive. In addition, since LMG had a loss in 1999, the impact of any potential shares would have been antidilutive.</w:t>
      </w:r>
    </w:p>
    <w:p>
      <w:pPr>
        <w:spacing w:after="0" w:line="201" w:lineRule="exact"/>
        <w:rPr>
          <w:sz w:val="20"/>
          <w:szCs w:val="20"/>
          <w:color w:val="auto"/>
        </w:rPr>
      </w:pPr>
    </w:p>
    <w:p>
      <w:pPr>
        <w:ind w:left="420" w:hanging="413"/>
        <w:spacing w:after="0"/>
        <w:tabs>
          <w:tab w:leader="none" w:pos="420" w:val="left"/>
        </w:tabs>
        <w:numPr>
          <w:ilvl w:val="0"/>
          <w:numId w:val="6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RESTRUCTURING AND OTHER CHARGES</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During 2000, we recorded $7,029 of net restructuring and other charges, which included $6,179 of asset impairment charges related to Excite@Home, $759 for restructuring and exit costs associated with AT&amp;T's initiative to reduce costs, and $91 related to the government-mandated disposition of AT&amp;T Communications (U.K.) Ltd., which would have competed directly with Concert.</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charges related to Excite@Home included $4,609 of asset impairment charges recorded by Excite@Home associated with the impairment of goodwill from various acquisitions, including Excite, and a related goodwill impairment charge of $1,570 recorded by AT&amp;T associated with goodwill from the acquisition of our investment in Excite@Home.</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Excite@Home conducted a detailed assessment of the recoverability of the carrying amounts of acquired intangible assets. This assessment resulted in a determination that certain acquired intangible assets, including goodwill, related to these acquisitions, including Excite, were impaired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L-52</w:t>
      </w:r>
    </w:p>
    <w:p>
      <w:pPr>
        <w:sectPr>
          <w:pgSz w:w="11900" w:h="16838" w:orient="portrait"/>
          <w:cols w:equalWidth="0" w:num="1">
            <w:col w:w="10219"/>
          </w:cols>
          <w:pgMar w:left="240" w:top="518" w:right="1440" w:bottom="658" w:gutter="0" w:footer="0" w:header="0"/>
        </w:sectPr>
      </w:pPr>
    </w:p>
    <w:bookmarkStart w:id="649" w:name="page650"/>
    <w:bookmarkEnd w:id="649"/>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as of December 31, 2000. As a result, we recorded impairment charges of $4,609 in December 2000, representing the excess of the carrying amount of the impaired assets over their fair value.</w:t>
      </w:r>
    </w:p>
    <w:p>
      <w:pPr>
        <w:spacing w:after="0" w:line="194"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The review for impairment included a review of publicly-traded Internet companies that are comparable to the companies that Excite@Home acquired. These companies experienced a substantial decline in stock price and market capitalization during the fourth quarter of 2000.</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Excite@Home also reviewed the business climate for Internet advertising and web-based infrastructure companies as of December 31, 2000, and observed the following: (1) investor and consumer enthusiasm for the Internet sector severely deteriorated during the fourth quarter of 2000; (2) many Internet companies, including those acquired by Excite@Home, experienced significant decelerations in their growth both as a result of economic conditions and due to Internet-sector specific issues such as competition and the weakening of the Internet advertising market; and (3)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Excite@Home reviewed operating and cash flow projections that existed at the time Excite@Home made the acquisitions and that were used as a basis upon which the decisions to complete the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201"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As a result of these factors, Excite@Home determined that the intangible assets related to the acquisitions might not be recoverable and conducted impairment tests.</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 Acquired intangible assets were combined for those acquisitions where separately identifiable cash flows that are largely independent of the cash flows of other groups of assets could not be identified.</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Excite@Home measured the impairment loss related to impaired asset groups based on the amount by which the carrying amount of the asset group exceeded the fair value of the asset group. Measurement of fair value was based on an analysis by Excite@Home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L-53</w:t>
      </w:r>
    </w:p>
    <w:p>
      <w:pPr>
        <w:sectPr>
          <w:pgSz w:w="11900" w:h="16838" w:orient="portrait"/>
          <w:cols w:equalWidth="0" w:num="1">
            <w:col w:w="10219"/>
          </w:cols>
          <w:pgMar w:left="240" w:top="518" w:right="1440" w:bottom="659" w:gutter="0" w:footer="0" w:header="0"/>
        </w:sectPr>
      </w:pPr>
    </w:p>
    <w:bookmarkStart w:id="650" w:name="page651"/>
    <w:bookmarkEnd w:id="650"/>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its useful life, discounted at our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Based on the foregoing, Excite@Home recorded an impairment write-down of $4,609 in the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97"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Also as a result of the foregoing, AT&amp;T recorded a goodwill and acquisition-related impairment charge associated with the acquisition of our investment in Excite@Home. The write-down of our investment to fair value was determined utilizing discounted expected future cash flows.</w:t>
      </w:r>
    </w:p>
    <w:p>
      <w:pPr>
        <w:spacing w:after="0" w:line="195"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Since we own approximately 23% of Excite@Home, 77% of the charge recorded by Excite@Home was not included as a reduction to AT&amp;T's net income, but rather was eliminated in our 2000 Consolidated Statement of Income as "Minority interest income (expense)."</w:t>
      </w:r>
    </w:p>
    <w:p>
      <w:pPr>
        <w:spacing w:after="0" w:line="195" w:lineRule="exact"/>
        <w:rPr>
          <w:sz w:val="20"/>
          <w:szCs w:val="20"/>
          <w:color w:val="auto"/>
        </w:rPr>
      </w:pPr>
    </w:p>
    <w:p>
      <w:pPr>
        <w:ind w:right="2459" w:firstLine="524"/>
        <w:spacing w:after="0" w:line="253" w:lineRule="auto"/>
        <w:rPr>
          <w:sz w:val="20"/>
          <w:szCs w:val="20"/>
          <w:color w:val="auto"/>
        </w:rPr>
      </w:pPr>
      <w:r>
        <w:rPr>
          <w:rFonts w:ascii="Courier New" w:cs="Courier New" w:eastAsia="Courier New" w:hAnsi="Courier New"/>
          <w:sz w:val="17"/>
          <w:szCs w:val="17"/>
          <w:color w:val="auto"/>
        </w:rPr>
        <w:t>The $759 charge for restructuring and exit plans was primarily due to headcount reductions, mainly in network operations and Business Services, including the consolidation of customer-care and call centers, as well as synergies created by the MediaOne merger.</w:t>
      </w:r>
    </w:p>
    <w:p>
      <w:pPr>
        <w:spacing w:after="0" w:line="195"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Included in exit costs was $503 of cash termination benefits associated with the separation of approximately 7,300 employees as part of voluntary and involuntary termination plans. Approximately one-half of the separations were management employees and one-half were nonmanagement employees. Approximately 6,700 employee separations were related to involuntary terminations and approximately 600 to voluntary terminations.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We also recorded $62 of network lease and other contract termination costs associated with penalties incurred as part of notifying vendors of the termination of these contracts during the year, and net losses of $32 related to the disposition of facilities primarily due to synergies created by the MediaOne merger.</w:t>
      </w:r>
    </w:p>
    <w:p>
      <w:pPr>
        <w:spacing w:after="0" w:line="197"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following table displays the activity and balances of the restructuring reserve account: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TYPE OF COST EMPLOYEE FACILITY SEPARATIONS</w:t>
            </w:r>
          </w:p>
        </w:tc>
        <w:tc>
          <w:tcPr>
            <w:tcW w:w="100" w:type="dxa"/>
            <w:vAlign w:val="bottom"/>
          </w:tcPr>
          <w:p>
            <w:pPr>
              <w:spacing w:after="0"/>
              <w:rPr>
                <w:sz w:val="17"/>
                <w:szCs w:val="17"/>
                <w:color w:val="auto"/>
              </w:rPr>
            </w:pPr>
          </w:p>
        </w:tc>
      </w:tr>
      <w:tr>
        <w:trPr>
          <w:trHeight w:val="201"/>
        </w:trPr>
        <w:tc>
          <w:tcPr>
            <w:tcW w:w="34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CLOSINGS OTHER TOTAL -----------</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560" w:type="dxa"/>
            <w:vAlign w:val="bottom"/>
            <w:gridSpan w:val="3"/>
          </w:tcPr>
          <w:p>
            <w:pPr>
              <w:jc w:val="right"/>
              <w:ind w:right="273"/>
              <w:spacing w:after="0"/>
              <w:rPr>
                <w:sz w:val="20"/>
                <w:szCs w:val="20"/>
                <w:color w:val="auto"/>
              </w:rPr>
            </w:pPr>
            <w:r>
              <w:rPr>
                <w:rFonts w:ascii="Courier New" w:cs="Courier New" w:eastAsia="Courier New" w:hAnsi="Courier New"/>
                <w:sz w:val="17"/>
                <w:szCs w:val="17"/>
                <w:color w:val="auto"/>
              </w:rPr>
              <w:t>- ----- ----- Balance at January 1,</w:t>
            </w:r>
          </w:p>
        </w:tc>
        <w:tc>
          <w:tcPr>
            <w:tcW w:w="100" w:type="dxa"/>
            <w:vAlign w:val="bottom"/>
          </w:tcPr>
          <w:p>
            <w:pPr>
              <w:spacing w:after="0"/>
              <w:rPr>
                <w:sz w:val="17"/>
                <w:szCs w:val="17"/>
                <w:color w:val="auto"/>
              </w:rPr>
            </w:pPr>
          </w:p>
        </w:tc>
      </w:tr>
      <w:tr>
        <w:trPr>
          <w:trHeight w:val="201"/>
        </w:trPr>
        <w:tc>
          <w:tcPr>
            <w:tcW w:w="2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1998.....................</w:t>
            </w: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$ 413</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9"/>
              </w:rPr>
              <w:t>$ 434 $ 60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r>
      <w:tr>
        <w:trPr>
          <w:trHeight w:val="201"/>
        </w:trPr>
        <w:tc>
          <w:tcPr>
            <w:tcW w:w="2780" w:type="dxa"/>
            <w:vAlign w:val="bottom"/>
          </w:tcPr>
          <w:p>
            <w:pPr>
              <w:jc w:val="center"/>
              <w:ind w:left="1853"/>
              <w:spacing w:after="0"/>
              <w:rPr>
                <w:sz w:val="20"/>
                <w:szCs w:val="20"/>
                <w:color w:val="auto"/>
              </w:rPr>
            </w:pPr>
            <w:r>
              <w:rPr>
                <w:rFonts w:ascii="Courier New" w:cs="Courier New" w:eastAsia="Courier New" w:hAnsi="Courier New"/>
                <w:sz w:val="17"/>
                <w:szCs w:val="17"/>
                <w:color w:val="auto"/>
              </w:rPr>
              <w:t>907</w:t>
            </w: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74"/>
              </w:rPr>
              <w:t>Additions....................................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20" w:type="dxa"/>
            <w:vAlign w:val="bottom"/>
            <w:gridSpan w:val="2"/>
          </w:tcPr>
          <w:p>
            <w:pPr>
              <w:jc w:val="center"/>
              <w:ind w:left="1233"/>
              <w:spacing w:after="0"/>
              <w:rPr>
                <w:sz w:val="20"/>
                <w:szCs w:val="20"/>
                <w:color w:val="auto"/>
              </w:rPr>
            </w:pPr>
            <w:r>
              <w:rPr>
                <w:rFonts w:ascii="Courier New" w:cs="Courier New" w:eastAsia="Courier New" w:hAnsi="Courier New"/>
                <w:sz w:val="17"/>
                <w:szCs w:val="17"/>
                <w:color w:val="auto"/>
              </w:rPr>
              <w:t>150 125 -- 275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74"/>
              </w:rPr>
              <w:t>Deductions...................................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(445) (190) (30) (665) Balance at December</w:t>
            </w:r>
          </w:p>
        </w:tc>
        <w:tc>
          <w:tcPr>
            <w:tcW w:w="100" w:type="dxa"/>
            <w:vAlign w:val="bottom"/>
          </w:tcPr>
          <w:p>
            <w:pPr>
              <w:spacing w:after="0"/>
              <w:rPr>
                <w:sz w:val="17"/>
                <w:szCs w:val="17"/>
                <w:color w:val="auto"/>
              </w:rPr>
            </w:pPr>
          </w:p>
        </w:tc>
      </w:tr>
      <w:tr>
        <w:trPr>
          <w:trHeight w:val="201"/>
        </w:trPr>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rPr>
              <w:t>31, 1998...................</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118</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369 30 517</w:t>
            </w:r>
          </w:p>
        </w:tc>
        <w:tc>
          <w:tcPr>
            <w:tcW w:w="100" w:type="dxa"/>
            <w:vAlign w:val="bottom"/>
          </w:tcPr>
          <w:p>
            <w:pPr>
              <w:spacing w:after="0"/>
              <w:rPr>
                <w:sz w:val="17"/>
                <w:szCs w:val="17"/>
                <w:color w:val="auto"/>
              </w:rPr>
            </w:pPr>
          </w:p>
        </w:tc>
      </w:tr>
      <w:tr>
        <w:trPr>
          <w:trHeight w:val="201"/>
        </w:trPr>
        <w:tc>
          <w:tcPr>
            <w:tcW w:w="34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74"/>
              </w:rPr>
              <w:t>Additions....................................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20" w:type="dxa"/>
            <w:vAlign w:val="bottom"/>
            <w:gridSpan w:val="2"/>
          </w:tcPr>
          <w:p>
            <w:pPr>
              <w:jc w:val="center"/>
              <w:ind w:left="1233"/>
              <w:spacing w:after="0"/>
              <w:rPr>
                <w:sz w:val="20"/>
                <w:szCs w:val="20"/>
                <w:color w:val="auto"/>
              </w:rPr>
            </w:pPr>
            <w:r>
              <w:rPr>
                <w:rFonts w:ascii="Courier New" w:cs="Courier New" w:eastAsia="Courier New" w:hAnsi="Courier New"/>
                <w:sz w:val="17"/>
                <w:szCs w:val="17"/>
                <w:color w:val="auto"/>
              </w:rPr>
              <w:t>142 -- 3 145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74"/>
              </w:rPr>
              <w:t>Deductions...................................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(110) (130) (12) (252) Balance at December</w:t>
            </w:r>
          </w:p>
        </w:tc>
        <w:tc>
          <w:tcPr>
            <w:tcW w:w="100" w:type="dxa"/>
            <w:vAlign w:val="bottom"/>
          </w:tcPr>
          <w:p>
            <w:pPr>
              <w:spacing w:after="0"/>
              <w:rPr>
                <w:sz w:val="17"/>
                <w:szCs w:val="17"/>
                <w:color w:val="auto"/>
              </w:rPr>
            </w:pPr>
          </w:p>
        </w:tc>
      </w:tr>
      <w:tr>
        <w:trPr>
          <w:trHeight w:val="201"/>
        </w:trPr>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rPr>
              <w:t>31, 1999...................</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239 21 410</w:t>
            </w:r>
          </w:p>
        </w:tc>
        <w:tc>
          <w:tcPr>
            <w:tcW w:w="100" w:type="dxa"/>
            <w:vAlign w:val="bottom"/>
          </w:tcPr>
          <w:p>
            <w:pPr>
              <w:spacing w:after="0"/>
              <w:rPr>
                <w:sz w:val="17"/>
                <w:szCs w:val="17"/>
                <w:color w:val="auto"/>
              </w:rPr>
            </w:pPr>
          </w:p>
        </w:tc>
      </w:tr>
      <w:tr>
        <w:trPr>
          <w:trHeight w:val="201"/>
        </w:trPr>
        <w:tc>
          <w:tcPr>
            <w:tcW w:w="34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74"/>
              </w:rPr>
              <w:t>Additions....................................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20" w:type="dxa"/>
            <w:vAlign w:val="bottom"/>
            <w:gridSpan w:val="2"/>
          </w:tcPr>
          <w:p>
            <w:pPr>
              <w:jc w:val="center"/>
              <w:ind w:left="1213"/>
              <w:spacing w:after="0"/>
              <w:rPr>
                <w:sz w:val="20"/>
                <w:szCs w:val="20"/>
                <w:color w:val="auto"/>
              </w:rPr>
            </w:pPr>
            <w:r>
              <w:rPr>
                <w:rFonts w:ascii="Courier New" w:cs="Courier New" w:eastAsia="Courier New" w:hAnsi="Courier New"/>
                <w:sz w:val="17"/>
                <w:szCs w:val="17"/>
                <w:color w:val="auto"/>
              </w:rPr>
              <w:t>503 32 62 597</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74"/>
              </w:rPr>
              <w:t>Deductions...................................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(394) (98) (47) (539) Balance at December</w:t>
            </w:r>
          </w:p>
        </w:tc>
        <w:tc>
          <w:tcPr>
            <w:tcW w:w="100" w:type="dxa"/>
            <w:vAlign w:val="bottom"/>
          </w:tcPr>
          <w:p>
            <w:pPr>
              <w:spacing w:after="0"/>
              <w:rPr>
                <w:sz w:val="17"/>
                <w:szCs w:val="17"/>
                <w:color w:val="auto"/>
              </w:rPr>
            </w:pPr>
          </w:p>
        </w:tc>
      </w:tr>
      <w:tr>
        <w:trPr>
          <w:trHeight w:val="201"/>
        </w:trPr>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rPr>
              <w:t>31, 2000...................</w:t>
            </w:r>
          </w:p>
        </w:tc>
        <w:tc>
          <w:tcPr>
            <w:tcW w:w="18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$ 259 $ 173 $ 36</w:t>
            </w:r>
          </w:p>
        </w:tc>
      </w:tr>
      <w:tr>
        <w:trPr>
          <w:trHeight w:val="201"/>
        </w:trPr>
        <w:tc>
          <w:tcPr>
            <w:tcW w:w="2780" w:type="dxa"/>
            <w:vAlign w:val="bottom"/>
          </w:tcPr>
          <w:p>
            <w:pPr>
              <w:jc w:val="center"/>
              <w:ind w:left="1853"/>
              <w:spacing w:after="0"/>
              <w:rPr>
                <w:sz w:val="20"/>
                <w:szCs w:val="20"/>
                <w:color w:val="auto"/>
              </w:rPr>
            </w:pPr>
            <w:r>
              <w:rPr>
                <w:rFonts w:ascii="Courier New" w:cs="Courier New" w:eastAsia="Courier New" w:hAnsi="Courier New"/>
                <w:sz w:val="17"/>
                <w:szCs w:val="17"/>
                <w:color w:val="auto"/>
              </w:rPr>
              <w:t>$ 468</w:t>
            </w: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Deductions reflect cash payments of $245, $209 and $369, for 1998, 1999 and 2000, respectively. These payments included cash termination benefits of $124, $40 and $257, respectively, which were primarily funded through cash from operations. Deductions also reflect noncash utilization of $420, $43</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L-54</w:t>
      </w:r>
    </w:p>
    <w:p>
      <w:pPr>
        <w:sectPr>
          <w:pgSz w:w="11900" w:h="16838" w:orient="portrait"/>
          <w:cols w:equalWidth="0" w:num="1">
            <w:col w:w="10219"/>
          </w:cols>
          <w:pgMar w:left="240" w:top="519" w:right="1440" w:bottom="54" w:gutter="0" w:footer="0" w:header="0"/>
        </w:sectPr>
      </w:pPr>
    </w:p>
    <w:bookmarkStart w:id="651" w:name="page652"/>
    <w:bookmarkEnd w:id="651"/>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and $170 for 1998, 1999 and 2000, respectively. Noncash utilization included deferred severance payments primarily related to executives, and a reversal in 1998 of $348 related to the 1995 restructuring plan. Nearly 75% of the employees affected by the 1999 and 2000 restructuring charges have left their positions as of December 31, 2000.</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Also included in restructuring and exit costs in 2000 was $144 of benefit plan curtailment costs associated with employee separations as part of these exit plans. Further, we recorded an asset impairment charge of $18 related to the write-down of unrecoverable assets in certain businesses where the carrying value was no longer supported by estimated future cash flows.</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During 1999, we recorded $975 of net restructuring and other charges.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 $594 in-process research and development charge was recorded reflecting the estimated fair value of research and development projects at TCI, as of the date of acquisition, which had not yet reached technological feasibility or had no alternative future use. The projects identified related to efforts to offer voice over Internet protocol (IP), product-integration efforts for advanced set-top devices that would enable the offering of next-generation digital services and cost-savings efforts for broadband-telephony implementation. In addition, Excite@Home had research and development efforts underway, including projects to allow for self-provisioning of devices and the development of next-generation client software, network and back-office infrastructure to enable a variety of network devices beyond personal computers, and improved design for the regional data centers' infrastructure. We began testing IP-telephony equipment in the field in late-2000, we anticipate beginning field trials for next-generation digital services in late-2001, and have completed trials related to our telephony cost reductions and implementation has begun in certain markets. Although there are technological issues to overcome to successfully complete the acquired in-process research and development, we expect successful completion. If, however, AT&amp;T is unable to establish technological feasibility and produce commercially viable products/services, anticipated incremental future cash flows attributable to expected profits from such new products/services may not be realized.</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Also in 1999, a $145 charge for restructuring and exit costs was recorded as part of AT&amp;T's initiative to reduce costs. The restructuring and exit plans primarily focused on the maximization of synergies through headcount reductions in Business Services and network operations, including the consolidation of customer-care and call centers.</w:t>
      </w:r>
    </w:p>
    <w:p>
      <w:pPr>
        <w:spacing w:after="0" w:line="197"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Included in exit costs was $142 of cash termination benefits associated with the separation of approximately 2,800 employees as part of voluntary and involuntary termination plans. Approximately one-half of the separations were management employees and one-half were nonmanagement employees. Approximately 1,700 employee separations were related to involuntary terminations and approximately 1,100 to voluntary terminations.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also recorded net losses of $307 related to the government-mandated disposition of certain international businesses that would have competed directly with Concert, and $50 related to a contribution agreement Broadband entered into with Phoenixstar, Inc. That agreement requires Broadband to satisfy certain liabilities owed by Phoenixstar and its subsidiaries. In addition, we recorded benefits of $121 related to the settlement of pension obligations for former employees who accepted AT&amp;T's 1998 voluntary retirement incentive program (VRIP) offer.</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1998, we recorded $2,514 of net restructuring and other charges. The bulk of the charge was associated with our overall cost-reduction program and the approximately 15,300 management employees who accepted the VRIP offer. A restructuring charge of $2,724 was composed of $2,254 and $169 for pension and postretirement special-termination benefits, respectively, $263 of benefit plan curtailment losses and $38 of other administrative costs. We also recorded charges of $125 for related facility costs and $150 for executive-separation costs. These charges were partially offset by benefits of $940 as we settled</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L-55</w:t>
      </w:r>
    </w:p>
    <w:p>
      <w:pPr>
        <w:sectPr>
          <w:pgSz w:w="11900" w:h="16838" w:orient="portrait"/>
          <w:cols w:equalWidth="0" w:num="1">
            <w:col w:w="10219"/>
          </w:cols>
          <w:pgMar w:left="240" w:top="517" w:right="1440" w:bottom="1440" w:gutter="0" w:footer="0" w:header="0"/>
        </w:sectPr>
      </w:pPr>
    </w:p>
    <w:bookmarkStart w:id="652" w:name="page653"/>
    <w:bookmarkEnd w:id="652"/>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jc w:val="both"/>
        <w:ind w:right="1939"/>
        <w:spacing w:after="0" w:line="253" w:lineRule="auto"/>
        <w:rPr>
          <w:sz w:val="20"/>
          <w:szCs w:val="20"/>
          <w:color w:val="auto"/>
        </w:rPr>
      </w:pPr>
      <w:r>
        <w:rPr>
          <w:rFonts w:ascii="Courier New" w:cs="Courier New" w:eastAsia="Courier New" w:hAnsi="Courier New"/>
          <w:sz w:val="17"/>
          <w:szCs w:val="17"/>
          <w:color w:val="auto"/>
        </w:rPr>
        <w:t>pension benefit obligations of 13,700 of the total VRIP employees. In addition, the VRIP charges were partially offset by the reversal of $256 of 1995 business restructuring reserves primarily resulting from the overlap of VRIP on certain 1995 projects.</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Also included in the 1998 net restructuring and other charges were asset impairment charges totaling $718, of which $633 was related to our decision not to pursue Total Service Resale (TSR) as a local-service strategy. We also recorded an $85 asset impairment charge related to the write-down of unrecoverable assets in certain international operations where the carrying value was no longer supported by future cash flows. This charge was made in connection with the review of certain operations that would have competed directly with Concert.</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Additionally, $85 of merger-related expenses was recorded in 1998 in connection with the TCG merger, which was accounted for as a pooling of interests. Partially offsetting these charges was a $92 reversal of the 1995 restructuring reserve. This reversal reflected reserves no longer deemed necessary. The reversal primarily included separation costs attributed to projects completed at a cost lower than originally anticipated. Consistent with the three-year plan, the 1995 restructuring initiatives were substantially completed by the end of 1998.</w:t>
      </w:r>
    </w:p>
    <w:p>
      <w:pPr>
        <w:spacing w:after="0" w:line="201" w:lineRule="exact"/>
        <w:rPr>
          <w:sz w:val="20"/>
          <w:szCs w:val="20"/>
          <w:color w:val="auto"/>
        </w:rPr>
      </w:pPr>
    </w:p>
    <w:p>
      <w:pPr>
        <w:ind w:left="420" w:hanging="413"/>
        <w:spacing w:after="0"/>
        <w:tabs>
          <w:tab w:leader="none" w:pos="420" w:val="left"/>
        </w:tabs>
        <w:numPr>
          <w:ilvl w:val="0"/>
          <w:numId w:val="6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IN LIBERTY MEDIA GROUP</w:t>
      </w:r>
    </w:p>
    <w:p>
      <w:pPr>
        <w:spacing w:after="0" w:line="210" w:lineRule="exact"/>
        <w:rPr>
          <w:sz w:val="20"/>
          <w:szCs w:val="20"/>
          <w:color w:val="auto"/>
        </w:rPr>
      </w:pPr>
    </w:p>
    <w:p>
      <w:pPr>
        <w:jc w:val="both"/>
        <w:ind w:right="2359" w:firstLine="524"/>
        <w:spacing w:after="0" w:line="254" w:lineRule="auto"/>
        <w:rPr>
          <w:sz w:val="20"/>
          <w:szCs w:val="20"/>
          <w:color w:val="auto"/>
        </w:rPr>
      </w:pPr>
      <w:r>
        <w:rPr>
          <w:rFonts w:ascii="Courier New" w:cs="Courier New" w:eastAsia="Courier New" w:hAnsi="Courier New"/>
          <w:sz w:val="17"/>
          <w:szCs w:val="17"/>
          <w:color w:val="auto"/>
        </w:rPr>
        <w:t>As a result of our merger with TCI, we acquired Liberty Media Group, a wholly-owned investment accounted for under the equity method (see Note 4). Summarized results of operations for Liberty Media Group were as follows:</w:t>
      </w:r>
    </w:p>
    <w:p>
      <w:pPr>
        <w:spacing w:after="0" w:line="19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FOR THE YEAR ENDED FOR THE TEN MONTHS ENDED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DECEMBER 31, 2000 DECEMBER 31, 1999 ---------</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$1,526 $ 729 Operating 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(loss)....................... 436 (2,214) Net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 (loss).............................</w:t>
      </w:r>
    </w:p>
    <w:p>
      <w:pPr>
        <w:spacing w:after="0" w:line="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1,488 (2,022)</w:t>
      </w:r>
    </w:p>
    <w:p>
      <w:pPr>
        <w:spacing w:after="0" w:line="200" w:lineRule="exact"/>
        <w:rPr>
          <w:sz w:val="20"/>
          <w:szCs w:val="20"/>
          <w:color w:val="auto"/>
        </w:rPr>
      </w:pPr>
    </w:p>
    <w:p>
      <w:pPr>
        <w:spacing w:after="0" w:line="212"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AT DECEMBER 31, ----------------- 2000 1999 -------</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 Current</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$ 2,954 $ 3,387 Noncurrent</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51,314 55,297 Current</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2,962 3,370 Noncurrent</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16,668 16,853 Minority</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348 1</w:t>
      </w:r>
    </w:p>
    <w:p>
      <w:pPr>
        <w:spacing w:after="0" w:line="200" w:lineRule="exact"/>
        <w:rPr>
          <w:sz w:val="20"/>
          <w:szCs w:val="20"/>
          <w:color w:val="auto"/>
        </w:rPr>
      </w:pPr>
    </w:p>
    <w:p>
      <w:pPr>
        <w:spacing w:after="0" w:line="212"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During 2000 and 1999, certain investees of Liberty Media Group issued common stock. Changes in the equity of the investees, net of the dilution of LMG's ownership interest, resulted in an increase to AT&amp;T's additional paid-in capital of $355 and $109 in 2000 and 1999, respectively.</w:t>
      </w:r>
    </w:p>
    <w:p>
      <w:pPr>
        <w:spacing w:after="0" w:line="195" w:lineRule="exact"/>
        <w:rPr>
          <w:sz w:val="20"/>
          <w:szCs w:val="20"/>
          <w:color w:val="auto"/>
        </w:rPr>
      </w:pPr>
    </w:p>
    <w:p>
      <w:pPr>
        <w:ind w:left="540" w:hanging="533"/>
        <w:spacing w:after="0"/>
        <w:tabs>
          <w:tab w:leader="none" w:pos="540" w:val="left"/>
        </w:tabs>
        <w:numPr>
          <w:ilvl w:val="0"/>
          <w:numId w:val="6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INVESTMENTS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have investments in various companies and partnerships that are accounted for under the equity method and included within "Other investments and related advances" in the accompanying Consolidated Balance Sheets. Under the equity method, investments are stated at initial cost, and are adjusted for subsequent contributions and our share of earnings, losses and distributions. At December 31, 2000 and 1999, we had equity investments (other than LMG) of $10,494 and $13,921, respectively. The carrying value of these investments exceeded our share of the underlying reported net assets by approximately $8,274 and $11,979, at December 31, 2000 and 1999, respectively. The goodwill is being amortized over periods ranging from 15 to 40 years. Pretax amortization of goodwill was $546 and $477 in 2000 and 1999,</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L-56</w:t>
      </w:r>
    </w:p>
    <w:p>
      <w:pPr>
        <w:sectPr>
          <w:pgSz w:w="11900" w:h="16838" w:orient="portrait"/>
          <w:cols w:equalWidth="0" w:num="1">
            <w:col w:w="10219"/>
          </w:cols>
          <w:pgMar w:left="240" w:top="518" w:right="1440" w:bottom="256" w:gutter="0" w:footer="0" w:header="0"/>
        </w:sectPr>
      </w:pPr>
    </w:p>
    <w:bookmarkStart w:id="653" w:name="page654"/>
    <w:bookmarkEnd w:id="653"/>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respectively. There was no amortization of goodwill in 1998. The amortization is shown net of income taxes as a component of "Net losses from other equity investments" in the accompanying Consolidated Statements of Income. Distributions from equity investments totaled $13, $85 and $127, for the years ended December 31, 2000, 1999 and 1998, respectively.</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Ownership of significant equity investments was as follows:</w:t>
      </w:r>
    </w:p>
    <w:p>
      <w:pPr>
        <w:spacing w:after="0" w:line="210"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AT DECEMBER 31, 2000 1999 - --------------- -----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Cablevision Systems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Corporation............................. 27.98%(a) 32.04%</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Concert.....................................................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50.00%(b) -- Time Warner</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Texas........................................... 50.00%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50.00% Net2Phone,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Inc.............................................. 31.34%(c)</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Insight Midwest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LP.......................................... 50.00% 50.00%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Century-TCI California,</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LP.................................. 25.00% 25.00% Kansas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City Cable Partners..................................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50.00% 50.00% Parnassos,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LP............................................... 33.33%</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33.33% At Home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Corporation......................................... --(d)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25.00%(d) Lenfest Communications,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Inc................................. -- 50.00% Bresnan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Communications Group LLC............................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50.00%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1839" w:hanging="413"/>
        <w:spacing w:after="0" w:line="251" w:lineRule="auto"/>
        <w:tabs>
          <w:tab w:leader="none" w:pos="420" w:val="left"/>
        </w:tabs>
        <w:numPr>
          <w:ilvl w:val="0"/>
          <w:numId w:val="7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December 31, 2000 and 1999, we owned 48,942,172 shares of Cablevision Systems Corporation Class A common stock, which had a closing market price of $84.94 and $75.50 per share, respectively, on those dates. Cablevision Systems Corporation (Cablevision) redeemed all of its outstanding preferred stock and issued additional common stock, and issued shares of its common stock for acquisitions. As a result of these transactions, AT&amp;T's ownership interest in Cablevision decreased from 32.04% to 27.98%. Due to the dilution of AT&amp;T's ownership interest in Cablevision, net of the increase in Cablevision's equity, AT&amp;T recorded a net decrease to additional paid-in capital of $170 in 2000.</w:t>
      </w:r>
    </w:p>
    <w:p>
      <w:pPr>
        <w:spacing w:after="0" w:line="201" w:lineRule="exact"/>
        <w:rPr>
          <w:rFonts w:ascii="Courier New" w:cs="Courier New" w:eastAsia="Courier New" w:hAnsi="Courier New"/>
          <w:sz w:val="17"/>
          <w:szCs w:val="17"/>
          <w:color w:val="auto"/>
        </w:rPr>
      </w:pPr>
    </w:p>
    <w:p>
      <w:pPr>
        <w:ind w:left="420" w:right="2459" w:hanging="413"/>
        <w:spacing w:after="0" w:line="257" w:lineRule="auto"/>
        <w:tabs>
          <w:tab w:leader="none" w:pos="420" w:val="left"/>
        </w:tabs>
        <w:numPr>
          <w:ilvl w:val="0"/>
          <w:numId w:val="7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January 5, 2000, we formed Concert, our global-communications joint venture with BT.</w:t>
      </w:r>
    </w:p>
    <w:p>
      <w:pPr>
        <w:spacing w:after="0" w:line="191" w:lineRule="exact"/>
        <w:rPr>
          <w:rFonts w:ascii="Courier New" w:cs="Courier New" w:eastAsia="Courier New" w:hAnsi="Courier New"/>
          <w:sz w:val="17"/>
          <w:szCs w:val="17"/>
          <w:color w:val="auto"/>
        </w:rPr>
      </w:pPr>
    </w:p>
    <w:p>
      <w:pPr>
        <w:ind w:left="420" w:right="1939" w:hanging="413"/>
        <w:spacing w:after="0" w:line="254" w:lineRule="auto"/>
        <w:tabs>
          <w:tab w:leader="none" w:pos="420" w:val="left"/>
        </w:tabs>
        <w:numPr>
          <w:ilvl w:val="0"/>
          <w:numId w:val="7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December 31, 2000, we owned 18,900,000 shares of Net2Phone, Inc. Class A common stock, which had a closing market price of $7.38 per share on that date.</w:t>
      </w:r>
    </w:p>
    <w:p>
      <w:pPr>
        <w:spacing w:after="0" w:line="194" w:lineRule="exact"/>
        <w:rPr>
          <w:rFonts w:ascii="Courier New" w:cs="Courier New" w:eastAsia="Courier New" w:hAnsi="Courier New"/>
          <w:sz w:val="17"/>
          <w:szCs w:val="17"/>
          <w:color w:val="auto"/>
        </w:rPr>
      </w:pPr>
    </w:p>
    <w:p>
      <w:pPr>
        <w:ind w:left="420" w:right="1839" w:hanging="413"/>
        <w:spacing w:after="0" w:line="251" w:lineRule="auto"/>
        <w:tabs>
          <w:tab w:leader="none" w:pos="420" w:val="left"/>
        </w:tabs>
        <w:numPr>
          <w:ilvl w:val="0"/>
          <w:numId w:val="7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August 28, 2000, AT&amp;T and Excite@Home announced the closing of their extension contracts and governance reorganization. As a result of the governance changes, AT&amp;T gained a controlling interest and began consolidating Excite@Home's results on September 1, 2000. As of December 31, 2000, AT&amp;T had an approximate 23% economic interest and 74% voting interest in Excite@Home. We owned 7,924,422 and 63,720,000 shares of Excite@Home Class A common stock at December 31, 2000 and 1999, respectively, which had closing market prices of $5.53 and $42.88 per share, respectively, on those dates. We also owned 86,595,578 and 30,800,000 shares of Excite@Home Class B common stock at December 31, 2000 and 1999, respectively, which are not publicly traded. During 2000 and 1999, Excite@Home issued shares of its common stock for various acquisitions. As a result of these transactions, AT&amp;T's economic interest in Excite@Home decreased from 25% to 23% in 2000, and from 38% to 25% in 1999, respectively. Due to the resulting increase in Excite@Home's equity, net of the dilution of AT&amp;T's ownership interest in Excite@Home, AT&amp;T recorded an increase to additional paid-in capital of $116 and $527 in 2000 and 1999, respectively.</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L-57</w:t>
      </w:r>
    </w:p>
    <w:p>
      <w:pPr>
        <w:sectPr>
          <w:pgSz w:w="11900" w:h="16838" w:orient="portrait"/>
          <w:cols w:equalWidth="0" w:num="1">
            <w:col w:w="10219"/>
          </w:cols>
          <w:pgMar w:left="240" w:top="517" w:right="1440" w:bottom="659" w:gutter="0" w:footer="0" w:header="0"/>
        </w:sectPr>
      </w:pPr>
    </w:p>
    <w:bookmarkStart w:id="654" w:name="page655"/>
    <w:bookmarkEnd w:id="654"/>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679" w:firstLine="524"/>
        <w:spacing w:after="0" w:line="257" w:lineRule="auto"/>
        <w:rPr>
          <w:sz w:val="20"/>
          <w:szCs w:val="20"/>
          <w:color w:val="auto"/>
        </w:rPr>
      </w:pPr>
      <w:r>
        <w:rPr>
          <w:rFonts w:ascii="Courier New" w:cs="Courier New" w:eastAsia="Courier New" w:hAnsi="Courier New"/>
          <w:sz w:val="17"/>
          <w:szCs w:val="17"/>
          <w:color w:val="auto"/>
        </w:rPr>
        <w:t>Summarized unaudited combined financial information for investments accounted for under the equity method was as follows:</w:t>
      </w:r>
    </w:p>
    <w:p>
      <w:pPr>
        <w:spacing w:after="0" w:line="19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2000 1999 1998 -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(UNAUDITED)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$27,211 $9,285 $2,422 Operating</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loss............................................ 385</w:t>
      </w:r>
    </w:p>
    <w:p>
      <w:pPr>
        <w:spacing w:after="0" w:line="9" w:lineRule="exact"/>
        <w:rPr>
          <w:sz w:val="20"/>
          <w:szCs w:val="20"/>
          <w:color w:val="auto"/>
        </w:rPr>
      </w:pPr>
    </w:p>
    <w:p>
      <w:pPr>
        <w:jc w:val="center"/>
        <w:ind w:right="4139"/>
        <w:spacing w:after="0" w:line="251" w:lineRule="auto"/>
        <w:rPr>
          <w:sz w:val="20"/>
          <w:szCs w:val="20"/>
          <w:color w:val="auto"/>
        </w:rPr>
      </w:pPr>
      <w:r>
        <w:rPr>
          <w:rFonts w:ascii="Courier New" w:cs="Courier New" w:eastAsia="Courier New" w:hAnsi="Courier New"/>
          <w:sz w:val="17"/>
          <w:szCs w:val="17"/>
          <w:color w:val="auto"/>
        </w:rPr>
        <w:t>1,243 210 Loss from continuing operations before extraordinary items and cumulative effect of a change in accounting</w:t>
      </w:r>
    </w:p>
    <w:p>
      <w:pPr>
        <w:ind w:left="100"/>
        <w:spacing w:after="0"/>
        <w:rPr>
          <w:sz w:val="20"/>
          <w:szCs w:val="20"/>
          <w:color w:val="auto"/>
        </w:rPr>
      </w:pPr>
      <w:r>
        <w:rPr>
          <w:rFonts w:ascii="Courier New" w:cs="Courier New" w:eastAsia="Courier New" w:hAnsi="Courier New"/>
          <w:sz w:val="17"/>
          <w:szCs w:val="17"/>
          <w:color w:val="auto"/>
        </w:rPr>
        <w:t>principle...............................................</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1,844 2,511 306 Net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loss..................................................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2,212 2,707 400</w:t>
      </w:r>
    </w:p>
    <w:p>
      <w:pPr>
        <w:spacing w:after="0" w:line="200" w:lineRule="exact"/>
        <w:rPr>
          <w:sz w:val="20"/>
          <w:szCs w:val="20"/>
          <w:color w:val="auto"/>
        </w:rPr>
      </w:pPr>
    </w:p>
    <w:p>
      <w:pPr>
        <w:spacing w:after="0" w:line="212"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AT DECEMBER 31, 2000 1999 - --------------- -------</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 (UNAUDITED) Current</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$10,643 $4,716 Noncurrent</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29,055 29,140 Current</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10,690 4,994 Noncurrent</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18,741 16,302 Redeemable preferred</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stock.................................. 1,548 637</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Minority</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621 1,729</w:t>
      </w:r>
    </w:p>
    <w:p>
      <w:pPr>
        <w:spacing w:after="0" w:line="200" w:lineRule="exact"/>
        <w:rPr>
          <w:sz w:val="20"/>
          <w:szCs w:val="20"/>
          <w:color w:val="auto"/>
        </w:rPr>
      </w:pPr>
    </w:p>
    <w:p>
      <w:pPr>
        <w:spacing w:after="0" w:line="212"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In addition, we have a 25.51% interest in TWE. This investment is "held-for-sale" at December 31, 2000. Accordingly, we are no longer recording equity earnings (losses) on this investment.</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also have investments accounted for under the cost method of accounting. Under this method, investments are stated at cost, and earnings are recognized to the extent distributions are received from the accumulated earnings of the investee. Distributions received in excess of accumulated earnings are recognized as a reduction of our investment balance. These investments, which are covered under the scope of SFAS No. 115, "Accounting for Certain Investments in Debt and Equity Securities," are classified as "available-for-sale" and are carried at fair value with any unrealized gain or loss, net of income taxes, being included within other comprehensive income as a component of shareowners' equity. Approximately $2,102 of these investments have been classified as current assets since they are indexed to certain currently maturing debt instruments.</w:t>
      </w:r>
    </w:p>
    <w:p>
      <w:pPr>
        <w:spacing w:after="0" w:line="200" w:lineRule="exact"/>
        <w:rPr>
          <w:sz w:val="20"/>
          <w:szCs w:val="20"/>
          <w:color w:val="auto"/>
        </w:rPr>
      </w:pPr>
    </w:p>
    <w:p>
      <w:pPr>
        <w:spacing w:after="0" w:line="203" w:lineRule="exact"/>
        <w:rPr>
          <w:sz w:val="20"/>
          <w:szCs w:val="20"/>
          <w:color w:val="auto"/>
        </w:rPr>
      </w:pPr>
    </w:p>
    <w:p>
      <w:pPr>
        <w:ind w:left="540" w:hanging="533"/>
        <w:spacing w:after="0"/>
        <w:tabs>
          <w:tab w:leader="none" w:pos="540" w:val="left"/>
        </w:tabs>
        <w:numPr>
          <w:ilvl w:val="0"/>
          <w:numId w:val="7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DEBT OBLIGATIONS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DEBT MATURING WITHIN ONE YEAR</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2000 1999 - --------------- -------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60" w:type="dxa"/>
            <w:vAlign w:val="bottom"/>
          </w:tcPr>
          <w:p>
            <w:pPr>
              <w:spacing w:after="0"/>
              <w:rPr>
                <w:sz w:val="17"/>
                <w:szCs w:val="17"/>
                <w:color w:val="auto"/>
              </w:rPr>
            </w:pPr>
          </w:p>
        </w:tc>
        <w:tc>
          <w:tcPr>
            <w:tcW w:w="39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Commercial</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3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paper............................................</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7"/>
              </w:rPr>
              <w:t>$16,234</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360" w:type="dxa"/>
            <w:vAlign w:val="bottom"/>
          </w:tcPr>
          <w:p>
            <w:pPr>
              <w:spacing w:after="0"/>
              <w:rPr>
                <w:sz w:val="17"/>
                <w:szCs w:val="17"/>
                <w:color w:val="auto"/>
              </w:rPr>
            </w:pPr>
          </w:p>
        </w:tc>
        <w:tc>
          <w:tcPr>
            <w:tcW w:w="39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5,974 Short-term</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notes............................................</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11,505</w:t>
            </w:r>
          </w:p>
        </w:tc>
        <w:tc>
          <w:tcPr>
            <w:tcW w:w="140" w:type="dxa"/>
            <w:vAlign w:val="bottom"/>
          </w:tcPr>
          <w:p>
            <w:pPr>
              <w:spacing w:after="0"/>
              <w:rPr>
                <w:sz w:val="17"/>
                <w:szCs w:val="17"/>
                <w:color w:val="auto"/>
              </w:rPr>
            </w:pPr>
          </w:p>
        </w:tc>
      </w:tr>
      <w:tr>
        <w:trPr>
          <w:trHeight w:val="201"/>
        </w:trPr>
        <w:tc>
          <w:tcPr>
            <w:tcW w:w="1360" w:type="dxa"/>
            <w:vAlign w:val="bottom"/>
          </w:tcPr>
          <w:p>
            <w:pPr>
              <w:spacing w:after="0"/>
              <w:rPr>
                <w:sz w:val="17"/>
                <w:szCs w:val="17"/>
                <w:color w:val="auto"/>
              </w:rPr>
            </w:pPr>
          </w:p>
        </w:tc>
        <w:tc>
          <w:tcPr>
            <w:tcW w:w="3940" w:type="dxa"/>
            <w:vAlign w:val="bottom"/>
          </w:tcPr>
          <w:p>
            <w:pPr>
              <w:jc w:val="center"/>
              <w:ind w:right="293"/>
              <w:spacing w:after="0"/>
              <w:rPr>
                <w:sz w:val="20"/>
                <w:szCs w:val="20"/>
                <w:color w:val="auto"/>
              </w:rPr>
            </w:pPr>
            <w:r>
              <w:rPr>
                <w:rFonts w:ascii="Courier New" w:cs="Courier New" w:eastAsia="Courier New" w:hAnsi="Courier New"/>
                <w:sz w:val="17"/>
                <w:szCs w:val="17"/>
                <w:color w:val="auto"/>
              </w:rPr>
              <w:t>5,000 Currently maturing long-term</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1360" w:type="dxa"/>
            <w:vAlign w:val="bottom"/>
          </w:tcPr>
          <w:p>
            <w:pPr>
              <w:jc w:val="right"/>
              <w:spacing w:after="0"/>
              <w:rPr>
                <w:sz w:val="20"/>
                <w:szCs w:val="20"/>
                <w:color w:val="auto"/>
              </w:rPr>
            </w:pPr>
            <w:r>
              <w:rPr>
                <w:rFonts w:ascii="Courier New" w:cs="Courier New" w:eastAsia="Courier New" w:hAnsi="Courier New"/>
                <w:sz w:val="10"/>
                <w:szCs w:val="10"/>
                <w:color w:val="auto"/>
                <w:w w:val="72"/>
              </w:rPr>
              <w:t>debt...........................</w:t>
            </w:r>
          </w:p>
        </w:tc>
        <w:tc>
          <w:tcPr>
            <w:tcW w:w="4740" w:type="dxa"/>
            <w:vAlign w:val="bottom"/>
            <w:gridSpan w:val="2"/>
          </w:tcPr>
          <w:p>
            <w:pPr>
              <w:jc w:val="right"/>
              <w:ind w:right="613"/>
              <w:spacing w:after="0"/>
              <w:rPr>
                <w:sz w:val="20"/>
                <w:szCs w:val="20"/>
                <w:color w:val="auto"/>
              </w:rPr>
            </w:pPr>
            <w:r>
              <w:rPr>
                <w:rFonts w:ascii="Courier New" w:cs="Courier New" w:eastAsia="Courier New" w:hAnsi="Courier New"/>
                <w:sz w:val="17"/>
                <w:szCs w:val="17"/>
                <w:color w:val="auto"/>
              </w:rPr>
              <w:t>3,724 1,355</w:t>
            </w:r>
          </w:p>
        </w:tc>
        <w:tc>
          <w:tcPr>
            <w:tcW w:w="140" w:type="dxa"/>
            <w:vAlign w:val="bottom"/>
          </w:tcPr>
          <w:p>
            <w:pPr>
              <w:spacing w:after="0"/>
              <w:rPr>
                <w:sz w:val="17"/>
                <w:szCs w:val="17"/>
                <w:color w:val="auto"/>
              </w:rPr>
            </w:pPr>
          </w:p>
        </w:tc>
      </w:tr>
      <w:tr>
        <w:trPr>
          <w:trHeight w:val="201"/>
        </w:trPr>
        <w:tc>
          <w:tcPr>
            <w:tcW w:w="53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6"/>
              </w:rPr>
              <w:t>Other.......................................................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300" w:type="dxa"/>
            <w:vAlign w:val="bottom"/>
            <w:gridSpan w:val="2"/>
          </w:tcPr>
          <w:p>
            <w:pPr>
              <w:jc w:val="center"/>
              <w:ind w:left="924"/>
              <w:spacing w:after="0"/>
              <w:rPr>
                <w:sz w:val="20"/>
                <w:szCs w:val="20"/>
                <w:color w:val="auto"/>
              </w:rPr>
            </w:pPr>
            <w:r>
              <w:rPr>
                <w:rFonts w:ascii="Courier New" w:cs="Courier New" w:eastAsia="Courier New" w:hAnsi="Courier New"/>
                <w:sz w:val="17"/>
                <w:szCs w:val="17"/>
                <w:color w:val="auto"/>
              </w:rPr>
              <w:t>375 151 Total debt maturing within one</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1360" w:type="dxa"/>
            <w:vAlign w:val="bottom"/>
          </w:tcPr>
          <w:p>
            <w:pPr>
              <w:jc w:val="right"/>
              <w:spacing w:after="0"/>
              <w:rPr>
                <w:sz w:val="20"/>
                <w:szCs w:val="20"/>
                <w:color w:val="auto"/>
              </w:rPr>
            </w:pPr>
            <w:r>
              <w:rPr>
                <w:rFonts w:ascii="Courier New" w:cs="Courier New" w:eastAsia="Courier New" w:hAnsi="Courier New"/>
                <w:sz w:val="10"/>
                <w:szCs w:val="10"/>
                <w:color w:val="auto"/>
                <w:w w:val="76"/>
              </w:rPr>
              <w:t>year.........................</w:t>
            </w:r>
          </w:p>
        </w:tc>
        <w:tc>
          <w:tcPr>
            <w:tcW w:w="4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$31,838 $12,480 Weighted-</w:t>
            </w:r>
          </w:p>
        </w:tc>
        <w:tc>
          <w:tcPr>
            <w:tcW w:w="140" w:type="dxa"/>
            <w:vAlign w:val="bottom"/>
          </w:tcPr>
          <w:p>
            <w:pPr>
              <w:spacing w:after="0"/>
              <w:rPr>
                <w:sz w:val="17"/>
                <w:szCs w:val="17"/>
                <w:color w:val="auto"/>
              </w:rPr>
            </w:pPr>
          </w:p>
        </w:tc>
      </w:tr>
      <w:tr>
        <w:trPr>
          <w:trHeight w:val="201"/>
        </w:trPr>
        <w:tc>
          <w:tcPr>
            <w:tcW w:w="5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average interest rate of short-term debt...........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c>
          <w:tcPr>
            <w:tcW w:w="140" w:type="dxa"/>
            <w:vAlign w:val="bottom"/>
          </w:tcPr>
          <w:p>
            <w:pPr>
              <w:spacing w:after="0"/>
              <w:rPr>
                <w:sz w:val="17"/>
                <w:szCs w:val="17"/>
                <w:color w:val="auto"/>
              </w:rPr>
            </w:pPr>
          </w:p>
        </w:tc>
      </w:tr>
      <w:tr>
        <w:trPr>
          <w:trHeight w:val="201"/>
        </w:trPr>
        <w:tc>
          <w:tcPr>
            <w:tcW w:w="1360" w:type="dxa"/>
            <w:vAlign w:val="bottom"/>
          </w:tcPr>
          <w:p>
            <w:pPr>
              <w:spacing w:after="0"/>
              <w:rPr>
                <w:sz w:val="17"/>
                <w:szCs w:val="17"/>
                <w:color w:val="auto"/>
              </w:rPr>
            </w:pPr>
          </w:p>
        </w:tc>
        <w:tc>
          <w:tcPr>
            <w:tcW w:w="39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5.3%</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February 2000, we entered into a 364-day, $10 billion syndicated credit facility upon the expiration of existing credit facilities. On December 28, 2000, we entered into a new 364-day, $25 billion credit facility syndicated to 39 banks. As a result, the outstanding $10 billion credit facility was terminated. The credit facility is for commercial paper back-up and was unused at December 31, 2000. The credit facility agreement contains a financial covenant that requires AT&amp;T to maintain a net debt-to-EBITDA ratio (as</w:t>
      </w:r>
    </w:p>
    <w:p>
      <w:pPr>
        <w:sectPr>
          <w:pgSz w:w="11900" w:h="16838" w:orient="portrait"/>
          <w:cols w:equalWidth="0" w:num="1">
            <w:col w:w="10219"/>
          </w:cols>
          <w:pgMar w:left="240" w:top="518" w:right="1440" w:bottom="0" w:gutter="0" w:footer="0" w:header="0"/>
        </w:sectPr>
      </w:pPr>
    </w:p>
    <w:bookmarkStart w:id="655" w:name="page656"/>
    <w:bookmarkEnd w:id="655"/>
    <w:p>
      <w:pPr>
        <w:ind w:left="2900"/>
        <w:spacing w:after="0"/>
        <w:rPr>
          <w:sz w:val="20"/>
          <w:szCs w:val="20"/>
          <w:color w:val="auto"/>
        </w:rPr>
      </w:pPr>
      <w:r>
        <w:rPr>
          <w:rFonts w:ascii="Courier New" w:cs="Courier New" w:eastAsia="Courier New" w:hAnsi="Courier New"/>
          <w:sz w:val="17"/>
          <w:szCs w:val="17"/>
          <w:color w:val="auto"/>
        </w:rPr>
        <w:t>L-58</w:t>
      </w:r>
    </w:p>
    <w:p>
      <w:pPr>
        <w:sectPr>
          <w:pgSz w:w="11900" w:h="16838" w:orient="portrait"/>
          <w:cols w:equalWidth="0" w:num="1">
            <w:col w:w="9019"/>
          </w:cols>
          <w:pgMar w:left="1440" w:top="344" w:right="1440" w:bottom="1440" w:gutter="0" w:footer="0" w:header="0"/>
        </w:sectPr>
      </w:pPr>
    </w:p>
    <w:bookmarkStart w:id="656" w:name="page657"/>
    <w:bookmarkEnd w:id="656"/>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jc w:val="both"/>
        <w:ind w:right="1839"/>
        <w:spacing w:after="0" w:line="254" w:lineRule="auto"/>
        <w:rPr>
          <w:sz w:val="20"/>
          <w:szCs w:val="20"/>
          <w:color w:val="auto"/>
        </w:rPr>
      </w:pPr>
      <w:r>
        <w:rPr>
          <w:rFonts w:ascii="Courier New" w:cs="Courier New" w:eastAsia="Courier New" w:hAnsi="Courier New"/>
          <w:sz w:val="17"/>
          <w:szCs w:val="17"/>
          <w:color w:val="auto"/>
        </w:rPr>
        <w:t>defined in the credit agreement) not exceeding 3.00 to 1.00 for four consecutive quarters ending on the last day of each fiscal quarter. At December 31, 2000, we were in compliance with this covenant.</w:t>
      </w:r>
    </w:p>
    <w:p>
      <w:pPr>
        <w:spacing w:after="0" w:line="194"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 December 31, 1999, we had a 364-day, $7 billion revolving-credit facility with a consortium of 42 lenders. We also had additional 364-day, revolving-credit facilities of $3 billion. These lines were for commercial paper back-up and were unused at December 31, 1999.</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LONG-TERM OBLIGATIONS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2000 1999 - --------------- -------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DEBENTURES, NOTES AND TRUST PREFERRED SECURITIES(a)</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Interest Rates(b) Maturities 4.00% -- 6.00% 2001-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80" w:type="dxa"/>
            <w:vAlign w:val="bottom"/>
          </w:tcPr>
          <w:p>
            <w:pPr>
              <w:jc w:val="right"/>
              <w:spacing w:after="0"/>
              <w:rPr>
                <w:sz w:val="20"/>
                <w:szCs w:val="20"/>
                <w:color w:val="auto"/>
              </w:rPr>
            </w:pPr>
            <w:r>
              <w:rPr>
                <w:rFonts w:ascii="Courier New" w:cs="Courier New" w:eastAsia="Courier New" w:hAnsi="Courier New"/>
                <w:sz w:val="8"/>
                <w:szCs w:val="8"/>
                <w:color w:val="auto"/>
                <w:w w:val="76"/>
              </w:rPr>
              <w:t>2018....................................</w:t>
            </w:r>
          </w:p>
        </w:tc>
        <w:tc>
          <w:tcPr>
            <w:tcW w:w="47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$ 6,639 $ 5,251</w:t>
            </w:r>
          </w:p>
        </w:tc>
      </w:tr>
      <w:tr>
        <w:trPr>
          <w:trHeight w:val="201"/>
        </w:trPr>
        <w:tc>
          <w:tcPr>
            <w:tcW w:w="1480" w:type="dxa"/>
            <w:vAlign w:val="bottom"/>
          </w:tcPr>
          <w:p>
            <w:pPr>
              <w:spacing w:after="0"/>
              <w:rPr>
                <w:sz w:val="17"/>
                <w:szCs w:val="17"/>
                <w:color w:val="auto"/>
              </w:rPr>
            </w:pPr>
          </w:p>
        </w:tc>
        <w:tc>
          <w:tcPr>
            <w:tcW w:w="4700" w:type="dxa"/>
            <w:vAlign w:val="bottom"/>
          </w:tcPr>
          <w:p>
            <w:pPr>
              <w:jc w:val="center"/>
              <w:ind w:right="1273"/>
              <w:spacing w:after="0"/>
              <w:rPr>
                <w:sz w:val="20"/>
                <w:szCs w:val="20"/>
                <w:color w:val="auto"/>
              </w:rPr>
            </w:pPr>
            <w:r>
              <w:rPr>
                <w:rFonts w:ascii="Courier New" w:cs="Courier New" w:eastAsia="Courier New" w:hAnsi="Courier New"/>
                <w:sz w:val="17"/>
                <w:szCs w:val="17"/>
                <w:color w:val="auto"/>
              </w:rPr>
              <w:t>6.25% -- 6.50% 2001-</w:t>
            </w:r>
          </w:p>
        </w:tc>
      </w:tr>
      <w:tr>
        <w:trPr>
          <w:trHeight w:val="201"/>
        </w:trPr>
        <w:tc>
          <w:tcPr>
            <w:tcW w:w="1480" w:type="dxa"/>
            <w:vAlign w:val="bottom"/>
          </w:tcPr>
          <w:p>
            <w:pPr>
              <w:jc w:val="right"/>
              <w:spacing w:after="0"/>
              <w:rPr>
                <w:sz w:val="20"/>
                <w:szCs w:val="20"/>
                <w:color w:val="auto"/>
              </w:rPr>
            </w:pPr>
            <w:r>
              <w:rPr>
                <w:rFonts w:ascii="Courier New" w:cs="Courier New" w:eastAsia="Courier New" w:hAnsi="Courier New"/>
                <w:sz w:val="8"/>
                <w:szCs w:val="8"/>
                <w:color w:val="auto"/>
                <w:w w:val="76"/>
              </w:rPr>
              <w:t>2029....................................</w:t>
            </w:r>
          </w:p>
        </w:tc>
        <w:tc>
          <w:tcPr>
            <w:tcW w:w="4700" w:type="dxa"/>
            <w:vAlign w:val="bottom"/>
          </w:tcPr>
          <w:p>
            <w:pPr>
              <w:jc w:val="right"/>
              <w:spacing w:after="0"/>
              <w:rPr>
                <w:sz w:val="20"/>
                <w:szCs w:val="20"/>
                <w:color w:val="auto"/>
              </w:rPr>
            </w:pPr>
            <w:r>
              <w:rPr>
                <w:rFonts w:ascii="Courier New" w:cs="Courier New" w:eastAsia="Courier New" w:hAnsi="Courier New"/>
                <w:sz w:val="17"/>
                <w:szCs w:val="17"/>
                <w:color w:val="auto"/>
              </w:rPr>
              <w:t>6,660 4,367 6.55%</w:t>
            </w:r>
          </w:p>
        </w:tc>
      </w:tr>
      <w:tr>
        <w:trPr>
          <w:trHeight w:val="201"/>
        </w:trPr>
        <w:tc>
          <w:tcPr>
            <w:tcW w:w="6180" w:type="dxa"/>
            <w:vAlign w:val="bottom"/>
            <w:gridSpan w:val="2"/>
          </w:tcPr>
          <w:p>
            <w:pPr>
              <w:jc w:val="center"/>
              <w:ind w:left="57"/>
              <w:spacing w:after="0"/>
              <w:rPr>
                <w:sz w:val="20"/>
                <w:szCs w:val="20"/>
                <w:color w:val="auto"/>
              </w:rPr>
            </w:pPr>
            <w:r>
              <w:rPr>
                <w:rFonts w:ascii="Courier New" w:cs="Courier New" w:eastAsia="Courier New" w:hAnsi="Courier New"/>
                <w:sz w:val="17"/>
                <w:szCs w:val="17"/>
                <w:color w:val="auto"/>
              </w:rPr>
              <w:t>-- 7.50% 2001-2037....................................</w:t>
            </w:r>
          </w:p>
        </w:tc>
      </w:tr>
      <w:tr>
        <w:trPr>
          <w:trHeight w:val="201"/>
        </w:trPr>
        <w:tc>
          <w:tcPr>
            <w:tcW w:w="1480" w:type="dxa"/>
            <w:vAlign w:val="bottom"/>
          </w:tcPr>
          <w:p>
            <w:pPr>
              <w:spacing w:after="0"/>
              <w:rPr>
                <w:sz w:val="17"/>
                <w:szCs w:val="17"/>
                <w:color w:val="auto"/>
              </w:rPr>
            </w:pPr>
          </w:p>
        </w:tc>
        <w:tc>
          <w:tcPr>
            <w:tcW w:w="4700" w:type="dxa"/>
            <w:vAlign w:val="bottom"/>
          </w:tcPr>
          <w:p>
            <w:pPr>
              <w:jc w:val="center"/>
              <w:ind w:right="1273"/>
              <w:spacing w:after="0"/>
              <w:rPr>
                <w:sz w:val="20"/>
                <w:szCs w:val="20"/>
                <w:color w:val="auto"/>
              </w:rPr>
            </w:pPr>
            <w:r>
              <w:rPr>
                <w:rFonts w:ascii="Courier New" w:cs="Courier New" w:eastAsia="Courier New" w:hAnsi="Courier New"/>
                <w:sz w:val="17"/>
                <w:szCs w:val="17"/>
                <w:color w:val="auto"/>
              </w:rPr>
              <w:t>6,470 3,701 7.53% -- 8.50% 2001-</w:t>
            </w:r>
          </w:p>
        </w:tc>
      </w:tr>
      <w:tr>
        <w:trPr>
          <w:trHeight w:val="201"/>
        </w:trPr>
        <w:tc>
          <w:tcPr>
            <w:tcW w:w="1480" w:type="dxa"/>
            <w:vAlign w:val="bottom"/>
          </w:tcPr>
          <w:p>
            <w:pPr>
              <w:jc w:val="right"/>
              <w:spacing w:after="0"/>
              <w:rPr>
                <w:sz w:val="20"/>
                <w:szCs w:val="20"/>
                <w:color w:val="auto"/>
              </w:rPr>
            </w:pPr>
            <w:r>
              <w:rPr>
                <w:rFonts w:ascii="Courier New" w:cs="Courier New" w:eastAsia="Courier New" w:hAnsi="Courier New"/>
                <w:sz w:val="8"/>
                <w:szCs w:val="8"/>
                <w:color w:val="auto"/>
                <w:w w:val="76"/>
              </w:rPr>
              <w:t>2097....................................</w:t>
            </w:r>
          </w:p>
        </w:tc>
        <w:tc>
          <w:tcPr>
            <w:tcW w:w="4700" w:type="dxa"/>
            <w:vAlign w:val="bottom"/>
          </w:tcPr>
          <w:p>
            <w:pPr>
              <w:jc w:val="right"/>
              <w:spacing w:after="0"/>
              <w:rPr>
                <w:sz w:val="20"/>
                <w:szCs w:val="20"/>
                <w:color w:val="auto"/>
              </w:rPr>
            </w:pPr>
            <w:r>
              <w:rPr>
                <w:rFonts w:ascii="Courier New" w:cs="Courier New" w:eastAsia="Courier New" w:hAnsi="Courier New"/>
                <w:sz w:val="17"/>
                <w:szCs w:val="17"/>
                <w:color w:val="auto"/>
              </w:rPr>
              <w:t>5,267 4,762 8.60%</w:t>
            </w:r>
          </w:p>
        </w:tc>
      </w:tr>
      <w:tr>
        <w:trPr>
          <w:trHeight w:val="201"/>
        </w:trPr>
        <w:tc>
          <w:tcPr>
            <w:tcW w:w="6180" w:type="dxa"/>
            <w:vAlign w:val="bottom"/>
            <w:gridSpan w:val="2"/>
          </w:tcPr>
          <w:p>
            <w:pPr>
              <w:jc w:val="center"/>
              <w:ind w:left="57"/>
              <w:spacing w:after="0"/>
              <w:rPr>
                <w:sz w:val="20"/>
                <w:szCs w:val="20"/>
                <w:color w:val="auto"/>
              </w:rPr>
            </w:pPr>
            <w:r>
              <w:rPr>
                <w:rFonts w:ascii="Courier New" w:cs="Courier New" w:eastAsia="Courier New" w:hAnsi="Courier New"/>
                <w:sz w:val="17"/>
                <w:szCs w:val="17"/>
                <w:color w:val="auto"/>
              </w:rPr>
              <w:t>-- 11.13% 2001-2045...................................</w:t>
            </w:r>
          </w:p>
        </w:tc>
      </w:tr>
      <w:tr>
        <w:trPr>
          <w:trHeight w:val="201"/>
        </w:trPr>
        <w:tc>
          <w:tcPr>
            <w:tcW w:w="1480" w:type="dxa"/>
            <w:vAlign w:val="bottom"/>
          </w:tcPr>
          <w:p>
            <w:pPr>
              <w:spacing w:after="0"/>
              <w:rPr>
                <w:sz w:val="17"/>
                <w:szCs w:val="17"/>
                <w:color w:val="auto"/>
              </w:rPr>
            </w:pPr>
          </w:p>
        </w:tc>
        <w:tc>
          <w:tcPr>
            <w:tcW w:w="4700" w:type="dxa"/>
            <w:vAlign w:val="bottom"/>
          </w:tcPr>
          <w:p>
            <w:pPr>
              <w:jc w:val="center"/>
              <w:ind w:right="1273"/>
              <w:spacing w:after="0"/>
              <w:rPr>
                <w:sz w:val="20"/>
                <w:szCs w:val="20"/>
                <w:color w:val="auto"/>
              </w:rPr>
            </w:pPr>
            <w:r>
              <w:rPr>
                <w:rFonts w:ascii="Courier New" w:cs="Courier New" w:eastAsia="Courier New" w:hAnsi="Courier New"/>
                <w:sz w:val="17"/>
                <w:szCs w:val="17"/>
                <w:color w:val="auto"/>
              </w:rPr>
              <w:t>7,317 5,386 Variable rate 2001-</w:t>
            </w:r>
          </w:p>
        </w:tc>
      </w:tr>
      <w:tr>
        <w:trPr>
          <w:trHeight w:val="201"/>
        </w:trPr>
        <w:tc>
          <w:tcPr>
            <w:tcW w:w="1480" w:type="dxa"/>
            <w:vAlign w:val="bottom"/>
          </w:tcPr>
          <w:p>
            <w:pPr>
              <w:jc w:val="right"/>
              <w:spacing w:after="0"/>
              <w:rPr>
                <w:sz w:val="20"/>
                <w:szCs w:val="20"/>
                <w:color w:val="auto"/>
              </w:rPr>
            </w:pPr>
            <w:r>
              <w:rPr>
                <w:rFonts w:ascii="Courier New" w:cs="Courier New" w:eastAsia="Courier New" w:hAnsi="Courier New"/>
                <w:sz w:val="8"/>
                <w:szCs w:val="8"/>
                <w:color w:val="auto"/>
                <w:w w:val="74"/>
              </w:rPr>
              <w:t>2054.....................................</w:t>
            </w:r>
          </w:p>
        </w:tc>
        <w:tc>
          <w:tcPr>
            <w:tcW w:w="4700" w:type="dxa"/>
            <w:vAlign w:val="bottom"/>
          </w:tcPr>
          <w:p>
            <w:pPr>
              <w:jc w:val="right"/>
              <w:spacing w:after="0"/>
              <w:rPr>
                <w:sz w:val="20"/>
                <w:szCs w:val="20"/>
                <w:color w:val="auto"/>
              </w:rPr>
            </w:pPr>
            <w:r>
              <w:rPr>
                <w:rFonts w:ascii="Courier New" w:cs="Courier New" w:eastAsia="Courier New" w:hAnsi="Courier New"/>
                <w:sz w:val="17"/>
                <w:szCs w:val="17"/>
                <w:color w:val="auto"/>
              </w:rPr>
              <w:t>4,164 867 Total</w:t>
            </w:r>
          </w:p>
        </w:tc>
      </w:tr>
      <w:tr>
        <w:trPr>
          <w:trHeight w:val="201"/>
        </w:trPr>
        <w:tc>
          <w:tcPr>
            <w:tcW w:w="6180" w:type="dxa"/>
            <w:vAlign w:val="bottom"/>
            <w:gridSpan w:val="2"/>
          </w:tcPr>
          <w:p>
            <w:pPr>
              <w:jc w:val="center"/>
              <w:ind w:left="57"/>
              <w:spacing w:after="0"/>
              <w:rPr>
                <w:sz w:val="20"/>
                <w:szCs w:val="20"/>
                <w:color w:val="auto"/>
              </w:rPr>
            </w:pPr>
            <w:r>
              <w:rPr>
                <w:rFonts w:ascii="Courier New" w:cs="Courier New" w:eastAsia="Courier New" w:hAnsi="Courier New"/>
                <w:sz w:val="17"/>
                <w:szCs w:val="17"/>
                <w:color w:val="auto"/>
              </w:rPr>
              <w:t>debentures, notes and trust preferred securities......</w:t>
            </w:r>
          </w:p>
        </w:tc>
      </w:tr>
      <w:tr>
        <w:trPr>
          <w:trHeight w:val="201"/>
        </w:trPr>
        <w:tc>
          <w:tcPr>
            <w:tcW w:w="1480" w:type="dxa"/>
            <w:vAlign w:val="bottom"/>
          </w:tcPr>
          <w:p>
            <w:pPr>
              <w:spacing w:after="0"/>
              <w:rPr>
                <w:sz w:val="17"/>
                <w:szCs w:val="17"/>
                <w:color w:val="auto"/>
              </w:rPr>
            </w:pPr>
          </w:p>
        </w:tc>
        <w:tc>
          <w:tcPr>
            <w:tcW w:w="4700" w:type="dxa"/>
            <w:vAlign w:val="bottom"/>
          </w:tcPr>
          <w:p>
            <w:pPr>
              <w:jc w:val="center"/>
              <w:ind w:right="1273"/>
              <w:spacing w:after="0"/>
              <w:rPr>
                <w:sz w:val="20"/>
                <w:szCs w:val="20"/>
                <w:color w:val="auto"/>
              </w:rPr>
            </w:pPr>
            <w:r>
              <w:rPr>
                <w:rFonts w:ascii="Courier New" w:cs="Courier New" w:eastAsia="Courier New" w:hAnsi="Courier New"/>
                <w:sz w:val="17"/>
                <w:szCs w:val="17"/>
                <w:color w:val="auto"/>
              </w:rPr>
              <w:t>36,517 24,334</w:t>
            </w:r>
          </w:p>
        </w:tc>
      </w:tr>
      <w:tr>
        <w:trPr>
          <w:trHeight w:val="201"/>
        </w:trPr>
        <w:tc>
          <w:tcPr>
            <w:tcW w:w="6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Other.......................................................</w:t>
            </w:r>
          </w:p>
        </w:tc>
      </w:tr>
      <w:tr>
        <w:trPr>
          <w:trHeight w:val="201"/>
        </w:trPr>
        <w:tc>
          <w:tcPr>
            <w:tcW w:w="1480" w:type="dxa"/>
            <w:vAlign w:val="bottom"/>
          </w:tcPr>
          <w:p>
            <w:pPr>
              <w:spacing w:after="0"/>
              <w:rPr>
                <w:sz w:val="17"/>
                <w:szCs w:val="17"/>
                <w:color w:val="auto"/>
              </w:rPr>
            </w:pPr>
          </w:p>
        </w:tc>
        <w:tc>
          <w:tcPr>
            <w:tcW w:w="4700" w:type="dxa"/>
            <w:vAlign w:val="bottom"/>
          </w:tcPr>
          <w:p>
            <w:pPr>
              <w:jc w:val="center"/>
              <w:ind w:right="1273"/>
              <w:spacing w:after="0"/>
              <w:rPr>
                <w:sz w:val="20"/>
                <w:szCs w:val="20"/>
                <w:color w:val="auto"/>
              </w:rPr>
            </w:pPr>
            <w:r>
              <w:rPr>
                <w:rFonts w:ascii="Courier New" w:cs="Courier New" w:eastAsia="Courier New" w:hAnsi="Courier New"/>
                <w:sz w:val="17"/>
                <w:szCs w:val="17"/>
                <w:color w:val="auto"/>
              </w:rPr>
              <w:t>360 362 Unamortized discount,</w:t>
            </w:r>
          </w:p>
        </w:tc>
      </w:tr>
      <w:tr>
        <w:trPr>
          <w:trHeight w:val="201"/>
        </w:trPr>
        <w:tc>
          <w:tcPr>
            <w:tcW w:w="1480" w:type="dxa"/>
            <w:vAlign w:val="bottom"/>
          </w:tcPr>
          <w:p>
            <w:pPr>
              <w:jc w:val="right"/>
              <w:spacing w:after="0"/>
              <w:rPr>
                <w:sz w:val="20"/>
                <w:szCs w:val="20"/>
                <w:color w:val="auto"/>
              </w:rPr>
            </w:pPr>
            <w:r>
              <w:rPr>
                <w:rFonts w:ascii="Courier New" w:cs="Courier New" w:eastAsia="Courier New" w:hAnsi="Courier New"/>
                <w:sz w:val="9"/>
                <w:szCs w:val="9"/>
                <w:color w:val="auto"/>
                <w:w w:val="71"/>
              </w:rPr>
              <w:t>net...................................</w:t>
            </w:r>
          </w:p>
        </w:tc>
        <w:tc>
          <w:tcPr>
            <w:tcW w:w="47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(64) (127) Total</w:t>
            </w:r>
          </w:p>
        </w:tc>
      </w:tr>
      <w:tr>
        <w:trPr>
          <w:trHeight w:val="201"/>
        </w:trPr>
        <w:tc>
          <w:tcPr>
            <w:tcW w:w="6180" w:type="dxa"/>
            <w:vAlign w:val="bottom"/>
            <w:gridSpan w:val="2"/>
          </w:tcPr>
          <w:p>
            <w:pPr>
              <w:jc w:val="center"/>
              <w:ind w:left="57"/>
              <w:spacing w:after="0"/>
              <w:rPr>
                <w:sz w:val="20"/>
                <w:szCs w:val="20"/>
                <w:color w:val="auto"/>
              </w:rPr>
            </w:pPr>
            <w:r>
              <w:rPr>
                <w:rFonts w:ascii="Courier New" w:cs="Courier New" w:eastAsia="Courier New" w:hAnsi="Courier New"/>
                <w:sz w:val="17"/>
                <w:szCs w:val="17"/>
                <w:color w:val="auto"/>
              </w:rPr>
              <w:t>long-term obligations.................................</w:t>
            </w:r>
          </w:p>
        </w:tc>
      </w:tr>
      <w:tr>
        <w:trPr>
          <w:trHeight w:val="201"/>
        </w:trPr>
        <w:tc>
          <w:tcPr>
            <w:tcW w:w="6180" w:type="dxa"/>
            <w:vAlign w:val="bottom"/>
            <w:gridSpan w:val="2"/>
          </w:tcPr>
          <w:p>
            <w:pPr>
              <w:jc w:val="center"/>
              <w:ind w:left="57"/>
              <w:spacing w:after="0"/>
              <w:rPr>
                <w:sz w:val="20"/>
                <w:szCs w:val="20"/>
                <w:color w:val="auto"/>
              </w:rPr>
            </w:pPr>
            <w:r>
              <w:rPr>
                <w:rFonts w:ascii="Courier New" w:cs="Courier New" w:eastAsia="Courier New" w:hAnsi="Courier New"/>
                <w:sz w:val="17"/>
                <w:szCs w:val="17"/>
                <w:color w:val="auto"/>
              </w:rPr>
              <w:t>36,813 24,569 Less: Currently maturing long-term</w:t>
            </w:r>
          </w:p>
        </w:tc>
      </w:tr>
      <w:tr>
        <w:trPr>
          <w:trHeight w:val="201"/>
        </w:trPr>
        <w:tc>
          <w:tcPr>
            <w:tcW w:w="1480" w:type="dxa"/>
            <w:vAlign w:val="bottom"/>
          </w:tcPr>
          <w:p>
            <w:pPr>
              <w:jc w:val="right"/>
              <w:spacing w:after="0"/>
              <w:rPr>
                <w:sz w:val="20"/>
                <w:szCs w:val="20"/>
                <w:color w:val="auto"/>
              </w:rPr>
            </w:pPr>
            <w:r>
              <w:rPr>
                <w:rFonts w:ascii="Courier New" w:cs="Courier New" w:eastAsia="Courier New" w:hAnsi="Courier New"/>
                <w:sz w:val="13"/>
                <w:szCs w:val="13"/>
                <w:color w:val="auto"/>
                <w:w w:val="74"/>
              </w:rPr>
              <w:t>debt.....................</w:t>
            </w:r>
          </w:p>
        </w:tc>
        <w:tc>
          <w:tcPr>
            <w:tcW w:w="47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3,724 1,355 Net long-term</w:t>
            </w:r>
          </w:p>
        </w:tc>
      </w:tr>
      <w:tr>
        <w:trPr>
          <w:trHeight w:val="201"/>
        </w:trPr>
        <w:tc>
          <w:tcPr>
            <w:tcW w:w="1480" w:type="dxa"/>
            <w:vAlign w:val="bottom"/>
          </w:tcPr>
          <w:p>
            <w:pPr>
              <w:jc w:val="right"/>
              <w:spacing w:after="0"/>
              <w:rPr>
                <w:sz w:val="20"/>
                <w:szCs w:val="20"/>
                <w:color w:val="auto"/>
              </w:rPr>
            </w:pPr>
            <w:r>
              <w:rPr>
                <w:rFonts w:ascii="Courier New" w:cs="Courier New" w:eastAsia="Courier New" w:hAnsi="Courier New"/>
                <w:sz w:val="7"/>
                <w:szCs w:val="7"/>
                <w:color w:val="auto"/>
                <w:w w:val="75"/>
              </w:rPr>
              <w:t>obligations...................................</w:t>
            </w:r>
          </w:p>
        </w:tc>
        <w:tc>
          <w:tcPr>
            <w:tcW w:w="47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$33,089</w:t>
            </w:r>
          </w:p>
        </w:tc>
      </w:tr>
      <w:tr>
        <w:trPr>
          <w:trHeight w:val="201"/>
        </w:trPr>
        <w:tc>
          <w:tcPr>
            <w:tcW w:w="1480" w:type="dxa"/>
            <w:vAlign w:val="bottom"/>
          </w:tcPr>
          <w:p>
            <w:pPr>
              <w:spacing w:after="0"/>
              <w:rPr>
                <w:sz w:val="17"/>
                <w:szCs w:val="17"/>
                <w:color w:val="auto"/>
              </w:rPr>
            </w:pPr>
          </w:p>
        </w:tc>
        <w:tc>
          <w:tcPr>
            <w:tcW w:w="4700" w:type="dxa"/>
            <w:vAlign w:val="bottom"/>
          </w:tcPr>
          <w:p>
            <w:pPr>
              <w:jc w:val="center"/>
              <w:ind w:right="1273"/>
              <w:spacing w:after="0"/>
              <w:rPr>
                <w:sz w:val="20"/>
                <w:szCs w:val="20"/>
                <w:color w:val="auto"/>
              </w:rPr>
            </w:pPr>
            <w:r>
              <w:rPr>
                <w:rFonts w:ascii="Courier New" w:cs="Courier New" w:eastAsia="Courier New" w:hAnsi="Courier New"/>
                <w:sz w:val="17"/>
                <w:szCs w:val="17"/>
                <w:color w:val="auto"/>
              </w:rPr>
              <w:t>$23,214</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1939" w:hanging="413"/>
        <w:spacing w:after="0" w:line="252" w:lineRule="auto"/>
        <w:tabs>
          <w:tab w:leader="none" w:pos="420" w:val="left"/>
        </w:tabs>
        <w:numPr>
          <w:ilvl w:val="0"/>
          <w:numId w:val="7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Included in these balances was $946 and $975 representing the remaining excess of the fair value over the recorded value of debt in connection with the TCI and MediaOne mergers at December 31, 2000 and December 31, 1999, respectively. The excess is being amortized over the remaining lives of the underlying debt obligations.</w:t>
      </w:r>
    </w:p>
    <w:p>
      <w:pPr>
        <w:spacing w:after="0" w:line="197" w:lineRule="exact"/>
        <w:rPr>
          <w:rFonts w:ascii="Courier New" w:cs="Courier New" w:eastAsia="Courier New" w:hAnsi="Courier New"/>
          <w:sz w:val="17"/>
          <w:szCs w:val="17"/>
          <w:color w:val="auto"/>
        </w:rPr>
      </w:pPr>
    </w:p>
    <w:p>
      <w:pPr>
        <w:ind w:left="420" w:right="1839" w:hanging="413"/>
        <w:spacing w:after="0" w:line="253" w:lineRule="auto"/>
        <w:tabs>
          <w:tab w:leader="none" w:pos="420" w:val="left"/>
        </w:tabs>
        <w:numPr>
          <w:ilvl w:val="0"/>
          <w:numId w:val="7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actual interest paid on our debt obligations may have differed from the stated amount due to our entering into interest rate swap contracts to manage our exposure to interest rate risk and our strategy to reduce finance costs (see Note 13).</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January 26, 1999, AT&amp;T filed a registration statement with the SEC for the offering and sale of up to $10 billion of notes and warrants to purchase notes, resulting in a total available shelf registration of $13.1 billion. On March 26, 1999, AT&amp;T issued $8 billion in notes. We received net proceeds of approximately $7.9 billion from the sale of the notes. The proceeds were utilized to repay commercial paper issued in connection with the TCI merger and toward funding the share repurchase program. On September 14, 1999, AT&amp;T completed a $450 bond offering in connection with the same registration statement. The proceeds from the issuance were utilized for general corporate purposes.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Included in long-term debt are subsidiary-obligated mandatorily redeemable preferred securities of subsidiary trusts holding solely subordinated debt securities, exchangeable notes and other exchangeable debt acquired in connection with the TCI and MediaOne mergers.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L-59</w:t>
      </w:r>
    </w:p>
    <w:p>
      <w:pPr>
        <w:sectPr>
          <w:pgSz w:w="11900" w:h="16838" w:orient="portrait"/>
          <w:cols w:equalWidth="0" w:num="1">
            <w:col w:w="10219"/>
          </w:cols>
          <w:pgMar w:left="240" w:top="518" w:right="1440" w:bottom="1440" w:gutter="0" w:footer="0" w:header="0"/>
        </w:sectPr>
      </w:pPr>
    </w:p>
    <w:bookmarkStart w:id="657" w:name="page658"/>
    <w:bookmarkEnd w:id="657"/>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679" w:firstLine="524"/>
        <w:spacing w:after="0" w:line="257" w:lineRule="auto"/>
        <w:rPr>
          <w:sz w:val="20"/>
          <w:szCs w:val="20"/>
          <w:color w:val="auto"/>
        </w:rPr>
      </w:pPr>
      <w:r>
        <w:rPr>
          <w:rFonts w:ascii="Courier New" w:cs="Courier New" w:eastAsia="Courier New" w:hAnsi="Courier New"/>
          <w:sz w:val="17"/>
          <w:szCs w:val="17"/>
          <w:color w:val="auto"/>
        </w:rPr>
        <w:t>SUBSIDIARY-OBLIGATED MANDATORILY REDEEMABLE PREFERRED SECURITIES OF SUBSIDIARY TRUSTS HOLDING SOLELY SUBORDINATED DEBT SECURITIES</w:t>
      </w:r>
    </w:p>
    <w:p>
      <w:pPr>
        <w:spacing w:after="0" w:line="192"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Certain subsidiary trusts of TCI (TCI Trusts) had preferred securities outstanding at December 31, 2000 and 1999, as follows:</w:t>
      </w:r>
    </w:p>
    <w:p>
      <w:pPr>
        <w:spacing w:after="0" w:line="19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{CARRYING AMOUNT INTEREST MATURITY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RATE DATE 2000 1999 -------- -------- -------</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 TCI Communications Financing</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I.................... 8.72% 2045 $ 528 $ 528 TCI</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Communications Financing II...................</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10.00% 2045 514 521 TCI Communications Financing</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III.................. 9.65% 2027 357 360 TCI</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Communications Financing IV...................</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9.72% 2036 204 217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w:t>
      </w:r>
    </w:p>
    <w:p>
      <w:pPr>
        <w:spacing w:after="0" w:line="9"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$1,603 $1,626 ------ ------</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TCI Trusts were created for the exclusive purpose of issuing trust preferred securities and investing the proceeds thereof into subordinated deferrable interest notes (subordinated debt securities) of TCI. The subordinated debt securities have interest rates equal to the interest rate of the corresponding trust preferred securities and have maturity dates ranging from 30 to 49 years from the date of issuance. The preferred securities are mandatorily redeemable upon repayment of the subordinated debt securities, and are callable by AT&amp;T. The Financing I and II trust preferred securities are callable at face value beginning in January and May 2001, respectively. Financing III trust preferred securities are callable at 104.825% of face value beginning in March 2007. Financing IV trust preferred securities are callable at face value beginning in March 2002. TCI effectively provides a full and unconditional guarantee of the TCI Trusts' obligations under the trust preferred securities. In 2000, AT&amp;T provided a full and unconditional guarantee of the trust preferred securities for TCI Communications Financing I, II and IV subsidiary trusts (see Note 20).</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AT&amp;T has the right to defer interest payments up to 20 consecutive quarters; as a consequence, dividend payments on the trust preferred securities can be deferred by the trusts during any such interest-payment period.</w:t>
      </w:r>
    </w:p>
    <w:p>
      <w:pPr>
        <w:spacing w:after="0" w:line="194"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Certain subsidiary trusts of MediaOne (MediaOne Trusts) had preferred securities outstanding at December 31, 2000,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INTEREST MATURITY CARRYING RATE DATE AMOUNT --------</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360" w:type="dxa"/>
            <w:vAlign w:val="bottom"/>
          </w:tcPr>
          <w:p>
            <w:pPr>
              <w:spacing w:after="0"/>
              <w:rPr>
                <w:sz w:val="17"/>
                <w:szCs w:val="17"/>
                <w:color w:val="auto"/>
              </w:rPr>
            </w:pPr>
          </w:p>
        </w:tc>
        <w:tc>
          <w:tcPr>
            <w:tcW w:w="4140" w:type="dxa"/>
            <w:vAlign w:val="bottom"/>
          </w:tcPr>
          <w:p>
            <w:pPr>
              <w:jc w:val="center"/>
              <w:ind w:right="693"/>
              <w:spacing w:after="0"/>
              <w:rPr>
                <w:sz w:val="20"/>
                <w:szCs w:val="20"/>
                <w:color w:val="auto"/>
              </w:rPr>
            </w:pPr>
            <w:r>
              <w:rPr>
                <w:rFonts w:ascii="Courier New" w:cs="Courier New" w:eastAsia="Courier New" w:hAnsi="Courier New"/>
                <w:sz w:val="17"/>
                <w:szCs w:val="17"/>
                <w:color w:val="auto"/>
              </w:rPr>
              <w:t>---- -------- MediaOne Financing</w:t>
            </w:r>
          </w:p>
        </w:tc>
        <w:tc>
          <w:tcPr>
            <w:tcW w:w="520" w:type="dxa"/>
            <w:vAlign w:val="bottom"/>
          </w:tcPr>
          <w:p>
            <w:pPr>
              <w:spacing w:after="0"/>
              <w:rPr>
                <w:sz w:val="17"/>
                <w:szCs w:val="17"/>
                <w:color w:val="auto"/>
              </w:rPr>
            </w:pPr>
          </w:p>
        </w:tc>
      </w:tr>
      <w:tr>
        <w:trPr>
          <w:trHeight w:val="201"/>
        </w:trPr>
        <w:tc>
          <w:tcPr>
            <w:tcW w:w="1360" w:type="dxa"/>
            <w:vAlign w:val="bottom"/>
          </w:tcPr>
          <w:p>
            <w:pPr>
              <w:jc w:val="right"/>
              <w:spacing w:after="0"/>
              <w:rPr>
                <w:sz w:val="20"/>
                <w:szCs w:val="20"/>
                <w:color w:val="auto"/>
              </w:rPr>
            </w:pPr>
            <w:r>
              <w:rPr>
                <w:rFonts w:ascii="Courier New" w:cs="Courier New" w:eastAsia="Courier New" w:hAnsi="Courier New"/>
                <w:sz w:val="8"/>
                <w:szCs w:val="8"/>
                <w:color w:val="auto"/>
                <w:w w:val="71"/>
              </w:rPr>
              <w:t>I......................................</w:t>
            </w:r>
          </w:p>
        </w:tc>
        <w:tc>
          <w:tcPr>
            <w:tcW w:w="4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7.96% 2025</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$ 30</w:t>
            </w:r>
          </w:p>
        </w:tc>
      </w:tr>
      <w:tr>
        <w:trPr>
          <w:trHeight w:val="201"/>
        </w:trPr>
        <w:tc>
          <w:tcPr>
            <w:tcW w:w="1360" w:type="dxa"/>
            <w:vAlign w:val="bottom"/>
          </w:tcPr>
          <w:p>
            <w:pPr>
              <w:spacing w:after="0"/>
              <w:rPr>
                <w:sz w:val="17"/>
                <w:szCs w:val="17"/>
                <w:color w:val="auto"/>
              </w:rPr>
            </w:pPr>
          </w:p>
        </w:tc>
        <w:tc>
          <w:tcPr>
            <w:tcW w:w="4140" w:type="dxa"/>
            <w:vAlign w:val="bottom"/>
          </w:tcPr>
          <w:p>
            <w:pPr>
              <w:jc w:val="center"/>
              <w:ind w:right="693"/>
              <w:spacing w:after="0"/>
              <w:rPr>
                <w:sz w:val="20"/>
                <w:szCs w:val="20"/>
                <w:color w:val="auto"/>
              </w:rPr>
            </w:pPr>
            <w:r>
              <w:rPr>
                <w:rFonts w:ascii="Courier New" w:cs="Courier New" w:eastAsia="Courier New" w:hAnsi="Courier New"/>
                <w:sz w:val="17"/>
                <w:szCs w:val="17"/>
                <w:color w:val="auto"/>
              </w:rPr>
              <w:t>MediaOne Financing</w:t>
            </w:r>
          </w:p>
        </w:tc>
        <w:tc>
          <w:tcPr>
            <w:tcW w:w="520" w:type="dxa"/>
            <w:vAlign w:val="bottom"/>
          </w:tcPr>
          <w:p>
            <w:pPr>
              <w:spacing w:after="0"/>
              <w:rPr>
                <w:sz w:val="17"/>
                <w:szCs w:val="17"/>
                <w:color w:val="auto"/>
              </w:rPr>
            </w:pPr>
          </w:p>
        </w:tc>
      </w:tr>
      <w:tr>
        <w:trPr>
          <w:trHeight w:val="201"/>
        </w:trPr>
        <w:tc>
          <w:tcPr>
            <w:tcW w:w="1360" w:type="dxa"/>
            <w:vAlign w:val="bottom"/>
          </w:tcPr>
          <w:p>
            <w:pPr>
              <w:jc w:val="right"/>
              <w:spacing w:after="0"/>
              <w:rPr>
                <w:sz w:val="20"/>
                <w:szCs w:val="20"/>
                <w:color w:val="auto"/>
              </w:rPr>
            </w:pPr>
            <w:r>
              <w:rPr>
                <w:rFonts w:ascii="Courier New" w:cs="Courier New" w:eastAsia="Courier New" w:hAnsi="Courier New"/>
                <w:sz w:val="8"/>
                <w:szCs w:val="8"/>
                <w:color w:val="auto"/>
                <w:w w:val="71"/>
              </w:rPr>
              <w:t>II.....................................</w:t>
            </w:r>
          </w:p>
        </w:tc>
        <w:tc>
          <w:tcPr>
            <w:tcW w:w="46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8.25% 2036 28</w:t>
            </w:r>
          </w:p>
        </w:tc>
      </w:tr>
      <w:tr>
        <w:trPr>
          <w:trHeight w:val="201"/>
        </w:trPr>
        <w:tc>
          <w:tcPr>
            <w:tcW w:w="1360" w:type="dxa"/>
            <w:vAlign w:val="bottom"/>
          </w:tcPr>
          <w:p>
            <w:pPr>
              <w:spacing w:after="0"/>
              <w:rPr>
                <w:sz w:val="17"/>
                <w:szCs w:val="17"/>
                <w:color w:val="auto"/>
              </w:rPr>
            </w:pPr>
          </w:p>
        </w:tc>
        <w:tc>
          <w:tcPr>
            <w:tcW w:w="4140" w:type="dxa"/>
            <w:vAlign w:val="bottom"/>
          </w:tcPr>
          <w:p>
            <w:pPr>
              <w:jc w:val="center"/>
              <w:ind w:right="693"/>
              <w:spacing w:after="0"/>
              <w:rPr>
                <w:sz w:val="20"/>
                <w:szCs w:val="20"/>
                <w:color w:val="auto"/>
              </w:rPr>
            </w:pPr>
            <w:r>
              <w:rPr>
                <w:rFonts w:ascii="Courier New" w:cs="Courier New" w:eastAsia="Courier New" w:hAnsi="Courier New"/>
                <w:sz w:val="17"/>
                <w:szCs w:val="17"/>
                <w:color w:val="auto"/>
              </w:rPr>
              <w:t>MediaOne Finance</w:t>
            </w:r>
          </w:p>
        </w:tc>
        <w:tc>
          <w:tcPr>
            <w:tcW w:w="520" w:type="dxa"/>
            <w:vAlign w:val="bottom"/>
          </w:tcPr>
          <w:p>
            <w:pPr>
              <w:spacing w:after="0"/>
              <w:rPr>
                <w:sz w:val="17"/>
                <w:szCs w:val="17"/>
                <w:color w:val="auto"/>
              </w:rPr>
            </w:pPr>
          </w:p>
        </w:tc>
      </w:tr>
      <w:tr>
        <w:trPr>
          <w:trHeight w:val="201"/>
        </w:trPr>
        <w:tc>
          <w:tcPr>
            <w:tcW w:w="1360" w:type="dxa"/>
            <w:vAlign w:val="bottom"/>
          </w:tcPr>
          <w:p>
            <w:pPr>
              <w:jc w:val="right"/>
              <w:spacing w:after="0"/>
              <w:rPr>
                <w:sz w:val="20"/>
                <w:szCs w:val="20"/>
                <w:color w:val="auto"/>
              </w:rPr>
            </w:pPr>
            <w:r>
              <w:rPr>
                <w:rFonts w:ascii="Courier New" w:cs="Courier New" w:eastAsia="Courier New" w:hAnsi="Courier New"/>
                <w:sz w:val="7"/>
                <w:szCs w:val="7"/>
                <w:color w:val="auto"/>
                <w:w w:val="77"/>
              </w:rPr>
              <w:t>II.......................................</w:t>
            </w:r>
          </w:p>
        </w:tc>
        <w:tc>
          <w:tcPr>
            <w:tcW w:w="4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9.50% 2036 214</w:t>
            </w:r>
          </w:p>
        </w:tc>
      </w:tr>
      <w:tr>
        <w:trPr>
          <w:trHeight w:val="201"/>
        </w:trPr>
        <w:tc>
          <w:tcPr>
            <w:tcW w:w="1360" w:type="dxa"/>
            <w:vAlign w:val="bottom"/>
          </w:tcPr>
          <w:p>
            <w:pPr>
              <w:spacing w:after="0"/>
              <w:rPr>
                <w:sz w:val="17"/>
                <w:szCs w:val="17"/>
                <w:color w:val="auto"/>
              </w:rPr>
            </w:pPr>
          </w:p>
        </w:tc>
        <w:tc>
          <w:tcPr>
            <w:tcW w:w="4140" w:type="dxa"/>
            <w:vAlign w:val="bottom"/>
          </w:tcPr>
          <w:p>
            <w:pPr>
              <w:jc w:val="center"/>
              <w:ind w:right="693"/>
              <w:spacing w:after="0"/>
              <w:rPr>
                <w:sz w:val="20"/>
                <w:szCs w:val="20"/>
                <w:color w:val="auto"/>
              </w:rPr>
            </w:pPr>
            <w:r>
              <w:rPr>
                <w:rFonts w:ascii="Courier New" w:cs="Courier New" w:eastAsia="Courier New" w:hAnsi="Courier New"/>
                <w:sz w:val="17"/>
                <w:szCs w:val="17"/>
                <w:color w:val="auto"/>
              </w:rPr>
              <w:t>MediaOne Finance</w:t>
            </w:r>
          </w:p>
        </w:tc>
        <w:tc>
          <w:tcPr>
            <w:tcW w:w="520" w:type="dxa"/>
            <w:vAlign w:val="bottom"/>
          </w:tcPr>
          <w:p>
            <w:pPr>
              <w:spacing w:after="0"/>
              <w:rPr>
                <w:sz w:val="17"/>
                <w:szCs w:val="17"/>
                <w:color w:val="auto"/>
              </w:rPr>
            </w:pPr>
          </w:p>
        </w:tc>
      </w:tr>
      <w:tr>
        <w:trPr>
          <w:trHeight w:val="201"/>
        </w:trPr>
        <w:tc>
          <w:tcPr>
            <w:tcW w:w="1360" w:type="dxa"/>
            <w:vAlign w:val="bottom"/>
          </w:tcPr>
          <w:p>
            <w:pPr>
              <w:jc w:val="right"/>
              <w:spacing w:after="0"/>
              <w:rPr>
                <w:sz w:val="20"/>
                <w:szCs w:val="20"/>
                <w:color w:val="auto"/>
              </w:rPr>
            </w:pPr>
            <w:r>
              <w:rPr>
                <w:rFonts w:ascii="Courier New" w:cs="Courier New" w:eastAsia="Courier New" w:hAnsi="Courier New"/>
                <w:sz w:val="7"/>
                <w:szCs w:val="7"/>
                <w:color w:val="auto"/>
                <w:w w:val="77"/>
              </w:rPr>
              <w:t>III......................................</w:t>
            </w:r>
          </w:p>
        </w:tc>
        <w:tc>
          <w:tcPr>
            <w:tcW w:w="4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9.04% 2038 504</w:t>
            </w:r>
          </w:p>
        </w:tc>
      </w:tr>
      <w:tr>
        <w:trPr>
          <w:trHeight w:val="201"/>
        </w:trPr>
        <w:tc>
          <w:tcPr>
            <w:tcW w:w="5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2"/>
              </w:rPr>
              <w:t>Total.....................................................</w:t>
            </w:r>
          </w:p>
        </w:tc>
        <w:tc>
          <w:tcPr>
            <w:tcW w:w="520" w:type="dxa"/>
            <w:vAlign w:val="bottom"/>
          </w:tcPr>
          <w:p>
            <w:pPr>
              <w:spacing w:after="0"/>
              <w:rPr>
                <w:sz w:val="17"/>
                <w:szCs w:val="17"/>
                <w:color w:val="auto"/>
              </w:rPr>
            </w:pPr>
          </w:p>
        </w:tc>
      </w:tr>
      <w:tr>
        <w:trPr>
          <w:trHeight w:val="201"/>
        </w:trPr>
        <w:tc>
          <w:tcPr>
            <w:tcW w:w="1360" w:type="dxa"/>
            <w:vAlign w:val="bottom"/>
          </w:tcPr>
          <w:p>
            <w:pPr>
              <w:spacing w:after="0"/>
              <w:rPr>
                <w:sz w:val="17"/>
                <w:szCs w:val="17"/>
                <w:color w:val="auto"/>
              </w:rPr>
            </w:pPr>
          </w:p>
        </w:tc>
        <w:tc>
          <w:tcPr>
            <w:tcW w:w="4140" w:type="dxa"/>
            <w:vAlign w:val="bottom"/>
          </w:tcPr>
          <w:p>
            <w:pPr>
              <w:jc w:val="center"/>
              <w:ind w:right="673"/>
              <w:spacing w:after="0"/>
              <w:rPr>
                <w:sz w:val="20"/>
                <w:szCs w:val="20"/>
                <w:color w:val="auto"/>
              </w:rPr>
            </w:pPr>
            <w:r>
              <w:rPr>
                <w:rFonts w:ascii="Courier New" w:cs="Courier New" w:eastAsia="Courier New" w:hAnsi="Courier New"/>
                <w:sz w:val="17"/>
                <w:szCs w:val="17"/>
                <w:color w:val="auto"/>
              </w:rPr>
              <w:t>$776 ----</w:t>
            </w:r>
          </w:p>
        </w:tc>
        <w:tc>
          <w:tcPr>
            <w:tcW w:w="52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MediaOne Trusts exist for the purpose of issuing the trust preferred securities and investing the proceeds thereof into subordinated deferrable interest notes (subordinated deferrable notes) of MediaOne Group Funding, Inc., a wholly owned subsidiary of MediaOne. The subordinated deferrable notes have the same interest rate and maturity date as the trust preferred securities to which they relate. All of the subordinated deferrable notes are redeemable by MediaOne Group Funding, Inc. or MediaOne at a redemption price of $25.00 per security, plus accrued and unpaid interest. Upon redemption of the subordinated deferrable notes, the trust preferred securities will be mandatorily redeemable, at a price of $25.00 per share, plus accrued and unpaid distributions. The 7.96% subordinated deferrable notes became redeemable after September 11, 2000. The 9.50% and 8.25% subordinated deferrable notes are redeemable</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L-60</w:t>
      </w:r>
    </w:p>
    <w:p>
      <w:pPr>
        <w:sectPr>
          <w:pgSz w:w="11900" w:h="16838" w:orient="portrait"/>
          <w:cols w:equalWidth="0" w:num="1">
            <w:col w:w="10219"/>
          </w:cols>
          <w:pgMar w:left="240" w:top="517" w:right="1440" w:bottom="861" w:gutter="0" w:footer="0" w:header="0"/>
        </w:sectPr>
      </w:pPr>
    </w:p>
    <w:bookmarkStart w:id="658" w:name="page659"/>
    <w:bookmarkEnd w:id="658"/>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after October 29, 2001. The 9.04% subordinated deferrable notes are redeemable after October 28, 2003. MediaOne has effectively provided a full and unconditional guarantee of the MediaOne Trusts' obligations under the trust preferred securities. In 2000, AT&amp;T provided a full and unconditional guarantee of MediaOne's trust preferred securities (see Note 20).</w:t>
      </w:r>
    </w:p>
    <w:p>
      <w:pPr>
        <w:spacing w:after="0" w:line="197"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AT&amp;T has the right to defer interest payments up to 20 consecutive quarters; as a consequence, dividend payments on the trust preferred securities can be deferred by the trusts during any such interest-payment period.</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EXCHANGEABLE NOTES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2000, we issued debt (exchangeable notes) which is mandatorily redeemable at AT&amp;T's option into shares of Comcast and Microsoft Corporation (Microsoft) common stock, as applicable, or its cash equivalent. During 1999 and 1998, MediaOne issued exchangeable notes which are mandatorily redeemable at MediaOne's option into (i) Vodafone American Depository Receipts (ADRs) held by MediaOne, (ii) the cash equivalent, or (iii) a combination of cash and Vodafone ADRs. The maturity value of these exchangeable notes varies based upon the fair market value of the security it is indexed to.</w:t>
      </w:r>
    </w:p>
    <w:p>
      <w:pPr>
        <w:spacing w:after="0" w:line="201"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Following is a summary of the exchangeable notes outstanding at December 31, 2000, which are indexed to 25 million shares of Comcast common stock:</w:t>
      </w:r>
    </w:p>
    <w:p>
      <w:pPr>
        <w:spacing w:after="0" w:line="19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MATURITY DATE 2003 2004 2005 - ------------- ------ --</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 ------ Face</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value.................................................</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$ 371 $ 314 $ 329 Interest</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6.75% 5.50% 4.63% Put</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price..................................................</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41.50 41.06 39.13 Call</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price.................................................</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49.80 49.27 46.96 Carrying value at December 31,</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2000........................ $ 371 $ 314 $ 329</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At maturity, the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195" w:lineRule="exact"/>
        <w:rPr>
          <w:sz w:val="20"/>
          <w:szCs w:val="20"/>
          <w:color w:val="auto"/>
        </w:rPr>
      </w:pPr>
    </w:p>
    <w:p>
      <w:pPr>
        <w:ind w:left="540" w:right="2139" w:firstLine="515"/>
        <w:spacing w:after="0" w:line="257" w:lineRule="auto"/>
        <w:tabs>
          <w:tab w:leader="none" w:pos="1587" w:val="left"/>
        </w:tabs>
        <w:numPr>
          <w:ilvl w:val="0"/>
          <w:numId w:val="7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greater than the call price, the exchange ratio will be 0.8333;</w:t>
      </w:r>
    </w:p>
    <w:p>
      <w:pPr>
        <w:spacing w:after="0" w:line="191" w:lineRule="exact"/>
        <w:rPr>
          <w:rFonts w:ascii="Courier New" w:cs="Courier New" w:eastAsia="Courier New" w:hAnsi="Courier New"/>
          <w:sz w:val="17"/>
          <w:szCs w:val="17"/>
          <w:color w:val="auto"/>
        </w:rPr>
      </w:pPr>
    </w:p>
    <w:p>
      <w:pPr>
        <w:ind w:left="540" w:right="2139" w:firstLine="515"/>
        <w:spacing w:after="0" w:line="257" w:lineRule="auto"/>
        <w:tabs>
          <w:tab w:leader="none" w:pos="1587" w:val="left"/>
        </w:tabs>
        <w:numPr>
          <w:ilvl w:val="0"/>
          <w:numId w:val="7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or equal to the put price, the exchange ratio will be 1;</w:t>
      </w:r>
    </w:p>
    <w:p>
      <w:pPr>
        <w:spacing w:after="0" w:line="191" w:lineRule="exact"/>
        <w:rPr>
          <w:rFonts w:ascii="Courier New" w:cs="Courier New" w:eastAsia="Courier New" w:hAnsi="Courier New"/>
          <w:sz w:val="17"/>
          <w:szCs w:val="17"/>
          <w:color w:val="auto"/>
        </w:rPr>
      </w:pPr>
    </w:p>
    <w:p>
      <w:pPr>
        <w:ind w:left="540" w:right="2139" w:firstLine="515"/>
        <w:spacing w:after="0" w:line="252" w:lineRule="auto"/>
        <w:tabs>
          <w:tab w:leader="none" w:pos="1587" w:val="left"/>
        </w:tabs>
        <w:numPr>
          <w:ilvl w:val="0"/>
          <w:numId w:val="7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or equal to the call price but greater than the put price, the exchange ratio will be be a fraction, the numerator of which is equal to the put price, and the denominator of which is equal to the fair market value of a share of Comcast common stock.</w:t>
      </w:r>
    </w:p>
    <w:p>
      <w:pPr>
        <w:spacing w:after="0" w:line="197"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Following is a summary of the exchangeable notes outstanding at December 31, 2000, which are indexed to 10 million shares of Microsoft common stock:</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MATURITY DATE 2003 2004 2005 - ------------- ------</w:t>
      </w:r>
    </w:p>
    <w:p>
      <w:pPr>
        <w:spacing w:after="0" w:line="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 ------- Face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value...............................................</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$ 227 $ 226 $ 226 Interest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6.96% 7.00% 7.04% Put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67.87 67.87 67.87 Call</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40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5"/>
              </w:rPr>
              <w:t>price...............................................</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1"/>
        </w:trPr>
        <w:tc>
          <w:tcPr>
            <w:tcW w:w="4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97.39 111.64 128.60 Carrying value at</w:t>
            </w:r>
          </w:p>
        </w:tc>
        <w:tc>
          <w:tcPr>
            <w:tcW w:w="1340" w:type="dxa"/>
            <w:vAlign w:val="bottom"/>
            <w:gridSpan w:val="2"/>
          </w:tcPr>
          <w:p>
            <w:pPr>
              <w:ind w:left="80"/>
              <w:spacing w:after="0"/>
              <w:rPr>
                <w:sz w:val="20"/>
                <w:szCs w:val="20"/>
                <w:color w:val="auto"/>
              </w:rPr>
            </w:pPr>
            <w:r>
              <w:rPr>
                <w:rFonts w:ascii="Courier New" w:cs="Courier New" w:eastAsia="Courier New" w:hAnsi="Courier New"/>
                <w:sz w:val="17"/>
                <w:szCs w:val="17"/>
                <w:color w:val="auto"/>
              </w:rPr>
              <w:t>December 31,</w:t>
            </w:r>
          </w:p>
        </w:tc>
      </w:tr>
      <w:tr>
        <w:trPr>
          <w:trHeight w:val="201"/>
        </w:trPr>
        <w:tc>
          <w:tcPr>
            <w:tcW w:w="3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$ 145 $</w:t>
            </w:r>
          </w:p>
        </w:tc>
        <w:tc>
          <w:tcPr>
            <w:tcW w:w="480" w:type="dxa"/>
            <w:vAlign w:val="bottom"/>
          </w:tcPr>
          <w:p>
            <w:pPr>
              <w:ind w:left="80"/>
              <w:spacing w:after="0"/>
              <w:rPr>
                <w:sz w:val="20"/>
                <w:szCs w:val="20"/>
                <w:color w:val="auto"/>
              </w:rPr>
            </w:pPr>
            <w:r>
              <w:rPr>
                <w:rFonts w:ascii="Courier New" w:cs="Courier New" w:eastAsia="Courier New" w:hAnsi="Courier New"/>
                <w:sz w:val="17"/>
                <w:szCs w:val="17"/>
                <w:color w:val="auto"/>
              </w:rPr>
              <w:t>144</w:t>
            </w:r>
          </w:p>
        </w:tc>
        <w:tc>
          <w:tcPr>
            <w:tcW w:w="8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$ 144</w:t>
            </w:r>
          </w:p>
        </w:tc>
      </w:tr>
      <w:tr>
        <w:trPr>
          <w:trHeight w:val="604"/>
        </w:trPr>
        <w:tc>
          <w:tcPr>
            <w:tcW w:w="3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7"/>
                <w:szCs w:val="17"/>
                <w:color w:val="auto"/>
              </w:rPr>
              <w:t>L-61</w:t>
            </w:r>
          </w:p>
        </w:tc>
        <w:tc>
          <w:tcPr>
            <w:tcW w:w="860" w:type="dxa"/>
            <w:vAlign w:val="bottom"/>
          </w:tcPr>
          <w:p>
            <w:pPr>
              <w:spacing w:after="0"/>
              <w:rPr>
                <w:sz w:val="24"/>
                <w:szCs w:val="24"/>
                <w:color w:val="auto"/>
              </w:rPr>
            </w:pPr>
          </w:p>
        </w:tc>
      </w:tr>
    </w:tbl>
    <w:p>
      <w:pPr>
        <w:sectPr>
          <w:pgSz w:w="11900" w:h="16838" w:orient="portrait"/>
          <w:cols w:equalWidth="0" w:num="1">
            <w:col w:w="10219"/>
          </w:cols>
          <w:pgMar w:left="240" w:top="518" w:right="1440" w:bottom="654" w:gutter="0" w:footer="0" w:header="0"/>
        </w:sectPr>
      </w:pPr>
    </w:p>
    <w:bookmarkStart w:id="659" w:name="page660"/>
    <w:bookmarkEnd w:id="659"/>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At maturity, the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195" w:lineRule="exact"/>
        <w:rPr>
          <w:sz w:val="20"/>
          <w:szCs w:val="20"/>
          <w:color w:val="auto"/>
        </w:rPr>
      </w:pPr>
    </w:p>
    <w:p>
      <w:pPr>
        <w:ind w:left="540" w:right="1939" w:firstLine="515"/>
        <w:spacing w:after="0" w:line="252" w:lineRule="auto"/>
        <w:tabs>
          <w:tab w:leader="none" w:pos="1587" w:val="left"/>
        </w:tabs>
        <w:numPr>
          <w:ilvl w:val="0"/>
          <w:numId w:val="7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196" w:lineRule="exact"/>
        <w:rPr>
          <w:rFonts w:ascii="Courier New" w:cs="Courier New" w:eastAsia="Courier New" w:hAnsi="Courier New"/>
          <w:sz w:val="17"/>
          <w:szCs w:val="17"/>
          <w:color w:val="auto"/>
        </w:rPr>
      </w:pPr>
    </w:p>
    <w:p>
      <w:pPr>
        <w:ind w:left="540" w:right="1939" w:firstLine="515"/>
        <w:spacing w:after="0" w:line="257" w:lineRule="auto"/>
        <w:tabs>
          <w:tab w:leader="none" w:pos="1587" w:val="left"/>
        </w:tabs>
        <w:numPr>
          <w:ilvl w:val="0"/>
          <w:numId w:val="7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less than or equal to the put price, the exchange ratio will be 1;</w:t>
      </w:r>
    </w:p>
    <w:p>
      <w:pPr>
        <w:spacing w:after="0" w:line="191" w:lineRule="exact"/>
        <w:rPr>
          <w:rFonts w:ascii="Courier New" w:cs="Courier New" w:eastAsia="Courier New" w:hAnsi="Courier New"/>
          <w:sz w:val="17"/>
          <w:szCs w:val="17"/>
          <w:color w:val="auto"/>
        </w:rPr>
      </w:pPr>
    </w:p>
    <w:p>
      <w:pPr>
        <w:ind w:left="540" w:right="1939" w:firstLine="515"/>
        <w:spacing w:after="0" w:line="252" w:lineRule="auto"/>
        <w:tabs>
          <w:tab w:leader="none" w:pos="1587" w:val="left"/>
        </w:tabs>
        <w:numPr>
          <w:ilvl w:val="0"/>
          <w:numId w:val="7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197"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Following is a summary of the exchangeable notes outstanding at December 31, 2000, which are indexed to 22.3 million shares of Comcast common stock:</w:t>
      </w:r>
    </w:p>
    <w:p>
      <w:pPr>
        <w:spacing w:after="0" w:line="19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MATURITY DATE 2003 2004 2005 - ------------- ------ --</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 ------ Face</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value.................................................</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$ 267 $ 267 $ 267 Interest</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6.76% 6.80% 6.84% Put</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price..................................................</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35.89 35.89 35.89 Call</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price.................................................</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50.64 58.39 67.97 Carrying value at December 31,</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2000........................ $ 267 $ 267 $ 267</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At maturity, the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195" w:lineRule="exact"/>
        <w:rPr>
          <w:sz w:val="20"/>
          <w:szCs w:val="20"/>
          <w:color w:val="auto"/>
        </w:rPr>
      </w:pPr>
    </w:p>
    <w:p>
      <w:pPr>
        <w:ind w:left="540" w:right="1939" w:firstLine="515"/>
        <w:spacing w:after="0" w:line="252" w:lineRule="auto"/>
        <w:tabs>
          <w:tab w:leader="none" w:pos="1587" w:val="left"/>
        </w:tabs>
        <w:numPr>
          <w:ilvl w:val="0"/>
          <w:numId w:val="7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greater than or equal to the call price, the exchange ratio will be a fraction, the numerator of which is equal to the sum of (i) the put price, plus (ii) the excess of the fair market value of a share of Comcast common stock over the call price, and the denominator of which is equal to the fair market value of a share of Comcast common stock;</w:t>
      </w:r>
    </w:p>
    <w:p>
      <w:pPr>
        <w:spacing w:after="0" w:line="196" w:lineRule="exact"/>
        <w:rPr>
          <w:rFonts w:ascii="Courier New" w:cs="Courier New" w:eastAsia="Courier New" w:hAnsi="Courier New"/>
          <w:sz w:val="17"/>
          <w:szCs w:val="17"/>
          <w:color w:val="auto"/>
        </w:rPr>
      </w:pPr>
    </w:p>
    <w:p>
      <w:pPr>
        <w:ind w:left="540" w:right="2139" w:firstLine="515"/>
        <w:spacing w:after="0" w:line="257" w:lineRule="auto"/>
        <w:tabs>
          <w:tab w:leader="none" w:pos="1587" w:val="left"/>
        </w:tabs>
        <w:numPr>
          <w:ilvl w:val="0"/>
          <w:numId w:val="7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or equal to the put price, the exchange ratio will be 1;</w:t>
      </w:r>
    </w:p>
    <w:p>
      <w:pPr>
        <w:spacing w:after="0" w:line="191" w:lineRule="exact"/>
        <w:rPr>
          <w:rFonts w:ascii="Courier New" w:cs="Courier New" w:eastAsia="Courier New" w:hAnsi="Courier New"/>
          <w:sz w:val="17"/>
          <w:szCs w:val="17"/>
          <w:color w:val="auto"/>
        </w:rPr>
      </w:pPr>
    </w:p>
    <w:p>
      <w:pPr>
        <w:ind w:left="540" w:right="1839" w:firstLine="515"/>
        <w:spacing w:after="0" w:line="252" w:lineRule="auto"/>
        <w:tabs>
          <w:tab w:leader="none" w:pos="1587" w:val="left"/>
        </w:tabs>
        <w:numPr>
          <w:ilvl w:val="0"/>
          <w:numId w:val="7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the call price but greater than the put price, the exchange ratio will be a fraction, the numerator of which is equal to the put price, and the denominator of which is equal to the fair market value of a share of Comcast common stock.</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L-62</w:t>
      </w:r>
    </w:p>
    <w:p>
      <w:pPr>
        <w:sectPr>
          <w:pgSz w:w="11900" w:h="16838" w:orient="portrait"/>
          <w:cols w:equalWidth="0" w:num="1">
            <w:col w:w="10219"/>
          </w:cols>
          <w:pgMar w:left="240" w:top="518" w:right="1440" w:bottom="1440" w:gutter="0" w:footer="0" w:header="0"/>
        </w:sectPr>
      </w:pPr>
    </w:p>
    <w:bookmarkStart w:id="660" w:name="page661"/>
    <w:bookmarkEnd w:id="660"/>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Following is a summary of the exchangeable notes outstanding at December 31, 2000, which are indexed to Vodafone ADRs:</w:t>
      </w:r>
    </w:p>
    <w:p>
      <w:pPr>
        <w:spacing w:after="0" w:line="192"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MATURITY DATE 2001 2002 - ------------- ------ ------</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Face</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value..................................................</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$1,686 $1,129 Interest</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6.25% 7.00% Put</w:t>
      </w:r>
    </w:p>
    <w:p>
      <w:pPr>
        <w:spacing w:after="0" w:line="9"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7"/>
          <w:szCs w:val="17"/>
          <w:color w:val="auto"/>
        </w:rPr>
        <w:t>price...................................................</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19.65 43.44 Call</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price..................................................</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25.10 51.26 Carrying value at December 31,</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2000......................... $2,337 $1,012</w:t>
      </w:r>
    </w:p>
    <w:p>
      <w:pPr>
        <w:spacing w:after="0" w:line="200" w:lineRule="exact"/>
        <w:rPr>
          <w:sz w:val="20"/>
          <w:szCs w:val="20"/>
          <w:color w:val="auto"/>
        </w:rPr>
      </w:pPr>
    </w:p>
    <w:p>
      <w:pPr>
        <w:spacing w:after="0" w:line="212"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The exchangeable notes that mature in 2001 are indexed to 29 million Vodafone ADRs, and will be exchanged at maturity based upon a redemption value of $9.00 in cash plus 2 1/2 times the fair market value of a Vodafone ADR (maturity price), as follows:</w:t>
      </w:r>
    </w:p>
    <w:p>
      <w:pPr>
        <w:spacing w:after="0" w:line="195" w:lineRule="exact"/>
        <w:rPr>
          <w:sz w:val="20"/>
          <w:szCs w:val="20"/>
          <w:color w:val="auto"/>
        </w:rPr>
      </w:pPr>
    </w:p>
    <w:p>
      <w:pPr>
        <w:ind w:left="1580" w:hanging="525"/>
        <w:spacing w:after="0"/>
        <w:tabs>
          <w:tab w:leader="none" w:pos="1580" w:val="left"/>
        </w:tabs>
        <w:numPr>
          <w:ilvl w:val="0"/>
          <w:numId w:val="7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maturity price is greater than or equal to $9.00 plus</w:t>
      </w:r>
    </w:p>
    <w:p>
      <w:pPr>
        <w:spacing w:after="0" w:line="9" w:lineRule="exact"/>
        <w:rPr>
          <w:sz w:val="20"/>
          <w:szCs w:val="20"/>
          <w:color w:val="auto"/>
        </w:rPr>
      </w:pPr>
    </w:p>
    <w:p>
      <w:pPr>
        <w:ind w:left="540" w:right="1939"/>
        <w:spacing w:after="0" w:line="257" w:lineRule="auto"/>
        <w:rPr>
          <w:sz w:val="20"/>
          <w:szCs w:val="20"/>
          <w:color w:val="auto"/>
        </w:rPr>
      </w:pPr>
      <w:r>
        <w:rPr>
          <w:rFonts w:ascii="Courier New" w:cs="Courier New" w:eastAsia="Courier New" w:hAnsi="Courier New"/>
          <w:sz w:val="17"/>
          <w:szCs w:val="17"/>
          <w:color w:val="auto"/>
        </w:rPr>
        <w:t>2 1/2 times the call price per share, each exchangeable note is equivalent to 0.8101 of the maturity price;</w:t>
      </w:r>
    </w:p>
    <w:p>
      <w:pPr>
        <w:spacing w:after="0" w:line="192" w:lineRule="exact"/>
        <w:rPr>
          <w:sz w:val="20"/>
          <w:szCs w:val="20"/>
          <w:color w:val="auto"/>
        </w:rPr>
      </w:pPr>
    </w:p>
    <w:p>
      <w:pPr>
        <w:ind w:left="540" w:right="1939" w:firstLine="515"/>
        <w:spacing w:after="0" w:line="254" w:lineRule="auto"/>
        <w:tabs>
          <w:tab w:leader="none" w:pos="1587" w:val="left"/>
        </w:tabs>
        <w:numPr>
          <w:ilvl w:val="0"/>
          <w:numId w:val="7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maturity price is less than or equal to $9.00 plus 2 1/2 times the put price per share, each exchangeable note is equivalent to the maturity price; or</w:t>
      </w:r>
    </w:p>
    <w:p>
      <w:pPr>
        <w:spacing w:after="0" w:line="194" w:lineRule="exact"/>
        <w:rPr>
          <w:rFonts w:ascii="Courier New" w:cs="Courier New" w:eastAsia="Courier New" w:hAnsi="Courier New"/>
          <w:sz w:val="17"/>
          <w:szCs w:val="17"/>
          <w:color w:val="auto"/>
        </w:rPr>
      </w:pPr>
    </w:p>
    <w:p>
      <w:pPr>
        <w:ind w:left="540" w:right="2039" w:firstLine="515"/>
        <w:spacing w:after="0" w:line="257" w:lineRule="auto"/>
        <w:tabs>
          <w:tab w:leader="none" w:pos="1587" w:val="left"/>
        </w:tabs>
        <w:numPr>
          <w:ilvl w:val="0"/>
          <w:numId w:val="7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maturity price is less than $71.75 per share but greater than $58.125 per share, each exchangeable note is equivalent to $58.125.</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exchangeable notes that mature in 2002 are indexed to 26 million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Vodafone ADRs, and will be exchanged at maturity as follows:</w:t>
      </w:r>
    </w:p>
    <w:p>
      <w:pPr>
        <w:spacing w:after="0" w:line="210" w:lineRule="exact"/>
        <w:rPr>
          <w:sz w:val="20"/>
          <w:szCs w:val="20"/>
          <w:color w:val="auto"/>
        </w:rPr>
      </w:pPr>
    </w:p>
    <w:p>
      <w:pPr>
        <w:ind w:left="540" w:right="1939" w:firstLine="515"/>
        <w:spacing w:after="0" w:line="254" w:lineRule="auto"/>
        <w:tabs>
          <w:tab w:leader="none" w:pos="1587" w:val="left"/>
        </w:tabs>
        <w:numPr>
          <w:ilvl w:val="0"/>
          <w:numId w:val="7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greater than or equal to the call price, each exchangeable note is equivalent to 0.8475 of a Vodafone ADR;</w:t>
      </w:r>
    </w:p>
    <w:p>
      <w:pPr>
        <w:spacing w:after="0" w:line="194" w:lineRule="exact"/>
        <w:rPr>
          <w:rFonts w:ascii="Courier New" w:cs="Courier New" w:eastAsia="Courier New" w:hAnsi="Courier New"/>
          <w:sz w:val="17"/>
          <w:szCs w:val="17"/>
          <w:color w:val="auto"/>
        </w:rPr>
      </w:pPr>
    </w:p>
    <w:p>
      <w:pPr>
        <w:ind w:left="540" w:right="1839" w:firstLine="515"/>
        <w:spacing w:after="0" w:line="254" w:lineRule="auto"/>
        <w:tabs>
          <w:tab w:leader="none" w:pos="1587" w:val="left"/>
        </w:tabs>
        <w:numPr>
          <w:ilvl w:val="0"/>
          <w:numId w:val="7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less than or equal to the put price, each exchangeable note is equivalent to one Vodafone ADR; or</w:t>
      </w:r>
    </w:p>
    <w:p>
      <w:pPr>
        <w:spacing w:after="0" w:line="194" w:lineRule="exact"/>
        <w:rPr>
          <w:rFonts w:ascii="Courier New" w:cs="Courier New" w:eastAsia="Courier New" w:hAnsi="Courier New"/>
          <w:sz w:val="17"/>
          <w:szCs w:val="17"/>
          <w:color w:val="auto"/>
        </w:rPr>
      </w:pPr>
    </w:p>
    <w:p>
      <w:pPr>
        <w:jc w:val="both"/>
        <w:ind w:left="540" w:right="1939" w:firstLine="515"/>
        <w:spacing w:after="0" w:line="253" w:lineRule="auto"/>
        <w:tabs>
          <w:tab w:leader="none" w:pos="1587" w:val="left"/>
        </w:tabs>
        <w:numPr>
          <w:ilvl w:val="0"/>
          <w:numId w:val="7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less than the call price but greater than the put price, each exchangeable note is equivalent to a fraction of a Vodafone ADR equal to (i) the put price divided by (ii) the fair market value of a Vodafone ADR.</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exchangeable notes are being accounted for as indexed debt instruments since the maturity value of the debt is dependent upon the fair market value of the underlying Comcast, Microsoft and Vodafone securities. The exchangeable notes contain embedded options that hedge the market risk of a decline in value of Comcast, Microsoft and Vodafone securities. The market risk of a decline in Comcast and Microsoft stock, and Vodafone ADRs, below the respective put prices has been eliminated. In addition, any market gains we may earn have been limited to the call prices, with the exception of certain debt indexed to Comcast stock and the debt indexed to the Vodafone ADRs, which provides for our participation in a portion of the market gains above the call price.</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Since the Comcast, Microsoft, and Vodafone securities are cost method investments being accounted for as "available-for-sale" securities under SFAS No. 115, "Accounting for Certain Investments in Debt and Equity Securities," changes in the maturity value of the exchangeable notes and the underlying securities are being recorded as unrealized gains or losses, net of income taxes, within other comprehensive income as a component of shareowners' equity.</w:t>
      </w:r>
    </w:p>
    <w:p>
      <w:pPr>
        <w:spacing w:after="0" w:line="19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exchangeable notes indexed to Comcast common stock and Microsoft common stock are secured by the Comcast and Microsoft investments AT&amp;T owns. The exchangeable notes indexed to Vodafone</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L-63</w:t>
      </w:r>
    </w:p>
    <w:p>
      <w:pPr>
        <w:sectPr>
          <w:pgSz w:w="11900" w:h="16838" w:orient="portrait"/>
          <w:cols w:equalWidth="0" w:num="1">
            <w:col w:w="10219"/>
          </w:cols>
          <w:pgMar w:left="240" w:top="519" w:right="1440" w:bottom="658" w:gutter="0" w:footer="0" w:header="0"/>
        </w:sectPr>
      </w:pPr>
    </w:p>
    <w:bookmarkStart w:id="661" w:name="page662"/>
    <w:bookmarkEnd w:id="661"/>
    <w:p>
      <w:pPr>
        <w:spacing w:after="0" w:line="3"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259"/>
        <w:spacing w:after="0" w:line="257" w:lineRule="auto"/>
        <w:rPr>
          <w:sz w:val="20"/>
          <w:szCs w:val="20"/>
          <w:color w:val="auto"/>
        </w:rPr>
      </w:pPr>
      <w:r>
        <w:rPr>
          <w:rFonts w:ascii="Courier New" w:cs="Courier New" w:eastAsia="Courier New" w:hAnsi="Courier New"/>
          <w:sz w:val="17"/>
          <w:szCs w:val="17"/>
          <w:color w:val="auto"/>
        </w:rPr>
        <w:t>ADRs are unsecured obligations, ranking equally in right of payment with all other unsecured and unsubordinated obligations of AT&amp;T.</w:t>
      </w:r>
    </w:p>
    <w:p>
      <w:pPr>
        <w:spacing w:after="0" w:line="19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OTHER EXCHANGEABLE DEBT</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During 2000, we entered into a series of purchased and written options on 21.9 million shares of Microsoft common stock, and issued floating rate debt. The carrying value of the debt at December 31, 2000, was $1,369, which pays interest at the three-month London Inter-Bank Offered Rate (LIBOR) plus 0.4%. The debt matures annually with $458 maturing in 2003 and 2004, and $453 maturing in 2005, and is repayable at AT&amp;T's option in either Microsoft stock or cash.</w:t>
      </w:r>
    </w:p>
    <w:p>
      <w:pPr>
        <w:spacing w:after="0" w:line="197"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In addition, during 1999 two subsidiaries of MediaOne, MediaOne SPC IV and MediaOne SPC VI, entered into a series of purchased and written options on Vodafone ADRs contributed to them by MediaOne, and issued floating rate debt.</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carrying value of the debt at December 31, 2000, was $1,739, which pays interest at the three-month LIBOR plus 0.5%. This debt matures in equal quarterly installments beginning in 2003 and ending in 2005. The assets of MediaOne SPC IV, which are primarily 29.1 million Vodafone ADRs, are available only to pay the creditors of MediaOne SPC IV. Likewise, the assets of MediaOne SPC VI, which are primarily 18.0 million Vodafone ADRs, are available only to pay the creditors of MediaOne SPC VI.</w:t>
      </w:r>
    </w:p>
    <w:p>
      <w:pPr>
        <w:spacing w:after="0" w:line="196"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This table shows the maturities at December 31, 2000, of the $36,813 in total long-term obligations:</w:t>
      </w:r>
    </w:p>
    <w:p>
      <w:pPr>
        <w:spacing w:after="0" w:line="192"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2002</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2003</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2004</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2005</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LATER</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YEARS</w:t>
      </w:r>
    </w:p>
    <w:p>
      <w:pPr>
        <w:spacing w:after="0" w:line="9" w:lineRule="exact"/>
        <w:rPr>
          <w:sz w:val="20"/>
          <w:szCs w:val="20"/>
          <w:color w:val="auto"/>
        </w:rPr>
      </w:pPr>
    </w:p>
    <w:p>
      <w:pPr>
        <w:ind w:left="260" w:hanging="204"/>
        <w:spacing w:after="0"/>
        <w:tabs>
          <w:tab w:leader="none" w:pos="260" w:val="left"/>
        </w:tabs>
        <w:numPr>
          <w:ilvl w:val="0"/>
          <w:numId w:val="7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380" w:hanging="324"/>
        <w:spacing w:after="0"/>
        <w:tabs>
          <w:tab w:leader="none" w:pos="380" w:val="left"/>
        </w:tabs>
        <w:numPr>
          <w:ilvl w:val="1"/>
          <w:numId w:val="7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jc w:val="both"/>
        <w:ind w:right="9479" w:firstLine="48"/>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$3,724 $2,661 $3,673 $4,692 $4,050 $18,013</w:t>
      </w:r>
    </w:p>
    <w:p>
      <w:pPr>
        <w:spacing w:after="0" w:line="398" w:lineRule="exact"/>
        <w:rPr>
          <w:sz w:val="20"/>
          <w:szCs w:val="20"/>
          <w:color w:val="auto"/>
        </w:rPr>
      </w:pPr>
    </w:p>
    <w:p>
      <w:pPr>
        <w:ind w:left="540" w:hanging="533"/>
        <w:spacing w:after="0"/>
        <w:tabs>
          <w:tab w:leader="none" w:pos="540" w:val="left"/>
        </w:tabs>
        <w:numPr>
          <w:ilvl w:val="0"/>
          <w:numId w:val="7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SECURITIES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PREFERRED STOCK OF SUBSIDIARIES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Prior to the TCI merger, TCI Pacific Communications Inc. (Pacific) issued 5% Class A Senior Cumulative Exchangeable preferred stock, which remains outstanding. There were 6.3 million shares authorized and outstanding at December 31, 2000 and 1999. Each share is exchangeable, from and after August 1, 2001, for approximately 6.3 shares of AT&amp;T common stock, subject to certain antidilution adjustments. Additionally, Pacific may elect to make any dividend, redemption or liquidation payment in cash, shares of AT&amp;T common stock or a combination of the foregoing. The Pacific preferred stock is reflected within "Minority Interest" in the accompanying Consolidated Balance Sheets, and aggregated $2.1 billion at December 31, 2000 and 1999.</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Prior to the TCI merger, TCI issued Class B 6% Cumulative Redeemable Exchangeable Junior preferred stock (Class B preferred stock). There were 1.6 million shares outstanding as of December 31, 1999, net of shares held by a subsidiary, out of an authorized 1.7 million shares. Class B preferred stock and accumulated dividends aggregated $152 at December 31, 1999, and were reflected within "Minority Interest" in the accompanying 1999 Consolidated Balance Sheet. On February 22, 2000, all outstanding shares of Class B preferred stock were redeemed at $105.88 per share.</w:t>
      </w:r>
    </w:p>
    <w:p>
      <w:pPr>
        <w:spacing w:after="0" w:line="201" w:lineRule="exact"/>
        <w:rPr>
          <w:sz w:val="20"/>
          <w:szCs w:val="20"/>
          <w:color w:val="auto"/>
        </w:rPr>
      </w:pPr>
    </w:p>
    <w:p>
      <w:pPr>
        <w:ind w:left="220" w:right="2459"/>
        <w:spacing w:after="0" w:line="257" w:lineRule="auto"/>
        <w:rPr>
          <w:sz w:val="20"/>
          <w:szCs w:val="20"/>
          <w:color w:val="auto"/>
        </w:rPr>
      </w:pPr>
      <w:r>
        <w:rPr>
          <w:rFonts w:ascii="Courier New" w:cs="Courier New" w:eastAsia="Courier New" w:hAnsi="Courier New"/>
          <w:sz w:val="17"/>
          <w:szCs w:val="17"/>
          <w:color w:val="auto"/>
        </w:rPr>
        <w:t>COMPANY-OBLIGATED CONVERTIBLE QUARTERLY INCOME PREFERRED SECURITIES OF SUBSIDIARY TRUST HOLDING SOLELY SUBORDINATED DEBT SECURITIES OF AT&amp;T AND</w:t>
      </w:r>
    </w:p>
    <w:p>
      <w:pPr>
        <w:sectPr>
          <w:pgSz w:w="11900" w:h="16841" w:orient="portrait"/>
          <w:cols w:equalWidth="0" w:num="1">
            <w:col w:w="10219"/>
          </w:cols>
          <w:pgMar w:left="240" w:top="518" w:right="1440" w:bottom="0" w:gutter="0" w:footer="0" w:header="0"/>
        </w:sectPr>
      </w:pPr>
    </w:p>
    <w:bookmarkStart w:id="662" w:name="page663"/>
    <w:bookmarkEnd w:id="662"/>
    <w:p>
      <w:pPr>
        <w:ind w:left="220"/>
        <w:spacing w:after="0"/>
        <w:rPr>
          <w:sz w:val="20"/>
          <w:szCs w:val="20"/>
          <w:color w:val="auto"/>
        </w:rPr>
      </w:pPr>
      <w:r>
        <w:rPr>
          <w:rFonts w:ascii="Courier New" w:cs="Courier New" w:eastAsia="Courier New" w:hAnsi="Courier New"/>
          <w:sz w:val="17"/>
          <w:szCs w:val="17"/>
          <w:color w:val="auto"/>
        </w:rPr>
        <w:t>RELATED WARRANTS</w:t>
      </w:r>
    </w:p>
    <w:p>
      <w:pPr>
        <w:spacing w:after="0" w:line="210" w:lineRule="exact"/>
        <w:rPr>
          <w:sz w:val="20"/>
          <w:szCs w:val="20"/>
          <w:color w:val="auto"/>
        </w:rPr>
      </w:pPr>
    </w:p>
    <w:p>
      <w:pPr>
        <w:ind w:right="2259" w:firstLine="524"/>
        <w:spacing w:after="0" w:line="252" w:lineRule="auto"/>
        <w:rPr>
          <w:sz w:val="20"/>
          <w:szCs w:val="20"/>
          <w:color w:val="auto"/>
        </w:rPr>
      </w:pPr>
      <w:r>
        <w:rPr>
          <w:rFonts w:ascii="Courier New" w:cs="Courier New" w:eastAsia="Courier New" w:hAnsi="Courier New"/>
          <w:sz w:val="17"/>
          <w:szCs w:val="17"/>
          <w:color w:val="auto"/>
        </w:rPr>
        <w:t>On June 16, 1999, AT&amp;T Finance Trust I (AT&amp;T Trust), a wholly owned subsidiary of AT&amp;T, completed the private sale of 100 million shares of 5.0% cumulative quarterly income preferred securities (quarterly preferred securities) to Microsoft. Proceeds of the issuance were invested by the AT&amp;T Trust in</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L-64</w:t>
      </w:r>
    </w:p>
    <w:p>
      <w:pPr>
        <w:sectPr>
          <w:pgSz w:w="11900" w:h="16838" w:orient="portrait"/>
          <w:cols w:equalWidth="0" w:num="1">
            <w:col w:w="10219"/>
          </w:cols>
          <w:pgMar w:left="240" w:top="142" w:right="1440" w:bottom="1440" w:gutter="0" w:footer="0" w:header="0"/>
        </w:sectPr>
      </w:pPr>
    </w:p>
    <w:bookmarkStart w:id="663" w:name="page664"/>
    <w:bookmarkEnd w:id="663"/>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459"/>
        <w:spacing w:after="0" w:line="257" w:lineRule="auto"/>
        <w:rPr>
          <w:sz w:val="20"/>
          <w:szCs w:val="20"/>
          <w:color w:val="auto"/>
        </w:rPr>
      </w:pPr>
      <w:r>
        <w:rPr>
          <w:rFonts w:ascii="Courier New" w:cs="Courier New" w:eastAsia="Courier New" w:hAnsi="Courier New"/>
          <w:sz w:val="17"/>
          <w:szCs w:val="17"/>
          <w:color w:val="auto"/>
        </w:rPr>
        <w:t>junior subordinated debentures (debentures) issued by AT&amp;T due 2029, which represent the sole asset of the AT&amp;T Trust.</w:t>
      </w:r>
    </w:p>
    <w:p>
      <w:pPr>
        <w:spacing w:after="0" w:line="19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quarterly preferred securities pay dividends at an annual rate of 5.0% of the liquidation preference of $50 per security, and are convertible at any time prior to maturity into 66.667 million shares of AT&amp;T common stock. The quarterly preferred securities are subject to mandatory redemption upon repayment of the debentures at maturity or their earlier redemption. The conversion feature can be terminated, under certain conditions, after three years.</w:t>
      </w:r>
    </w:p>
    <w:p>
      <w:pPr>
        <w:spacing w:after="0" w:line="398"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debentures will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we may not, among other things, pay any dividends on our common stock until all interest in arrears is paid to the AT&amp;T Trust.</w:t>
      </w:r>
    </w:p>
    <w:p>
      <w:pPr>
        <w:spacing w:after="0" w:line="3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Dividends on the quarterly preferred securities were $250 and $135 for the years ended December 31, 2000 and 1999, respectively, and are reported within "Minority interest income (expense)" in the accompanying Consolidated Statements of Income.</w:t>
      </w:r>
    </w:p>
    <w:p>
      <w:pPr>
        <w:spacing w:after="0" w:line="195"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On June 16, 1999, AT&amp;T also issued to Microsoft 40 million warrants, each to purchase one share of AT&amp;T common stock at a price of $75 per share at the end of three years. Alternatively, the warrants are exercisable on a cashless basis. If the warrants are not exercised on the three-year anniversary of the closing date, the warrants expire.</w:t>
      </w:r>
    </w:p>
    <w:p>
      <w:pPr>
        <w:spacing w:after="0" w:line="197" w:lineRule="exact"/>
        <w:rPr>
          <w:sz w:val="20"/>
          <w:szCs w:val="20"/>
          <w:color w:val="auto"/>
        </w:rPr>
      </w:pPr>
    </w:p>
    <w:p>
      <w:pPr>
        <w:jc w:val="both"/>
        <w:ind w:right="1939" w:firstLine="524"/>
        <w:spacing w:after="0" w:line="253" w:lineRule="auto"/>
        <w:rPr>
          <w:sz w:val="20"/>
          <w:szCs w:val="20"/>
          <w:color w:val="auto"/>
        </w:rPr>
      </w:pPr>
      <w:r>
        <w:rPr>
          <w:rFonts w:ascii="Courier New" w:cs="Courier New" w:eastAsia="Courier New" w:hAnsi="Courier New"/>
          <w:sz w:val="17"/>
          <w:szCs w:val="17"/>
          <w:color w:val="auto"/>
        </w:rPr>
        <w:t>A discount on the quarterly preferred securities equal to the value of the warrants of $306 was recognized and is being amortized over the 30-year life of the quarterly preferred securities as a component of "Minority interest income (expense)" in the accompanying Consolidated Statements of Income.</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CENTAUR FUNDING CORPORATION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Centaur Funding Corporation (Centaur), a subsidiary of MediaOne, issued three series of preferred shares prior to AT&amp;T's acquisition of MediaOne. Centaur was created for the principal purpose of raising capital through the issuance of preferred shares and investing those proceeds into notes issued by MediaOne SPC II, a subsidiary of MediaOne. Principal and interest payments from the notes are expected to be Centaur's primary source of funds to make dividend and redemption payments on the preferred shares. In addition, the dividend and certain redemption payments on the preferred shares will be determined by reference to the dividend and redemption activity of the preferred stock of AirTouch Communications, Inc. (ATI Shares) held by MediaOne SPC II. Payments on the preferred shares are neither guaranteed nor secured by MediaOne or AT&amp;T. The assets of MediaOne SPC II, which include the ATI shares, are available only to pay the creditors of MediaOne SPC II. These securities remained outstanding at December 31, 2000 as follows:</w:t>
      </w:r>
    </w:p>
    <w:p>
      <w:pPr>
        <w:spacing w:after="0" w:line="200" w:lineRule="exact"/>
        <w:rPr>
          <w:sz w:val="20"/>
          <w:szCs w:val="20"/>
          <w:color w:val="auto"/>
        </w:rPr>
      </w:pPr>
    </w:p>
    <w:p>
      <w:pPr>
        <w:spacing w:after="0" w:line="203"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DIVIDEND RATE MATURITY DATE CARRYING</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AMOUNT ------------- -------------- -----</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 Series</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A..................................</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Variable None $ 100 Series</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B.................................. 9.08%</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April 21, 2020 927 Series</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C.................................. None</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April 21, 2020 118</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Total.....................................</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$1,145 ------</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Auction Market Preference Shares, Series A, have a liquidation value of $250 thousand per share and dividends are payable quarterly when declared by Centaur's board of directors out of funds legally available. The 9.08% Cumulative Preference Shares, Series B, have a liquidation value of $1 thousand per</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L-65</w:t>
      </w:r>
    </w:p>
    <w:p>
      <w:pPr>
        <w:sectPr>
          <w:pgSz w:w="11900" w:h="16838" w:orient="portrait"/>
          <w:cols w:equalWidth="0" w:num="1">
            <w:col w:w="10219"/>
          </w:cols>
          <w:pgMar w:left="240" w:top="518" w:right="1440" w:bottom="255" w:gutter="0" w:footer="0" w:header="0"/>
        </w:sectPr>
      </w:pPr>
    </w:p>
    <w:bookmarkStart w:id="664" w:name="page665"/>
    <w:bookmarkEnd w:id="664"/>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share and dividends are payable quarterly in arrears when declared by Centaur's board of directors out of funds legally available. In addition, dividends may be declared and paid only to the extent that dividends have been declared and paid on the ATI shares. The preference shares, Series C, have a liquidation value of $1 thousand per share at maturity. The value of the Series C will be accreted to reach its liquidation value upon maturity. The Series B shares rank equally with the Series C shares as to redemption payments and upon liquidation, and the Series B and Series C shares rank senior to the Series A shares as to redemption payments and upon liquidation. The preference shares issued by Centaur are reflected within "Minority interest" in the accompanying 2000 Consolidated Balance Sheet.</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Dividends on the preferred shares were $55 for the period ended December 31, 2000, and were included within "Minority interest income (expense)" in the Consolidated Statement of Income.</w:t>
      </w:r>
    </w:p>
    <w:p>
      <w:pPr>
        <w:spacing w:after="0" w:line="194" w:lineRule="exact"/>
        <w:rPr>
          <w:sz w:val="20"/>
          <w:szCs w:val="20"/>
          <w:color w:val="auto"/>
        </w:rPr>
      </w:pPr>
    </w:p>
    <w:p>
      <w:pPr>
        <w:ind w:left="540" w:hanging="533"/>
        <w:spacing w:after="0"/>
        <w:tabs>
          <w:tab w:leader="none" w:pos="540" w:val="left"/>
        </w:tabs>
        <w:numPr>
          <w:ilvl w:val="0"/>
          <w:numId w:val="7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INSTRUMENTS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the normal course of business, we use various financial instruments, including derivative financial instruments, for purposes other than trading. We do not use derivative financial instruments for speculative purposes. These instruments include letters of credit, guarantees of debt, interest rate swap agreements, foreign currency exchange contracts, option contracts and equity hedges. Collateral is generally not required for these types of instruments.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By their nature, all such instruments involve risk, including the credit risk of nonperformance by counterparties, and our maximum potential loss may exceed the amount recognized in our balance sheet. However, at December 31, 2000 and 1999, in management's opinion, there was no significant risk of loss in the event of nonperformance of the counterparties to these financial instruments. We control our exposure to credit risk through credit approvals, credit limits and monitoring procedures. We do not have any significant exposure to any individual customer or counterparty, nor do we have any major concentration of credit risk related to any financial instruments.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LETTERS OF CREDIT</w:t>
      </w:r>
    </w:p>
    <w:p>
      <w:pPr>
        <w:spacing w:after="0" w:line="210"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Letters of credit are purchased guarantees that ensure our performance or payment to third parties in accordance with specified terms and conditions. Letters of credit do not create any additional risk to AT&amp;T.</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GUARANTEES OF DEBT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From time to time, we guarantee the debt of our subsidiaries and certain unconsolidated joint ventures. Prior to the merger, TCI had agreed to take certain steps to support debt compliance with respect to obligations aggregating $1,461 and $1,720 at December 31, 2000 and 1999, respectively, of certain cable television partnerships in which TCI has a non-controlling ownership interest. Although there can be no assurance, management believes that it will not be required to meet its obligations under such guarantees. Additionally, in connection with the restructuring of AT&amp;T in 1996, we issued guarantees for certain debt obligations of our former subsidiaries AT&amp;T Capital Corp. and NCR. The amount of guaranteed debt associated with AT&amp;T Capital Corp. and NCR was $48 and $56 at December 31, 2000 and 1999, respectively.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INTEREST RATE SWAP AGREEMENTS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We enter into interest rate swaps to manage our exposure to changes in interest rates and to lower our overall costs of financing. We enter into swap agreements to manage the fixed/floating mix of our debt portfolio in order to reduce aggregate risk to interest rate movements. Interest rate swaps also allow us to raise funds at floating rates and effectively swap them into fixed rates that are lower than those available to</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L-66</w:t>
      </w:r>
    </w:p>
    <w:p>
      <w:pPr>
        <w:sectPr>
          <w:pgSz w:w="11900" w:h="16838" w:orient="portrait"/>
          <w:cols w:equalWidth="0" w:num="1">
            <w:col w:w="10219"/>
          </w:cols>
          <w:pgMar w:left="240" w:top="518" w:right="1440" w:bottom="1440" w:gutter="0" w:footer="0" w:header="0"/>
        </w:sectPr>
      </w:pPr>
    </w:p>
    <w:bookmarkStart w:id="665" w:name="page666"/>
    <w:bookmarkEnd w:id="665"/>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us if fixed-rate borrowings were made directly. These agreements involve the exchange of floating-rate for fixed-rate payments, fixed-rate for floating-rate payments or floating-rate for other floating-rate payments without the exchange of the underlying principal amount. Fixed interest rate payments at December 31, 2000, were at rates ranging from 6.05% to 8.20%. Floating-rate payments are based on rates tied to the LIBOR. In addition, we also have combined interest rate, foreign currency swap agreements for foreign-currency-denominated debt, which hedge our risk to both interest rate and currency movements.</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The following table indicates the types of swaps in use at December 31, 2000 and 1999, and their weighted-average interest rates. Average variable rates are those in effect at the reporting date and may change significantly over the lives of the contracts.</w:t>
      </w:r>
    </w:p>
    <w:p>
      <w:pPr>
        <w:spacing w:after="0" w:line="19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2000 1999 ---- ------ Fixed to variable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swaps--notional amount....................</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$750 $1,800 Average receive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8.16% 6.89% Average pay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8.16% 6.67% Variable to fixed swaps--notional</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amount.................... $218 $ 229 Average</w:t>
      </w:r>
    </w:p>
    <w:p>
      <w:pPr>
        <w:spacing w:after="0" w:line="9"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receive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6.81% 6.30% Average pay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7.31% 6.77% Variable to variable swaps--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notional amount................. $739 $ 495</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Average receive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1.74% 6.63% Average pay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5.42% 6.53%</w:t>
      </w:r>
    </w:p>
    <w:p>
      <w:pPr>
        <w:spacing w:after="0" w:line="200" w:lineRule="exact"/>
        <w:rPr>
          <w:sz w:val="20"/>
          <w:szCs w:val="20"/>
          <w:color w:val="auto"/>
        </w:rPr>
      </w:pPr>
    </w:p>
    <w:p>
      <w:pPr>
        <w:spacing w:after="0" w:line="212"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The weighted-average remaining terms of the swap contracts were 11 and seven years at December 31, 2000 and 1999, respectively.</w:t>
      </w:r>
    </w:p>
    <w:p>
      <w:pPr>
        <w:spacing w:after="0" w:line="19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FOREIGN EXCHANGE</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enter into foreign currency exchange contracts, including forward and option contracts, to manage our exposure to changes in currency exchange rates related to foreign-currency-denominated transactions. In 2000, this consisted principally of Brazilian reais and Swiss francs related to debt. In 1999, this consisted principally of European Union currency (Euro), British pounds sterling and Japanese Yen contracts related to the reimbursement to foreign telephone companies for their portion of the revenue billed by AT&amp;T for calls placed in the United States to a foreign country and other foreign currency payables and receivables. In addition, we are subject to foreign exchange risk related to other foreign-currency-denominated transactions.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COLLARS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enter into option agreements to hedge our exposure on debt that is indexed to securities we own. During 2000, we entered into a series of purchased and written options related to a portion of our holdings in Microsoft stock (Microsoft collar), which is indexed to floating rate debt. The collar has been designated and is effective as a hedge of the market risk associated with our investment in Microsoft stock. The Microsoft collar is carried at fair value, with unrealized gains or losses, net of income taxes, being recorded within other comprehensive income as a component of shareowners' equity, together with any change in the fair value of the Microsoft stock. The carrying value of the Microsoft collar was $419 at December 31, 2000.</w:t>
      </w:r>
    </w:p>
    <w:p>
      <w:pPr>
        <w:spacing w:after="0" w:line="201"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At the expiration of the Microsoft collar, if the price of a Microsoft share is equal to or less than the put price of $62.48, we would exercise the put option and deliver all underlying shares of Microsoft common stock and receive cash equal in value to (i) the put price, multiplied by (ii) the underlying share</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L-67</w:t>
      </w:r>
    </w:p>
    <w:p>
      <w:pPr>
        <w:sectPr>
          <w:pgSz w:w="11900" w:h="16838" w:orient="portrait"/>
          <w:cols w:equalWidth="0" w:num="1">
            <w:col w:w="10219"/>
          </w:cols>
          <w:pgMar w:left="240" w:top="519" w:right="1440" w:bottom="657" w:gutter="0" w:footer="0" w:header="0"/>
        </w:sectPr>
      </w:pPr>
    </w:p>
    <w:bookmarkStart w:id="666" w:name="page667"/>
    <w:bookmarkEnd w:id="666"/>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amount. Alternatively, at our option, we can elect not to deliver the underlying shares and instead settle the put option by receiving cash equal in value to the</w:t>
      </w:r>
    </w:p>
    <w:p>
      <w:pPr>
        <w:ind w:right="1939" w:firstLine="7"/>
        <w:spacing w:after="0" w:line="251" w:lineRule="auto"/>
        <w:tabs>
          <w:tab w:leader="none" w:pos="419" w:val="left"/>
        </w:tabs>
        <w:numPr>
          <w:ilvl w:val="0"/>
          <w:numId w:val="7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difference between the put price minus the fair value of one Microsoft share, multiplied by (ii) the underlying share amount. If the price of a Microsoft share is greater then the call price, which range from $86.26 to $118.36, then the call option would be exercised and we would deliver all underlying shares and receive cash equal in value to (i) the call price, multiplied by (ii) the underlying share amount. At our option, we can elect not to deliver the underlying shares and instead settle the call option by paying cash equal in value to the (i) the difference between the call price minus the fair value of one Microsoft share, multiplied by (ii) the underlying share amount. Any cash received by AT&amp;T from the exercise or settlement of either put or call option would be used to retire the floating rate debt. We would retain cash in excess of the call price from a call option exercise. If the price of a Microsoft share is between the put price and the call price, the collar will expire without value.</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Prior to our merger with MediaOne, two subsidiaries of MediaOne, MediaOne SPC IV and MediaOne SPC VI, entered into a series of purchased and written options (Vodafone collars) on Vodafone ADRs contributed to them by MediaOne, and issued floating rate debt. The Vodafone collars have been designated and are effective as a hedge of the market risk associated with our investment in Vodafone ADRs. The Vodafone collars are carried at fair value, with unrealized gains or losses, net of income taxes, being recorded within other comprehensive income as a component of shareowners' equity, together with any change in the fair value of the Vodafone ADRs. The carrying value of the Vodafone collars was $453 at December 31, 2000.</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 the expiration of the MediaOne SPC IV collar, we will receive cash if the market value of a Vodafone ADR is less than approximately $34.00 per share, effectively eliminating downside risk on the stock below $34.00 per share. Conversely, if the market value of a Vodafone ADR is greater than approximately $49.00 per share, we will be required to pay cash, which will be offset by the corresponding increase in the value of the Vodafone ADR. This Vodafone collar expires quarterly beginning in 2003 and ending in 2005.</w:t>
      </w:r>
    </w:p>
    <w:p>
      <w:pPr>
        <w:spacing w:after="0" w:line="196"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 the expiration of the MediaOne SPC VI collar, we will receive cash if the market value of a Vodafone ADR is less than approximately $40.00 per share, effectively eliminating downside risk on the stock below $40.00 per share. Conversely, if the market value of a Vodafone ADR is greater than approximately $58.00 per share, we will be required to pay cash, which will be offset by the corresponding increase in the value of the Vodafone ADR. This Vodafone collar expires quarterly beginning in 2003 and ending in 2005.</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EQUITY HEDGES</w:t>
      </w:r>
    </w:p>
    <w:p>
      <w:pPr>
        <w:spacing w:after="0" w:line="210"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We enter into equity hedges to manage our exposure to changes in equity prices associated with stock appreciation rights of affiliated companies.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FAIR VALUES OF FINANCIAL INSTRUMENTS INCLUDING DERIVATIVE FINANCIAL INSTRUMENTS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following table summarizes the notional amounts of material financial instruments. The notional amounts represent agreed-upon amounts on which calculations of dollars to be exchanged are based. They do not represent amounts exchanged by the parties and, therefore, are not a measure of our exposure. Our exposure is limited to the fair value of the contracts with a positive fair value plus interest receivable, if any, at the reporting date.</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L-68</w:t>
      </w:r>
    </w:p>
    <w:p>
      <w:pPr>
        <w:sectPr>
          <w:pgSz w:w="11900" w:h="16838" w:orient="portrait"/>
          <w:cols w:equalWidth="0" w:num="1">
            <w:col w:w="10219"/>
          </w:cols>
          <w:pgMar w:left="240" w:top="517" w:right="1440" w:bottom="1440" w:gutter="0" w:footer="0" w:header="0"/>
        </w:sectPr>
      </w:pPr>
    </w:p>
    <w:bookmarkStart w:id="667" w:name="page668"/>
    <w:bookmarkEnd w:id="667"/>
    <w:p>
      <w:pPr>
        <w:jc w:val="center"/>
        <w:ind w:right="181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DERIVATIVES AND OFF BALANCE SHEET INSTRUMENTS</w:t>
      </w:r>
    </w:p>
    <w:p>
      <w:pPr>
        <w:spacing w:after="0" w:line="210"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2000 1999 CONTRACT/ CONTRACT/ NOTIONAL NOTIONAL</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AMOUNT AMOUNT --------- --------- Interest rate swap</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agreements............................... $ 968</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$2,524 Combined interest rate foreign currency swap</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agreements..... 739 -- Foreign exchange forward</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contracts.......................... 71 1,881 Option</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contracts............................................</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3,108 -- Equity</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hedges...............................................</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392 495 Letters of</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credit...........................................</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833 243 Guarantees of</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debt.......................................... 1,557</w:t>
      </w:r>
    </w:p>
    <w:p>
      <w:pPr>
        <w:spacing w:after="0" w:line="9"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1,848</w:t>
      </w:r>
    </w:p>
    <w:p>
      <w:pPr>
        <w:spacing w:after="0" w:line="200" w:lineRule="exact"/>
        <w:rPr>
          <w:sz w:val="20"/>
          <w:szCs w:val="20"/>
          <w:color w:val="auto"/>
        </w:rPr>
      </w:pPr>
    </w:p>
    <w:p>
      <w:pPr>
        <w:spacing w:after="0" w:line="212"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The following tables show the valuation methods, the carrying amounts and estimated fair values of material financial instruments.</w:t>
      </w:r>
    </w:p>
    <w:p>
      <w:pPr>
        <w:spacing w:after="0" w:line="192"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FINANCIAL INSTRUMENT VALUATION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METHOD - -------------------- ----</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 Debt excluding</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capital leases............. Market</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quotes or rates available to us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for debt with similar terms and</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maturities Letters of</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credit.........................</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Fees paid to obtain the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obligations Guarantees of</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720" w:type="dxa"/>
            <w:vAlign w:val="bottom"/>
          </w:tcPr>
          <w:p>
            <w:pPr>
              <w:spacing w:after="0"/>
              <w:rPr>
                <w:sz w:val="20"/>
                <w:szCs w:val="20"/>
                <w:color w:val="auto"/>
              </w:rPr>
            </w:pPr>
            <w:r>
              <w:rPr>
                <w:rFonts w:ascii="Courier New" w:cs="Courier New" w:eastAsia="Courier New" w:hAnsi="Courier New"/>
                <w:sz w:val="17"/>
                <w:szCs w:val="17"/>
                <w:color w:val="auto"/>
                <w:w w:val="94"/>
              </w:rPr>
              <w:t>debt........................</w:t>
            </w:r>
          </w:p>
        </w:tc>
        <w:tc>
          <w:tcPr>
            <w:tcW w:w="840" w:type="dxa"/>
            <w:vAlign w:val="bottom"/>
          </w:tcPr>
          <w:p>
            <w:pPr>
              <w:ind w:left="320"/>
              <w:spacing w:after="0"/>
              <w:rPr>
                <w:sz w:val="20"/>
                <w:szCs w:val="20"/>
                <w:color w:val="auto"/>
              </w:rPr>
            </w:pPr>
            <w:r>
              <w:rPr>
                <w:rFonts w:ascii="Courier New" w:cs="Courier New" w:eastAsia="Courier New" w:hAnsi="Courier New"/>
                <w:sz w:val="17"/>
                <w:szCs w:val="17"/>
                <w:color w:val="auto"/>
                <w:w w:val="97"/>
              </w:rPr>
              <w:t>There</w:t>
            </w:r>
          </w:p>
        </w:tc>
      </w:tr>
      <w:tr>
        <w:trPr>
          <w:trHeight w:val="201"/>
        </w:trPr>
        <w:tc>
          <w:tcPr>
            <w:tcW w:w="35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are no quoted market prices for</w:t>
            </w:r>
          </w:p>
        </w:tc>
      </w:tr>
      <w:tr>
        <w:trPr>
          <w:trHeight w:val="201"/>
        </w:trPr>
        <w:tc>
          <w:tcPr>
            <w:tcW w:w="35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similar agreements available</w:t>
            </w:r>
          </w:p>
        </w:tc>
      </w:tr>
      <w:tr>
        <w:trPr>
          <w:trHeight w:val="201"/>
        </w:trPr>
        <w:tc>
          <w:tcPr>
            <w:tcW w:w="2720" w:type="dxa"/>
            <w:vAlign w:val="bottom"/>
          </w:tcPr>
          <w:p>
            <w:pPr>
              <w:jc w:val="center"/>
              <w:ind w:left="753"/>
              <w:spacing w:after="0"/>
              <w:rPr>
                <w:sz w:val="20"/>
                <w:szCs w:val="20"/>
                <w:color w:val="auto"/>
              </w:rPr>
            </w:pPr>
            <w:r>
              <w:rPr>
                <w:rFonts w:ascii="Courier New" w:cs="Courier New" w:eastAsia="Courier New" w:hAnsi="Courier New"/>
                <w:sz w:val="17"/>
                <w:szCs w:val="17"/>
                <w:color w:val="auto"/>
              </w:rPr>
              <w:t>Interest rate swap</w:t>
            </w:r>
          </w:p>
        </w:tc>
        <w:tc>
          <w:tcPr>
            <w:tcW w:w="840" w:type="dxa"/>
            <w:vAlign w:val="bottom"/>
          </w:tcPr>
          <w:p>
            <w:pPr>
              <w:spacing w:after="0"/>
              <w:rPr>
                <w:sz w:val="17"/>
                <w:szCs w:val="17"/>
                <w:color w:val="auto"/>
              </w:rPr>
            </w:pPr>
          </w:p>
        </w:tc>
      </w:tr>
      <w:tr>
        <w:trPr>
          <w:trHeight w:val="201"/>
        </w:trPr>
        <w:tc>
          <w:tcPr>
            <w:tcW w:w="2720" w:type="dxa"/>
            <w:vAlign w:val="bottom"/>
          </w:tcPr>
          <w:p>
            <w:pPr>
              <w:ind w:left="200"/>
              <w:spacing w:after="0"/>
              <w:rPr>
                <w:sz w:val="20"/>
                <w:szCs w:val="20"/>
                <w:color w:val="auto"/>
              </w:rPr>
            </w:pPr>
            <w:r>
              <w:rPr>
                <w:rFonts w:ascii="Courier New" w:cs="Courier New" w:eastAsia="Courier New" w:hAnsi="Courier New"/>
                <w:sz w:val="17"/>
                <w:szCs w:val="17"/>
                <w:color w:val="auto"/>
              </w:rPr>
              <w:t>agreements.............</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Market</w:t>
            </w:r>
          </w:p>
        </w:tc>
      </w:tr>
      <w:tr>
        <w:trPr>
          <w:trHeight w:val="201"/>
        </w:trPr>
        <w:tc>
          <w:tcPr>
            <w:tcW w:w="35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quotes obtained from dealers</w:t>
            </w:r>
          </w:p>
        </w:tc>
      </w:tr>
      <w:tr>
        <w:trPr>
          <w:trHeight w:val="201"/>
        </w:trPr>
        <w:tc>
          <w:tcPr>
            <w:tcW w:w="35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Combined interest rate foreign</w:t>
            </w:r>
          </w:p>
        </w:tc>
      </w:tr>
      <w:tr>
        <w:trPr>
          <w:trHeight w:val="201"/>
        </w:trPr>
        <w:tc>
          <w:tcPr>
            <w:tcW w:w="2720" w:type="dxa"/>
            <w:vAlign w:val="bottom"/>
          </w:tcPr>
          <w:p>
            <w:pPr>
              <w:jc w:val="center"/>
              <w:ind w:left="753"/>
              <w:spacing w:after="0"/>
              <w:rPr>
                <w:sz w:val="20"/>
                <w:szCs w:val="20"/>
                <w:color w:val="auto"/>
              </w:rPr>
            </w:pPr>
            <w:r>
              <w:rPr>
                <w:rFonts w:ascii="Courier New" w:cs="Courier New" w:eastAsia="Courier New" w:hAnsi="Courier New"/>
                <w:sz w:val="17"/>
                <w:szCs w:val="17"/>
                <w:color w:val="auto"/>
              </w:rPr>
              <w:t>currency swap</w:t>
            </w:r>
          </w:p>
        </w:tc>
        <w:tc>
          <w:tcPr>
            <w:tcW w:w="84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Market quotes obtained from</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dealers Foreign exchange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contracts................ Market</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quotes Option</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contracts..........................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Black-Scholes option-pricing model</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Equity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hedges.............................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Market quotes Preferred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securities......................</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Market quotes*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320" w:right="1939" w:hanging="313"/>
        <w:spacing w:after="0" w:line="253" w:lineRule="auto"/>
        <w:tabs>
          <w:tab w:leader="none" w:pos="320" w:val="left"/>
        </w:tabs>
        <w:numPr>
          <w:ilvl w:val="0"/>
          <w:numId w:val="7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not practicable to estimate the fair market value of our quarterly preferred securities that aggregated $4,710 and $4,700 at December 31, 2000 and 1999, respectively. There are no current market quotes available on this private placement.</w:t>
      </w:r>
    </w:p>
    <w:p>
      <w:pPr>
        <w:spacing w:after="0" w:line="19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1999} -----------------</w:t>
      </w:r>
    </w:p>
    <w:p>
      <w:pPr>
        <w:spacing w:after="0" w:line="9" w:lineRule="exact"/>
        <w:rPr>
          <w:sz w:val="20"/>
          <w:szCs w:val="20"/>
          <w:color w:val="auto"/>
        </w:rPr>
      </w:pPr>
    </w:p>
    <w:p>
      <w:pPr>
        <w:ind w:left="680" w:hanging="203"/>
        <w:spacing w:after="0"/>
        <w:tabs>
          <w:tab w:leader="none" w:pos="680" w:val="left"/>
        </w:tabs>
        <w:numPr>
          <w:ilvl w:val="1"/>
          <w:numId w:val="7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jc w:val="both"/>
        <w:ind w:left="60" w:right="7219" w:firstLine="52"/>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CARRYING FAIR CARRYING FAIR AMOUNT VALUE AMOUNT VALUE --</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260" w:right="7339" w:hanging="97"/>
        <w:spacing w:after="0" w:line="251" w:lineRule="auto"/>
        <w:tabs>
          <w:tab w:leader="none" w:pos="574" w:val="left"/>
        </w:tabs>
        <w:numPr>
          <w:ilvl w:val="0"/>
          <w:numId w:val="7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Debt excluding capital leases..................</w:t>
      </w: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$64,430 $61,574 $35,350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60" w:type="dxa"/>
            <w:vAlign w:val="bottom"/>
          </w:tcPr>
          <w:p>
            <w:pPr>
              <w:jc w:val="right"/>
              <w:ind w:right="44"/>
              <w:spacing w:after="0"/>
              <w:rPr>
                <w:sz w:val="20"/>
                <w:szCs w:val="20"/>
                <w:color w:val="auto"/>
              </w:rPr>
            </w:pPr>
            <w:r>
              <w:rPr>
                <w:rFonts w:ascii="Courier New" w:cs="Courier New" w:eastAsia="Courier New" w:hAnsi="Courier New"/>
                <w:sz w:val="17"/>
                <w:szCs w:val="17"/>
                <w:color w:val="auto"/>
              </w:rPr>
              <w:t>$33,935</w:t>
            </w:r>
          </w:p>
        </w:tc>
        <w:tc>
          <w:tcPr>
            <w:tcW w:w="1780" w:type="dxa"/>
            <w:vAlign w:val="bottom"/>
            <w:gridSpan w:val="2"/>
          </w:tcPr>
          <w:p>
            <w:pPr>
              <w:spacing w:after="0"/>
              <w:rPr>
                <w:sz w:val="20"/>
                <w:szCs w:val="20"/>
                <w:color w:val="auto"/>
              </w:rPr>
            </w:pPr>
            <w:r>
              <w:rPr>
                <w:rFonts w:ascii="Courier New" w:cs="Courier New" w:eastAsia="Courier New" w:hAnsi="Courier New"/>
                <w:sz w:val="17"/>
                <w:szCs w:val="17"/>
                <w:color w:val="auto"/>
              </w:rPr>
              <w:t>Pacific preferred</w:t>
            </w:r>
          </w:p>
        </w:tc>
      </w:tr>
      <w:tr>
        <w:trPr>
          <w:trHeight w:val="201"/>
        </w:trPr>
        <w:tc>
          <w:tcPr>
            <w:tcW w:w="1420" w:type="dxa"/>
            <w:vAlign w:val="bottom"/>
            <w:gridSpan w:val="2"/>
          </w:tcPr>
          <w:p>
            <w:pPr>
              <w:spacing w:after="0"/>
              <w:rPr>
                <w:sz w:val="20"/>
                <w:szCs w:val="20"/>
                <w:color w:val="auto"/>
              </w:rPr>
            </w:pPr>
            <w:r>
              <w:rPr>
                <w:rFonts w:ascii="Courier New" w:cs="Courier New" w:eastAsia="Courier New" w:hAnsi="Courier New"/>
                <w:sz w:val="11"/>
                <w:szCs w:val="11"/>
                <w:color w:val="auto"/>
                <w:w w:val="73"/>
              </w:rPr>
              <w:t>stock........................</w:t>
            </w:r>
          </w:p>
        </w:tc>
        <w:tc>
          <w:tcPr>
            <w:tcW w:w="1420" w:type="dxa"/>
            <w:vAlign w:val="bottom"/>
          </w:tcPr>
          <w:p>
            <w:pPr>
              <w:spacing w:after="0"/>
              <w:rPr>
                <w:sz w:val="17"/>
                <w:szCs w:val="17"/>
                <w:color w:val="auto"/>
              </w:rPr>
            </w:pPr>
          </w:p>
        </w:tc>
      </w:tr>
      <w:tr>
        <w:trPr>
          <w:trHeight w:val="201"/>
        </w:trPr>
        <w:tc>
          <w:tcPr>
            <w:tcW w:w="1060" w:type="dxa"/>
            <w:vAlign w:val="bottom"/>
          </w:tcPr>
          <w:p>
            <w:pPr>
              <w:jc w:val="right"/>
              <w:ind w:right="44"/>
              <w:spacing w:after="0"/>
              <w:rPr>
                <w:sz w:val="20"/>
                <w:szCs w:val="20"/>
                <w:color w:val="auto"/>
              </w:rPr>
            </w:pPr>
            <w:r>
              <w:rPr>
                <w:rFonts w:ascii="Courier New" w:cs="Courier New" w:eastAsia="Courier New" w:hAnsi="Courier New"/>
                <w:sz w:val="17"/>
                <w:szCs w:val="17"/>
                <w:color w:val="auto"/>
              </w:rPr>
              <w:t>2,121</w:t>
            </w:r>
          </w:p>
        </w:tc>
        <w:tc>
          <w:tcPr>
            <w:tcW w:w="360" w:type="dxa"/>
            <w:vAlign w:val="bottom"/>
          </w:tcPr>
          <w:p>
            <w:pPr>
              <w:spacing w:after="0"/>
              <w:rPr>
                <w:sz w:val="20"/>
                <w:szCs w:val="20"/>
                <w:color w:val="auto"/>
              </w:rPr>
            </w:pPr>
            <w:r>
              <w:rPr>
                <w:rFonts w:ascii="Courier New" w:cs="Courier New" w:eastAsia="Courier New" w:hAnsi="Courier New"/>
                <w:sz w:val="17"/>
                <w:szCs w:val="17"/>
                <w:color w:val="auto"/>
              </w:rPr>
              <w:t>595</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2,121 1,929</w:t>
            </w:r>
          </w:p>
        </w:tc>
      </w:tr>
    </w:tbl>
    <w:p>
      <w:pPr>
        <w:spacing w:after="0" w:line="200" w:lineRule="exact"/>
        <w:rPr>
          <w:sz w:val="20"/>
          <w:szCs w:val="20"/>
          <w:color w:val="auto"/>
        </w:rPr>
      </w:pPr>
    </w:p>
    <w:p>
      <w:pPr>
        <w:spacing w:after="0" w:line="20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L-69</w:t>
      </w:r>
    </w:p>
    <w:p>
      <w:pPr>
        <w:sectPr>
          <w:pgSz w:w="11900" w:h="16838" w:orient="portrait"/>
          <w:cols w:equalWidth="0" w:num="1">
            <w:col w:w="10219"/>
          </w:cols>
          <w:pgMar w:left="240" w:top="518" w:right="1440" w:bottom="54" w:gutter="0" w:footer="0" w:header="0"/>
        </w:sectPr>
      </w:pPr>
    </w:p>
    <w:bookmarkStart w:id="668" w:name="page669"/>
    <w:bookmarkEnd w:id="668"/>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1999 -----------------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CARRYING</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CARRYING AMOUNT FAIR VALUE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AMOUNT FAIR VALUE ---------</w:t>
      </w:r>
    </w:p>
    <w:p>
      <w:pPr>
        <w:spacing w:after="0" w:line="9" w:lineRule="exact"/>
        <w:rPr>
          <w:sz w:val="20"/>
          <w:szCs w:val="20"/>
          <w:color w:val="auto"/>
        </w:rPr>
      </w:pPr>
    </w:p>
    <w:p>
      <w:pPr>
        <w:ind w:left="580" w:hanging="523"/>
        <w:spacing w:after="0"/>
        <w:tabs>
          <w:tab w:leader="none" w:pos="580" w:val="left"/>
        </w:tabs>
        <w:numPr>
          <w:ilvl w:val="0"/>
          <w:numId w:val="7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260" w:right="7439" w:hanging="98"/>
        <w:spacing w:after="0" w:line="257" w:lineRule="auto"/>
        <w:tabs>
          <w:tab w:leader="none" w:pos="784" w:val="left"/>
        </w:tabs>
        <w:numPr>
          <w:ilvl w:val="1"/>
          <w:numId w:val="7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ASSET LIAB. ASSET LIAB. ASSET</w:t>
      </w:r>
    </w:p>
    <w:p>
      <w:pPr>
        <w:spacing w:after="0" w:line="192" w:lineRule="exact"/>
        <w:rPr>
          <w:sz w:val="20"/>
          <w:szCs w:val="20"/>
          <w:color w:val="auto"/>
        </w:rPr>
      </w:pPr>
    </w:p>
    <w:p>
      <w:pPr>
        <w:ind w:left="420" w:hanging="310"/>
        <w:spacing w:after="0"/>
        <w:tabs>
          <w:tab w:leader="none" w:pos="420" w:val="left"/>
        </w:tabs>
        <w:numPr>
          <w:ilvl w:val="0"/>
          <w:numId w:val="7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1260" w:right="7439" w:hanging="1098"/>
        <w:spacing w:after="0" w:line="251" w:lineRule="auto"/>
        <w:tabs>
          <w:tab w:leader="none" w:pos="789" w:val="left"/>
        </w:tabs>
        <w:numPr>
          <w:ilvl w:val="1"/>
          <w:numId w:val="7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Interest rate swap</w:t>
      </w:r>
    </w:p>
    <w:p>
      <w:pPr>
        <w:jc w:val="center"/>
        <w:ind w:right="7279"/>
        <w:spacing w:after="0"/>
        <w:rPr>
          <w:sz w:val="20"/>
          <w:szCs w:val="20"/>
          <w:color w:val="auto"/>
        </w:rPr>
      </w:pPr>
      <w:r>
        <w:rPr>
          <w:rFonts w:ascii="Courier New" w:cs="Courier New" w:eastAsia="Courier New" w:hAnsi="Courier New"/>
          <w:sz w:val="17"/>
          <w:szCs w:val="17"/>
          <w:color w:val="auto"/>
        </w:rPr>
        <w:t>agreements..................</w:t>
      </w:r>
    </w:p>
    <w:p>
      <w:pPr>
        <w:spacing w:after="0" w:line="9" w:lineRule="exact"/>
        <w:rPr>
          <w:sz w:val="20"/>
          <w:szCs w:val="20"/>
          <w:color w:val="auto"/>
        </w:rPr>
      </w:pPr>
    </w:p>
    <w:p>
      <w:pPr>
        <w:jc w:val="center"/>
        <w:ind w:right="7279"/>
        <w:spacing w:after="0"/>
        <w:rPr>
          <w:sz w:val="20"/>
          <w:szCs w:val="20"/>
          <w:color w:val="auto"/>
        </w:rPr>
      </w:pPr>
      <w:r>
        <w:rPr>
          <w:rFonts w:ascii="Courier New" w:cs="Courier New" w:eastAsia="Courier New" w:hAnsi="Courier New"/>
          <w:sz w:val="17"/>
          <w:szCs w:val="17"/>
          <w:color w:val="auto"/>
        </w:rPr>
        <w:t>$4 $ 5 $4 $ 5 $ 28 $27 $ 6</w:t>
      </w:r>
    </w:p>
    <w:p>
      <w:pPr>
        <w:spacing w:after="0" w:line="9" w:lineRule="exact"/>
        <w:rPr>
          <w:sz w:val="20"/>
          <w:szCs w:val="20"/>
          <w:color w:val="auto"/>
        </w:rPr>
      </w:pPr>
    </w:p>
    <w:p>
      <w:pPr>
        <w:jc w:val="center"/>
        <w:ind w:right="7279"/>
        <w:spacing w:after="0"/>
        <w:rPr>
          <w:sz w:val="20"/>
          <w:szCs w:val="20"/>
          <w:color w:val="auto"/>
        </w:rPr>
      </w:pPr>
      <w:r>
        <w:rPr>
          <w:rFonts w:ascii="Courier New" w:cs="Courier New" w:eastAsia="Courier New" w:hAnsi="Courier New"/>
          <w:sz w:val="17"/>
          <w:szCs w:val="17"/>
          <w:color w:val="auto"/>
        </w:rPr>
        <w:t>$29 Combined interest rate</w:t>
      </w:r>
    </w:p>
    <w:p>
      <w:pPr>
        <w:spacing w:after="0" w:line="9" w:lineRule="exact"/>
        <w:rPr>
          <w:sz w:val="20"/>
          <w:szCs w:val="20"/>
          <w:color w:val="auto"/>
        </w:rPr>
      </w:pPr>
    </w:p>
    <w:p>
      <w:pPr>
        <w:jc w:val="center"/>
        <w:ind w:right="7279"/>
        <w:spacing w:after="0"/>
        <w:rPr>
          <w:sz w:val="20"/>
          <w:szCs w:val="20"/>
          <w:color w:val="auto"/>
        </w:rPr>
      </w:pPr>
      <w:r>
        <w:rPr>
          <w:rFonts w:ascii="Courier New" w:cs="Courier New" w:eastAsia="Courier New" w:hAnsi="Courier New"/>
          <w:sz w:val="17"/>
          <w:szCs w:val="17"/>
          <w:color w:val="auto"/>
        </w:rPr>
        <w:t>foreign currency swap</w:t>
      </w:r>
    </w:p>
    <w:p>
      <w:pPr>
        <w:spacing w:after="0" w:line="9" w:lineRule="exact"/>
        <w:rPr>
          <w:sz w:val="20"/>
          <w:szCs w:val="20"/>
          <w:color w:val="auto"/>
        </w:rPr>
      </w:pPr>
    </w:p>
    <w:p>
      <w:pPr>
        <w:jc w:val="center"/>
        <w:ind w:right="7279"/>
        <w:spacing w:after="0"/>
        <w:rPr>
          <w:sz w:val="20"/>
          <w:szCs w:val="20"/>
          <w:color w:val="auto"/>
        </w:rPr>
      </w:pPr>
      <w:r>
        <w:rPr>
          <w:rFonts w:ascii="Courier New" w:cs="Courier New" w:eastAsia="Courier New" w:hAnsi="Courier New"/>
          <w:sz w:val="17"/>
          <w:szCs w:val="17"/>
          <w:color w:val="auto"/>
        </w:rPr>
        <w:t>agreements.... 1 3 1 3 -- -</w:t>
      </w:r>
    </w:p>
    <w:p>
      <w:pPr>
        <w:spacing w:after="0" w:line="9" w:lineRule="exact"/>
        <w:rPr>
          <w:sz w:val="20"/>
          <w:szCs w:val="20"/>
          <w:color w:val="auto"/>
        </w:rPr>
      </w:pPr>
    </w:p>
    <w:p>
      <w:pPr>
        <w:ind w:left="1100" w:right="7499" w:hanging="886"/>
        <w:spacing w:after="0" w:line="251" w:lineRule="auto"/>
        <w:tabs>
          <w:tab w:leader="none" w:pos="419" w:val="left"/>
        </w:tabs>
        <w:numPr>
          <w:ilvl w:val="0"/>
          <w:numId w:val="7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Foreign exchange forward</w:t>
      </w:r>
    </w:p>
    <w:p>
      <w:pPr>
        <w:jc w:val="center"/>
        <w:ind w:right="7279"/>
        <w:spacing w:after="0"/>
        <w:rPr>
          <w:sz w:val="20"/>
          <w:szCs w:val="20"/>
          <w:color w:val="auto"/>
        </w:rPr>
      </w:pPr>
      <w:r>
        <w:rPr>
          <w:rFonts w:ascii="Courier New" w:cs="Courier New" w:eastAsia="Courier New" w:hAnsi="Courier New"/>
          <w:sz w:val="17"/>
          <w:szCs w:val="17"/>
          <w:color w:val="auto"/>
        </w:rPr>
        <w:t>contracts...................</w:t>
      </w:r>
    </w:p>
    <w:p>
      <w:pPr>
        <w:spacing w:after="0" w:line="9" w:lineRule="exact"/>
        <w:rPr>
          <w:sz w:val="20"/>
          <w:szCs w:val="20"/>
          <w:color w:val="auto"/>
        </w:rPr>
      </w:pPr>
    </w:p>
    <w:p>
      <w:pPr>
        <w:jc w:val="center"/>
        <w:ind w:right="7279"/>
        <w:spacing w:after="0"/>
        <w:rPr>
          <w:sz w:val="20"/>
          <w:szCs w:val="20"/>
          <w:color w:val="auto"/>
        </w:rPr>
      </w:pPr>
      <w:r>
        <w:rPr>
          <w:rFonts w:ascii="Courier New" w:cs="Courier New" w:eastAsia="Courier New" w:hAnsi="Courier New"/>
          <w:sz w:val="17"/>
          <w:szCs w:val="17"/>
          <w:color w:val="auto"/>
        </w:rPr>
        <w:t>-- 1 1 2 -- 26 1 28 Equity</w:t>
      </w:r>
    </w:p>
    <w:p>
      <w:pPr>
        <w:spacing w:after="0" w:line="9" w:lineRule="exact"/>
        <w:rPr>
          <w:sz w:val="20"/>
          <w:szCs w:val="20"/>
          <w:color w:val="auto"/>
        </w:rPr>
      </w:pPr>
    </w:p>
    <w:p>
      <w:pPr>
        <w:jc w:val="center"/>
        <w:ind w:right="7279"/>
        <w:spacing w:after="0"/>
        <w:rPr>
          <w:sz w:val="20"/>
          <w:szCs w:val="20"/>
          <w:color w:val="auto"/>
        </w:rPr>
      </w:pPr>
      <w:r>
        <w:rPr>
          <w:rFonts w:ascii="Courier New" w:cs="Courier New" w:eastAsia="Courier New" w:hAnsi="Courier New"/>
          <w:sz w:val="17"/>
          <w:szCs w:val="17"/>
          <w:color w:val="auto"/>
        </w:rPr>
        <w:t>hedges................. 2</w:t>
      </w:r>
    </w:p>
    <w:p>
      <w:pPr>
        <w:spacing w:after="0" w:line="9" w:lineRule="exact"/>
        <w:rPr>
          <w:sz w:val="20"/>
          <w:szCs w:val="20"/>
          <w:color w:val="auto"/>
        </w:rPr>
      </w:pPr>
    </w:p>
    <w:p>
      <w:pPr>
        <w:jc w:val="center"/>
        <w:ind w:right="7279"/>
        <w:spacing w:after="0"/>
        <w:rPr>
          <w:sz w:val="20"/>
          <w:szCs w:val="20"/>
          <w:color w:val="auto"/>
        </w:rPr>
      </w:pPr>
      <w:r>
        <w:rPr>
          <w:rFonts w:ascii="Courier New" w:cs="Courier New" w:eastAsia="Courier New" w:hAnsi="Courier New"/>
          <w:sz w:val="17"/>
          <w:szCs w:val="17"/>
          <w:color w:val="auto"/>
        </w:rPr>
        <w:t>100 2 100 313 2 313 --</w:t>
      </w:r>
    </w:p>
    <w:p>
      <w:pPr>
        <w:spacing w:after="0" w:line="200" w:lineRule="exact"/>
        <w:rPr>
          <w:sz w:val="20"/>
          <w:szCs w:val="20"/>
          <w:color w:val="auto"/>
        </w:rPr>
      </w:pPr>
    </w:p>
    <w:p>
      <w:pPr>
        <w:spacing w:after="0" w:line="212" w:lineRule="exact"/>
        <w:rPr>
          <w:sz w:val="20"/>
          <w:szCs w:val="20"/>
          <w:color w:val="auto"/>
        </w:rPr>
      </w:pPr>
    </w:p>
    <w:p>
      <w:pPr>
        <w:ind w:left="540" w:hanging="533"/>
        <w:spacing w:after="0"/>
        <w:tabs>
          <w:tab w:leader="none" w:pos="540" w:val="left"/>
        </w:tabs>
        <w:numPr>
          <w:ilvl w:val="0"/>
          <w:numId w:val="7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PENSION, POSTRETIREMENT AND OTHER EMPLOYEE BENEFIT PLANS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We sponsor noncontributory, defined benefit pension plans covering the majority of our employees. Pension benefits for management employees are based principally on career-average pay. Pension benefits for occupational employees are not directly related to pay. Pension trust contributions are made to trust funds held for the sole benefit of plan participants. Our benefit plans for current and certain future retirees include health-care benefits, life insurance coverage and telephone concessions.</w:t>
      </w:r>
    </w:p>
    <w:p>
      <w:pPr>
        <w:spacing w:after="0" w:line="196"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The following table shows the components of the net periodic benefit costs included in our Consolidated Statements of Income:</w:t>
      </w:r>
    </w:p>
    <w:p>
      <w:pPr>
        <w:spacing w:after="0" w:line="192"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7"/>
          <w:szCs w:val="17"/>
          <w:color w:val="auto"/>
        </w:rPr>
        <w:t>PENSION BENEFITS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POSTRETIREMENT BENEFITS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 FOR THE YEARS ENDED</w:t>
      </w:r>
    </w:p>
    <w:p>
      <w:pPr>
        <w:spacing w:after="0" w:line="9"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7"/>
          <w:szCs w:val="17"/>
          <w:color w:val="auto"/>
        </w:rPr>
        <w:t>DECEMBER 31, 2000 1999 1998</w:t>
      </w:r>
    </w:p>
    <w:p>
      <w:pPr>
        <w:spacing w:after="0" w:line="9"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7"/>
          <w:szCs w:val="17"/>
          <w:color w:val="auto"/>
        </w:rPr>
        <w:t>2000 1999 1998 -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9"/>
              </w:rPr>
              <w:t>--------------------</w:t>
            </w:r>
          </w:p>
        </w:tc>
        <w:tc>
          <w:tcPr>
            <w:tcW w:w="3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80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w:t>
            </w:r>
          </w:p>
        </w:tc>
      </w:tr>
      <w:tr>
        <w:trPr>
          <w:trHeight w:val="201"/>
        </w:trPr>
        <w:tc>
          <w:tcPr>
            <w:tcW w:w="80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Service cost benefits</w:t>
            </w:r>
          </w:p>
        </w:tc>
      </w:tr>
      <w:tr>
        <w:trPr>
          <w:trHeight w:val="201"/>
        </w:trPr>
        <w:tc>
          <w:tcPr>
            <w:tcW w:w="2460" w:type="dxa"/>
            <w:vAlign w:val="bottom"/>
            <w:gridSpan w:val="4"/>
          </w:tcPr>
          <w:p>
            <w:pPr>
              <w:jc w:val="center"/>
              <w:ind w:left="594"/>
              <w:spacing w:after="0"/>
              <w:rPr>
                <w:sz w:val="20"/>
                <w:szCs w:val="20"/>
                <w:color w:val="auto"/>
              </w:rPr>
            </w:pPr>
            <w:r>
              <w:rPr>
                <w:rFonts w:ascii="Courier New" w:cs="Courier New" w:eastAsia="Courier New" w:hAnsi="Courier New"/>
                <w:sz w:val="17"/>
                <w:szCs w:val="17"/>
                <w:color w:val="auto"/>
              </w:rPr>
              <w:t>earned during the</w:t>
            </w:r>
          </w:p>
        </w:tc>
        <w:tc>
          <w:tcPr>
            <w:tcW w:w="640" w:type="dxa"/>
            <w:vAlign w:val="bottom"/>
          </w:tcPr>
          <w:p>
            <w:pPr>
              <w:spacing w:after="0"/>
              <w:rPr>
                <w:sz w:val="17"/>
                <w:szCs w:val="17"/>
                <w:color w:val="auto"/>
              </w:rPr>
            </w:pPr>
          </w:p>
        </w:tc>
      </w:tr>
      <w:tr>
        <w:trPr>
          <w:trHeight w:val="201"/>
        </w:trPr>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3"/>
              </w:rPr>
              <w:t>period.............</w:t>
            </w:r>
          </w:p>
        </w:tc>
        <w:tc>
          <w:tcPr>
            <w:tcW w:w="360" w:type="dxa"/>
            <w:vAlign w:val="bottom"/>
          </w:tcPr>
          <w:p>
            <w:pPr>
              <w:spacing w:after="0"/>
              <w:rPr>
                <w:sz w:val="17"/>
                <w:szCs w:val="17"/>
                <w:color w:val="auto"/>
              </w:rPr>
            </w:pPr>
          </w:p>
        </w:tc>
        <w:tc>
          <w:tcPr>
            <w:tcW w:w="11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$ 248 $</w:t>
            </w:r>
          </w:p>
        </w:tc>
      </w:tr>
      <w:tr>
        <w:trPr>
          <w:trHeight w:val="201"/>
        </w:trPr>
        <w:tc>
          <w:tcPr>
            <w:tcW w:w="310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247 $ 275 $ 35 $ 54 $ 56</w:t>
            </w:r>
          </w:p>
        </w:tc>
      </w:tr>
      <w:tr>
        <w:trPr>
          <w:trHeight w:val="201"/>
        </w:trPr>
        <w:tc>
          <w:tcPr>
            <w:tcW w:w="310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Interest cost on benefit</w:t>
            </w:r>
          </w:p>
        </w:tc>
      </w:tr>
      <w:tr>
        <w:trPr>
          <w:trHeight w:val="201"/>
        </w:trPr>
        <w:tc>
          <w:tcPr>
            <w:tcW w:w="2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3"/>
              </w:rPr>
              <w:t>obligations...................</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8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991</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919 940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352</w:t>
            </w: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324</w:t>
            </w: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322</w:t>
            </w:r>
          </w:p>
        </w:tc>
      </w:tr>
      <w:tr>
        <w:trPr>
          <w:trHeight w:val="201"/>
        </w:trPr>
        <w:tc>
          <w:tcPr>
            <w:tcW w:w="310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Amortization of unrecognized</w:t>
            </w:r>
          </w:p>
        </w:tc>
      </w:tr>
      <w:tr>
        <w:trPr>
          <w:trHeight w:val="201"/>
        </w:trPr>
        <w:tc>
          <w:tcPr>
            <w:tcW w:w="800" w:type="dxa"/>
            <w:vAlign w:val="bottom"/>
          </w:tcPr>
          <w:p>
            <w:pPr>
              <w:spacing w:after="0"/>
              <w:rPr>
                <w:sz w:val="17"/>
                <w:szCs w:val="17"/>
                <w:color w:val="auto"/>
              </w:rPr>
            </w:pPr>
          </w:p>
        </w:tc>
        <w:tc>
          <w:tcPr>
            <w:tcW w:w="1660" w:type="dxa"/>
            <w:vAlign w:val="bottom"/>
            <w:gridSpan w:val="3"/>
          </w:tcPr>
          <w:p>
            <w:pPr>
              <w:jc w:val="center"/>
              <w:ind w:right="13"/>
              <w:spacing w:after="0"/>
              <w:rPr>
                <w:sz w:val="20"/>
                <w:szCs w:val="20"/>
                <w:color w:val="auto"/>
              </w:rPr>
            </w:pPr>
            <w:r>
              <w:rPr>
                <w:rFonts w:ascii="Courier New" w:cs="Courier New" w:eastAsia="Courier New" w:hAnsi="Courier New"/>
                <w:sz w:val="17"/>
                <w:szCs w:val="17"/>
                <w:color w:val="auto"/>
              </w:rPr>
              <w:t>prior service</w:t>
            </w:r>
          </w:p>
        </w:tc>
        <w:tc>
          <w:tcPr>
            <w:tcW w:w="640" w:type="dxa"/>
            <w:vAlign w:val="bottom"/>
          </w:tcPr>
          <w:p>
            <w:pPr>
              <w:spacing w:after="0"/>
              <w:rPr>
                <w:sz w:val="17"/>
                <w:szCs w:val="17"/>
                <w:color w:val="auto"/>
              </w:rPr>
            </w:pPr>
          </w:p>
        </w:tc>
      </w:tr>
      <w:tr>
        <w:trPr>
          <w:trHeight w:val="201"/>
        </w:trPr>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cost............</w:t>
            </w:r>
          </w:p>
        </w:tc>
        <w:tc>
          <w:tcPr>
            <w:tcW w:w="14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174 159 135</w:t>
            </w:r>
          </w:p>
        </w:tc>
      </w:tr>
      <w:tr>
        <w:trPr>
          <w:trHeight w:val="201"/>
        </w:trPr>
        <w:tc>
          <w:tcPr>
            <w:tcW w:w="310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4 13 (2) Credit for expected</w:t>
            </w:r>
          </w:p>
        </w:tc>
      </w:tr>
      <w:tr>
        <w:trPr>
          <w:trHeight w:val="201"/>
        </w:trPr>
        <w:tc>
          <w:tcPr>
            <w:tcW w:w="800" w:type="dxa"/>
            <w:vAlign w:val="bottom"/>
          </w:tcPr>
          <w:p>
            <w:pPr>
              <w:spacing w:after="0"/>
              <w:rPr>
                <w:sz w:val="17"/>
                <w:szCs w:val="17"/>
                <w:color w:val="auto"/>
              </w:rPr>
            </w:pPr>
          </w:p>
        </w:tc>
        <w:tc>
          <w:tcPr>
            <w:tcW w:w="1660" w:type="dxa"/>
            <w:vAlign w:val="bottom"/>
            <w:gridSpan w:val="3"/>
          </w:tcPr>
          <w:p>
            <w:pPr>
              <w:jc w:val="center"/>
              <w:ind w:right="13"/>
              <w:spacing w:after="0"/>
              <w:rPr>
                <w:sz w:val="20"/>
                <w:szCs w:val="20"/>
                <w:color w:val="auto"/>
              </w:rPr>
            </w:pPr>
            <w:r>
              <w:rPr>
                <w:rFonts w:ascii="Courier New" w:cs="Courier New" w:eastAsia="Courier New" w:hAnsi="Courier New"/>
                <w:sz w:val="17"/>
                <w:szCs w:val="17"/>
                <w:color w:val="auto"/>
              </w:rPr>
              <w:t>return on plan</w:t>
            </w:r>
          </w:p>
        </w:tc>
        <w:tc>
          <w:tcPr>
            <w:tcW w:w="640" w:type="dxa"/>
            <w:vAlign w:val="bottom"/>
          </w:tcPr>
          <w:p>
            <w:pPr>
              <w:spacing w:after="0"/>
              <w:rPr>
                <w:sz w:val="17"/>
                <w:szCs w:val="17"/>
                <w:color w:val="auto"/>
              </w:rPr>
            </w:pPr>
          </w:p>
        </w:tc>
      </w:tr>
      <w:tr>
        <w:trPr>
          <w:trHeight w:val="201"/>
        </w:trPr>
        <w:tc>
          <w:tcPr>
            <w:tcW w:w="200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77"/>
              </w:rPr>
              <w:t>assets...................</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800" w:type="dxa"/>
            <w:vAlign w:val="bottom"/>
          </w:tcPr>
          <w:p>
            <w:pPr>
              <w:jc w:val="center"/>
              <w:spacing w:after="0"/>
              <w:rPr>
                <w:sz w:val="20"/>
                <w:szCs w:val="20"/>
                <w:color w:val="auto"/>
              </w:rPr>
            </w:pPr>
            <w:r>
              <w:rPr>
                <w:rFonts w:ascii="Courier New" w:cs="Courier New" w:eastAsia="Courier New" w:hAnsi="Courier New"/>
                <w:sz w:val="17"/>
                <w:szCs w:val="17"/>
                <w:color w:val="auto"/>
              </w:rPr>
              <w:t>(1,821)</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(1,458)</w:t>
            </w: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(1,570)</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(230)</w:t>
            </w:r>
          </w:p>
        </w:tc>
      </w:tr>
    </w:tbl>
    <w:p>
      <w:pPr>
        <w:spacing w:after="0" w:line="4" w:lineRule="exact"/>
        <w:rPr>
          <w:sz w:val="20"/>
          <w:szCs w:val="20"/>
          <w:color w:val="auto"/>
        </w:rPr>
      </w:pPr>
    </w:p>
    <w:p>
      <w:pPr>
        <w:ind w:left="1060" w:right="7219" w:hanging="896"/>
        <w:spacing w:after="0" w:line="251" w:lineRule="auto"/>
        <w:tabs>
          <w:tab w:leader="none" w:pos="798" w:val="left"/>
        </w:tabs>
        <w:numPr>
          <w:ilvl w:val="0"/>
          <w:numId w:val="7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(173) Amortization of transition</w:t>
      </w:r>
    </w:p>
    <w:p>
      <w:pPr>
        <w:spacing w:after="0"/>
        <w:rPr>
          <w:sz w:val="20"/>
          <w:szCs w:val="20"/>
          <w:color w:val="auto"/>
        </w:rPr>
      </w:pPr>
      <w:r>
        <w:rPr>
          <w:rFonts w:ascii="Courier New" w:cs="Courier New" w:eastAsia="Courier New" w:hAnsi="Courier New"/>
          <w:sz w:val="17"/>
          <w:szCs w:val="17"/>
          <w:color w:val="auto"/>
        </w:rPr>
        <w:t>asset.........................</w:t>
      </w:r>
    </w:p>
    <w:p>
      <w:pPr>
        <w:spacing w:after="0" w:line="9" w:lineRule="exact"/>
        <w:rPr>
          <w:sz w:val="20"/>
          <w:szCs w:val="20"/>
          <w:color w:val="auto"/>
        </w:rPr>
      </w:pPr>
    </w:p>
    <w:p>
      <w:pPr>
        <w:ind w:left="840" w:hanging="623"/>
        <w:spacing w:after="0"/>
        <w:tabs>
          <w:tab w:leader="none" w:pos="840" w:val="left"/>
        </w:tabs>
        <w:numPr>
          <w:ilvl w:val="0"/>
          <w:numId w:val="7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(158) (175) -- -- --</w:t>
      </w:r>
    </w:p>
    <w:p>
      <w:pPr>
        <w:spacing w:after="0" w:line="8" w:lineRule="exact"/>
        <w:rPr>
          <w:rFonts w:ascii="Courier New" w:cs="Courier New" w:eastAsia="Courier New" w:hAnsi="Courier New"/>
          <w:sz w:val="17"/>
          <w:szCs w:val="17"/>
          <w:color w:val="auto"/>
        </w:rPr>
      </w:pP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Amortization of</w:t>
      </w:r>
    </w:p>
    <w:p>
      <w:pPr>
        <w:spacing w:after="0" w:line="9"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7"/>
          <w:szCs w:val="17"/>
          <w:color w:val="auto"/>
        </w:rPr>
        <w:t>gains........... (332) (10) -</w:t>
      </w:r>
    </w:p>
    <w:p>
      <w:pPr>
        <w:spacing w:after="0" w:line="9"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7"/>
          <w:szCs w:val="17"/>
          <w:color w:val="auto"/>
        </w:rPr>
        <w:t>- (16) (1) -- Charges for</w:t>
      </w:r>
    </w:p>
    <w:p>
      <w:pPr>
        <w:spacing w:after="0" w:line="9"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7"/>
          <w:szCs w:val="17"/>
          <w:color w:val="auto"/>
        </w:rPr>
        <w:t>special termination</w:t>
      </w:r>
    </w:p>
    <w:p>
      <w:pPr>
        <w:spacing w:after="0" w:line="9"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7"/>
          <w:szCs w:val="17"/>
          <w:color w:val="auto"/>
        </w:rPr>
        <w:t>benefits*.....................</w:t>
      </w:r>
    </w:p>
    <w:p>
      <w:pPr>
        <w:spacing w:after="0" w:line="9" w:lineRule="exact"/>
        <w:rPr>
          <w:sz w:val="20"/>
          <w:szCs w:val="20"/>
          <w:color w:val="auto"/>
        </w:rPr>
      </w:pPr>
    </w:p>
    <w:p>
      <w:pPr>
        <w:ind w:left="640" w:right="7379" w:hanging="318"/>
        <w:spacing w:after="0" w:line="251" w:lineRule="auto"/>
        <w:tabs>
          <w:tab w:leader="none" w:pos="640" w:val="left"/>
        </w:tabs>
        <w:numPr>
          <w:ilvl w:val="0"/>
          <w:numId w:val="7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-- 2,254 16 5 169 Net curtailment losses</w:t>
      </w:r>
    </w:p>
    <w:p>
      <w:pPr>
        <w:spacing w:after="0"/>
        <w:rPr>
          <w:sz w:val="20"/>
          <w:szCs w:val="20"/>
          <w:color w:val="auto"/>
        </w:rPr>
      </w:pPr>
      <w:r>
        <w:rPr>
          <w:rFonts w:ascii="Courier New" w:cs="Courier New" w:eastAsia="Courier New" w:hAnsi="Courier New"/>
          <w:sz w:val="17"/>
          <w:szCs w:val="17"/>
          <w:color w:val="auto"/>
        </w:rPr>
        <w:t>(gains)*......................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121 -- 140 (14) -- 141 Net</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settlement losses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(gains)*......................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8 (121) (921) -- -- -- Net</w:t>
      </w:r>
    </w:p>
    <w:p>
      <w:pPr>
        <w:sectPr>
          <w:pgSz w:w="11900" w:h="16838" w:orient="portrait"/>
          <w:cols w:equalWidth="0" w:num="1">
            <w:col w:w="10219"/>
          </w:cols>
          <w:pgMar w:left="240" w:top="518" w:right="1440" w:bottom="0" w:gutter="0" w:footer="0" w:header="0"/>
        </w:sectPr>
      </w:pPr>
    </w:p>
    <w:bookmarkStart w:id="669" w:name="page670"/>
    <w:bookmarkEnd w:id="669"/>
    <w:p>
      <w:pPr>
        <w:jc w:val="center"/>
        <w:ind w:right="7079"/>
        <w:spacing w:after="0"/>
        <w:rPr>
          <w:sz w:val="20"/>
          <w:szCs w:val="20"/>
          <w:color w:val="auto"/>
        </w:rPr>
      </w:pPr>
      <w:r>
        <w:rPr>
          <w:rFonts w:ascii="Courier New" w:cs="Courier New" w:eastAsia="Courier New" w:hAnsi="Courier New"/>
          <w:sz w:val="17"/>
          <w:szCs w:val="17"/>
          <w:color w:val="auto"/>
        </w:rPr>
        <w:t>periodic benefit (credit)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w:t>
      </w:r>
    </w:p>
    <w:p>
      <w:pPr>
        <w:spacing w:after="0" w:line="9" w:lineRule="exact"/>
        <w:rPr>
          <w:sz w:val="20"/>
          <w:szCs w:val="20"/>
          <w:color w:val="auto"/>
        </w:rPr>
      </w:pPr>
    </w:p>
    <w:p>
      <w:pPr>
        <w:ind w:left="1000" w:right="7119" w:hanging="940"/>
        <w:spacing w:after="0" w:line="257" w:lineRule="auto"/>
        <w:tabs>
          <w:tab w:leader="none" w:pos="267" w:val="left"/>
        </w:tabs>
        <w:numPr>
          <w:ilvl w:val="1"/>
          <w:numId w:val="7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(767) $ (422) $ 1,078 $ 147 $ 195 $ 513</w:t>
      </w:r>
    </w:p>
    <w:p>
      <w:pPr>
        <w:spacing w:after="0" w:line="393"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7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320" w:right="2979" w:hanging="313"/>
        <w:spacing w:after="0" w:line="257" w:lineRule="auto"/>
        <w:tabs>
          <w:tab w:leader="none" w:pos="320" w:val="left"/>
        </w:tabs>
        <w:numPr>
          <w:ilvl w:val="0"/>
          <w:numId w:val="7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Primarily included in "Net restructuring and other charges" in the Consolidated Statements of Income.</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January 26, 1998, we offered a voluntary retirement incentive program (VRIP) to employees who were eligible participants in the AT&amp;T Management Pension Plan. Approximately 15,300 management employees accepted the VRIP offer. In connection with the VRIP, we recorded pretax charges in 1998 for pension and postretirement plan special-termination benefits of $2,254 and $169, respectively. We also recorded pension and postretirement plan pretax charges of $120 and $143, respectively, which are included within net curtailment losses in 1998. The special-termination benefits reflect the value of pension benefit improvements and expanded eligibility for postretirement benefits. The VRIP also permitted employees to choose either a total lump-sum distribution of their pension benefits or periodic future annuity payments.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L-70</w:t>
      </w:r>
    </w:p>
    <w:p>
      <w:pPr>
        <w:sectPr>
          <w:pgSz w:w="11900" w:h="16838" w:orient="portrait"/>
          <w:cols w:equalWidth="0" w:num="1">
            <w:col w:w="10219"/>
          </w:cols>
          <w:pgMar w:left="240" w:top="143" w:right="1440" w:bottom="1440" w:gutter="0" w:footer="0" w:header="0"/>
        </w:sectPr>
      </w:pPr>
    </w:p>
    <w:bookmarkStart w:id="670" w:name="page671"/>
    <w:bookmarkEnd w:id="670"/>
    <w:p>
      <w:pPr>
        <w:spacing w:after="0" w:line="3"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As of December 31, 1999, all 15,300 employees had terminated employment under the VRIP. AT&amp;T has settled the pension obligations covering about 15,100 of these employees, the remainder of which either chose to defer commencing their pension benefits or elected to receive an annuity distribution. Lump-sum pension settlements totaling $5.2 billion, including a portion of the special-pension termination benefits referred to above, resulted in settlement gains of $121 and $940 recorded in 1999 and 1998, respectively.</w:t>
      </w:r>
    </w:p>
    <w:p>
      <w:pPr>
        <w:spacing w:after="0" w:line="196"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The following tables provide a reconciliation of the changes in the plans' benefit obligations and fair value of assets, and a statement of the funded status:</w:t>
      </w:r>
    </w:p>
    <w:p>
      <w:pPr>
        <w:spacing w:after="0" w:line="19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POSTRETIREMENT PENSION BENEFITS BENEFITS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FOR THE YEARS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ENDED DECEMBER 31, 2000 1999 2000 1999 -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ind w:left="780" w:right="5459" w:hanging="620"/>
        <w:spacing w:after="0" w:line="251" w:lineRule="auto"/>
        <w:tabs>
          <w:tab w:leader="none" w:pos="780" w:val="left"/>
        </w:tabs>
        <w:numPr>
          <w:ilvl w:val="0"/>
          <w:numId w:val="7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Change in benefit obligations: Benefit obligation, beginning of</w:t>
      </w:r>
    </w:p>
    <w:tbl>
      <w:tblPr>
        <w:tblLayout w:type="fixed"/>
        <w:tblInd w:w="0" w:type="dxa"/>
        <w:tblCellMar>
          <w:top w:w="0" w:type="dxa"/>
          <w:left w:w="0" w:type="dxa"/>
          <w:bottom w:w="0" w:type="dxa"/>
          <w:right w:w="0" w:type="dxa"/>
        </w:tblCellMar>
      </w:tblPr>
      <w:tr>
        <w:trPr>
          <w:trHeight w:val="197"/>
        </w:trPr>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w w:val="91"/>
              </w:rPr>
              <w:t>year..........</w:t>
            </w:r>
          </w:p>
        </w:tc>
        <w:tc>
          <w:tcPr>
            <w:tcW w:w="110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$12,868</w:t>
            </w:r>
          </w:p>
        </w:tc>
        <w:tc>
          <w:tcPr>
            <w:tcW w:w="8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$14,443</w:t>
            </w:r>
          </w:p>
        </w:tc>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$ 4,642 $ 5,168</w:t>
            </w:r>
          </w:p>
        </w:tc>
      </w:tr>
      <w:tr>
        <w:trPr>
          <w:trHeight w:val="201"/>
        </w:trPr>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gridSpan w:val="4"/>
          </w:tcPr>
          <w:p>
            <w:pPr>
              <w:jc w:val="center"/>
              <w:ind w:right="53"/>
              <w:spacing w:after="0"/>
              <w:rPr>
                <w:sz w:val="20"/>
                <w:szCs w:val="20"/>
                <w:color w:val="auto"/>
              </w:rPr>
            </w:pPr>
            <w:r>
              <w:rPr>
                <w:rFonts w:ascii="Courier New" w:cs="Courier New" w:eastAsia="Courier New" w:hAnsi="Courier New"/>
                <w:sz w:val="17"/>
                <w:szCs w:val="17"/>
                <w:color w:val="auto"/>
              </w:rPr>
              <w:t>Service</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cost...................................</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248</w:t>
            </w:r>
          </w:p>
        </w:tc>
      </w:tr>
      <w:tr>
        <w:trPr>
          <w:trHeight w:val="201"/>
        </w:trPr>
        <w:tc>
          <w:tcPr>
            <w:tcW w:w="1320" w:type="dxa"/>
            <w:vAlign w:val="bottom"/>
          </w:tcPr>
          <w:p>
            <w:pPr>
              <w:spacing w:after="0"/>
              <w:rPr>
                <w:sz w:val="17"/>
                <w:szCs w:val="17"/>
                <w:color w:val="auto"/>
              </w:rPr>
            </w:pPr>
          </w:p>
        </w:tc>
        <w:tc>
          <w:tcPr>
            <w:tcW w:w="2560" w:type="dxa"/>
            <w:vAlign w:val="bottom"/>
            <w:gridSpan w:val="6"/>
          </w:tcPr>
          <w:p>
            <w:pPr>
              <w:jc w:val="center"/>
              <w:ind w:right="193"/>
              <w:spacing w:after="0"/>
              <w:rPr>
                <w:sz w:val="20"/>
                <w:szCs w:val="20"/>
                <w:color w:val="auto"/>
              </w:rPr>
            </w:pPr>
            <w:r>
              <w:rPr>
                <w:rFonts w:ascii="Courier New" w:cs="Courier New" w:eastAsia="Courier New" w:hAnsi="Courier New"/>
                <w:sz w:val="17"/>
                <w:szCs w:val="17"/>
                <w:color w:val="auto"/>
              </w:rPr>
              <w:t>247 35 54 Interest</w:t>
            </w: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cost..................................</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991 919</w:t>
            </w:r>
          </w:p>
        </w:tc>
      </w:tr>
      <w:tr>
        <w:trPr>
          <w:trHeight w:val="201"/>
        </w:trPr>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gridSpan w:val="4"/>
          </w:tcPr>
          <w:p>
            <w:pPr>
              <w:jc w:val="center"/>
              <w:ind w:right="53"/>
              <w:spacing w:after="0"/>
              <w:rPr>
                <w:sz w:val="20"/>
                <w:szCs w:val="20"/>
                <w:color w:val="auto"/>
              </w:rPr>
            </w:pPr>
            <w:r>
              <w:rPr>
                <w:rFonts w:ascii="Courier New" w:cs="Courier New" w:eastAsia="Courier New" w:hAnsi="Courier New"/>
                <w:sz w:val="17"/>
                <w:szCs w:val="17"/>
                <w:color w:val="auto"/>
              </w:rPr>
              <w:t>352 324 Plan</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amendments................................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201"/>
        </w:trPr>
        <w:tc>
          <w:tcPr>
            <w:tcW w:w="3880" w:type="dxa"/>
            <w:vAlign w:val="bottom"/>
            <w:gridSpan w:val="7"/>
          </w:tcPr>
          <w:p>
            <w:pPr>
              <w:jc w:val="center"/>
              <w:ind w:left="986"/>
              <w:spacing w:after="0"/>
              <w:rPr>
                <w:sz w:val="20"/>
                <w:szCs w:val="20"/>
                <w:color w:val="auto"/>
              </w:rPr>
            </w:pPr>
            <w:r>
              <w:rPr>
                <w:rFonts w:ascii="Courier New" w:cs="Courier New" w:eastAsia="Courier New" w:hAnsi="Courier New"/>
                <w:sz w:val="17"/>
                <w:szCs w:val="17"/>
                <w:color w:val="auto"/>
              </w:rPr>
              <w:t>558 (45) 4 Actuarial losses</w:t>
            </w: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(gains).......................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5 (1,683) 203</w:t>
            </w:r>
          </w:p>
        </w:tc>
      </w:tr>
      <w:tr>
        <w:trPr>
          <w:trHeight w:val="201"/>
        </w:trPr>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(579)</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Acquisition....................................</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1320" w:type="dxa"/>
            <w:vAlign w:val="bottom"/>
          </w:tcPr>
          <w:p>
            <w:pPr>
              <w:spacing w:after="0"/>
              <w:rPr>
                <w:sz w:val="17"/>
                <w:szCs w:val="17"/>
                <w:color w:val="auto"/>
              </w:rPr>
            </w:pPr>
          </w:p>
        </w:tc>
        <w:tc>
          <w:tcPr>
            <w:tcW w:w="2560" w:type="dxa"/>
            <w:vAlign w:val="bottom"/>
            <w:gridSpan w:val="6"/>
          </w:tcPr>
          <w:p>
            <w:pPr>
              <w:jc w:val="center"/>
              <w:ind w:right="173"/>
              <w:spacing w:after="0"/>
              <w:rPr>
                <w:sz w:val="20"/>
                <w:szCs w:val="20"/>
                <w:color w:val="auto"/>
              </w:rPr>
            </w:pPr>
            <w:r>
              <w:rPr>
                <w:rFonts w:ascii="Courier New" w:cs="Courier New" w:eastAsia="Courier New" w:hAnsi="Courier New"/>
                <w:sz w:val="17"/>
                <w:szCs w:val="17"/>
                <w:color w:val="auto"/>
              </w:rPr>
              <w:t>204 -- 38 -- Benefit</w:t>
            </w: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payments...............................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4880" w:type="dxa"/>
            <w:vAlign w:val="bottom"/>
            <w:gridSpan w:val="8"/>
          </w:tcPr>
          <w:p>
            <w:pPr>
              <w:jc w:val="center"/>
              <w:spacing w:after="0"/>
              <w:rPr>
                <w:sz w:val="20"/>
                <w:szCs w:val="20"/>
                <w:color w:val="auto"/>
              </w:rPr>
            </w:pPr>
            <w:r>
              <w:rPr>
                <w:rFonts w:ascii="Courier New" w:cs="Courier New" w:eastAsia="Courier New" w:hAnsi="Courier New"/>
                <w:sz w:val="17"/>
                <w:szCs w:val="17"/>
                <w:color w:val="auto"/>
              </w:rPr>
              <w:t>(1,228) (1,062) (362) (334) Special</w:t>
            </w:r>
          </w:p>
        </w:tc>
      </w:tr>
      <w:tr>
        <w:trPr>
          <w:trHeight w:val="201"/>
        </w:trPr>
        <w:tc>
          <w:tcPr>
            <w:tcW w:w="272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74"/>
              </w:rPr>
              <w:t>termination benefits...................</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r>
      <w:tr>
        <w:trPr>
          <w:trHeight w:val="201"/>
        </w:trPr>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16 5</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Settlements....................................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4880" w:type="dxa"/>
            <w:vAlign w:val="bottom"/>
            <w:gridSpan w:val="8"/>
          </w:tcPr>
          <w:p>
            <w:pPr>
              <w:jc w:val="center"/>
              <w:spacing w:after="0"/>
              <w:rPr>
                <w:sz w:val="20"/>
                <w:szCs w:val="20"/>
                <w:color w:val="auto"/>
              </w:rPr>
            </w:pPr>
            <w:r>
              <w:rPr>
                <w:rFonts w:ascii="Courier New" w:cs="Courier New" w:eastAsia="Courier New" w:hAnsi="Courier New"/>
                <w:sz w:val="17"/>
                <w:szCs w:val="17"/>
                <w:color w:val="auto"/>
              </w:rPr>
              <w:t>(57) (554) -- -- Curtailment</w:t>
            </w: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losses.............................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-- 7 --</w:t>
            </w:r>
          </w:p>
        </w:tc>
      </w:tr>
      <w:tr>
        <w:trPr>
          <w:trHeight w:val="201"/>
        </w:trPr>
        <w:tc>
          <w:tcPr>
            <w:tcW w:w="3880" w:type="dxa"/>
            <w:vAlign w:val="bottom"/>
            <w:gridSpan w:val="7"/>
          </w:tcPr>
          <w:p>
            <w:pPr>
              <w:jc w:val="center"/>
              <w:ind w:left="966"/>
              <w:spacing w:after="0"/>
              <w:rPr>
                <w:sz w:val="20"/>
                <w:szCs w:val="20"/>
                <w:color w:val="auto"/>
              </w:rPr>
            </w:pPr>
            <w:r>
              <w:rPr>
                <w:rFonts w:ascii="Courier New" w:cs="Courier New" w:eastAsia="Courier New" w:hAnsi="Courier New"/>
                <w:sz w:val="17"/>
                <w:szCs w:val="17"/>
                <w:color w:val="auto"/>
              </w:rPr>
              <w:t>Benefit obligation, end of</w:t>
            </w: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6"/>
              </w:rPr>
              <w:t>year................</w:t>
            </w:r>
          </w:p>
        </w:tc>
        <w:tc>
          <w:tcPr>
            <w:tcW w:w="360" w:type="dxa"/>
            <w:vAlign w:val="bottom"/>
          </w:tcPr>
          <w:p>
            <w:pPr>
              <w:spacing w:after="0"/>
              <w:rPr>
                <w:sz w:val="17"/>
                <w:szCs w:val="17"/>
                <w:color w:val="auto"/>
              </w:rPr>
            </w:pPr>
          </w:p>
        </w:tc>
        <w:tc>
          <w:tcPr>
            <w:tcW w:w="1740" w:type="dxa"/>
            <w:vAlign w:val="bottom"/>
            <w:gridSpan w:val="4"/>
          </w:tcPr>
          <w:p>
            <w:pPr>
              <w:ind w:left="120"/>
              <w:spacing w:after="0"/>
              <w:rPr>
                <w:sz w:val="20"/>
                <w:szCs w:val="20"/>
                <w:color w:val="auto"/>
              </w:rPr>
            </w:pPr>
            <w:r>
              <w:rPr>
                <w:rFonts w:ascii="Courier New" w:cs="Courier New" w:eastAsia="Courier New" w:hAnsi="Courier New"/>
                <w:sz w:val="17"/>
                <w:szCs w:val="17"/>
                <w:color w:val="auto"/>
              </w:rPr>
              <w:t>$13,063 $12,868</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$ 4,886 $</w:t>
            </w:r>
          </w:p>
        </w:tc>
      </w:tr>
      <w:tr>
        <w:trPr>
          <w:trHeight w:val="201"/>
        </w:trPr>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w w:val="98"/>
              </w:rPr>
              <w:t>4,642 -------</w:t>
            </w:r>
          </w:p>
        </w:tc>
        <w:tc>
          <w:tcPr>
            <w:tcW w:w="3560" w:type="dxa"/>
            <w:vAlign w:val="bottom"/>
            <w:gridSpan w:val="7"/>
          </w:tcPr>
          <w:p>
            <w:pPr>
              <w:ind w:left="300"/>
              <w:spacing w:after="0"/>
              <w:rPr>
                <w:sz w:val="20"/>
                <w:szCs w:val="20"/>
                <w:color w:val="auto"/>
              </w:rPr>
            </w:pPr>
            <w:r>
              <w:rPr>
                <w:rFonts w:ascii="Courier New" w:cs="Courier New" w:eastAsia="Courier New" w:hAnsi="Courier New"/>
                <w:sz w:val="17"/>
                <w:szCs w:val="17"/>
                <w:color w:val="auto"/>
              </w:rPr>
              <w:t>------- ------- ------- Change</w:t>
            </w:r>
          </w:p>
        </w:tc>
      </w:tr>
      <w:tr>
        <w:trPr>
          <w:trHeight w:val="201"/>
        </w:trPr>
        <w:tc>
          <w:tcPr>
            <w:tcW w:w="4880" w:type="dxa"/>
            <w:vAlign w:val="bottom"/>
            <w:gridSpan w:val="8"/>
          </w:tcPr>
          <w:p>
            <w:pPr>
              <w:jc w:val="center"/>
              <w:spacing w:after="0"/>
              <w:rPr>
                <w:sz w:val="20"/>
                <w:szCs w:val="20"/>
                <w:color w:val="auto"/>
              </w:rPr>
            </w:pPr>
            <w:r>
              <w:rPr>
                <w:rFonts w:ascii="Courier New" w:cs="Courier New" w:eastAsia="Courier New" w:hAnsi="Courier New"/>
                <w:sz w:val="17"/>
                <w:szCs w:val="17"/>
                <w:color w:val="auto"/>
              </w:rPr>
              <w:t>in fair value of plan assets: Fair value of</w:t>
            </w:r>
          </w:p>
        </w:tc>
      </w:tr>
      <w:tr>
        <w:trPr>
          <w:trHeight w:val="201"/>
        </w:trPr>
        <w:tc>
          <w:tcPr>
            <w:tcW w:w="3880" w:type="dxa"/>
            <w:vAlign w:val="bottom"/>
            <w:gridSpan w:val="7"/>
          </w:tcPr>
          <w:p>
            <w:pPr>
              <w:jc w:val="right"/>
              <w:ind w:right="13"/>
              <w:spacing w:after="0"/>
              <w:rPr>
                <w:sz w:val="20"/>
                <w:szCs w:val="20"/>
                <w:color w:val="auto"/>
              </w:rPr>
            </w:pPr>
            <w:r>
              <w:rPr>
                <w:rFonts w:ascii="Courier New" w:cs="Courier New" w:eastAsia="Courier New" w:hAnsi="Courier New"/>
                <w:sz w:val="17"/>
                <w:szCs w:val="17"/>
                <w:color w:val="auto"/>
              </w:rPr>
              <w:t>plan assets, beginning of year...</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$21,854</w:t>
            </w:r>
          </w:p>
        </w:tc>
      </w:tr>
      <w:tr>
        <w:trPr>
          <w:trHeight w:val="201"/>
        </w:trPr>
        <w:tc>
          <w:tcPr>
            <w:tcW w:w="1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$18,567 $ 2,852</w:t>
            </w:r>
          </w:p>
        </w:tc>
        <w:tc>
          <w:tcPr>
            <w:tcW w:w="310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$ 2,476 Actual return on plan</w:t>
            </w: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assets...................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995 4,855 (128) 385</w:t>
            </w:r>
          </w:p>
        </w:tc>
      </w:tr>
      <w:tr>
        <w:trPr>
          <w:trHeight w:val="201"/>
        </w:trPr>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gridSpan w:val="4"/>
          </w:tcPr>
          <w:p>
            <w:pPr>
              <w:jc w:val="center"/>
              <w:ind w:right="73"/>
              <w:spacing w:after="0"/>
              <w:rPr>
                <w:sz w:val="20"/>
                <w:szCs w:val="20"/>
                <w:color w:val="auto"/>
              </w:rPr>
            </w:pPr>
            <w:r>
              <w:rPr>
                <w:rFonts w:ascii="Courier New" w:cs="Courier New" w:eastAsia="Courier New" w:hAnsi="Courier New"/>
                <w:sz w:val="17"/>
                <w:szCs w:val="17"/>
                <w:color w:val="auto"/>
              </w:rPr>
              <w:t>Employer</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1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1"/>
              </w:rPr>
              <w:t>contributions.........................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94 48</w:t>
            </w:r>
          </w:p>
        </w:tc>
      </w:tr>
      <w:tr>
        <w:trPr>
          <w:trHeight w:val="201"/>
        </w:trPr>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159</w:t>
            </w:r>
          </w:p>
        </w:tc>
        <w:tc>
          <w:tcPr>
            <w:tcW w:w="88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325</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Acquisition....................................</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1320" w:type="dxa"/>
            <w:vAlign w:val="bottom"/>
          </w:tcPr>
          <w:p>
            <w:pPr>
              <w:spacing w:after="0"/>
              <w:rPr>
                <w:sz w:val="17"/>
                <w:szCs w:val="17"/>
                <w:color w:val="auto"/>
              </w:rPr>
            </w:pPr>
          </w:p>
        </w:tc>
        <w:tc>
          <w:tcPr>
            <w:tcW w:w="2560" w:type="dxa"/>
            <w:vAlign w:val="bottom"/>
            <w:gridSpan w:val="6"/>
          </w:tcPr>
          <w:p>
            <w:pPr>
              <w:jc w:val="center"/>
              <w:ind w:right="193"/>
              <w:spacing w:after="0"/>
              <w:rPr>
                <w:sz w:val="20"/>
                <w:szCs w:val="20"/>
                <w:color w:val="auto"/>
              </w:rPr>
            </w:pPr>
            <w:r>
              <w:rPr>
                <w:rFonts w:ascii="Courier New" w:cs="Courier New" w:eastAsia="Courier New" w:hAnsi="Courier New"/>
                <w:sz w:val="17"/>
                <w:szCs w:val="17"/>
                <w:color w:val="auto"/>
              </w:rPr>
              <w:t>205 -- 5 -- Benefit</w:t>
            </w: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payments...............................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(1,228)</w:t>
            </w:r>
          </w:p>
        </w:tc>
        <w:tc>
          <w:tcPr>
            <w:tcW w:w="9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(1,062)</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(362)</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(334)</w:t>
            </w: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Settlements....................................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4880" w:type="dxa"/>
            <w:vAlign w:val="bottom"/>
            <w:gridSpan w:val="8"/>
          </w:tcPr>
          <w:p>
            <w:pPr>
              <w:jc w:val="center"/>
              <w:spacing w:after="0"/>
              <w:rPr>
                <w:sz w:val="20"/>
                <w:szCs w:val="20"/>
                <w:color w:val="auto"/>
              </w:rPr>
            </w:pPr>
            <w:r>
              <w:rPr>
                <w:rFonts w:ascii="Courier New" w:cs="Courier New" w:eastAsia="Courier New" w:hAnsi="Courier New"/>
                <w:sz w:val="17"/>
                <w:szCs w:val="17"/>
                <w:color w:val="auto"/>
              </w:rPr>
              <w:t>(57) (554) -- -- Fair value of plan assets,</w:t>
            </w: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6"/>
              </w:rPr>
              <w:t>end of year.........</w:t>
            </w:r>
          </w:p>
        </w:tc>
        <w:tc>
          <w:tcPr>
            <w:tcW w:w="360" w:type="dxa"/>
            <w:vAlign w:val="bottom"/>
          </w:tcPr>
          <w:p>
            <w:pPr>
              <w:spacing w:after="0"/>
              <w:rPr>
                <w:sz w:val="17"/>
                <w:szCs w:val="17"/>
                <w:color w:val="auto"/>
              </w:rPr>
            </w:pPr>
          </w:p>
        </w:tc>
        <w:tc>
          <w:tcPr>
            <w:tcW w:w="1740" w:type="dxa"/>
            <w:vAlign w:val="bottom"/>
            <w:gridSpan w:val="4"/>
          </w:tcPr>
          <w:p>
            <w:pPr>
              <w:ind w:left="120"/>
              <w:spacing w:after="0"/>
              <w:rPr>
                <w:sz w:val="20"/>
                <w:szCs w:val="20"/>
                <w:color w:val="auto"/>
              </w:rPr>
            </w:pPr>
            <w:r>
              <w:rPr>
                <w:rFonts w:ascii="Courier New" w:cs="Courier New" w:eastAsia="Courier New" w:hAnsi="Courier New"/>
                <w:sz w:val="17"/>
                <w:szCs w:val="17"/>
                <w:color w:val="auto"/>
              </w:rPr>
              <w:t>$21,863 $21,854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$ 2,526 $</w:t>
            </w: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2,852 -------</w:t>
            </w:r>
          </w:p>
        </w:tc>
        <w:tc>
          <w:tcPr>
            <w:tcW w:w="3100" w:type="dxa"/>
            <w:vAlign w:val="bottom"/>
            <w:gridSpan w:val="6"/>
          </w:tcPr>
          <w:p>
            <w:pPr>
              <w:jc w:val="right"/>
              <w:ind w:right="393"/>
              <w:spacing w:after="0"/>
              <w:rPr>
                <w:sz w:val="20"/>
                <w:szCs w:val="20"/>
                <w:color w:val="auto"/>
              </w:rPr>
            </w:pPr>
            <w:r>
              <w:rPr>
                <w:rFonts w:ascii="Courier New" w:cs="Courier New" w:eastAsia="Courier New" w:hAnsi="Courier New"/>
                <w:sz w:val="17"/>
                <w:szCs w:val="17"/>
                <w:color w:val="auto"/>
              </w:rPr>
              <w:t>------- ------- -------</w:t>
            </w:r>
          </w:p>
        </w:tc>
      </w:tr>
      <w:tr>
        <w:trPr>
          <w:trHeight w:val="604"/>
        </w:trPr>
        <w:tc>
          <w:tcPr>
            <w:tcW w:w="3880" w:type="dxa"/>
            <w:vAlign w:val="bottom"/>
            <w:gridSpan w:val="7"/>
          </w:tcPr>
          <w:p>
            <w:pPr>
              <w:jc w:val="center"/>
              <w:ind w:right="13"/>
              <w:spacing w:after="0"/>
              <w:rPr>
                <w:sz w:val="20"/>
                <w:szCs w:val="20"/>
                <w:color w:val="auto"/>
              </w:rPr>
            </w:pPr>
            <w:r>
              <w:rPr>
                <w:rFonts w:ascii="Courier New" w:cs="Courier New" w:eastAsia="Courier New" w:hAnsi="Courier New"/>
                <w:sz w:val="17"/>
                <w:szCs w:val="17"/>
                <w:color w:val="auto"/>
              </w:rPr>
              <w:t>AT DECEMBER 31, ---------------</w:t>
            </w:r>
          </w:p>
        </w:tc>
        <w:tc>
          <w:tcPr>
            <w:tcW w:w="1000" w:type="dxa"/>
            <w:vAlign w:val="bottom"/>
          </w:tcPr>
          <w:p>
            <w:pPr>
              <w:spacing w:after="0"/>
              <w:rPr>
                <w:sz w:val="24"/>
                <w:szCs w:val="24"/>
                <w:color w:val="auto"/>
              </w:rPr>
            </w:pPr>
          </w:p>
        </w:tc>
      </w:tr>
      <w:tr>
        <w:trPr>
          <w:trHeight w:val="201"/>
        </w:trPr>
        <w:tc>
          <w:tcPr>
            <w:tcW w:w="3300" w:type="dxa"/>
            <w:vAlign w:val="bottom"/>
            <w:gridSpan w:val="6"/>
          </w:tcPr>
          <w:p>
            <w:pPr>
              <w:jc w:val="center"/>
              <w:ind w:left="386"/>
              <w:spacing w:after="0"/>
              <w:rPr>
                <w:sz w:val="20"/>
                <w:szCs w:val="20"/>
                <w:color w:val="auto"/>
              </w:rPr>
            </w:pPr>
            <w:r>
              <w:rPr>
                <w:rFonts w:ascii="Courier New" w:cs="Courier New" w:eastAsia="Courier New" w:hAnsi="Courier New"/>
                <w:sz w:val="17"/>
                <w:szCs w:val="17"/>
                <w:color w:val="auto"/>
              </w:rPr>
              <w:t>Funded (unfounded) benefit</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1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obligation..........</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$ 8,800</w:t>
            </w:r>
          </w:p>
        </w:tc>
        <w:tc>
          <w:tcPr>
            <w:tcW w:w="5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7"/>
                <w:szCs w:val="17"/>
                <w:color w:val="auto"/>
              </w:rPr>
            </w:pPr>
          </w:p>
        </w:tc>
      </w:tr>
      <w:tr>
        <w:trPr>
          <w:trHeight w:val="201"/>
        </w:trPr>
        <w:tc>
          <w:tcPr>
            <w:tcW w:w="1320" w:type="dxa"/>
            <w:vAlign w:val="bottom"/>
          </w:tcPr>
          <w:p>
            <w:pPr>
              <w:jc w:val="right"/>
              <w:ind w:right="46"/>
              <w:spacing w:after="0"/>
              <w:rPr>
                <w:sz w:val="20"/>
                <w:szCs w:val="20"/>
                <w:color w:val="auto"/>
              </w:rPr>
            </w:pPr>
            <w:r>
              <w:rPr>
                <w:rFonts w:ascii="Courier New" w:cs="Courier New" w:eastAsia="Courier New" w:hAnsi="Courier New"/>
                <w:sz w:val="17"/>
                <w:szCs w:val="17"/>
                <w:color w:val="auto"/>
              </w:rPr>
              <w:t>8,986</w:t>
            </w:r>
          </w:p>
        </w:tc>
        <w:tc>
          <w:tcPr>
            <w:tcW w:w="820" w:type="dxa"/>
            <w:vAlign w:val="bottom"/>
            <w:gridSpan w:val="2"/>
          </w:tcPr>
          <w:p>
            <w:pPr>
              <w:spacing w:after="0"/>
              <w:rPr>
                <w:sz w:val="20"/>
                <w:szCs w:val="20"/>
                <w:color w:val="auto"/>
              </w:rPr>
            </w:pPr>
            <w:r>
              <w:rPr>
                <w:rFonts w:ascii="Courier New" w:cs="Courier New" w:eastAsia="Courier New" w:hAnsi="Courier New"/>
                <w:sz w:val="17"/>
                <w:szCs w:val="17"/>
                <w:color w:val="auto"/>
                <w:w w:val="97"/>
              </w:rPr>
              <w:t>$(2,360)</w:t>
            </w:r>
          </w:p>
        </w:tc>
        <w:tc>
          <w:tcPr>
            <w:tcW w:w="1160" w:type="dxa"/>
            <w:vAlign w:val="bottom"/>
            <w:gridSpan w:val="3"/>
          </w:tcPr>
          <w:p>
            <w:pPr>
              <w:ind w:left="120"/>
              <w:spacing w:after="0"/>
              <w:rPr>
                <w:sz w:val="20"/>
                <w:szCs w:val="20"/>
                <w:color w:val="auto"/>
              </w:rPr>
            </w:pPr>
            <w:r>
              <w:rPr>
                <w:rFonts w:ascii="Courier New" w:cs="Courier New" w:eastAsia="Courier New" w:hAnsi="Courier New"/>
                <w:sz w:val="17"/>
                <w:szCs w:val="17"/>
                <w:color w:val="auto"/>
              </w:rPr>
              <w:t>$(1,790)</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2720" w:type="dxa"/>
            <w:vAlign w:val="bottom"/>
            <w:gridSpan w:val="5"/>
          </w:tcPr>
          <w:p>
            <w:pPr>
              <w:jc w:val="center"/>
              <w:ind w:left="966"/>
              <w:spacing w:after="0"/>
              <w:rPr>
                <w:sz w:val="20"/>
                <w:szCs w:val="20"/>
                <w:color w:val="auto"/>
              </w:rPr>
            </w:pPr>
            <w:r>
              <w:rPr>
                <w:rFonts w:ascii="Courier New" w:cs="Courier New" w:eastAsia="Courier New" w:hAnsi="Courier New"/>
                <w:sz w:val="17"/>
                <w:szCs w:val="17"/>
                <w:color w:val="auto"/>
              </w:rPr>
              <w:t>Unrecognized net</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gain..........................</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1320" w:type="dxa"/>
            <w:vAlign w:val="bottom"/>
          </w:tcPr>
          <w:p>
            <w:pPr>
              <w:jc w:val="right"/>
              <w:ind w:right="46"/>
              <w:spacing w:after="0"/>
              <w:rPr>
                <w:sz w:val="20"/>
                <w:szCs w:val="20"/>
                <w:color w:val="auto"/>
              </w:rPr>
            </w:pPr>
            <w:r>
              <w:rPr>
                <w:rFonts w:ascii="Courier New" w:cs="Courier New" w:eastAsia="Courier New" w:hAnsi="Courier New"/>
                <w:sz w:val="17"/>
                <w:szCs w:val="17"/>
                <w:color w:val="auto"/>
              </w:rPr>
              <w:t>(7,301)</w:t>
            </w:r>
          </w:p>
        </w:tc>
        <w:tc>
          <w:tcPr>
            <w:tcW w:w="820" w:type="dxa"/>
            <w:vAlign w:val="bottom"/>
            <w:gridSpan w:val="2"/>
          </w:tcPr>
          <w:p>
            <w:pPr>
              <w:spacing w:after="0"/>
              <w:rPr>
                <w:sz w:val="20"/>
                <w:szCs w:val="20"/>
                <w:color w:val="auto"/>
              </w:rPr>
            </w:pPr>
            <w:r>
              <w:rPr>
                <w:rFonts w:ascii="Courier New" w:cs="Courier New" w:eastAsia="Courier New" w:hAnsi="Courier New"/>
                <w:sz w:val="17"/>
                <w:szCs w:val="17"/>
                <w:color w:val="auto"/>
              </w:rPr>
              <w:t>(8,457)</w:t>
            </w:r>
          </w:p>
        </w:tc>
        <w:tc>
          <w:tcPr>
            <w:tcW w:w="11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(188) (800)</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3300" w:type="dxa"/>
            <w:vAlign w:val="bottom"/>
            <w:gridSpan w:val="6"/>
          </w:tcPr>
          <w:p>
            <w:pPr>
              <w:jc w:val="center"/>
              <w:ind w:left="406"/>
              <w:spacing w:after="0"/>
              <w:rPr>
                <w:sz w:val="20"/>
                <w:szCs w:val="20"/>
                <w:color w:val="auto"/>
              </w:rPr>
            </w:pPr>
            <w:r>
              <w:rPr>
                <w:rFonts w:ascii="Courier New" w:cs="Courier New" w:eastAsia="Courier New" w:hAnsi="Courier New"/>
                <w:sz w:val="17"/>
                <w:szCs w:val="17"/>
                <w:color w:val="auto"/>
              </w:rPr>
              <w:t>Unrecognized transition</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5"/>
              </w:rPr>
              <w:t>asset..................</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(123) (279)</w:t>
            </w:r>
          </w:p>
        </w:tc>
        <w:tc>
          <w:tcPr>
            <w:tcW w:w="1000" w:type="dxa"/>
            <w:vAlign w:val="bottom"/>
          </w:tcPr>
          <w:p>
            <w:pPr>
              <w:spacing w:after="0"/>
              <w:rPr>
                <w:sz w:val="17"/>
                <w:szCs w:val="17"/>
                <w:color w:val="auto"/>
              </w:rPr>
            </w:pPr>
          </w:p>
        </w:tc>
      </w:tr>
      <w:tr>
        <w:trPr>
          <w:trHeight w:val="201"/>
        </w:trPr>
        <w:tc>
          <w:tcPr>
            <w:tcW w:w="3880" w:type="dxa"/>
            <w:vAlign w:val="bottom"/>
            <w:gridSpan w:val="7"/>
          </w:tcPr>
          <w:p>
            <w:pPr>
              <w:jc w:val="center"/>
              <w:ind w:right="13"/>
              <w:spacing w:after="0"/>
              <w:rPr>
                <w:sz w:val="20"/>
                <w:szCs w:val="20"/>
                <w:color w:val="auto"/>
              </w:rPr>
            </w:pPr>
            <w:r>
              <w:rPr>
                <w:rFonts w:ascii="Courier New" w:cs="Courier New" w:eastAsia="Courier New" w:hAnsi="Courier New"/>
                <w:sz w:val="17"/>
                <w:szCs w:val="17"/>
                <w:color w:val="auto"/>
              </w:rPr>
              <w:t>-- -- Unrecognized prior service</w:t>
            </w: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6"/>
              </w:rPr>
              <w:t>cost................</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ind w:right="233"/>
              <w:spacing w:after="0"/>
              <w:rPr>
                <w:sz w:val="20"/>
                <w:szCs w:val="20"/>
                <w:color w:val="auto"/>
              </w:rPr>
            </w:pPr>
            <w:r>
              <w:rPr>
                <w:rFonts w:ascii="Courier New" w:cs="Courier New" w:eastAsia="Courier New" w:hAnsi="Courier New"/>
                <w:sz w:val="17"/>
                <w:szCs w:val="17"/>
                <w:color w:val="auto"/>
                <w:w w:val="99"/>
              </w:rPr>
              <w:t>1,100 1,362</w:t>
            </w:r>
          </w:p>
        </w:tc>
        <w:tc>
          <w:tcPr>
            <w:tcW w:w="1000" w:type="dxa"/>
            <w:vAlign w:val="bottom"/>
          </w:tcPr>
          <w:p>
            <w:pPr>
              <w:spacing w:after="0"/>
              <w:rPr>
                <w:sz w:val="17"/>
                <w:szCs w:val="17"/>
                <w:color w:val="auto"/>
              </w:rPr>
            </w:pPr>
          </w:p>
        </w:tc>
      </w:tr>
      <w:tr>
        <w:trPr>
          <w:trHeight w:val="201"/>
        </w:trPr>
        <w:tc>
          <w:tcPr>
            <w:tcW w:w="3300" w:type="dxa"/>
            <w:vAlign w:val="bottom"/>
            <w:gridSpan w:val="6"/>
          </w:tcPr>
          <w:p>
            <w:pPr>
              <w:jc w:val="center"/>
              <w:ind w:left="406"/>
              <w:spacing w:after="0"/>
              <w:rPr>
                <w:sz w:val="20"/>
                <w:szCs w:val="20"/>
                <w:color w:val="auto"/>
              </w:rPr>
            </w:pPr>
            <w:r>
              <w:rPr>
                <w:rFonts w:ascii="Courier New" w:cs="Courier New" w:eastAsia="Courier New" w:hAnsi="Courier New"/>
                <w:sz w:val="17"/>
                <w:szCs w:val="17"/>
                <w:color w:val="auto"/>
              </w:rPr>
              <w:t>(9) 55 Net amount</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recorded............................</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4" w:lineRule="exact"/>
        <w:rPr>
          <w:sz w:val="20"/>
          <w:szCs w:val="20"/>
          <w:color w:val="auto"/>
        </w:rPr>
      </w:pPr>
    </w:p>
    <w:p>
      <w:pPr>
        <w:ind w:left="260" w:hanging="206"/>
        <w:spacing w:after="0"/>
        <w:tabs>
          <w:tab w:leader="none" w:pos="260" w:val="left"/>
        </w:tabs>
        <w:numPr>
          <w:ilvl w:val="0"/>
          <w:numId w:val="7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2,476 $ 1,612 $(2,557) $(2,535) -</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At December 31, 2000, our pension plan assets included $34 of AT&amp;T common stock, $26 of Liberty Media Group Series A common stock, and $2 of AT&amp;T Wireless</w:t>
      </w:r>
    </w:p>
    <w:p>
      <w:pPr>
        <w:sectPr>
          <w:pgSz w:w="11900" w:h="16841" w:orient="portrait"/>
          <w:cols w:equalWidth="0" w:num="1">
            <w:col w:w="10219"/>
          </w:cols>
          <w:pgMar w:left="240" w:top="518" w:right="1440" w:bottom="0" w:gutter="0" w:footer="0" w:header="0"/>
        </w:sectPr>
      </w:pPr>
    </w:p>
    <w:bookmarkStart w:id="671" w:name="page672"/>
    <w:bookmarkEnd w:id="671"/>
    <w:p>
      <w:pPr>
        <w:ind w:right="2039"/>
        <w:spacing w:after="0" w:line="257" w:lineRule="auto"/>
        <w:rPr>
          <w:sz w:val="20"/>
          <w:szCs w:val="20"/>
          <w:color w:val="auto"/>
        </w:rPr>
      </w:pPr>
      <w:r>
        <w:rPr>
          <w:rFonts w:ascii="Courier New" w:cs="Courier New" w:eastAsia="Courier New" w:hAnsi="Courier New"/>
          <w:sz w:val="17"/>
          <w:szCs w:val="17"/>
          <w:color w:val="auto"/>
        </w:rPr>
        <w:t>Group common stock. At December 31, 1999, our pension plan assets included $82 of AT&amp;T common stock and $34 of Liberty Media Group Series A common stock.</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L-71</w:t>
      </w:r>
    </w:p>
    <w:p>
      <w:pPr>
        <w:sectPr>
          <w:pgSz w:w="11900" w:h="16838" w:orient="portrait"/>
          <w:cols w:equalWidth="0" w:num="1">
            <w:col w:w="10219"/>
          </w:cols>
          <w:pgMar w:left="240" w:top="142" w:right="1440" w:bottom="1440" w:gutter="0" w:footer="0" w:header="0"/>
        </w:sectPr>
      </w:pPr>
    </w:p>
    <w:bookmarkStart w:id="672" w:name="page673"/>
    <w:bookmarkEnd w:id="672"/>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The following table provides the amounts recorded in our Consolidated Balance Sheets:</w:t>
      </w:r>
    </w:p>
    <w:p>
      <w:pPr>
        <w:spacing w:after="0" w:line="192"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POSTRETIREMENT PENSION BENEFITS</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BENEFITS ----------------- ----------</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 AT DECEMBER 31, 2000 1999</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2000 1999 - --------------- ------- -</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 ------- ------- Prepaid</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pension</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cost.............................</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$3,003 $2,464 $ -- $ -- Benefit</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related</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ind w:left="1480" w:right="6819" w:hanging="899"/>
        <w:spacing w:after="0" w:line="251" w:lineRule="auto"/>
        <w:tabs>
          <w:tab w:leader="none" w:pos="1218" w:val="left"/>
        </w:tabs>
        <w:numPr>
          <w:ilvl w:val="0"/>
          <w:numId w:val="7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(918) (2,557) (2,535) Intangible</w:t>
      </w:r>
    </w:p>
    <w:p>
      <w:pPr>
        <w:jc w:val="center"/>
        <w:ind w:right="6219"/>
        <w:spacing w:after="0"/>
        <w:rPr>
          <w:sz w:val="20"/>
          <w:szCs w:val="20"/>
          <w:color w:val="auto"/>
        </w:rPr>
      </w:pPr>
      <w:r>
        <w:rPr>
          <w:rFonts w:ascii="Courier New" w:cs="Courier New" w:eastAsia="Courier New" w:hAnsi="Courier New"/>
          <w:sz w:val="17"/>
          <w:szCs w:val="17"/>
          <w:color w:val="auto"/>
        </w:rPr>
        <w:t>asset.................................</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30 46 -- -- Accumulated other</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comprehensive income........... 22 20</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 -- Net amount</w:t>
      </w:r>
    </w:p>
    <w:p>
      <w:pPr>
        <w:spacing w:after="0" w:line="9"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7"/>
          <w:szCs w:val="17"/>
          <w:color w:val="auto"/>
        </w:rPr>
        <w:t>recorded..............................</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$2,476 $1,612 $(2,557) $(2,535) -----</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 ------ ------- -------</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Our nonqualified pension plans had an unfunded accumulated benefit obligation of $125 and $118 at December 31, 2000 and 1999, respectively. Our postretirement health and telephone concession benefit plans had accumulated postretirement benefit obligations of $4,282 and $4,021 at December 31, 2000 and 1999, respectively, which were in excess of plan assets of $1,413 and $1,635 at December 31, 2000 and 1999, respectively.</w:t>
      </w:r>
    </w:p>
    <w:p>
      <w:pPr>
        <w:spacing w:after="0" w:line="197"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The assumptions used in the measurement of the pension and postretirement benefit obligations are shown in the following table:</w:t>
      </w:r>
    </w:p>
    <w:p>
      <w:pPr>
        <w:spacing w:after="0" w:line="19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2000 1999 1998 - --------------- -</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 ---- Weighted-average assumptions:</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Discount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1"/>
              </w:rPr>
              <w:t>rate...............................................</w:t>
            </w:r>
          </w:p>
        </w:tc>
        <w:tc>
          <w:tcPr>
            <w:tcW w:w="480" w:type="dxa"/>
            <w:vAlign w:val="bottom"/>
          </w:tcPr>
          <w:p>
            <w:pPr>
              <w:spacing w:after="0"/>
              <w:rPr>
                <w:sz w:val="17"/>
                <w:szCs w:val="17"/>
                <w:color w:val="auto"/>
              </w:rPr>
            </w:pPr>
          </w:p>
        </w:tc>
      </w:tr>
      <w:tr>
        <w:trPr>
          <w:trHeight w:val="201"/>
        </w:trPr>
        <w:tc>
          <w:tcPr>
            <w:tcW w:w="4760" w:type="dxa"/>
            <w:vAlign w:val="bottom"/>
            <w:gridSpan w:val="2"/>
          </w:tcPr>
          <w:p>
            <w:pPr>
              <w:jc w:val="center"/>
              <w:ind w:left="537"/>
              <w:spacing w:after="0"/>
              <w:rPr>
                <w:sz w:val="20"/>
                <w:szCs w:val="20"/>
                <w:color w:val="auto"/>
              </w:rPr>
            </w:pPr>
            <w:r>
              <w:rPr>
                <w:rFonts w:ascii="Courier New" w:cs="Courier New" w:eastAsia="Courier New" w:hAnsi="Courier New"/>
                <w:sz w:val="17"/>
                <w:szCs w:val="17"/>
                <w:color w:val="auto"/>
              </w:rPr>
              <w:t>7.5% 7.75% 6.5% Expected return on plan</w:t>
            </w:r>
          </w:p>
        </w:tc>
        <w:tc>
          <w:tcPr>
            <w:tcW w:w="480" w:type="dxa"/>
            <w:vAlign w:val="bottom"/>
          </w:tcPr>
          <w:p>
            <w:pPr>
              <w:spacing w:after="0"/>
              <w:rPr>
                <w:sz w:val="17"/>
                <w:szCs w:val="17"/>
                <w:color w:val="auto"/>
              </w:rPr>
            </w:pPr>
          </w:p>
        </w:tc>
      </w:tr>
      <w:tr>
        <w:trPr>
          <w:trHeight w:val="201"/>
        </w:trPr>
        <w:tc>
          <w:tcPr>
            <w:tcW w:w="1360" w:type="dxa"/>
            <w:vAlign w:val="bottom"/>
          </w:tcPr>
          <w:p>
            <w:pPr>
              <w:jc w:val="right"/>
              <w:spacing w:after="0"/>
              <w:rPr>
                <w:sz w:val="20"/>
                <w:szCs w:val="20"/>
                <w:color w:val="auto"/>
              </w:rPr>
            </w:pPr>
            <w:r>
              <w:rPr>
                <w:rFonts w:ascii="Courier New" w:cs="Courier New" w:eastAsia="Courier New" w:hAnsi="Courier New"/>
                <w:sz w:val="8"/>
                <w:szCs w:val="8"/>
                <w:color w:val="auto"/>
                <w:w w:val="77"/>
              </w:rPr>
              <w:t>assets..............................</w:t>
            </w:r>
          </w:p>
        </w:tc>
        <w:tc>
          <w:tcPr>
            <w:tcW w:w="38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9.5% 9.5%</w:t>
            </w:r>
          </w:p>
        </w:tc>
      </w:tr>
      <w:tr>
        <w:trPr>
          <w:trHeight w:val="201"/>
        </w:trPr>
        <w:tc>
          <w:tcPr>
            <w:tcW w:w="1360" w:type="dxa"/>
            <w:vAlign w:val="bottom"/>
          </w:tcPr>
          <w:p>
            <w:pPr>
              <w:spacing w:after="0"/>
              <w:rPr>
                <w:sz w:val="17"/>
                <w:szCs w:val="17"/>
                <w:color w:val="auto"/>
              </w:rPr>
            </w:pPr>
          </w:p>
        </w:tc>
        <w:tc>
          <w:tcPr>
            <w:tcW w:w="3400" w:type="dxa"/>
            <w:vAlign w:val="bottom"/>
          </w:tcPr>
          <w:p>
            <w:pPr>
              <w:jc w:val="center"/>
              <w:ind w:right="693"/>
              <w:spacing w:after="0"/>
              <w:rPr>
                <w:sz w:val="20"/>
                <w:szCs w:val="20"/>
                <w:color w:val="auto"/>
              </w:rPr>
            </w:pPr>
            <w:r>
              <w:rPr>
                <w:rFonts w:ascii="Courier New" w:cs="Courier New" w:eastAsia="Courier New" w:hAnsi="Courier New"/>
                <w:sz w:val="17"/>
                <w:szCs w:val="17"/>
                <w:color w:val="auto"/>
              </w:rPr>
              <w:t>9.5% Rate of compensation</w:t>
            </w:r>
          </w:p>
        </w:tc>
        <w:tc>
          <w:tcPr>
            <w:tcW w:w="480" w:type="dxa"/>
            <w:vAlign w:val="bottom"/>
          </w:tcPr>
          <w:p>
            <w:pPr>
              <w:spacing w:after="0"/>
              <w:rPr>
                <w:sz w:val="17"/>
                <w:szCs w:val="17"/>
                <w:color w:val="auto"/>
              </w:rPr>
            </w:pPr>
          </w:p>
        </w:tc>
      </w:tr>
      <w:tr>
        <w:trPr>
          <w:trHeight w:val="201"/>
        </w:trPr>
        <w:tc>
          <w:tcPr>
            <w:tcW w:w="1360" w:type="dxa"/>
            <w:vAlign w:val="bottom"/>
          </w:tcPr>
          <w:p>
            <w:pPr>
              <w:jc w:val="right"/>
              <w:spacing w:after="0"/>
              <w:rPr>
                <w:sz w:val="20"/>
                <w:szCs w:val="20"/>
                <w:color w:val="auto"/>
              </w:rPr>
            </w:pPr>
            <w:r>
              <w:rPr>
                <w:rFonts w:ascii="Courier New" w:cs="Courier New" w:eastAsia="Courier New" w:hAnsi="Courier New"/>
                <w:sz w:val="8"/>
                <w:szCs w:val="8"/>
                <w:color w:val="auto"/>
                <w:w w:val="71"/>
              </w:rPr>
              <w:t>increase...............................</w:t>
            </w:r>
          </w:p>
        </w:tc>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r>
      <w:tr>
        <w:trPr>
          <w:trHeight w:val="201"/>
        </w:trPr>
        <w:tc>
          <w:tcPr>
            <w:tcW w:w="1360" w:type="dxa"/>
            <w:vAlign w:val="bottom"/>
          </w:tcPr>
          <w:p>
            <w:pPr>
              <w:spacing w:after="0"/>
              <w:rPr>
                <w:sz w:val="17"/>
                <w:szCs w:val="17"/>
                <w:color w:val="auto"/>
              </w:rPr>
            </w:pPr>
          </w:p>
        </w:tc>
        <w:tc>
          <w:tcPr>
            <w:tcW w:w="3400" w:type="dxa"/>
            <w:vAlign w:val="bottom"/>
          </w:tcPr>
          <w:p>
            <w:pPr>
              <w:jc w:val="center"/>
              <w:ind w:right="693"/>
              <w:spacing w:after="0"/>
              <w:rPr>
                <w:sz w:val="20"/>
                <w:szCs w:val="20"/>
                <w:color w:val="auto"/>
              </w:rPr>
            </w:pPr>
            <w:r>
              <w:rPr>
                <w:rFonts w:ascii="Courier New" w:cs="Courier New" w:eastAsia="Courier New" w:hAnsi="Courier New"/>
                <w:sz w:val="17"/>
                <w:szCs w:val="17"/>
                <w:color w:val="auto"/>
              </w:rPr>
              <w:t>4.5%</w:t>
            </w:r>
          </w:p>
        </w:tc>
        <w:tc>
          <w:tcPr>
            <w:tcW w:w="48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assumed a rate of increase in the per capita cost of covered health-care benefits (the health-care cost trend rate) of 7.6%. This rate was assumed to gradually decline after 2000 to 4.5% by 2010 and then remain level. Assumed health-care cost trend rates have a significant effect on the amounts reported for the health-care plans. A one percentage point increase or decrease in the assumed health-care cost trend rate would increase or decrease the total of the service and interest-cost components of net periodic postretirement health-care benefit cost by $9 and $9, respectively, and would increase or decrease the health-care component of the accumulated postretirement benefit obligation by $125 and $122, respectively.</w:t>
      </w:r>
    </w:p>
    <w:p>
      <w:pPr>
        <w:spacing w:after="0" w:line="201" w:lineRule="exact"/>
        <w:rPr>
          <w:sz w:val="20"/>
          <w:szCs w:val="20"/>
          <w:color w:val="auto"/>
        </w:rPr>
      </w:pPr>
    </w:p>
    <w:p>
      <w:pPr>
        <w:jc w:val="both"/>
        <w:ind w:right="1939" w:firstLine="524"/>
        <w:spacing w:after="0" w:line="252" w:lineRule="auto"/>
        <w:rPr>
          <w:sz w:val="20"/>
          <w:szCs w:val="20"/>
          <w:color w:val="auto"/>
        </w:rPr>
      </w:pPr>
      <w:r>
        <w:rPr>
          <w:rFonts w:ascii="Courier New" w:cs="Courier New" w:eastAsia="Courier New" w:hAnsi="Courier New"/>
          <w:sz w:val="17"/>
          <w:szCs w:val="17"/>
          <w:color w:val="auto"/>
        </w:rPr>
        <w:t>We also sponsor savings plans for the majority of our employees. The plans allow employees to contribute a portion of their pretax and/or after-tax income in accordance with specified guidelines. We match a percentage of the employee contributions up to certain limits. Our contributions amounted to $220 in 2000, $197 in 1999 and $173 in 1998.</w:t>
      </w:r>
    </w:p>
    <w:p>
      <w:pPr>
        <w:spacing w:after="0" w:line="197" w:lineRule="exact"/>
        <w:rPr>
          <w:sz w:val="20"/>
          <w:szCs w:val="20"/>
          <w:color w:val="auto"/>
        </w:rPr>
      </w:pPr>
    </w:p>
    <w:p>
      <w:pPr>
        <w:ind w:left="540" w:hanging="533"/>
        <w:spacing w:after="0"/>
        <w:tabs>
          <w:tab w:leader="none" w:pos="540" w:val="left"/>
        </w:tabs>
        <w:numPr>
          <w:ilvl w:val="0"/>
          <w:numId w:val="7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STOCK-BASED COMPENSATION PLANS</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Under the 1997 Long-term Incentive Program (Program), which was effective June 1, 1997, and amended on May 19, 1999 and March 14, 2000, we grant stock options, performance shares, restricted stock and other awards on AT&amp;T common stock as well as stock options on AT&amp;T Wireless Group tracking stock.</w:t>
      </w:r>
    </w:p>
    <w:p>
      <w:pPr>
        <w:spacing w:after="0" w:line="195"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Under the Program, there were 150 million shares of AT&amp;T common stock available for grant with a maximum of 22.5 million common shares that could be used for awards other than stock options. Beginning with January 1, 2000, the remaining shares available for grant at December 31 of the prior year, plus</w:t>
      </w:r>
    </w:p>
    <w:p>
      <w:pPr>
        <w:jc w:val="both"/>
        <w:ind w:right="1939"/>
        <w:spacing w:after="0" w:line="254" w:lineRule="auto"/>
        <w:rPr>
          <w:sz w:val="20"/>
          <w:szCs w:val="20"/>
          <w:color w:val="auto"/>
        </w:rPr>
      </w:pPr>
      <w:r>
        <w:rPr>
          <w:rFonts w:ascii="Courier New" w:cs="Courier New" w:eastAsia="Courier New" w:hAnsi="Courier New"/>
          <w:sz w:val="17"/>
          <w:szCs w:val="17"/>
          <w:color w:val="auto"/>
        </w:rPr>
        <w:t>1.75% of the shares of AT&amp;T common stock outstanding on January 1 of each year, become available for grant. There are a maximum of 37.5 million shares that may be used for awards other than stock</w:t>
      </w:r>
    </w:p>
    <w:p>
      <w:pPr>
        <w:sectPr>
          <w:pgSz w:w="11900" w:h="16838" w:orient="portrait"/>
          <w:cols w:equalWidth="0" w:num="1">
            <w:col w:w="10219"/>
          </w:cols>
          <w:pgMar w:left="240" w:top="518" w:right="1440" w:bottom="0" w:gutter="0" w:footer="0" w:header="0"/>
        </w:sectPr>
      </w:pPr>
    </w:p>
    <w:bookmarkStart w:id="673" w:name="page674"/>
    <w:bookmarkEnd w:id="673"/>
    <w:p>
      <w:pPr>
        <w:ind w:left="2900"/>
        <w:spacing w:after="0"/>
        <w:rPr>
          <w:sz w:val="20"/>
          <w:szCs w:val="20"/>
          <w:color w:val="auto"/>
        </w:rPr>
      </w:pPr>
      <w:r>
        <w:rPr>
          <w:rFonts w:ascii="Courier New" w:cs="Courier New" w:eastAsia="Courier New" w:hAnsi="Courier New"/>
          <w:sz w:val="17"/>
          <w:szCs w:val="17"/>
          <w:color w:val="auto"/>
        </w:rPr>
        <w:t>L-72</w:t>
      </w:r>
    </w:p>
    <w:p>
      <w:pPr>
        <w:sectPr>
          <w:pgSz w:w="11900" w:h="16838" w:orient="portrait"/>
          <w:cols w:equalWidth="0" w:num="1">
            <w:col w:w="9019"/>
          </w:cols>
          <w:pgMar w:left="1440" w:top="344" w:right="1440" w:bottom="1440" w:gutter="0" w:footer="0" w:header="0"/>
        </w:sectPr>
      </w:pPr>
    </w:p>
    <w:bookmarkStart w:id="674" w:name="page675"/>
    <w:bookmarkEnd w:id="674"/>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options. The exercise price of any stock option is equal to the stock price when the option is granted. Generally, the options vest over three or four years and are exercisable up to 10 years from the date of grant.</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Under the Program, performance share units are awarded to key employees in the form of either common stock or cash at the end of a three-year period, based on AT&amp;T's total shareholder return and certain financial-performance targets. Under the 1987 Long-term Incentive Program, performance share units with the same terms were also awarded to key employees based on AT&amp;T's return-to-equity performance compared with a target.</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April 27, 2000, AT&amp;T created a new class of stock and completed an offering of AT&amp;T Wireless Group tracking stock. Under the Program, 5% of the outstanding AT&amp;T Wireless Group shares became available for grant with a maximum of 1.25% of the outstanding shares that may be used for awards other than options. Beginning with January 1, 2001, the remaining AT&amp;T Wireless Group shares available for grant at December 31 of the prior year, plus 2% of the outstanding AT&amp;T Wireless Group shares on January 1 of each year, become available for grant. The exercise price of any stock option is equal to the stock price when the option is granted. Generally, the options vest over two to three and one-half years and are exercisable up to 10 years from the date of grant. In 2000, there were no grants of awards other than stock options. On April 27, 2000, substantially all employees were granted AT&amp;T Wireless Group tracking stock options.</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Under the AT&amp;T 1996 Employee Stock Purchase Plan (Plan), which was effective July 1, 1996, we are authorized to sell up to 75 million shares of AT&amp;T common stock to our eligible employees.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we sold approximately 6 million shares to employees in 2000 and 3 million shares to employees in both 1999 and 1998.</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apply APB Opinion No. 25, "Accounting for Stock Issued to Employees," and related interpretations in accounting for our plans. Accordingly, no compensation expense has been recognized for our stock-based compensation plans other than for our performance-based and restricted stock awards and stock appreciation rights (SARs). Stock based-compensation income (expense) was $253, $(462) and $(157) in 2000, 1999 and 1998, respectively. These amounts included income (expense) of $269 and $(382) in 2000 and 1999, respectively, related to grants of SARs of affiliated companies held by certain employees subsequent to the TCI merger. We also entered into an equity hedge in 1999 to offset potential future compensation costs associated with these SARs. (Expense) income related to this hedge was $(297) and $247 in 2000 and 1999, respectively.</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L-73</w:t>
      </w:r>
    </w:p>
    <w:p>
      <w:pPr>
        <w:sectPr>
          <w:pgSz w:w="11900" w:h="16838" w:orient="portrait"/>
          <w:cols w:equalWidth="0" w:num="1">
            <w:col w:w="10219"/>
          </w:cols>
          <w:pgMar w:left="240" w:top="518" w:right="1440" w:bottom="1440" w:gutter="0" w:footer="0" w:header="0"/>
        </w:sectPr>
      </w:pPr>
    </w:p>
    <w:bookmarkStart w:id="675" w:name="page676"/>
    <w:bookmarkEnd w:id="675"/>
    <w:p>
      <w:pPr>
        <w:jc w:val="center"/>
        <w:ind w:right="181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 summary of the AT&amp;T common stock option transactions is shown below:</w:t>
      </w:r>
    </w:p>
    <w:p>
      <w:pPr>
        <w:spacing w:after="0" w:line="210"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WEIGHTED- WEIGHTED-</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WEIGHTED- AVERAGE</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AVERAGE AVERAGE</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EXERCISE EXERCISE</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EXERCISE SHARES IN</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THOUSANDS 2000 PRICE</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1999 PRICE 1998 PRICE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40" w:hanging="529"/>
        <w:spacing w:after="0"/>
        <w:tabs>
          <w:tab w:leader="none" w:pos="640" w:val="left"/>
        </w:tabs>
        <w:numPr>
          <w:ilvl w:val="0"/>
          <w:numId w:val="7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900" w:right="7959" w:hanging="632"/>
        <w:spacing w:after="0" w:line="251" w:lineRule="auto"/>
        <w:tabs>
          <w:tab w:leader="none" w:pos="795" w:val="left"/>
        </w:tabs>
        <w:numPr>
          <w:ilvl w:val="1"/>
          <w:numId w:val="7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Outstanding at January</w:t>
      </w:r>
    </w:p>
    <w:p>
      <w:pPr>
        <w:spacing w:after="0"/>
        <w:rPr>
          <w:sz w:val="20"/>
          <w:szCs w:val="20"/>
          <w:color w:val="auto"/>
        </w:rPr>
      </w:pPr>
      <w:r>
        <w:rPr>
          <w:rFonts w:ascii="Courier New" w:cs="Courier New" w:eastAsia="Courier New" w:hAnsi="Courier New"/>
          <w:sz w:val="17"/>
          <w:szCs w:val="17"/>
          <w:color w:val="auto"/>
        </w:rPr>
        <w:t>1,......................</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168,763 $37.42 131,904</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$30.41 110,972 $24.77</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Options assumed in</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mergers.................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29,613 $24.71 11,770</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$14.79 -- -- Options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granted...........</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74,570 $36.12 47,927</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$57.13 46,148 $41.69</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Options and SARs</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exercised...............</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(11,446) $22.07</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(17,858) $22.87</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(18,894) $21.95 Options</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canceled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forfeited...............</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(12,474) $45.61 (4,980)</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$42.44 (6,322) $31.64</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At December 31: Options</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outstanding.......</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249,026 $35.82 168,763</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$37.42 131,904 $30.41</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Options</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exercisable.......</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131,450 $30.44 57,894</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$28.21 35,472 $23.13</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Shares available for</w:t>
      </w:r>
    </w:p>
    <w:p>
      <w:pPr>
        <w:spacing w:after="0" w:line="9"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7"/>
          <w:szCs w:val="17"/>
          <w:color w:val="auto"/>
        </w:rPr>
        <w:t>grant...................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34,204 41,347 91,838</w:t>
      </w:r>
    </w:p>
    <w:p>
      <w:pPr>
        <w:spacing w:after="0" w:line="200" w:lineRule="exact"/>
        <w:rPr>
          <w:sz w:val="20"/>
          <w:szCs w:val="20"/>
          <w:color w:val="auto"/>
        </w:rPr>
      </w:pPr>
    </w:p>
    <w:p>
      <w:pPr>
        <w:spacing w:after="0" w:line="212"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All of the 11.8 million stock options assumed in connection with the TCI merger were in tandem with SARs, which were canceled on April 30, 1999. During 1999, 386,000 SARs (including 137,000 for TCI) were exercised. At December 31, 2000, there were no AT&amp;T SARs outstanding.</w:t>
      </w:r>
    </w:p>
    <w:p>
      <w:pPr>
        <w:spacing w:after="0" w:line="195"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The following table summarizes information about the AT&amp;T common stock options outstanding at December 31, 2000:</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L-74</w:t>
      </w:r>
    </w:p>
    <w:p>
      <w:pPr>
        <w:sectPr>
          <w:pgSz w:w="11900" w:h="16838" w:orient="portrait"/>
          <w:cols w:equalWidth="0" w:num="1">
            <w:col w:w="10219"/>
          </w:cols>
          <w:pgMar w:left="240" w:top="519" w:right="1440" w:bottom="1440" w:gutter="0" w:footer="0" w:header="0"/>
        </w:sectPr>
      </w:pPr>
    </w:p>
    <w:bookmarkStart w:id="676" w:name="page677"/>
    <w:bookmarkEnd w:id="676"/>
    <w:p>
      <w:pPr>
        <w:jc w:val="center"/>
        <w:ind w:right="181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OPTIONS OUTSTANDING</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OPTIONS EXERCISABLE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 WEIGHTED-</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AVERAGE WEIGHTED-</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NUMBER WEIGHTED-</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NUMBER OUTSTANDING</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REMAINING AVERAGE</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EXERCISABLE AT</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AVERAGE RANGE OF</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EXERCISE PRICES AT</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DECEMBER 31, 2000</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CONTRACTUAL LIFE</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EXERCISE PRICE</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DECEMBER 31, 2000</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EXERCISE PRICE - ----</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jc w:val="both"/>
        <w:ind w:left="160" w:right="8019" w:hanging="52"/>
        <w:spacing w:after="0" w:line="251" w:lineRule="auto"/>
        <w:tabs>
          <w:tab w:leader="none" w:pos="317" w:val="left"/>
        </w:tabs>
        <w:numPr>
          <w:ilvl w:val="0"/>
          <w:numId w:val="7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THOUSANDS) (IN THOUSANDS) $ 2.69 -</w:t>
      </w:r>
    </w:p>
    <w:tbl>
      <w:tblPr>
        <w:tblLayout w:type="fixed"/>
        <w:tblInd w:w="0" w:type="dxa"/>
        <w:tblCellMar>
          <w:top w:w="0" w:type="dxa"/>
          <w:left w:w="0" w:type="dxa"/>
          <w:bottom w:w="0" w:type="dxa"/>
          <w:right w:w="0" w:type="dxa"/>
        </w:tblCellMar>
      </w:tblPr>
      <w:tr>
        <w:trPr>
          <w:trHeight w:val="197"/>
        </w:trPr>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$18.08.......</w:t>
            </w:r>
          </w:p>
        </w:tc>
        <w:tc>
          <w:tcPr>
            <w:tcW w:w="840" w:type="dxa"/>
            <w:vAlign w:val="bottom"/>
          </w:tcPr>
          <w:p>
            <w:pPr>
              <w:ind w:left="160"/>
              <w:spacing w:after="0"/>
              <w:rPr>
                <w:sz w:val="20"/>
                <w:szCs w:val="20"/>
                <w:color w:val="auto"/>
              </w:rPr>
            </w:pPr>
            <w:r>
              <w:rPr>
                <w:rFonts w:ascii="Courier New" w:cs="Courier New" w:eastAsia="Courier New" w:hAnsi="Courier New"/>
                <w:sz w:val="17"/>
                <w:szCs w:val="17"/>
                <w:color w:val="auto"/>
              </w:rPr>
              <w:t>21,182</w:t>
            </w:r>
          </w:p>
        </w:tc>
      </w:tr>
      <w:tr>
        <w:trPr>
          <w:trHeight w:val="201"/>
        </w:trPr>
        <w:tc>
          <w:tcPr>
            <w:tcW w:w="14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5.0 $11.23</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20,206</w:t>
            </w:r>
          </w:p>
        </w:tc>
      </w:tr>
      <w:tr>
        <w:trPr>
          <w:trHeight w:val="201"/>
        </w:trPr>
        <w:tc>
          <w:tcPr>
            <w:tcW w:w="11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$10.99</w:t>
            </w:r>
          </w:p>
        </w:tc>
        <w:tc>
          <w:tcPr>
            <w:tcW w:w="1160" w:type="dxa"/>
            <w:vAlign w:val="bottom"/>
            <w:gridSpan w:val="2"/>
          </w:tcPr>
          <w:p>
            <w:pPr>
              <w:jc w:val="center"/>
              <w:ind w:right="233"/>
              <w:spacing w:after="0"/>
              <w:rPr>
                <w:sz w:val="20"/>
                <w:szCs w:val="20"/>
                <w:color w:val="auto"/>
              </w:rPr>
            </w:pPr>
            <w:r>
              <w:rPr>
                <w:rFonts w:ascii="Courier New" w:cs="Courier New" w:eastAsia="Courier New" w:hAnsi="Courier New"/>
                <w:sz w:val="17"/>
                <w:szCs w:val="17"/>
                <w:color w:val="auto"/>
              </w:rPr>
              <w:t>$18.15 -</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$24.49.......</w:t>
            </w:r>
          </w:p>
        </w:tc>
        <w:tc>
          <w:tcPr>
            <w:tcW w:w="840" w:type="dxa"/>
            <w:vAlign w:val="bottom"/>
          </w:tcPr>
          <w:p>
            <w:pPr>
              <w:ind w:left="160"/>
              <w:spacing w:after="0"/>
              <w:rPr>
                <w:sz w:val="20"/>
                <w:szCs w:val="20"/>
                <w:color w:val="auto"/>
              </w:rPr>
            </w:pPr>
            <w:r>
              <w:rPr>
                <w:rFonts w:ascii="Courier New" w:cs="Courier New" w:eastAsia="Courier New" w:hAnsi="Courier New"/>
                <w:sz w:val="17"/>
                <w:szCs w:val="17"/>
                <w:color w:val="auto"/>
              </w:rPr>
              <w:t>16,914</w:t>
            </w:r>
          </w:p>
        </w:tc>
      </w:tr>
      <w:tr>
        <w:trPr>
          <w:trHeight w:val="201"/>
        </w:trPr>
        <w:tc>
          <w:tcPr>
            <w:tcW w:w="14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6.2 $22.51</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11,808</w:t>
            </w:r>
          </w:p>
        </w:tc>
      </w:tr>
      <w:tr>
        <w:trPr>
          <w:trHeight w:val="201"/>
        </w:trPr>
        <w:tc>
          <w:tcPr>
            <w:tcW w:w="22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$22.57</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$24.50................</w:t>
            </w:r>
          </w:p>
        </w:tc>
        <w:tc>
          <w:tcPr>
            <w:tcW w:w="840" w:type="dxa"/>
            <w:vAlign w:val="bottom"/>
          </w:tcPr>
          <w:p>
            <w:pPr>
              <w:spacing w:after="0"/>
              <w:rPr>
                <w:sz w:val="17"/>
                <w:szCs w:val="17"/>
                <w:color w:val="auto"/>
              </w:rPr>
            </w:pPr>
          </w:p>
        </w:tc>
      </w:tr>
      <w:tr>
        <w:trPr>
          <w:trHeight w:val="201"/>
        </w:trPr>
        <w:tc>
          <w:tcPr>
            <w:tcW w:w="14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15,451 6.6</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$24.50</w:t>
            </w:r>
          </w:p>
        </w:tc>
      </w:tr>
      <w:tr>
        <w:trPr>
          <w:trHeight w:val="201"/>
        </w:trPr>
        <w:tc>
          <w:tcPr>
            <w:tcW w:w="22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15,451 $24.50 $24.55</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1"/>
              </w:rPr>
              <w:t>- $26.18.......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8,664</w:t>
            </w:r>
          </w:p>
        </w:tc>
      </w:tr>
      <w:tr>
        <w:trPr>
          <w:trHeight w:val="201"/>
        </w:trPr>
        <w:tc>
          <w:tcPr>
            <w:tcW w:w="22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6.2 $25.33 8,664</w:t>
            </w:r>
          </w:p>
        </w:tc>
      </w:tr>
      <w:tr>
        <w:trPr>
          <w:trHeight w:val="201"/>
        </w:trPr>
        <w:tc>
          <w:tcPr>
            <w:tcW w:w="22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$25.33</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$26.21................</w:t>
            </w:r>
          </w:p>
        </w:tc>
        <w:tc>
          <w:tcPr>
            <w:tcW w:w="840" w:type="dxa"/>
            <w:vAlign w:val="bottom"/>
          </w:tcPr>
          <w:p>
            <w:pPr>
              <w:spacing w:after="0"/>
              <w:rPr>
                <w:sz w:val="17"/>
                <w:szCs w:val="17"/>
                <w:color w:val="auto"/>
              </w:rPr>
            </w:pPr>
          </w:p>
        </w:tc>
      </w:tr>
      <w:tr>
        <w:trPr>
          <w:trHeight w:val="201"/>
        </w:trPr>
        <w:tc>
          <w:tcPr>
            <w:tcW w:w="14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17,299 6.1</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$26.21</w:t>
            </w:r>
          </w:p>
        </w:tc>
      </w:tr>
      <w:tr>
        <w:trPr>
          <w:trHeight w:val="201"/>
        </w:trPr>
        <w:tc>
          <w:tcPr>
            <w:tcW w:w="22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17,299 $26.21 $26.33</w:t>
            </w:r>
          </w:p>
        </w:tc>
      </w:tr>
      <w:tr>
        <w:trPr>
          <w:trHeight w:val="201"/>
        </w:trPr>
        <w:tc>
          <w:tcPr>
            <w:tcW w:w="22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 $31.97.......</w:t>
            </w:r>
          </w:p>
        </w:tc>
      </w:tr>
      <w:tr>
        <w:trPr>
          <w:trHeight w:val="201"/>
        </w:trPr>
        <w:tc>
          <w:tcPr>
            <w:tcW w:w="14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20,246 6.6</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$30.31</w:t>
            </w:r>
          </w:p>
        </w:tc>
      </w:tr>
      <w:tr>
        <w:trPr>
          <w:trHeight w:val="201"/>
        </w:trPr>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12,501</w:t>
            </w:r>
          </w:p>
        </w:tc>
        <w:tc>
          <w:tcPr>
            <w:tcW w:w="1160" w:type="dxa"/>
            <w:vAlign w:val="bottom"/>
            <w:gridSpan w:val="2"/>
          </w:tcPr>
          <w:p>
            <w:pPr>
              <w:jc w:val="center"/>
              <w:ind w:right="233"/>
              <w:spacing w:after="0"/>
              <w:rPr>
                <w:sz w:val="20"/>
                <w:szCs w:val="20"/>
                <w:color w:val="auto"/>
              </w:rPr>
            </w:pPr>
            <w:r>
              <w:rPr>
                <w:rFonts w:ascii="Courier New" w:cs="Courier New" w:eastAsia="Courier New" w:hAnsi="Courier New"/>
                <w:sz w:val="17"/>
                <w:szCs w:val="17"/>
                <w:color w:val="auto"/>
              </w:rPr>
              <w:t>$29.98</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$32.09................</w:t>
            </w:r>
          </w:p>
        </w:tc>
        <w:tc>
          <w:tcPr>
            <w:tcW w:w="840" w:type="dxa"/>
            <w:vAlign w:val="bottom"/>
          </w:tcPr>
          <w:p>
            <w:pPr>
              <w:spacing w:after="0"/>
              <w:rPr>
                <w:sz w:val="17"/>
                <w:szCs w:val="17"/>
                <w:color w:val="auto"/>
              </w:rPr>
            </w:pPr>
          </w:p>
        </w:tc>
      </w:tr>
      <w:tr>
        <w:trPr>
          <w:trHeight w:val="201"/>
        </w:trPr>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25,551 9.6</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$32.09 141</w:t>
            </w:r>
          </w:p>
        </w:tc>
      </w:tr>
      <w:tr>
        <w:trPr>
          <w:trHeight w:val="201"/>
        </w:trPr>
        <w:tc>
          <w:tcPr>
            <w:tcW w:w="11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$32.09</w:t>
            </w:r>
          </w:p>
        </w:tc>
        <w:tc>
          <w:tcPr>
            <w:tcW w:w="1160" w:type="dxa"/>
            <w:vAlign w:val="bottom"/>
            <w:gridSpan w:val="2"/>
          </w:tcPr>
          <w:p>
            <w:pPr>
              <w:jc w:val="center"/>
              <w:ind w:right="233"/>
              <w:spacing w:after="0"/>
              <w:rPr>
                <w:sz w:val="20"/>
                <w:szCs w:val="20"/>
                <w:color w:val="auto"/>
              </w:rPr>
            </w:pPr>
            <w:r>
              <w:rPr>
                <w:rFonts w:ascii="Courier New" w:cs="Courier New" w:eastAsia="Courier New" w:hAnsi="Courier New"/>
                <w:sz w:val="17"/>
                <w:szCs w:val="17"/>
                <w:color w:val="auto"/>
              </w:rPr>
              <w:t>$32.19 -</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$42.04.......</w:t>
            </w:r>
          </w:p>
        </w:tc>
        <w:tc>
          <w:tcPr>
            <w:tcW w:w="840" w:type="dxa"/>
            <w:vAlign w:val="bottom"/>
          </w:tcPr>
          <w:p>
            <w:pPr>
              <w:ind w:left="160"/>
              <w:spacing w:after="0"/>
              <w:rPr>
                <w:sz w:val="20"/>
                <w:szCs w:val="20"/>
                <w:color w:val="auto"/>
              </w:rPr>
            </w:pPr>
            <w:r>
              <w:rPr>
                <w:rFonts w:ascii="Courier New" w:cs="Courier New" w:eastAsia="Courier New" w:hAnsi="Courier New"/>
                <w:sz w:val="17"/>
                <w:szCs w:val="17"/>
                <w:color w:val="auto"/>
              </w:rPr>
              <w:t>26,908</w:t>
            </w:r>
          </w:p>
        </w:tc>
      </w:tr>
      <w:tr>
        <w:trPr>
          <w:trHeight w:val="201"/>
        </w:trPr>
        <w:tc>
          <w:tcPr>
            <w:tcW w:w="14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8.5 $36.91</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10,147</w:t>
            </w:r>
          </w:p>
        </w:tc>
      </w:tr>
      <w:tr>
        <w:trPr>
          <w:trHeight w:val="201"/>
        </w:trPr>
        <w:tc>
          <w:tcPr>
            <w:tcW w:w="22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$39.57</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$42.10................</w:t>
            </w:r>
          </w:p>
        </w:tc>
        <w:tc>
          <w:tcPr>
            <w:tcW w:w="840" w:type="dxa"/>
            <w:vAlign w:val="bottom"/>
          </w:tcPr>
          <w:p>
            <w:pPr>
              <w:spacing w:after="0"/>
              <w:rPr>
                <w:sz w:val="17"/>
                <w:szCs w:val="17"/>
                <w:color w:val="auto"/>
              </w:rPr>
            </w:pPr>
          </w:p>
        </w:tc>
      </w:tr>
      <w:tr>
        <w:trPr>
          <w:trHeight w:val="201"/>
        </w:trPr>
        <w:tc>
          <w:tcPr>
            <w:tcW w:w="14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26,975 7.1</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$42.10</w:t>
            </w:r>
          </w:p>
        </w:tc>
      </w:tr>
      <w:tr>
        <w:trPr>
          <w:trHeight w:val="201"/>
        </w:trPr>
        <w:tc>
          <w:tcPr>
            <w:tcW w:w="22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17,531 $42.10 $42.19</w:t>
            </w:r>
          </w:p>
        </w:tc>
      </w:tr>
      <w:tr>
        <w:trPr>
          <w:trHeight w:val="201"/>
        </w:trPr>
        <w:tc>
          <w:tcPr>
            <w:tcW w:w="22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 $45.44.......</w:t>
            </w:r>
          </w:p>
        </w:tc>
      </w:tr>
      <w:tr>
        <w:trPr>
          <w:trHeight w:val="201"/>
        </w:trPr>
        <w:tc>
          <w:tcPr>
            <w:tcW w:w="14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20,017 9.1</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$45.25</w:t>
            </w:r>
          </w:p>
        </w:tc>
      </w:tr>
      <w:tr>
        <w:trPr>
          <w:trHeight w:val="201"/>
        </w:trPr>
        <w:tc>
          <w:tcPr>
            <w:tcW w:w="14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1,927 $44.45</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$45.48 -</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$59.75.......</w:t>
            </w:r>
          </w:p>
        </w:tc>
        <w:tc>
          <w:tcPr>
            <w:tcW w:w="840" w:type="dxa"/>
            <w:vAlign w:val="bottom"/>
          </w:tcPr>
          <w:p>
            <w:pPr>
              <w:ind w:left="160"/>
              <w:spacing w:after="0"/>
              <w:rPr>
                <w:sz w:val="20"/>
                <w:szCs w:val="20"/>
                <w:color w:val="auto"/>
              </w:rPr>
            </w:pPr>
            <w:r>
              <w:rPr>
                <w:rFonts w:ascii="Courier New" w:cs="Courier New" w:eastAsia="Courier New" w:hAnsi="Courier New"/>
                <w:sz w:val="17"/>
                <w:szCs w:val="17"/>
                <w:color w:val="auto"/>
              </w:rPr>
              <w:t>23,581</w:t>
            </w:r>
          </w:p>
        </w:tc>
      </w:tr>
      <w:tr>
        <w:trPr>
          <w:trHeight w:val="201"/>
        </w:trPr>
        <w:tc>
          <w:tcPr>
            <w:tcW w:w="22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8.6 $51.33 9,293</w:t>
            </w:r>
          </w:p>
        </w:tc>
      </w:tr>
      <w:tr>
        <w:trPr>
          <w:trHeight w:val="201"/>
        </w:trPr>
        <w:tc>
          <w:tcPr>
            <w:tcW w:w="11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$50.40</w:t>
            </w:r>
          </w:p>
        </w:tc>
        <w:tc>
          <w:tcPr>
            <w:tcW w:w="1160" w:type="dxa"/>
            <w:vAlign w:val="bottom"/>
            <w:gridSpan w:val="2"/>
          </w:tcPr>
          <w:p>
            <w:pPr>
              <w:jc w:val="center"/>
              <w:ind w:right="233"/>
              <w:spacing w:after="0"/>
              <w:rPr>
                <w:sz w:val="20"/>
                <w:szCs w:val="20"/>
                <w:color w:val="auto"/>
              </w:rPr>
            </w:pPr>
            <w:r>
              <w:rPr>
                <w:rFonts w:ascii="Courier New" w:cs="Courier New" w:eastAsia="Courier New" w:hAnsi="Courier New"/>
                <w:sz w:val="17"/>
                <w:szCs w:val="17"/>
                <w:color w:val="auto"/>
              </w:rPr>
              <w:t>$59.88 -</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$62.13.......</w:t>
            </w:r>
          </w:p>
        </w:tc>
        <w:tc>
          <w:tcPr>
            <w:tcW w:w="840" w:type="dxa"/>
            <w:vAlign w:val="bottom"/>
          </w:tcPr>
          <w:p>
            <w:pPr>
              <w:ind w:left="160"/>
              <w:spacing w:after="0"/>
              <w:rPr>
                <w:sz w:val="20"/>
                <w:szCs w:val="20"/>
                <w:color w:val="auto"/>
              </w:rPr>
            </w:pPr>
            <w:r>
              <w:rPr>
                <w:rFonts w:ascii="Courier New" w:cs="Courier New" w:eastAsia="Courier New" w:hAnsi="Courier New"/>
                <w:sz w:val="17"/>
                <w:szCs w:val="17"/>
                <w:color w:val="auto"/>
              </w:rPr>
              <w:t>26,238</w:t>
            </w:r>
          </w:p>
        </w:tc>
      </w:tr>
      <w:tr>
        <w:trPr>
          <w:trHeight w:val="201"/>
        </w:trPr>
        <w:tc>
          <w:tcPr>
            <w:tcW w:w="22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8.1 $59.89 6,482</w:t>
            </w:r>
          </w:p>
        </w:tc>
      </w:tr>
      <w:tr>
        <w:trPr>
          <w:trHeight w:val="201"/>
        </w:trPr>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$59.89 -------</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4" w:lineRule="exact"/>
        <w:rPr>
          <w:sz w:val="20"/>
          <w:szCs w:val="20"/>
          <w:color w:val="auto"/>
        </w:rPr>
      </w:pPr>
    </w:p>
    <w:p>
      <w:pPr>
        <w:ind w:left="320" w:hanging="212"/>
        <w:spacing w:after="0"/>
        <w:tabs>
          <w:tab w:leader="none" w:pos="320" w:val="left"/>
        </w:tabs>
        <w:numPr>
          <w:ilvl w:val="0"/>
          <w:numId w:val="7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249,026 7.5 $35.82</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131,450 $30.44</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A summary of the AT&amp;T Wireless Group tracking stock option transactions is shown below:</w:t>
      </w:r>
    </w:p>
    <w:p>
      <w:pPr>
        <w:spacing w:after="0" w:line="192" w:lineRule="exact"/>
        <w:rPr>
          <w:sz w:val="20"/>
          <w:szCs w:val="20"/>
          <w:color w:val="auto"/>
        </w:rPr>
      </w:pPr>
    </w:p>
    <w:p>
      <w:pPr>
        <w:jc w:val="center"/>
        <w:ind w:right="4779"/>
        <w:spacing w:after="0" w:line="251" w:lineRule="auto"/>
        <w:rPr>
          <w:sz w:val="20"/>
          <w:szCs w:val="20"/>
          <w:color w:val="auto"/>
        </w:rPr>
      </w:pPr>
      <w:r>
        <w:rPr>
          <w:rFonts w:ascii="Courier New" w:cs="Courier New" w:eastAsia="Courier New" w:hAnsi="Courier New"/>
          <w:sz w:val="17"/>
          <w:szCs w:val="17"/>
          <w:color w:val="auto"/>
        </w:rPr>
        <w:t>WEIGHTED-AVERAGE SHARES IN THOUSANDS 2000 EXERCISE PRICE ------------------- ------ ---------------- Outstanding at January</w:t>
      </w:r>
    </w:p>
    <w:p>
      <w:pPr>
        <w:ind w:left="360"/>
        <w:spacing w:after="0"/>
        <w:rPr>
          <w:sz w:val="20"/>
          <w:szCs w:val="20"/>
          <w:color w:val="auto"/>
        </w:rPr>
      </w:pPr>
      <w:r>
        <w:rPr>
          <w:rFonts w:ascii="Courier New" w:cs="Courier New" w:eastAsia="Courier New" w:hAnsi="Courier New"/>
          <w:sz w:val="17"/>
          <w:szCs w:val="17"/>
          <w:color w:val="auto"/>
        </w:rPr>
        <w:t>1,................................... -- $ --</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Options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granted.............................................</w:t>
      </w:r>
    </w:p>
    <w:p>
      <w:pPr>
        <w:sectPr>
          <w:pgSz w:w="11900" w:h="16838" w:orient="portrait"/>
          <w:cols w:equalWidth="0" w:num="1">
            <w:col w:w="10219"/>
          </w:cols>
          <w:pgMar w:left="240" w:top="517" w:right="1440" w:bottom="0" w:gutter="0" w:footer="0" w:header="0"/>
        </w:sectPr>
      </w:pPr>
    </w:p>
    <w:bookmarkStart w:id="677" w:name="page678"/>
    <w:bookmarkEnd w:id="677"/>
    <w:p>
      <w:pPr>
        <w:jc w:val="center"/>
        <w:ind w:right="4759"/>
        <w:spacing w:after="0"/>
        <w:rPr>
          <w:sz w:val="20"/>
          <w:szCs w:val="20"/>
          <w:color w:val="auto"/>
        </w:rPr>
      </w:pPr>
      <w:r>
        <w:rPr>
          <w:rFonts w:ascii="Courier New" w:cs="Courier New" w:eastAsia="Courier New" w:hAnsi="Courier New"/>
          <w:sz w:val="17"/>
          <w:szCs w:val="17"/>
          <w:color w:val="auto"/>
        </w:rPr>
        <w:t>76,983 $29.29 Options</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exercised...........................................</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 $ -- Options canceled or</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forfeited............................... (3,357)</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$29.43 At December 31: Options</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outstanding.........................................</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73,626 $29.29 Options</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exercisable.........................................</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12,391 $29.48 Shares available for</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grant.................................. 41,874</w:t>
      </w:r>
    </w:p>
    <w:p>
      <w:pPr>
        <w:spacing w:after="0" w:line="200" w:lineRule="exact"/>
        <w:rPr>
          <w:sz w:val="20"/>
          <w:szCs w:val="20"/>
          <w:color w:val="auto"/>
        </w:rPr>
      </w:pPr>
    </w:p>
    <w:p>
      <w:pPr>
        <w:spacing w:after="0" w:line="212"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The following table summarizes information about the AT&amp;T Wireless Group tracking stock options outstanding at December 31, 2000:</w:t>
      </w:r>
    </w:p>
    <w:p>
      <w:pPr>
        <w:spacing w:after="0" w:line="192"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OPTIONS OUTSTANDING</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OPTIONS EXERCISABLE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 WEIGHTED- NUMBER</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AVERAGE WEIGHTED-</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NUMBER WEIGHTED-</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OUTSTANDING AT</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REMAINING AVERAGE</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EXERCISABLE AT</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AVERAGE RANGE OF</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EXERCISE PRICES</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DECEMBER 31, 2000</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CONTRACTUAL LIFE</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EXERCISE PRICE</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DECEMBER 31, 2000</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EXERCISE PRICE - ----</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(IN THOUSANDS) (IN</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THOUSANDS) $17.06 -</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$21.00....... 305 9.9</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$17.91 -- $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$24.47................</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1,741 9.8 $24.47 -- $</w:t>
      </w:r>
    </w:p>
    <w:p>
      <w:pPr>
        <w:spacing w:after="0" w:line="9"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 $26.00 -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$28.53</w:t>
            </w:r>
          </w:p>
        </w:tc>
        <w:tc>
          <w:tcPr>
            <w:tcW w:w="7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rPr>
              <w:t>1,865</w:t>
            </w:r>
          </w:p>
        </w:tc>
      </w:tr>
      <w:tr>
        <w:trPr>
          <w:trHeight w:val="201"/>
        </w:trPr>
        <w:tc>
          <w:tcPr>
            <w:tcW w:w="15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9.5 $27.62 122</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$27.21</w:t>
            </w:r>
          </w:p>
        </w:tc>
      </w:tr>
      <w:tr>
        <w:trPr>
          <w:trHeight w:val="201"/>
        </w:trPr>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$29.50................</w:t>
            </w:r>
          </w:p>
        </w:tc>
        <w:tc>
          <w:tcPr>
            <w:tcW w:w="720" w:type="dxa"/>
            <w:vAlign w:val="bottom"/>
          </w:tcPr>
          <w:p>
            <w:pPr>
              <w:spacing w:after="0"/>
              <w:rPr>
                <w:sz w:val="17"/>
                <w:szCs w:val="17"/>
                <w:color w:val="auto"/>
              </w:rPr>
            </w:pPr>
          </w:p>
        </w:tc>
      </w:tr>
      <w:tr>
        <w:trPr>
          <w:trHeight w:val="201"/>
        </w:trPr>
        <w:tc>
          <w:tcPr>
            <w:tcW w:w="22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69,715 9.3 $29.50</w:t>
            </w:r>
          </w:p>
        </w:tc>
      </w:tr>
      <w:tr>
        <w:trPr>
          <w:trHeight w:val="201"/>
        </w:trPr>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12,269</w:t>
            </w:r>
          </w:p>
        </w:tc>
        <w:tc>
          <w:tcPr>
            <w:tcW w:w="760" w:type="dxa"/>
            <w:vAlign w:val="bottom"/>
          </w:tcPr>
          <w:p>
            <w:pPr>
              <w:jc w:val="center"/>
              <w:spacing w:after="0"/>
              <w:rPr>
                <w:sz w:val="20"/>
                <w:szCs w:val="20"/>
                <w:color w:val="auto"/>
              </w:rPr>
            </w:pPr>
            <w:r>
              <w:rPr>
                <w:rFonts w:ascii="Courier New" w:cs="Courier New" w:eastAsia="Courier New" w:hAnsi="Courier New"/>
                <w:sz w:val="17"/>
                <w:szCs w:val="17"/>
                <w:color w:val="auto"/>
              </w:rPr>
              <w:t>$29.50</w:t>
            </w: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r>
      <w:tr>
        <w:trPr>
          <w:trHeight w:val="201"/>
        </w:trPr>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73,626 9.3</w:t>
            </w:r>
          </w:p>
        </w:tc>
      </w:tr>
      <w:tr>
        <w:trPr>
          <w:trHeight w:val="201"/>
        </w:trPr>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$29.29</w:t>
            </w:r>
          </w:p>
        </w:tc>
        <w:tc>
          <w:tcPr>
            <w:tcW w:w="760" w:type="dxa"/>
            <w:vAlign w:val="bottom"/>
          </w:tcPr>
          <w:p>
            <w:pPr>
              <w:jc w:val="center"/>
              <w:spacing w:after="0"/>
              <w:rPr>
                <w:sz w:val="20"/>
                <w:szCs w:val="20"/>
                <w:color w:val="auto"/>
              </w:rPr>
            </w:pPr>
            <w:r>
              <w:rPr>
                <w:rFonts w:ascii="Courier New" w:cs="Courier New" w:eastAsia="Courier New" w:hAnsi="Courier New"/>
                <w:sz w:val="17"/>
                <w:szCs w:val="17"/>
                <w:color w:val="auto"/>
              </w:rPr>
              <w:t>12,391</w:t>
            </w: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rPr>
              <w:t>$29.48</w:t>
            </w:r>
          </w:p>
        </w:tc>
      </w:tr>
    </w:tbl>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L-75</w:t>
      </w:r>
    </w:p>
    <w:p>
      <w:pPr>
        <w:sectPr>
          <w:pgSz w:w="11900" w:h="16838" w:orient="portrait"/>
          <w:cols w:equalWidth="0" w:num="1">
            <w:col w:w="10219"/>
          </w:cols>
          <w:pgMar w:left="240" w:top="142" w:right="1440" w:bottom="1440" w:gutter="0" w:footer="0" w:header="0"/>
        </w:sectPr>
      </w:pPr>
    </w:p>
    <w:bookmarkStart w:id="678" w:name="page679"/>
    <w:bookmarkEnd w:id="678"/>
    <w:p>
      <w:pPr>
        <w:jc w:val="center"/>
        <w:ind w:right="181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has adopted the disclosure-only provisions of SFAS No. 123, "Accounting for Stock-Based Compensation." If AT&amp;T had elected to recognize compensation costs based on the fair value at the date of grant for awards in 2000, 1999 and 1998, consistent with the provisions of SFAS No. 123, net income and earnings per share amounts would have been as follows:</w:t>
      </w:r>
    </w:p>
    <w:p>
      <w:pPr>
        <w:spacing w:after="0" w:line="19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2000 1999 1998 -----------</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 ------ ------ ------ AT&amp;T Common</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Stock Group: Income from continuing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40" w:type="dxa"/>
            <w:vAlign w:val="bottom"/>
          </w:tcPr>
          <w:p>
            <w:pPr>
              <w:ind w:left="120"/>
              <w:spacing w:after="0"/>
              <w:rPr>
                <w:sz w:val="20"/>
                <w:szCs w:val="20"/>
                <w:color w:val="auto"/>
              </w:rPr>
            </w:pPr>
            <w:r>
              <w:rPr>
                <w:rFonts w:ascii="Courier New" w:cs="Courier New" w:eastAsia="Courier New" w:hAnsi="Courier New"/>
                <w:sz w:val="17"/>
                <w:szCs w:val="17"/>
                <w:color w:val="auto"/>
                <w:w w:val="79"/>
              </w:rPr>
              <w:t>operations...........................</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$2,342</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$5,685</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$4,932</w:t>
            </w:r>
          </w:p>
        </w:tc>
      </w:tr>
      <w:tr>
        <w:trPr>
          <w:trHeight w:val="201"/>
        </w:trPr>
        <w:tc>
          <w:tcPr>
            <w:tcW w:w="4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Income (loss) from discontinued</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1"/>
        </w:trPr>
        <w:tc>
          <w:tcPr>
            <w:tcW w:w="3140" w:type="dxa"/>
            <w:vAlign w:val="bottom"/>
          </w:tcPr>
          <w:p>
            <w:pPr>
              <w:ind w:left="120"/>
              <w:spacing w:after="0"/>
              <w:rPr>
                <w:sz w:val="20"/>
                <w:szCs w:val="20"/>
                <w:color w:val="auto"/>
              </w:rPr>
            </w:pPr>
            <w:r>
              <w:rPr>
                <w:rFonts w:ascii="Courier New" w:cs="Courier New" w:eastAsia="Courier New" w:hAnsi="Courier New"/>
                <w:sz w:val="17"/>
                <w:szCs w:val="17"/>
                <w:color w:val="auto"/>
              </w:rPr>
              <w:t>operations..................</w:t>
            </w:r>
          </w:p>
        </w:tc>
        <w:tc>
          <w:tcPr>
            <w:tcW w:w="3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283 (492) 153 Gain on sale of</w:t>
            </w:r>
          </w:p>
        </w:tc>
      </w:tr>
      <w:tr>
        <w:trPr>
          <w:trHeight w:val="201"/>
        </w:trPr>
        <w:tc>
          <w:tcPr>
            <w:tcW w:w="4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discontinued operations.....................</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1,290</w:t>
            </w:r>
          </w:p>
        </w:tc>
      </w:tr>
      <w:tr>
        <w:trPr>
          <w:trHeight w:val="201"/>
        </w:trPr>
        <w:tc>
          <w:tcPr>
            <w:tcW w:w="4800" w:type="dxa"/>
            <w:vAlign w:val="bottom"/>
            <w:gridSpan w:val="2"/>
          </w:tcPr>
          <w:p>
            <w:pPr>
              <w:jc w:val="right"/>
              <w:ind w:right="873"/>
              <w:spacing w:after="0"/>
              <w:rPr>
                <w:sz w:val="20"/>
                <w:szCs w:val="20"/>
                <w:color w:val="auto"/>
              </w:rPr>
            </w:pPr>
            <w:r>
              <w:rPr>
                <w:rFonts w:ascii="Courier New" w:cs="Courier New" w:eastAsia="Courier New" w:hAnsi="Courier New"/>
                <w:sz w:val="17"/>
                <w:szCs w:val="17"/>
                <w:color w:val="auto"/>
              </w:rPr>
              <w:t>Extraordinary</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1"/>
        </w:trPr>
        <w:tc>
          <w:tcPr>
            <w:tcW w:w="4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loss..........................................</w:t>
            </w:r>
          </w:p>
        </w:tc>
        <w:tc>
          <w:tcPr>
            <w:tcW w:w="13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-- 137</w:t>
            </w:r>
          </w:p>
        </w:tc>
      </w:tr>
      <w:tr>
        <w:trPr>
          <w:trHeight w:val="201"/>
        </w:trPr>
        <w:tc>
          <w:tcPr>
            <w:tcW w:w="48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Income......................................................</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$2,625 $5,193 $6,238 Earnings (loss) per AT&amp;T Common Stock</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618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Group common share-basic: Continuing</w:t>
            </w:r>
          </w:p>
        </w:tc>
      </w:tr>
      <w:tr>
        <w:trPr>
          <w:trHeight w:val="201"/>
        </w:trPr>
        <w:tc>
          <w:tcPr>
            <w:tcW w:w="46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2"/>
              </w:rPr>
              <w:t>operations.......................................</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$ 0.67 $</w:t>
            </w:r>
          </w:p>
        </w:tc>
      </w:tr>
      <w:tr>
        <w:trPr>
          <w:trHeight w:val="201"/>
        </w:trPr>
        <w:tc>
          <w:tcPr>
            <w:tcW w:w="2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1.84</w:t>
            </w:r>
          </w:p>
        </w:tc>
        <w:tc>
          <w:tcPr>
            <w:tcW w:w="2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$ 1.84 Discontinued</w:t>
            </w:r>
          </w:p>
        </w:tc>
        <w:tc>
          <w:tcPr>
            <w:tcW w:w="1520" w:type="dxa"/>
            <w:vAlign w:val="bottom"/>
          </w:tcPr>
          <w:p>
            <w:pPr>
              <w:spacing w:after="0"/>
              <w:rPr>
                <w:sz w:val="17"/>
                <w:szCs w:val="17"/>
                <w:color w:val="auto"/>
              </w:rPr>
            </w:pPr>
          </w:p>
        </w:tc>
      </w:tr>
      <w:tr>
        <w:trPr>
          <w:trHeight w:val="201"/>
        </w:trPr>
        <w:tc>
          <w:tcPr>
            <w:tcW w:w="46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operations.....................................</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0.08 (0.16)</w:t>
            </w:r>
          </w:p>
        </w:tc>
      </w:tr>
      <w:tr>
        <w:trPr>
          <w:trHeight w:val="201"/>
        </w:trPr>
        <w:tc>
          <w:tcPr>
            <w:tcW w:w="618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0.06 Gain on sale of discontinued</w:t>
            </w:r>
          </w:p>
        </w:tc>
      </w:tr>
      <w:tr>
        <w:trPr>
          <w:trHeight w:val="201"/>
        </w:trPr>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w w:val="73"/>
              </w:rPr>
              <w:t>operations.....................</w:t>
            </w:r>
          </w:p>
        </w:tc>
        <w:tc>
          <w:tcPr>
            <w:tcW w:w="38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-- 0.48 Extraordinary</w:t>
            </w:r>
          </w:p>
        </w:tc>
      </w:tr>
      <w:tr>
        <w:trPr>
          <w:trHeight w:val="201"/>
        </w:trPr>
        <w:tc>
          <w:tcPr>
            <w:tcW w:w="46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loss..........................................</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-- 0.05</w:t>
            </w:r>
          </w:p>
        </w:tc>
      </w:tr>
      <w:tr>
        <w:trPr>
          <w:trHeight w:val="201"/>
        </w:trPr>
        <w:tc>
          <w:tcPr>
            <w:tcW w:w="4660" w:type="dxa"/>
            <w:vAlign w:val="bottom"/>
            <w:gridSpan w:val="2"/>
          </w:tcPr>
          <w:p>
            <w:pPr>
              <w:jc w:val="center"/>
              <w:ind w:left="1434"/>
              <w:spacing w:after="0"/>
              <w:rPr>
                <w:sz w:val="20"/>
                <w:szCs w:val="20"/>
                <w:color w:val="auto"/>
              </w:rPr>
            </w:pPr>
            <w:r>
              <w:rPr>
                <w:rFonts w:ascii="Courier New" w:cs="Courier New" w:eastAsia="Courier New" w:hAnsi="Courier New"/>
                <w:sz w:val="17"/>
                <w:szCs w:val="17"/>
                <w:color w:val="auto"/>
              </w:rPr>
              <w:t>AT&amp;T Common Stock Group</w:t>
            </w:r>
          </w:p>
        </w:tc>
        <w:tc>
          <w:tcPr>
            <w:tcW w:w="1520" w:type="dxa"/>
            <w:vAlign w:val="bottom"/>
          </w:tcPr>
          <w:p>
            <w:pPr>
              <w:spacing w:after="0"/>
              <w:rPr>
                <w:sz w:val="17"/>
                <w:szCs w:val="17"/>
                <w:color w:val="auto"/>
              </w:rPr>
            </w:pPr>
          </w:p>
        </w:tc>
      </w:tr>
      <w:tr>
        <w:trPr>
          <w:trHeight w:val="201"/>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w w:val="72"/>
              </w:rPr>
              <w:t>earnings............................</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$ 0.75</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$ 1.68 $ 2.33</w:t>
            </w: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60" w:type="dxa"/>
            <w:vAlign w:val="bottom"/>
          </w:tcPr>
          <w:p>
            <w:pPr>
              <w:spacing w:after="0"/>
              <w:rPr>
                <w:sz w:val="17"/>
                <w:szCs w:val="17"/>
                <w:color w:val="auto"/>
              </w:rPr>
            </w:pPr>
          </w:p>
        </w:tc>
        <w:tc>
          <w:tcPr>
            <w:tcW w:w="3360" w:type="dxa"/>
            <w:vAlign w:val="bottom"/>
          </w:tcPr>
          <w:p>
            <w:pPr>
              <w:jc w:val="center"/>
              <w:ind w:left="133"/>
              <w:spacing w:after="0"/>
              <w:rPr>
                <w:sz w:val="20"/>
                <w:szCs w:val="20"/>
                <w:color w:val="auto"/>
              </w:rPr>
            </w:pPr>
            <w:r>
              <w:rPr>
                <w:rFonts w:ascii="Courier New" w:cs="Courier New" w:eastAsia="Courier New" w:hAnsi="Courier New"/>
                <w:sz w:val="17"/>
                <w:szCs w:val="17"/>
                <w:color w:val="auto"/>
              </w:rPr>
              <w:t>diluted: Continuing</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1"/>
        </w:trPr>
        <w:tc>
          <w:tcPr>
            <w:tcW w:w="4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4"/>
              </w:rPr>
              <w:t>operations.......................................</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$ 0.66</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201"/>
        </w:trPr>
        <w:tc>
          <w:tcPr>
            <w:tcW w:w="1360" w:type="dxa"/>
            <w:vAlign w:val="bottom"/>
          </w:tcPr>
          <w:p>
            <w:pPr>
              <w:spacing w:after="0"/>
              <w:rPr>
                <w:sz w:val="17"/>
                <w:szCs w:val="17"/>
                <w:color w:val="auto"/>
              </w:rPr>
            </w:pPr>
          </w:p>
        </w:tc>
        <w:tc>
          <w:tcPr>
            <w:tcW w:w="3360" w:type="dxa"/>
            <w:vAlign w:val="bottom"/>
          </w:tcPr>
          <w:p>
            <w:pPr>
              <w:jc w:val="center"/>
              <w:ind w:left="133"/>
              <w:spacing w:after="0"/>
              <w:rPr>
                <w:sz w:val="20"/>
                <w:szCs w:val="20"/>
                <w:color w:val="auto"/>
              </w:rPr>
            </w:pPr>
            <w:r>
              <w:rPr>
                <w:rFonts w:ascii="Courier New" w:cs="Courier New" w:eastAsia="Courier New" w:hAnsi="Courier New"/>
                <w:sz w:val="17"/>
                <w:szCs w:val="17"/>
                <w:color w:val="auto"/>
              </w:rPr>
              <w:t>1.80 $ 1.82 Discontinued</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1"/>
        </w:trPr>
        <w:tc>
          <w:tcPr>
            <w:tcW w:w="4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operations.....................................</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0.08 (0.15)</w:t>
            </w:r>
          </w:p>
        </w:tc>
      </w:tr>
      <w:tr>
        <w:trPr>
          <w:trHeight w:val="201"/>
        </w:trPr>
        <w:tc>
          <w:tcPr>
            <w:tcW w:w="1360" w:type="dxa"/>
            <w:vAlign w:val="bottom"/>
          </w:tcPr>
          <w:p>
            <w:pPr>
              <w:spacing w:after="0"/>
              <w:rPr>
                <w:sz w:val="17"/>
                <w:szCs w:val="17"/>
                <w:color w:val="auto"/>
              </w:rPr>
            </w:pPr>
          </w:p>
        </w:tc>
        <w:tc>
          <w:tcPr>
            <w:tcW w:w="4700" w:type="dxa"/>
            <w:vAlign w:val="bottom"/>
            <w:gridSpan w:val="2"/>
          </w:tcPr>
          <w:p>
            <w:pPr>
              <w:jc w:val="center"/>
              <w:ind w:right="1053"/>
              <w:spacing w:after="0"/>
              <w:rPr>
                <w:sz w:val="20"/>
                <w:szCs w:val="20"/>
                <w:color w:val="auto"/>
              </w:rPr>
            </w:pPr>
            <w:r>
              <w:rPr>
                <w:rFonts w:ascii="Courier New" w:cs="Courier New" w:eastAsia="Courier New" w:hAnsi="Courier New"/>
                <w:sz w:val="17"/>
                <w:szCs w:val="17"/>
                <w:color w:val="auto"/>
              </w:rPr>
              <w:t>0.06 Gains on sale of discontinued</w:t>
            </w:r>
          </w:p>
        </w:tc>
        <w:tc>
          <w:tcPr>
            <w:tcW w:w="180" w:type="dxa"/>
            <w:vAlign w:val="bottom"/>
          </w:tcPr>
          <w:p>
            <w:pPr>
              <w:spacing w:after="0"/>
              <w:rPr>
                <w:sz w:val="17"/>
                <w:szCs w:val="17"/>
                <w:color w:val="auto"/>
              </w:rPr>
            </w:pPr>
          </w:p>
        </w:tc>
      </w:tr>
      <w:tr>
        <w:trPr>
          <w:trHeight w:val="201"/>
        </w:trPr>
        <w:tc>
          <w:tcPr>
            <w:tcW w:w="1360" w:type="dxa"/>
            <w:vAlign w:val="bottom"/>
          </w:tcPr>
          <w:p>
            <w:pPr>
              <w:jc w:val="right"/>
              <w:spacing w:after="0"/>
              <w:rPr>
                <w:sz w:val="20"/>
                <w:szCs w:val="20"/>
                <w:color w:val="auto"/>
              </w:rPr>
            </w:pPr>
            <w:r>
              <w:rPr>
                <w:rFonts w:ascii="Courier New" w:cs="Courier New" w:eastAsia="Courier New" w:hAnsi="Courier New"/>
                <w:sz w:val="10"/>
                <w:szCs w:val="10"/>
                <w:color w:val="auto"/>
                <w:w w:val="74"/>
              </w:rPr>
              <w:t>operations....................</w:t>
            </w:r>
          </w:p>
        </w:tc>
        <w:tc>
          <w:tcPr>
            <w:tcW w:w="47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-- 0.48 Extraordinary</w:t>
            </w:r>
          </w:p>
        </w:tc>
        <w:tc>
          <w:tcPr>
            <w:tcW w:w="180" w:type="dxa"/>
            <w:vAlign w:val="bottom"/>
          </w:tcPr>
          <w:p>
            <w:pPr>
              <w:spacing w:after="0"/>
              <w:rPr>
                <w:sz w:val="17"/>
                <w:szCs w:val="17"/>
                <w:color w:val="auto"/>
              </w:rPr>
            </w:pPr>
          </w:p>
        </w:tc>
      </w:tr>
      <w:tr>
        <w:trPr>
          <w:trHeight w:val="201"/>
        </w:trPr>
        <w:tc>
          <w:tcPr>
            <w:tcW w:w="4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loss..........................................</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-- 0.05</w:t>
            </w:r>
          </w:p>
        </w:tc>
      </w:tr>
      <w:tr>
        <w:trPr>
          <w:trHeight w:val="201"/>
        </w:trPr>
        <w:tc>
          <w:tcPr>
            <w:tcW w:w="1360" w:type="dxa"/>
            <w:vAlign w:val="bottom"/>
          </w:tcPr>
          <w:p>
            <w:pPr>
              <w:spacing w:after="0"/>
              <w:rPr>
                <w:sz w:val="17"/>
                <w:szCs w:val="17"/>
                <w:color w:val="auto"/>
              </w:rPr>
            </w:pPr>
          </w:p>
        </w:tc>
        <w:tc>
          <w:tcPr>
            <w:tcW w:w="3360" w:type="dxa"/>
            <w:vAlign w:val="bottom"/>
          </w:tcPr>
          <w:p>
            <w:pPr>
              <w:jc w:val="center"/>
              <w:ind w:left="133"/>
              <w:spacing w:after="0"/>
              <w:rPr>
                <w:sz w:val="20"/>
                <w:szCs w:val="20"/>
                <w:color w:val="auto"/>
              </w:rPr>
            </w:pPr>
            <w:r>
              <w:rPr>
                <w:rFonts w:ascii="Courier New" w:cs="Courier New" w:eastAsia="Courier New" w:hAnsi="Courier New"/>
                <w:sz w:val="17"/>
                <w:szCs w:val="17"/>
                <w:color w:val="auto"/>
              </w:rPr>
              <w:t>AT&amp;T Common Stock Group</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1"/>
        </w:trPr>
        <w:tc>
          <w:tcPr>
            <w:tcW w:w="1360" w:type="dxa"/>
            <w:vAlign w:val="bottom"/>
          </w:tcPr>
          <w:p>
            <w:pPr>
              <w:jc w:val="right"/>
              <w:spacing w:after="0"/>
              <w:rPr>
                <w:sz w:val="20"/>
                <w:szCs w:val="20"/>
                <w:color w:val="auto"/>
              </w:rPr>
            </w:pPr>
            <w:r>
              <w:rPr>
                <w:rFonts w:ascii="Courier New" w:cs="Courier New" w:eastAsia="Courier New" w:hAnsi="Courier New"/>
                <w:sz w:val="8"/>
                <w:szCs w:val="8"/>
                <w:color w:val="auto"/>
                <w:w w:val="77"/>
              </w:rPr>
              <w:t>earnings............................</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$ 0.74</w:t>
            </w:r>
          </w:p>
        </w:tc>
        <w:tc>
          <w:tcPr>
            <w:tcW w:w="15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$ 1.65 $ 2.31</w:t>
            </w:r>
          </w:p>
        </w:tc>
      </w:tr>
      <w:tr>
        <w:trPr>
          <w:trHeight w:val="201"/>
        </w:trPr>
        <w:tc>
          <w:tcPr>
            <w:tcW w:w="1360" w:type="dxa"/>
            <w:vAlign w:val="bottom"/>
          </w:tcPr>
          <w:p>
            <w:pPr>
              <w:spacing w:after="0"/>
              <w:rPr>
                <w:sz w:val="17"/>
                <w:szCs w:val="17"/>
                <w:color w:val="auto"/>
              </w:rPr>
            </w:pPr>
          </w:p>
        </w:tc>
        <w:tc>
          <w:tcPr>
            <w:tcW w:w="3360" w:type="dxa"/>
            <w:vAlign w:val="bottom"/>
          </w:tcPr>
          <w:p>
            <w:pPr>
              <w:jc w:val="center"/>
              <w:ind w:left="133"/>
              <w:spacing w:after="0"/>
              <w:rPr>
                <w:sz w:val="20"/>
                <w:szCs w:val="20"/>
                <w:color w:val="auto"/>
              </w:rPr>
            </w:pPr>
            <w:r>
              <w:rPr>
                <w:rFonts w:ascii="Courier New" w:cs="Courier New" w:eastAsia="Courier New" w:hAnsi="Courier New"/>
                <w:sz w:val="17"/>
                <w:szCs w:val="17"/>
                <w:color w:val="auto"/>
              </w:rPr>
              <w:t>AT&amp;T Wireless Group:</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1"/>
        </w:trPr>
        <w:tc>
          <w:tcPr>
            <w:tcW w:w="4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6"/>
              </w:rPr>
              <w:t>Income......................................................</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1"/>
        </w:trPr>
        <w:tc>
          <w:tcPr>
            <w:tcW w:w="1360" w:type="dxa"/>
            <w:vAlign w:val="bottom"/>
          </w:tcPr>
          <w:p>
            <w:pPr>
              <w:jc w:val="right"/>
              <w:ind w:right="24"/>
              <w:spacing w:after="0"/>
              <w:rPr>
                <w:sz w:val="20"/>
                <w:szCs w:val="20"/>
                <w:color w:val="auto"/>
              </w:rPr>
            </w:pPr>
            <w:r>
              <w:rPr>
                <w:rFonts w:ascii="Courier New" w:cs="Courier New" w:eastAsia="Courier New" w:hAnsi="Courier New"/>
                <w:sz w:val="17"/>
                <w:szCs w:val="17"/>
                <w:color w:val="auto"/>
              </w:rPr>
              <w:t>$ 51</w:t>
            </w:r>
          </w:p>
        </w:tc>
        <w:tc>
          <w:tcPr>
            <w:tcW w:w="4700" w:type="dxa"/>
            <w:vAlign w:val="bottom"/>
            <w:gridSpan w:val="2"/>
          </w:tcPr>
          <w:p>
            <w:pPr>
              <w:jc w:val="right"/>
              <w:ind w:right="513"/>
              <w:spacing w:after="0"/>
              <w:rPr>
                <w:sz w:val="20"/>
                <w:szCs w:val="20"/>
                <w:color w:val="auto"/>
              </w:rPr>
            </w:pPr>
            <w:r>
              <w:rPr>
                <w:rFonts w:ascii="Courier New" w:cs="Courier New" w:eastAsia="Courier New" w:hAnsi="Courier New"/>
                <w:sz w:val="17"/>
                <w:szCs w:val="17"/>
                <w:color w:val="auto"/>
              </w:rPr>
              <w:t>$ -- $ -- Earnings per share: Basic and</w:t>
            </w:r>
          </w:p>
        </w:tc>
        <w:tc>
          <w:tcPr>
            <w:tcW w:w="180" w:type="dxa"/>
            <w:vAlign w:val="bottom"/>
          </w:tcPr>
          <w:p>
            <w:pPr>
              <w:spacing w:after="0"/>
              <w:rPr>
                <w:sz w:val="17"/>
                <w:szCs w:val="17"/>
                <w:color w:val="auto"/>
              </w:rPr>
            </w:pPr>
          </w:p>
        </w:tc>
      </w:tr>
      <w:tr>
        <w:trPr>
          <w:trHeight w:val="201"/>
        </w:trPr>
        <w:tc>
          <w:tcPr>
            <w:tcW w:w="4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2"/>
              </w:rPr>
              <w:t>diluted...........................................</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$ 0.14</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360" w:type="dxa"/>
            <w:vAlign w:val="bottom"/>
          </w:tcPr>
          <w:p>
            <w:pPr>
              <w:spacing w:after="0"/>
              <w:rPr>
                <w:sz w:val="17"/>
                <w:szCs w:val="17"/>
                <w:color w:val="auto"/>
              </w:rPr>
            </w:pPr>
          </w:p>
        </w:tc>
        <w:tc>
          <w:tcPr>
            <w:tcW w:w="3360" w:type="dxa"/>
            <w:vAlign w:val="bottom"/>
          </w:tcPr>
          <w:p>
            <w:pPr>
              <w:jc w:val="center"/>
              <w:ind w:left="133"/>
              <w:spacing w:after="0"/>
              <w:rPr>
                <w:sz w:val="20"/>
                <w:szCs w:val="20"/>
                <w:color w:val="auto"/>
              </w:rPr>
            </w:pPr>
            <w:r>
              <w:rPr>
                <w:rFonts w:ascii="Courier New" w:cs="Courier New" w:eastAsia="Courier New" w:hAnsi="Courier New"/>
                <w:sz w:val="17"/>
                <w:szCs w:val="17"/>
                <w:color w:val="auto"/>
              </w:rPr>
              <w:t>-- $ --</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The pro forma effect on net income for 1998 may not be representative of the pro forma effect on net income of future years because the SFAS No. 123 method of accounting for pro forma compensation expense has not been applied to options granted prior to January 1, 1995.</w:t>
      </w:r>
    </w:p>
    <w:p>
      <w:pPr>
        <w:spacing w:after="0" w:line="195"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The weighted-average fair values at date of grant for AT&amp;T common stock options granted during 2000, 1999 and 1998 were $12.10, $15.64 and $9.75, respectively, and were estimated using the Black-Scholes option-pricing model. The weighted-average risk-free interest rates applied for 2000, 1999 and 1998 were 6.29%, 5.10% and 5.33%, respectively. The following assumptions were applied for 2000, 1999 and 1998, respectively: (i) expected dividend yields of 1.6%, 1.7% and 2.1%, (ii) expected volatility rates of 33.5%, 28.3% and 23.8% and (iii) expected lives of 4.7 years in 2000 and 4.5 years for 1999 and 1998.</w:t>
      </w:r>
    </w:p>
    <w:p>
      <w:pPr>
        <w:spacing w:after="0" w:line="201"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The weighted-average fair values at date of grant for AT&amp;T Wireless Group tracking stock options granted during 2000 was $14.20 and was estimated using the Black-Scholes option-pricing model. The following weighted-average assumptions were applied for 2000: (i) risk-free rate of 6.53%, (ii) expected volatility rate of 55.0% and (iii) expected life of 3.9 years.</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L-76</w:t>
      </w:r>
    </w:p>
    <w:p>
      <w:pPr>
        <w:sectPr>
          <w:pgSz w:w="11900" w:h="16838" w:orient="portrait"/>
          <w:cols w:equalWidth="0" w:num="1">
            <w:col w:w="10219"/>
          </w:cols>
          <w:pgMar w:left="240" w:top="518" w:right="1440" w:bottom="1440" w:gutter="0" w:footer="0" w:header="0"/>
        </w:sectPr>
      </w:pPr>
    </w:p>
    <w:bookmarkStart w:id="679" w:name="page680"/>
    <w:bookmarkEnd w:id="679"/>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540" w:hanging="533"/>
        <w:spacing w:after="0"/>
        <w:tabs>
          <w:tab w:leader="none" w:pos="540" w:val="left"/>
        </w:tabs>
        <w:numPr>
          <w:ilvl w:val="0"/>
          <w:numId w:val="7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The following table shows the principal reasons for the difference between the effective income tax rate and the U.S. federal statutory income tax rate:</w:t>
      </w:r>
    </w:p>
    <w:p>
      <w:pPr>
        <w:spacing w:after="0" w:line="19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2000 1999 1998 --------</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 ------ ------ ------ U.S.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federal statutory income tax rate.....................</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35% 35% 35% Federal income tax at statutory</w:t>
      </w:r>
    </w:p>
    <w:p>
      <w:pPr>
        <w:spacing w:after="0" w:line="9" w:lineRule="exact"/>
        <w:rPr>
          <w:sz w:val="20"/>
          <w:szCs w:val="20"/>
          <w:color w:val="auto"/>
        </w:rPr>
      </w:pPr>
    </w:p>
    <w:p>
      <w:pPr>
        <w:jc w:val="center"/>
        <w:ind w:right="4239"/>
        <w:spacing w:after="0" w:line="251" w:lineRule="auto"/>
        <w:rPr>
          <w:sz w:val="20"/>
          <w:szCs w:val="20"/>
          <w:color w:val="auto"/>
        </w:rPr>
      </w:pPr>
      <w:r>
        <w:rPr>
          <w:rFonts w:ascii="Courier New" w:cs="Courier New" w:eastAsia="Courier New" w:hAnsi="Courier New"/>
          <w:sz w:val="17"/>
          <w:szCs w:val="17"/>
          <w:color w:val="auto"/>
        </w:rPr>
        <w:t>rate....................... $ 845 $3,774 $2,853 Amortization of investment tax credits..................... (23) (10) (14) State and local income taxes, net of federal income tax</w:t>
      </w:r>
    </w:p>
    <w:p>
      <w:pPr>
        <w:spacing w:after="0"/>
        <w:rPr>
          <w:sz w:val="20"/>
          <w:szCs w:val="20"/>
          <w:color w:val="auto"/>
        </w:rPr>
      </w:pPr>
      <w:r>
        <w:rPr>
          <w:rFonts w:ascii="Courier New" w:cs="Courier New" w:eastAsia="Courier New" w:hAnsi="Courier New"/>
          <w:sz w:val="17"/>
          <w:szCs w:val="17"/>
          <w:color w:val="auto"/>
        </w:rPr>
        <w:t>effect...................................................</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176 279 190 In-process research and development write-</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off.............. -- 208 -- Amortization of</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intangibles................................ 91 26 17</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Foreign rate</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differential.................................. 104 56 30</w:t>
      </w:r>
    </w:p>
    <w:p>
      <w:pPr>
        <w:spacing w:after="0" w:line="210"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of tax</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credits..............................................</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(84) (45) (36) Research and other</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credits................................. (37) (61) (83)</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Valuation</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allowance........................................ --</w:t>
      </w:r>
    </w:p>
    <w:p>
      <w:pPr>
        <w:spacing w:after="0" w:line="9" w:lineRule="exact"/>
        <w:rPr>
          <w:sz w:val="20"/>
          <w:szCs w:val="20"/>
          <w:color w:val="auto"/>
        </w:rPr>
      </w:pPr>
    </w:p>
    <w:p>
      <w:pPr>
        <w:ind w:left="2680" w:right="4359" w:hanging="2572"/>
        <w:spacing w:after="0" w:line="251" w:lineRule="auto"/>
        <w:tabs>
          <w:tab w:leader="none" w:pos="637" w:val="left"/>
        </w:tabs>
        <w:numPr>
          <w:ilvl w:val="0"/>
          <w:numId w:val="7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38 Investment dispositions, acquisitions and legal entity</w:t>
      </w:r>
    </w:p>
    <w:p>
      <w:pPr>
        <w:spacing w:after="0"/>
        <w:rPr>
          <w:sz w:val="20"/>
          <w:szCs w:val="20"/>
          <w:color w:val="auto"/>
        </w:rPr>
      </w:pPr>
      <w:r>
        <w:rPr>
          <w:rFonts w:ascii="Courier New" w:cs="Courier New" w:eastAsia="Courier New" w:hAnsi="Courier New"/>
          <w:sz w:val="17"/>
          <w:szCs w:val="17"/>
          <w:color w:val="auto"/>
        </w:rPr>
        <w:t>restructurings...........................................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(445) (94) (153) Operating losses and charges relating</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to Excite@Home</w:t>
            </w:r>
          </w:p>
        </w:tc>
        <w:tc>
          <w:tcPr>
            <w:tcW w:w="41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2,757 -- -- Other differences,</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9"/>
                <w:szCs w:val="9"/>
                <w:color w:val="auto"/>
                <w:w w:val="74"/>
              </w:rPr>
              <w:t>net.....................................</w:t>
            </w:r>
          </w:p>
        </w:tc>
        <w:tc>
          <w:tcPr>
            <w:tcW w:w="4120" w:type="dxa"/>
            <w:vAlign w:val="bottom"/>
          </w:tcPr>
          <w:p>
            <w:pPr>
              <w:ind w:left="2660"/>
              <w:spacing w:after="0"/>
              <w:rPr>
                <w:sz w:val="20"/>
                <w:szCs w:val="20"/>
                <w:color w:val="auto"/>
              </w:rPr>
            </w:pPr>
            <w:r>
              <w:rPr>
                <w:rFonts w:ascii="Courier New" w:cs="Courier New" w:eastAsia="Courier New" w:hAnsi="Courier New"/>
                <w:sz w:val="17"/>
                <w:szCs w:val="17"/>
                <w:color w:val="auto"/>
              </w:rPr>
              <w:t>(100) (41) 147</w:t>
            </w:r>
          </w:p>
        </w:tc>
      </w:tr>
      <w:tr>
        <w:trPr>
          <w:trHeight w:val="201"/>
        </w:trPr>
        <w:tc>
          <w:tcPr>
            <w:tcW w:w="1640" w:type="dxa"/>
            <w:vAlign w:val="bottom"/>
          </w:tcPr>
          <w:p>
            <w:pPr>
              <w:spacing w:after="0"/>
              <w:rPr>
                <w:sz w:val="17"/>
                <w:szCs w:val="17"/>
                <w:color w:val="auto"/>
              </w:rPr>
            </w:pPr>
          </w:p>
        </w:tc>
        <w:tc>
          <w:tcPr>
            <w:tcW w:w="4120" w:type="dxa"/>
            <w:vAlign w:val="bottom"/>
          </w:tcPr>
          <w:p>
            <w:pPr>
              <w:jc w:val="center"/>
              <w:ind w:right="1533"/>
              <w:spacing w:after="0"/>
              <w:rPr>
                <w:sz w:val="20"/>
                <w:szCs w:val="20"/>
                <w:color w:val="auto"/>
              </w:rPr>
            </w:pPr>
            <w:r>
              <w:rPr>
                <w:rFonts w:ascii="Courier New" w:cs="Courier New" w:eastAsia="Courier New" w:hAnsi="Courier New"/>
                <w:sz w:val="17"/>
                <w:szCs w:val="17"/>
                <w:color w:val="auto"/>
              </w:rPr>
              <w:t>Provision for income</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10"/>
                <w:szCs w:val="10"/>
                <w:color w:val="auto"/>
                <w:w w:val="71"/>
              </w:rPr>
              <w:t>taxes.................................</w:t>
            </w:r>
          </w:p>
        </w:tc>
        <w:tc>
          <w:tcPr>
            <w:tcW w:w="41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$3,284 $4,016</w:t>
            </w:r>
          </w:p>
        </w:tc>
      </w:tr>
      <w:tr>
        <w:trPr>
          <w:trHeight w:val="201"/>
        </w:trPr>
        <w:tc>
          <w:tcPr>
            <w:tcW w:w="57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$2,989 Effective income tax</w:t>
            </w:r>
          </w:p>
        </w:tc>
      </w:tr>
      <w:tr>
        <w:trPr>
          <w:trHeight w:val="201"/>
        </w:trPr>
        <w:tc>
          <w:tcPr>
            <w:tcW w:w="1640" w:type="dxa"/>
            <w:vAlign w:val="bottom"/>
          </w:tcPr>
          <w:p>
            <w:pPr>
              <w:jc w:val="right"/>
              <w:spacing w:after="0"/>
              <w:rPr>
                <w:sz w:val="20"/>
                <w:szCs w:val="20"/>
                <w:color w:val="auto"/>
              </w:rPr>
            </w:pPr>
            <w:r>
              <w:rPr>
                <w:rFonts w:ascii="Courier New" w:cs="Courier New" w:eastAsia="Courier New" w:hAnsi="Courier New"/>
                <w:sz w:val="10"/>
                <w:szCs w:val="10"/>
                <w:color w:val="auto"/>
                <w:w w:val="71"/>
              </w:rPr>
              <w:t>rate..................................</w:t>
            </w:r>
          </w:p>
        </w:tc>
        <w:tc>
          <w:tcPr>
            <w:tcW w:w="4120" w:type="dxa"/>
            <w:vAlign w:val="bottom"/>
          </w:tcPr>
          <w:p>
            <w:pPr>
              <w:ind w:left="2660"/>
              <w:spacing w:after="0"/>
              <w:rPr>
                <w:sz w:val="20"/>
                <w:szCs w:val="20"/>
                <w:color w:val="auto"/>
              </w:rPr>
            </w:pPr>
            <w:r>
              <w:rPr>
                <w:rFonts w:ascii="Courier New" w:cs="Courier New" w:eastAsia="Courier New" w:hAnsi="Courier New"/>
                <w:sz w:val="17"/>
                <w:szCs w:val="17"/>
                <w:color w:val="auto"/>
              </w:rPr>
              <w:t>136.1% 37.3%</w:t>
            </w:r>
          </w:p>
        </w:tc>
      </w:tr>
      <w:tr>
        <w:trPr>
          <w:trHeight w:val="201"/>
        </w:trPr>
        <w:tc>
          <w:tcPr>
            <w:tcW w:w="1640" w:type="dxa"/>
            <w:vAlign w:val="bottom"/>
          </w:tcPr>
          <w:p>
            <w:pPr>
              <w:spacing w:after="0"/>
              <w:rPr>
                <w:sz w:val="17"/>
                <w:szCs w:val="17"/>
                <w:color w:val="auto"/>
              </w:rPr>
            </w:pPr>
          </w:p>
        </w:tc>
        <w:tc>
          <w:tcPr>
            <w:tcW w:w="4120" w:type="dxa"/>
            <w:vAlign w:val="bottom"/>
          </w:tcPr>
          <w:p>
            <w:pPr>
              <w:jc w:val="center"/>
              <w:ind w:right="1533"/>
              <w:spacing w:after="0"/>
              <w:rPr>
                <w:sz w:val="20"/>
                <w:szCs w:val="20"/>
                <w:color w:val="auto"/>
              </w:rPr>
            </w:pPr>
            <w:r>
              <w:rPr>
                <w:rFonts w:ascii="Courier New" w:cs="Courier New" w:eastAsia="Courier New" w:hAnsi="Courier New"/>
                <w:sz w:val="17"/>
                <w:szCs w:val="17"/>
                <w:color w:val="auto"/>
              </w:rPr>
              <w:t>36.7%</w:t>
            </w: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U.S. and foreign components of income from continuing operations before income taxes and the provision for income taxes are presented in this table:</w:t>
      </w:r>
    </w:p>
    <w:p>
      <w:pPr>
        <w:spacing w:after="0" w:line="19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2000 1999 1998 ---------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 INCOME FROM</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CONTINUING OPERATIONS BEFORE INCOME TAXES United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States.............................................</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$2,823 $10,449</w:t>
            </w:r>
          </w:p>
        </w:tc>
        <w:tc>
          <w:tcPr>
            <w:tcW w:w="1520" w:type="dxa"/>
            <w:vAlign w:val="bottom"/>
            <w:gridSpan w:val="2"/>
          </w:tcPr>
          <w:p>
            <w:pPr>
              <w:jc w:val="right"/>
              <w:ind w:right="733"/>
              <w:spacing w:after="0"/>
              <w:rPr>
                <w:sz w:val="20"/>
                <w:szCs w:val="20"/>
                <w:color w:val="auto"/>
              </w:rPr>
            </w:pPr>
            <w:r>
              <w:rPr>
                <w:rFonts w:ascii="Courier New" w:cs="Courier New" w:eastAsia="Courier New" w:hAnsi="Courier New"/>
                <w:sz w:val="17"/>
                <w:szCs w:val="17"/>
                <w:color w:val="auto"/>
              </w:rPr>
              <w:t>$7,953</w:t>
            </w:r>
          </w:p>
        </w:tc>
        <w:tc>
          <w:tcPr>
            <w:tcW w:w="1060" w:type="dxa"/>
            <w:vAlign w:val="bottom"/>
          </w:tcPr>
          <w:p>
            <w:pPr>
              <w:spacing w:after="0"/>
              <w:rPr>
                <w:sz w:val="17"/>
                <w:szCs w:val="17"/>
                <w:color w:val="auto"/>
              </w:rPr>
            </w:pPr>
          </w:p>
        </w:tc>
      </w:tr>
      <w:tr>
        <w:trPr>
          <w:trHeight w:val="201"/>
        </w:trPr>
        <w:tc>
          <w:tcPr>
            <w:tcW w:w="18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Foreign...................................................</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(409)</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332 198</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18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Total.....................................................</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1580" w:type="dxa"/>
            <w:vAlign w:val="bottom"/>
          </w:tcPr>
          <w:p>
            <w:pPr>
              <w:jc w:val="right"/>
              <w:ind w:right="8"/>
              <w:spacing w:after="0"/>
              <w:rPr>
                <w:sz w:val="20"/>
                <w:szCs w:val="20"/>
                <w:color w:val="auto"/>
              </w:rPr>
            </w:pPr>
            <w:r>
              <w:rPr>
                <w:rFonts w:ascii="Courier New" w:cs="Courier New" w:eastAsia="Courier New" w:hAnsi="Courier New"/>
                <w:sz w:val="17"/>
                <w:szCs w:val="17"/>
                <w:color w:val="auto"/>
              </w:rPr>
              <w:t>$2,414 $10,781</w:t>
            </w:r>
          </w:p>
        </w:tc>
        <w:tc>
          <w:tcPr>
            <w:tcW w:w="130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6"/>
              </w:rPr>
              <w:t>$8,151 ------</w:t>
            </w:r>
          </w:p>
        </w:tc>
        <w:tc>
          <w:tcPr>
            <w:tcW w:w="31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PROVISION FOR</w:t>
            </w:r>
          </w:p>
        </w:tc>
      </w:tr>
      <w:tr>
        <w:trPr>
          <w:trHeight w:val="201"/>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center"/>
              <w:ind w:left="73"/>
              <w:spacing w:after="0"/>
              <w:rPr>
                <w:sz w:val="20"/>
                <w:szCs w:val="20"/>
                <w:color w:val="auto"/>
              </w:rPr>
            </w:pPr>
            <w:r>
              <w:rPr>
                <w:rFonts w:ascii="Courier New" w:cs="Courier New" w:eastAsia="Courier New" w:hAnsi="Courier New"/>
                <w:sz w:val="17"/>
                <w:szCs w:val="17"/>
                <w:color w:val="auto"/>
              </w:rPr>
              <w:t>INCOME TAXES CURRENT</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18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Federal.................................................</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28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$2,323 $ 2,896</w:t>
            </w:r>
          </w:p>
        </w:tc>
        <w:tc>
          <w:tcPr>
            <w:tcW w:w="208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$2,714 State and</w:t>
            </w:r>
          </w:p>
        </w:tc>
        <w:tc>
          <w:tcPr>
            <w:tcW w:w="1060" w:type="dxa"/>
            <w:vAlign w:val="bottom"/>
          </w:tcPr>
          <w:p>
            <w:pPr>
              <w:spacing w:after="0"/>
              <w:rPr>
                <w:sz w:val="17"/>
                <w:szCs w:val="17"/>
                <w:color w:val="auto"/>
              </w:rPr>
            </w:pPr>
          </w:p>
        </w:tc>
      </w:tr>
      <w:tr>
        <w:trPr>
          <w:trHeight w:val="201"/>
        </w:trPr>
        <w:tc>
          <w:tcPr>
            <w:tcW w:w="18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local.........................................</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281 417</w:t>
            </w:r>
          </w:p>
        </w:tc>
      </w:tr>
      <w:tr>
        <w:trPr>
          <w:trHeight w:val="201"/>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center"/>
              <w:ind w:right="153"/>
              <w:spacing w:after="0"/>
              <w:rPr>
                <w:sz w:val="20"/>
                <w:szCs w:val="20"/>
                <w:color w:val="auto"/>
              </w:rPr>
            </w:pPr>
            <w:r>
              <w:rPr>
                <w:rFonts w:ascii="Courier New" w:cs="Courier New" w:eastAsia="Courier New" w:hAnsi="Courier New"/>
                <w:sz w:val="17"/>
                <w:szCs w:val="17"/>
                <w:color w:val="auto"/>
              </w:rPr>
              <w:t>220</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18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Foreign.................................................</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89 100</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41 2,693</w:t>
            </w:r>
          </w:p>
        </w:tc>
        <w:tc>
          <w:tcPr>
            <w:tcW w:w="6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3,413</w:t>
            </w: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2,975</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DEFERRED</w:t>
            </w:r>
          </w:p>
        </w:tc>
        <w:tc>
          <w:tcPr>
            <w:tcW w:w="1060" w:type="dxa"/>
            <w:vAlign w:val="bottom"/>
          </w:tcPr>
          <w:p>
            <w:pPr>
              <w:spacing w:after="0"/>
              <w:rPr>
                <w:sz w:val="17"/>
                <w:szCs w:val="17"/>
                <w:color w:val="auto"/>
              </w:rPr>
            </w:pPr>
          </w:p>
        </w:tc>
      </w:tr>
      <w:tr>
        <w:trPr>
          <w:trHeight w:val="201"/>
        </w:trPr>
        <w:tc>
          <w:tcPr>
            <w:tcW w:w="18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Federal.................................................</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gridSpan w:val="5"/>
          </w:tcPr>
          <w:p>
            <w:pPr>
              <w:jc w:val="center"/>
              <w:ind w:right="633"/>
              <w:spacing w:after="0"/>
              <w:rPr>
                <w:sz w:val="20"/>
                <w:szCs w:val="20"/>
                <w:color w:val="auto"/>
              </w:rPr>
            </w:pPr>
            <w:r>
              <w:rPr>
                <w:rFonts w:ascii="Courier New" w:cs="Courier New" w:eastAsia="Courier New" w:hAnsi="Courier New"/>
                <w:sz w:val="17"/>
                <w:szCs w:val="17"/>
                <w:color w:val="auto"/>
              </w:rPr>
              <w:t>633 593 (45) State and</w:t>
            </w:r>
          </w:p>
        </w:tc>
        <w:tc>
          <w:tcPr>
            <w:tcW w:w="1060" w:type="dxa"/>
            <w:vAlign w:val="bottom"/>
          </w:tcPr>
          <w:p>
            <w:pPr>
              <w:spacing w:after="0"/>
              <w:rPr>
                <w:sz w:val="17"/>
                <w:szCs w:val="17"/>
                <w:color w:val="auto"/>
              </w:rPr>
            </w:pPr>
          </w:p>
        </w:tc>
      </w:tr>
      <w:tr>
        <w:trPr>
          <w:trHeight w:val="201"/>
        </w:trPr>
        <w:tc>
          <w:tcPr>
            <w:tcW w:w="18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local.........................................</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(14) 12 73</w:t>
            </w:r>
          </w:p>
        </w:tc>
      </w:tr>
      <w:tr>
        <w:trPr>
          <w:trHeight w:val="201"/>
        </w:trPr>
        <w:tc>
          <w:tcPr>
            <w:tcW w:w="18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Foreign.................................................</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6020" w:type="dxa"/>
            <w:vAlign w:val="bottom"/>
            <w:gridSpan w:val="8"/>
          </w:tcPr>
          <w:p>
            <w:pPr>
              <w:jc w:val="center"/>
              <w:ind w:left="28"/>
              <w:spacing w:after="0"/>
              <w:rPr>
                <w:sz w:val="20"/>
                <w:szCs w:val="20"/>
                <w:color w:val="auto"/>
              </w:rPr>
            </w:pPr>
            <w:r>
              <w:rPr>
                <w:rFonts w:ascii="Courier New" w:cs="Courier New" w:eastAsia="Courier New" w:hAnsi="Courier New"/>
                <w:sz w:val="17"/>
                <w:szCs w:val="17"/>
                <w:color w:val="auto"/>
              </w:rPr>
              <w:t>(5) 8 -- 614 613 28 Deferred investment tax</w:t>
            </w:r>
          </w:p>
        </w:tc>
      </w:tr>
      <w:tr>
        <w:trPr>
          <w:trHeight w:val="201"/>
        </w:trPr>
        <w:tc>
          <w:tcPr>
            <w:tcW w:w="18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credits...........................</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4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(23) (10) (14)</w:t>
            </w:r>
          </w:p>
        </w:tc>
      </w:tr>
      <w:tr>
        <w:trPr>
          <w:trHeight w:val="201"/>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center"/>
              <w:ind w:left="73"/>
              <w:spacing w:after="0"/>
              <w:rPr>
                <w:sz w:val="20"/>
                <w:szCs w:val="20"/>
                <w:color w:val="auto"/>
              </w:rPr>
            </w:pPr>
            <w:r>
              <w:rPr>
                <w:rFonts w:ascii="Courier New" w:cs="Courier New" w:eastAsia="Courier New" w:hAnsi="Courier New"/>
                <w:sz w:val="17"/>
                <w:szCs w:val="17"/>
                <w:color w:val="auto"/>
              </w:rPr>
              <w:t>Provision for income</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18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taxes................................</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$3,284</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$ 4,016</w:t>
            </w:r>
          </w:p>
        </w:tc>
      </w:tr>
      <w:tr>
        <w:trPr>
          <w:trHeight w:val="201"/>
        </w:trPr>
        <w:tc>
          <w:tcPr>
            <w:tcW w:w="15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6"/>
              </w:rPr>
              <w:t>$2,989 ------</w:t>
            </w:r>
          </w:p>
        </w:tc>
        <w:tc>
          <w:tcPr>
            <w:tcW w:w="2080" w:type="dxa"/>
            <w:vAlign w:val="bottom"/>
            <w:gridSpan w:val="3"/>
          </w:tcPr>
          <w:p>
            <w:pPr>
              <w:jc w:val="right"/>
              <w:ind w:right="373"/>
              <w:spacing w:after="0"/>
              <w:rPr>
                <w:sz w:val="20"/>
                <w:szCs w:val="20"/>
                <w:color w:val="auto"/>
              </w:rPr>
            </w:pPr>
            <w:r>
              <w:rPr>
                <w:rFonts w:ascii="Courier New" w:cs="Courier New" w:eastAsia="Courier New" w:hAnsi="Courier New"/>
                <w:sz w:val="17"/>
                <w:szCs w:val="17"/>
                <w:color w:val="auto"/>
              </w:rPr>
              <w:t>------- ------</w:t>
            </w:r>
          </w:p>
        </w:tc>
        <w:tc>
          <w:tcPr>
            <w:tcW w:w="1060" w:type="dxa"/>
            <w:vAlign w:val="bottom"/>
          </w:tcPr>
          <w:p>
            <w:pPr>
              <w:spacing w:after="0"/>
              <w:rPr>
                <w:sz w:val="17"/>
                <w:szCs w:val="17"/>
                <w:color w:val="auto"/>
              </w:rPr>
            </w:pPr>
          </w:p>
        </w:tc>
      </w:tr>
      <w:tr>
        <w:trPr>
          <w:trHeight w:val="604"/>
        </w:trPr>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jc w:val="right"/>
              <w:ind w:right="353"/>
              <w:spacing w:after="0"/>
              <w:rPr>
                <w:sz w:val="20"/>
                <w:szCs w:val="20"/>
                <w:color w:val="auto"/>
              </w:rPr>
            </w:pPr>
            <w:r>
              <w:rPr>
                <w:rFonts w:ascii="Courier New" w:cs="Courier New" w:eastAsia="Courier New" w:hAnsi="Courier New"/>
                <w:sz w:val="17"/>
                <w:szCs w:val="17"/>
                <w:color w:val="auto"/>
              </w:rPr>
              <w:t>L-77</w:t>
            </w:r>
          </w:p>
        </w:tc>
        <w:tc>
          <w:tcPr>
            <w:tcW w:w="1060" w:type="dxa"/>
            <w:vAlign w:val="bottom"/>
          </w:tcPr>
          <w:p>
            <w:pPr>
              <w:spacing w:after="0"/>
              <w:rPr>
                <w:sz w:val="24"/>
                <w:szCs w:val="24"/>
                <w:color w:val="auto"/>
              </w:rPr>
            </w:pPr>
          </w:p>
        </w:tc>
      </w:tr>
    </w:tbl>
    <w:p>
      <w:pPr>
        <w:sectPr>
          <w:pgSz w:w="11900" w:h="16838" w:orient="portrait"/>
          <w:cols w:equalWidth="0" w:num="1">
            <w:col w:w="10219"/>
          </w:cols>
          <w:pgMar w:left="240" w:top="519" w:right="1440" w:bottom="854" w:gutter="0" w:footer="0" w:header="0"/>
        </w:sectPr>
      </w:pPr>
    </w:p>
    <w:bookmarkStart w:id="680" w:name="page681"/>
    <w:bookmarkEnd w:id="680"/>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In addition, we also recorded current and deferred income tax expenses (benefits) related to minority interest and net equity losses on other equity investments in the amounts of $(279) and $(251) in 2000, $(273) and $(249) in 1999 and $51 and $(119) in 1998, respectively.</w:t>
      </w:r>
    </w:p>
    <w:p>
      <w:pPr>
        <w:spacing w:after="0" w:line="195" w:lineRule="exact"/>
        <w:rPr>
          <w:sz w:val="20"/>
          <w:szCs w:val="20"/>
          <w:color w:val="auto"/>
        </w:rPr>
      </w:pPr>
    </w:p>
    <w:p>
      <w:pPr>
        <w:ind w:right="2459" w:firstLine="524"/>
        <w:spacing w:after="0" w:line="252" w:lineRule="auto"/>
        <w:rPr>
          <w:sz w:val="20"/>
          <w:szCs w:val="20"/>
          <w:color w:val="auto"/>
        </w:rPr>
      </w:pPr>
      <w:r>
        <w:rPr>
          <w:rFonts w:ascii="Courier New" w:cs="Courier New" w:eastAsia="Courier New" w:hAnsi="Courier New"/>
          <w:sz w:val="17"/>
          <w:szCs w:val="17"/>
          <w:color w:val="auto"/>
        </w:rPr>
        <w:t>Deferred income tax liabilities are taxes we expect to pay in future periods. Similarly, deferred income tax assets are recorded for expected reductions in taxes payable in future periods. Deferred income taxes arise because of differences in the book and tax bases of certain assets and liabilities.</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Deferred income tax liabilities and assets consist of the following:</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2000 1999 ---------------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LONG-TERM DEFERRED INCOME TAX LIABILITIES Property, plant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and equipment.............................</w:t>
            </w: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$ 5,393 $</w:t>
            </w:r>
          </w:p>
        </w:tc>
      </w:tr>
      <w:tr>
        <w:trPr>
          <w:trHeight w:val="201"/>
        </w:trPr>
        <w:tc>
          <w:tcPr>
            <w:tcW w:w="2360" w:type="dxa"/>
            <w:vAlign w:val="bottom"/>
          </w:tcPr>
          <w:p>
            <w:pPr>
              <w:spacing w:after="0"/>
              <w:rPr>
                <w:sz w:val="17"/>
                <w:szCs w:val="17"/>
                <w:color w:val="auto"/>
              </w:rPr>
            </w:pPr>
          </w:p>
        </w:tc>
        <w:tc>
          <w:tcPr>
            <w:tcW w:w="2460" w:type="dxa"/>
            <w:vAlign w:val="bottom"/>
          </w:tcPr>
          <w:p>
            <w:pPr>
              <w:jc w:val="right"/>
              <w:ind w:right="1433"/>
              <w:spacing w:after="0"/>
              <w:rPr>
                <w:sz w:val="20"/>
                <w:szCs w:val="20"/>
                <w:color w:val="auto"/>
              </w:rPr>
            </w:pPr>
            <w:r>
              <w:rPr>
                <w:rFonts w:ascii="Courier New" w:cs="Courier New" w:eastAsia="Courier New" w:hAnsi="Courier New"/>
                <w:sz w:val="17"/>
                <w:szCs w:val="17"/>
                <w:color w:val="auto"/>
              </w:rPr>
              <w:t>4,447</w:t>
            </w:r>
          </w:p>
        </w:tc>
        <w:tc>
          <w:tcPr>
            <w:tcW w:w="1200" w:type="dxa"/>
            <w:vAlign w:val="bottom"/>
          </w:tcPr>
          <w:p>
            <w:pPr>
              <w:spacing w:after="0"/>
              <w:rPr>
                <w:sz w:val="17"/>
                <w:szCs w:val="17"/>
                <w:color w:val="auto"/>
              </w:rPr>
            </w:pPr>
          </w:p>
        </w:tc>
      </w:tr>
      <w:tr>
        <w:trPr>
          <w:trHeight w:val="201"/>
        </w:trPr>
        <w:tc>
          <w:tcPr>
            <w:tcW w:w="4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1"/>
              </w:rPr>
              <w:t>Investments...............................................</w:t>
            </w:r>
          </w:p>
        </w:tc>
        <w:tc>
          <w:tcPr>
            <w:tcW w:w="1200" w:type="dxa"/>
            <w:vAlign w:val="bottom"/>
          </w:tcPr>
          <w:p>
            <w:pPr>
              <w:spacing w:after="0"/>
              <w:rPr>
                <w:sz w:val="17"/>
                <w:szCs w:val="17"/>
                <w:color w:val="auto"/>
              </w:rPr>
            </w:pPr>
          </w:p>
        </w:tc>
      </w:tr>
      <w:tr>
        <w:trPr>
          <w:trHeight w:val="201"/>
        </w:trPr>
        <w:tc>
          <w:tcPr>
            <w:tcW w:w="4820" w:type="dxa"/>
            <w:vAlign w:val="bottom"/>
            <w:gridSpan w:val="2"/>
          </w:tcPr>
          <w:p>
            <w:pPr>
              <w:jc w:val="center"/>
              <w:ind w:left="1173"/>
              <w:spacing w:after="0"/>
              <w:rPr>
                <w:sz w:val="20"/>
                <w:szCs w:val="20"/>
                <w:color w:val="auto"/>
              </w:rPr>
            </w:pPr>
            <w:r>
              <w:rPr>
                <w:rFonts w:ascii="Courier New" w:cs="Courier New" w:eastAsia="Courier New" w:hAnsi="Courier New"/>
                <w:sz w:val="17"/>
                <w:szCs w:val="17"/>
                <w:color w:val="auto"/>
              </w:rPr>
              <w:t>9,558 6,477 Franchise</w:t>
            </w:r>
          </w:p>
        </w:tc>
        <w:tc>
          <w:tcPr>
            <w:tcW w:w="1200" w:type="dxa"/>
            <w:vAlign w:val="bottom"/>
          </w:tcPr>
          <w:p>
            <w:pPr>
              <w:spacing w:after="0"/>
              <w:rPr>
                <w:sz w:val="17"/>
                <w:szCs w:val="17"/>
                <w:color w:val="auto"/>
              </w:rPr>
            </w:pPr>
          </w:p>
        </w:tc>
      </w:tr>
      <w:tr>
        <w:trPr>
          <w:trHeight w:val="201"/>
        </w:trPr>
        <w:tc>
          <w:tcPr>
            <w:tcW w:w="4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costs...........................................</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18,571</w:t>
            </w:r>
          </w:p>
        </w:tc>
      </w:tr>
      <w:tr>
        <w:trPr>
          <w:trHeight w:val="201"/>
        </w:trPr>
        <w:tc>
          <w:tcPr>
            <w:tcW w:w="2360" w:type="dxa"/>
            <w:vAlign w:val="bottom"/>
          </w:tcPr>
          <w:p>
            <w:pPr>
              <w:spacing w:after="0"/>
              <w:rPr>
                <w:sz w:val="17"/>
                <w:szCs w:val="17"/>
                <w:color w:val="auto"/>
              </w:rPr>
            </w:pPr>
          </w:p>
        </w:tc>
        <w:tc>
          <w:tcPr>
            <w:tcW w:w="2460" w:type="dxa"/>
            <w:vAlign w:val="bottom"/>
          </w:tcPr>
          <w:p>
            <w:pPr>
              <w:jc w:val="right"/>
              <w:ind w:right="1373"/>
              <w:spacing w:after="0"/>
              <w:rPr>
                <w:sz w:val="20"/>
                <w:szCs w:val="20"/>
                <w:color w:val="auto"/>
              </w:rPr>
            </w:pPr>
            <w:r>
              <w:rPr>
                <w:rFonts w:ascii="Courier New" w:cs="Courier New" w:eastAsia="Courier New" w:hAnsi="Courier New"/>
                <w:sz w:val="17"/>
                <w:szCs w:val="17"/>
                <w:color w:val="auto"/>
              </w:rPr>
              <w:t>11,998</w:t>
            </w:r>
          </w:p>
        </w:tc>
        <w:tc>
          <w:tcPr>
            <w:tcW w:w="1200" w:type="dxa"/>
            <w:vAlign w:val="bottom"/>
          </w:tcPr>
          <w:p>
            <w:pPr>
              <w:spacing w:after="0"/>
              <w:rPr>
                <w:sz w:val="17"/>
                <w:szCs w:val="17"/>
                <w:color w:val="auto"/>
              </w:rPr>
            </w:pPr>
          </w:p>
        </w:tc>
      </w:tr>
      <w:tr>
        <w:trPr>
          <w:trHeight w:val="201"/>
        </w:trPr>
        <w:tc>
          <w:tcPr>
            <w:tcW w:w="4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1"/>
              </w:rPr>
              <w:t>Other.....................................................</w:t>
            </w:r>
          </w:p>
        </w:tc>
        <w:tc>
          <w:tcPr>
            <w:tcW w:w="1200" w:type="dxa"/>
            <w:vAlign w:val="bottom"/>
          </w:tcPr>
          <w:p>
            <w:pPr>
              <w:spacing w:after="0"/>
              <w:rPr>
                <w:sz w:val="17"/>
                <w:szCs w:val="17"/>
                <w:color w:val="auto"/>
              </w:rPr>
            </w:pPr>
          </w:p>
        </w:tc>
      </w:tr>
      <w:tr>
        <w:trPr>
          <w:trHeight w:val="201"/>
        </w:trPr>
        <w:tc>
          <w:tcPr>
            <w:tcW w:w="60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2,694 1,059 Total long-term deferred income tax</w:t>
            </w:r>
          </w:p>
        </w:tc>
      </w:tr>
      <w:tr>
        <w:trPr>
          <w:trHeight w:val="201"/>
        </w:trPr>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liabilities...........</w:t>
            </w:r>
          </w:p>
        </w:tc>
        <w:tc>
          <w:tcPr>
            <w:tcW w:w="36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36,216 23,981 LONG-TERM DEFERRED</w:t>
            </w:r>
          </w:p>
        </w:tc>
      </w:tr>
      <w:tr>
        <w:trPr>
          <w:trHeight w:val="201"/>
        </w:trPr>
        <w:tc>
          <w:tcPr>
            <w:tcW w:w="4820" w:type="dxa"/>
            <w:vAlign w:val="bottom"/>
            <w:gridSpan w:val="2"/>
          </w:tcPr>
          <w:p>
            <w:pPr>
              <w:jc w:val="center"/>
              <w:ind w:left="1173"/>
              <w:spacing w:after="0"/>
              <w:rPr>
                <w:sz w:val="20"/>
                <w:szCs w:val="20"/>
                <w:color w:val="auto"/>
              </w:rPr>
            </w:pPr>
            <w:r>
              <w:rPr>
                <w:rFonts w:ascii="Courier New" w:cs="Courier New" w:eastAsia="Courier New" w:hAnsi="Courier New"/>
                <w:sz w:val="17"/>
                <w:szCs w:val="17"/>
                <w:color w:val="auto"/>
              </w:rPr>
              <w:t>INCOME TAX ASSETS Business</w:t>
            </w:r>
          </w:p>
        </w:tc>
        <w:tc>
          <w:tcPr>
            <w:tcW w:w="1200" w:type="dxa"/>
            <w:vAlign w:val="bottom"/>
          </w:tcPr>
          <w:p>
            <w:pPr>
              <w:spacing w:after="0"/>
              <w:rPr>
                <w:sz w:val="17"/>
                <w:szCs w:val="17"/>
                <w:color w:val="auto"/>
              </w:rPr>
            </w:pPr>
          </w:p>
        </w:tc>
      </w:tr>
      <w:tr>
        <w:trPr>
          <w:trHeight w:val="201"/>
        </w:trPr>
        <w:tc>
          <w:tcPr>
            <w:tcW w:w="4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restructuring....................................</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127 120</w:t>
            </w:r>
          </w:p>
        </w:tc>
      </w:tr>
      <w:tr>
        <w:trPr>
          <w:trHeight w:val="201"/>
        </w:trPr>
        <w:tc>
          <w:tcPr>
            <w:tcW w:w="4820" w:type="dxa"/>
            <w:vAlign w:val="bottom"/>
            <w:gridSpan w:val="2"/>
          </w:tcPr>
          <w:p>
            <w:pPr>
              <w:jc w:val="center"/>
              <w:ind w:left="1193"/>
              <w:spacing w:after="0"/>
              <w:rPr>
                <w:sz w:val="20"/>
                <w:szCs w:val="20"/>
                <w:color w:val="auto"/>
              </w:rPr>
            </w:pPr>
            <w:r>
              <w:rPr>
                <w:rFonts w:ascii="Courier New" w:cs="Courier New" w:eastAsia="Courier New" w:hAnsi="Courier New"/>
                <w:sz w:val="17"/>
                <w:szCs w:val="17"/>
                <w:color w:val="auto"/>
              </w:rPr>
              <w:t>Net operating loss/credit</w:t>
            </w:r>
          </w:p>
        </w:tc>
        <w:tc>
          <w:tcPr>
            <w:tcW w:w="1200" w:type="dxa"/>
            <w:vAlign w:val="bottom"/>
          </w:tcPr>
          <w:p>
            <w:pPr>
              <w:spacing w:after="0"/>
              <w:rPr>
                <w:sz w:val="17"/>
                <w:szCs w:val="17"/>
                <w:color w:val="auto"/>
              </w:rPr>
            </w:pPr>
          </w:p>
        </w:tc>
      </w:tr>
      <w:tr>
        <w:trPr>
          <w:trHeight w:val="201"/>
        </w:trPr>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w w:val="71"/>
              </w:rPr>
              <w:t>carryforwards...................</w:t>
            </w:r>
          </w:p>
        </w:tc>
        <w:tc>
          <w:tcPr>
            <w:tcW w:w="36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602 644 Employee</w:t>
            </w:r>
          </w:p>
        </w:tc>
      </w:tr>
      <w:tr>
        <w:trPr>
          <w:trHeight w:val="201"/>
        </w:trPr>
        <w:tc>
          <w:tcPr>
            <w:tcW w:w="4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pensions and other benefits, net.................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1,470</w:t>
            </w:r>
          </w:p>
        </w:tc>
      </w:tr>
      <w:tr>
        <w:trPr>
          <w:trHeight w:val="201"/>
        </w:trPr>
        <w:tc>
          <w:tcPr>
            <w:tcW w:w="4820" w:type="dxa"/>
            <w:vAlign w:val="bottom"/>
            <w:gridSpan w:val="2"/>
          </w:tcPr>
          <w:p>
            <w:pPr>
              <w:jc w:val="center"/>
              <w:ind w:left="1173"/>
              <w:spacing w:after="0"/>
              <w:rPr>
                <w:sz w:val="20"/>
                <w:szCs w:val="20"/>
                <w:color w:val="auto"/>
              </w:rPr>
            </w:pPr>
            <w:r>
              <w:rPr>
                <w:rFonts w:ascii="Courier New" w:cs="Courier New" w:eastAsia="Courier New" w:hAnsi="Courier New"/>
                <w:sz w:val="17"/>
                <w:szCs w:val="17"/>
                <w:color w:val="auto"/>
              </w:rPr>
              <w:t>1,359 Reserves and</w:t>
            </w:r>
          </w:p>
        </w:tc>
        <w:tc>
          <w:tcPr>
            <w:tcW w:w="1200" w:type="dxa"/>
            <w:vAlign w:val="bottom"/>
          </w:tcPr>
          <w:p>
            <w:pPr>
              <w:spacing w:after="0"/>
              <w:rPr>
                <w:sz w:val="17"/>
                <w:szCs w:val="17"/>
                <w:color w:val="auto"/>
              </w:rPr>
            </w:pPr>
          </w:p>
        </w:tc>
      </w:tr>
      <w:tr>
        <w:trPr>
          <w:trHeight w:val="201"/>
        </w:trPr>
        <w:tc>
          <w:tcPr>
            <w:tcW w:w="4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allowances...................................</w:t>
            </w: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99 145</w:t>
            </w:r>
          </w:p>
        </w:tc>
      </w:tr>
      <w:tr>
        <w:trPr>
          <w:trHeight w:val="201"/>
        </w:trPr>
        <w:tc>
          <w:tcPr>
            <w:tcW w:w="4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1"/>
              </w:rPr>
              <w:t>Other.....................................................</w:t>
            </w:r>
          </w:p>
        </w:tc>
        <w:tc>
          <w:tcPr>
            <w:tcW w:w="1200" w:type="dxa"/>
            <w:vAlign w:val="bottom"/>
          </w:tcPr>
          <w:p>
            <w:pPr>
              <w:spacing w:after="0"/>
              <w:rPr>
                <w:sz w:val="17"/>
                <w:szCs w:val="17"/>
                <w:color w:val="auto"/>
              </w:rPr>
            </w:pPr>
          </w:p>
        </w:tc>
      </w:tr>
      <w:tr>
        <w:trPr>
          <w:trHeight w:val="201"/>
        </w:trPr>
        <w:tc>
          <w:tcPr>
            <w:tcW w:w="4820" w:type="dxa"/>
            <w:vAlign w:val="bottom"/>
            <w:gridSpan w:val="2"/>
          </w:tcPr>
          <w:p>
            <w:pPr>
              <w:jc w:val="center"/>
              <w:ind w:left="1173"/>
              <w:spacing w:after="0"/>
              <w:rPr>
                <w:sz w:val="20"/>
                <w:szCs w:val="20"/>
                <w:color w:val="auto"/>
              </w:rPr>
            </w:pPr>
            <w:r>
              <w:rPr>
                <w:rFonts w:ascii="Courier New" w:cs="Courier New" w:eastAsia="Courier New" w:hAnsi="Courier New"/>
                <w:sz w:val="17"/>
                <w:szCs w:val="17"/>
                <w:color w:val="auto"/>
              </w:rPr>
              <w:t>2,604 1,429 Valuation</w:t>
            </w:r>
          </w:p>
        </w:tc>
        <w:tc>
          <w:tcPr>
            <w:tcW w:w="1200" w:type="dxa"/>
            <w:vAlign w:val="bottom"/>
          </w:tcPr>
          <w:p>
            <w:pPr>
              <w:spacing w:after="0"/>
              <w:rPr>
                <w:sz w:val="17"/>
                <w:szCs w:val="17"/>
                <w:color w:val="auto"/>
              </w:rPr>
            </w:pPr>
          </w:p>
        </w:tc>
      </w:tr>
      <w:tr>
        <w:trPr>
          <w:trHeight w:val="201"/>
        </w:trPr>
        <w:tc>
          <w:tcPr>
            <w:tcW w:w="4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allowance.......................................</w:t>
            </w:r>
          </w:p>
        </w:tc>
        <w:tc>
          <w:tcPr>
            <w:tcW w:w="12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(740)</w:t>
            </w:r>
          </w:p>
        </w:tc>
      </w:tr>
      <w:tr>
        <w:trPr>
          <w:trHeight w:val="201"/>
        </w:trPr>
        <w:tc>
          <w:tcPr>
            <w:tcW w:w="60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(223) Total net long-term deferred income tax</w:t>
            </w:r>
          </w:p>
        </w:tc>
      </w:tr>
      <w:tr>
        <w:trPr>
          <w:trHeight w:val="201"/>
        </w:trPr>
        <w:tc>
          <w:tcPr>
            <w:tcW w:w="2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assets..............</w:t>
            </w:r>
          </w:p>
        </w:tc>
        <w:tc>
          <w:tcPr>
            <w:tcW w:w="36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4,162 3,474 Net long-term deferred</w:t>
            </w:r>
          </w:p>
        </w:tc>
      </w:tr>
      <w:tr>
        <w:trPr>
          <w:trHeight w:val="201"/>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w w:val="70"/>
              </w:rPr>
              <w:t>income tax liabilities...............</w:t>
            </w:r>
          </w:p>
        </w:tc>
        <w:tc>
          <w:tcPr>
            <w:tcW w:w="2460" w:type="dxa"/>
            <w:vAlign w:val="bottom"/>
          </w:tcPr>
          <w:p>
            <w:pPr>
              <w:jc w:val="right"/>
              <w:spacing w:after="0"/>
              <w:rPr>
                <w:sz w:val="20"/>
                <w:szCs w:val="20"/>
                <w:color w:val="auto"/>
              </w:rPr>
            </w:pPr>
            <w:r>
              <w:rPr>
                <w:rFonts w:ascii="Courier New" w:cs="Courier New" w:eastAsia="Courier New" w:hAnsi="Courier New"/>
                <w:sz w:val="17"/>
                <w:szCs w:val="17"/>
                <w:color w:val="auto"/>
              </w:rPr>
              <w:t>$32,054</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$20,507 ---</w:t>
            </w:r>
          </w:p>
        </w:tc>
      </w:tr>
    </w:tbl>
    <w:p>
      <w:pPr>
        <w:spacing w:after="0" w:line="4" w:lineRule="exact"/>
        <w:rPr>
          <w:sz w:val="20"/>
          <w:szCs w:val="20"/>
          <w:color w:val="auto"/>
        </w:rPr>
      </w:pPr>
    </w:p>
    <w:p>
      <w:pPr>
        <w:ind w:right="4139" w:firstLine="319"/>
        <w:spacing w:after="0" w:line="251" w:lineRule="auto"/>
        <w:tabs>
          <w:tab w:leader="none" w:pos="835" w:val="left"/>
        </w:tabs>
        <w:numPr>
          <w:ilvl w:val="0"/>
          <w:numId w:val="7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CURRENT DEFERRED INCOME TAX LIABILITIES Investments...............................................</w:t>
      </w:r>
    </w:p>
    <w:p>
      <w:pPr>
        <w:ind w:left="2520"/>
        <w:spacing w:after="0"/>
        <w:rPr>
          <w:sz w:val="20"/>
          <w:szCs w:val="20"/>
          <w:color w:val="auto"/>
        </w:rPr>
      </w:pPr>
      <w:r>
        <w:rPr>
          <w:rFonts w:ascii="Courier New" w:cs="Courier New" w:eastAsia="Courier New" w:hAnsi="Courier New"/>
          <w:sz w:val="17"/>
          <w:szCs w:val="17"/>
          <w:color w:val="auto"/>
        </w:rPr>
        <w:t>$ 670 $ --</w:t>
      </w:r>
    </w:p>
    <w:p>
      <w:pPr>
        <w:spacing w:after="0" w:line="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Other</w:t>
        <w:tab/>
        <w:t>.....................................................</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310 417 Total current deferred income tax</w:t>
      </w:r>
    </w:p>
    <w:p>
      <w:pPr>
        <w:spacing w:after="0" w:line="9" w:lineRule="exact"/>
        <w:rPr>
          <w:sz w:val="20"/>
          <w:szCs w:val="20"/>
          <w:color w:val="auto"/>
        </w:rPr>
      </w:pPr>
    </w:p>
    <w:p>
      <w:pPr>
        <w:ind w:left="100"/>
        <w:spacing w:after="0"/>
        <w:tabs>
          <w:tab w:leader="dot" w:pos="2700" w:val="left"/>
        </w:tabs>
        <w:rPr>
          <w:sz w:val="20"/>
          <w:szCs w:val="20"/>
          <w:color w:val="auto"/>
        </w:rPr>
      </w:pPr>
      <w:r>
        <w:rPr>
          <w:rFonts w:ascii="Courier New" w:cs="Courier New" w:eastAsia="Courier New" w:hAnsi="Courier New"/>
          <w:sz w:val="17"/>
          <w:szCs w:val="17"/>
          <w:color w:val="auto"/>
        </w:rPr>
        <w:t>liabilities</w:t>
      </w:r>
      <w:r>
        <w:rPr>
          <w:sz w:val="20"/>
          <w:szCs w:val="20"/>
          <w:color w:val="auto"/>
        </w:rPr>
        <w:tab/>
      </w:r>
      <w:r>
        <w:rPr>
          <w:rFonts w:ascii="Courier New" w:cs="Courier New" w:eastAsia="Courier New" w:hAnsi="Courier New"/>
          <w:sz w:val="17"/>
          <w:szCs w:val="17"/>
          <w:color w:val="auto"/>
        </w:rPr>
        <w:t>980 417 CURRENT DEFERRED INCOME</w:t>
      </w:r>
    </w:p>
    <w:p>
      <w:pPr>
        <w:spacing w:after="0" w:line="9"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TAX ASSETS Business</w:t>
      </w:r>
    </w:p>
    <w:p>
      <w:pPr>
        <w:spacing w:after="0" w:line="9" w:lineRule="exact"/>
        <w:rPr>
          <w:sz w:val="20"/>
          <w:szCs w:val="20"/>
          <w:color w:val="auto"/>
        </w:rPr>
      </w:pPr>
    </w:p>
    <w:p>
      <w:pPr>
        <w:ind w:left="100"/>
        <w:spacing w:after="0"/>
        <w:tabs>
          <w:tab w:leader="dot" w:pos="5320" w:val="left"/>
        </w:tabs>
        <w:rPr>
          <w:sz w:val="20"/>
          <w:szCs w:val="20"/>
          <w:color w:val="auto"/>
        </w:rPr>
      </w:pPr>
      <w:r>
        <w:rPr>
          <w:rFonts w:ascii="Courier New" w:cs="Courier New" w:eastAsia="Courier New" w:hAnsi="Courier New"/>
          <w:sz w:val="17"/>
          <w:szCs w:val="17"/>
          <w:color w:val="auto"/>
        </w:rPr>
        <w:t>restructuring</w:t>
      </w:r>
      <w:r>
        <w:rPr>
          <w:sz w:val="20"/>
          <w:szCs w:val="20"/>
          <w:color w:val="auto"/>
        </w:rPr>
        <w:tab/>
      </w:r>
      <w:r>
        <w:rPr>
          <w:rFonts w:ascii="Courier New" w:cs="Courier New" w:eastAsia="Courier New" w:hAnsi="Courier New"/>
          <w:sz w:val="17"/>
          <w:szCs w:val="17"/>
          <w:color w:val="auto"/>
        </w:rPr>
        <w:t>155 47</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Employee pensions and other</w:t>
      </w:r>
    </w:p>
    <w:p>
      <w:pPr>
        <w:spacing w:after="0" w:line="9" w:lineRule="exact"/>
        <w:rPr>
          <w:sz w:val="20"/>
          <w:szCs w:val="20"/>
          <w:color w:val="auto"/>
        </w:rPr>
      </w:pPr>
    </w:p>
    <w:p>
      <w:pPr>
        <w:ind w:left="380"/>
        <w:spacing w:after="0"/>
        <w:tabs>
          <w:tab w:leader="dot" w:pos="3600" w:val="left"/>
        </w:tabs>
        <w:rPr>
          <w:sz w:val="20"/>
          <w:szCs w:val="20"/>
          <w:color w:val="auto"/>
        </w:rPr>
      </w:pPr>
      <w:r>
        <w:rPr>
          <w:rFonts w:ascii="Courier New" w:cs="Courier New" w:eastAsia="Courier New" w:hAnsi="Courier New"/>
          <w:sz w:val="17"/>
          <w:szCs w:val="17"/>
          <w:color w:val="auto"/>
        </w:rPr>
        <w:t>benefits</w:t>
      </w:r>
      <w:r>
        <w:rPr>
          <w:sz w:val="20"/>
          <w:szCs w:val="20"/>
          <w:color w:val="auto"/>
        </w:rPr>
        <w:tab/>
      </w:r>
      <w:r>
        <w:rPr>
          <w:rFonts w:ascii="Courier New" w:cs="Courier New" w:eastAsia="Courier New" w:hAnsi="Courier New"/>
          <w:sz w:val="17"/>
          <w:szCs w:val="17"/>
          <w:color w:val="auto"/>
        </w:rPr>
        <w:t>377 549 Reserves and</w:t>
      </w:r>
    </w:p>
    <w:p>
      <w:pPr>
        <w:spacing w:after="0" w:line="9" w:lineRule="exact"/>
        <w:rPr>
          <w:sz w:val="20"/>
          <w:szCs w:val="20"/>
          <w:color w:val="auto"/>
        </w:rPr>
      </w:pPr>
    </w:p>
    <w:p>
      <w:pPr>
        <w:ind w:left="260"/>
        <w:spacing w:after="0"/>
        <w:tabs>
          <w:tab w:leader="dot" w:pos="5060" w:val="left"/>
        </w:tabs>
        <w:rPr>
          <w:sz w:val="20"/>
          <w:szCs w:val="20"/>
          <w:color w:val="auto"/>
        </w:rPr>
      </w:pPr>
      <w:r>
        <w:rPr>
          <w:rFonts w:ascii="Courier New" w:cs="Courier New" w:eastAsia="Courier New" w:hAnsi="Courier New"/>
          <w:sz w:val="17"/>
          <w:szCs w:val="17"/>
          <w:color w:val="auto"/>
        </w:rPr>
        <w:t>allowances</w:t>
      </w:r>
      <w:r>
        <w:rPr>
          <w:sz w:val="20"/>
          <w:szCs w:val="20"/>
          <w:color w:val="auto"/>
        </w:rPr>
        <w:tab/>
      </w:r>
      <w:r>
        <w:rPr>
          <w:rFonts w:ascii="Courier New" w:cs="Courier New" w:eastAsia="Courier New" w:hAnsi="Courier New"/>
          <w:sz w:val="17"/>
          <w:szCs w:val="17"/>
          <w:color w:val="auto"/>
        </w:rPr>
        <w:t>621 574</w:t>
      </w:r>
    </w:p>
    <w:p>
      <w:pPr>
        <w:spacing w:after="0" w:line="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Other</w:t>
        <w:tab/>
        <w:t>.....................................................</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586 407 Valuation</w:t>
      </w:r>
    </w:p>
    <w:p>
      <w:pPr>
        <w:spacing w:after="0" w:line="9" w:lineRule="exact"/>
        <w:rPr>
          <w:sz w:val="20"/>
          <w:szCs w:val="20"/>
          <w:color w:val="auto"/>
        </w:rPr>
      </w:pPr>
    </w:p>
    <w:p>
      <w:pPr>
        <w:ind w:left="100"/>
        <w:spacing w:after="0"/>
        <w:tabs>
          <w:tab w:leader="dot" w:pos="5220" w:val="left"/>
        </w:tabs>
        <w:rPr>
          <w:sz w:val="20"/>
          <w:szCs w:val="20"/>
          <w:color w:val="auto"/>
        </w:rPr>
      </w:pPr>
      <w:r>
        <w:rPr>
          <w:rFonts w:ascii="Courier New" w:cs="Courier New" w:eastAsia="Courier New" w:hAnsi="Courier New"/>
          <w:sz w:val="17"/>
          <w:szCs w:val="17"/>
          <w:color w:val="auto"/>
        </w:rPr>
        <w:t>allowance</w:t>
      </w:r>
      <w:r>
        <w:rPr>
          <w:sz w:val="20"/>
          <w:szCs w:val="20"/>
          <w:color w:val="auto"/>
        </w:rPr>
        <w:tab/>
      </w:r>
      <w:r>
        <w:rPr>
          <w:rFonts w:ascii="Courier New" w:cs="Courier New" w:eastAsia="Courier New" w:hAnsi="Courier New"/>
          <w:sz w:val="17"/>
          <w:szCs w:val="17"/>
          <w:color w:val="auto"/>
        </w:rPr>
        <w:t>(39) --</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Total net current deferred income tax</w:t>
      </w:r>
    </w:p>
    <w:p>
      <w:pPr>
        <w:spacing w:after="0" w:line="9" w:lineRule="exact"/>
        <w:rPr>
          <w:sz w:val="20"/>
          <w:szCs w:val="20"/>
          <w:color w:val="auto"/>
        </w:rPr>
      </w:pPr>
    </w:p>
    <w:p>
      <w:pPr>
        <w:ind w:left="160"/>
        <w:spacing w:after="0"/>
        <w:tabs>
          <w:tab w:leader="dot" w:pos="2560" w:val="left"/>
        </w:tabs>
        <w:rPr>
          <w:sz w:val="20"/>
          <w:szCs w:val="20"/>
          <w:color w:val="auto"/>
        </w:rPr>
      </w:pPr>
      <w:r>
        <w:rPr>
          <w:rFonts w:ascii="Courier New" w:cs="Courier New" w:eastAsia="Courier New" w:hAnsi="Courier New"/>
          <w:sz w:val="17"/>
          <w:szCs w:val="17"/>
          <w:color w:val="auto"/>
        </w:rPr>
        <w:t>assets</w:t>
      </w:r>
      <w:r>
        <w:rPr>
          <w:sz w:val="20"/>
          <w:szCs w:val="20"/>
          <w:color w:val="auto"/>
        </w:rPr>
        <w:tab/>
      </w:r>
      <w:r>
        <w:rPr>
          <w:rFonts w:ascii="Courier New" w:cs="Courier New" w:eastAsia="Courier New" w:hAnsi="Courier New"/>
          <w:sz w:val="17"/>
          <w:szCs w:val="17"/>
          <w:color w:val="auto"/>
        </w:rPr>
        <w:t>1,700 1,577 Net current deferred</w:t>
      </w:r>
    </w:p>
    <w:p>
      <w:pPr>
        <w:spacing w:after="0" w:line="9" w:lineRule="exact"/>
        <w:rPr>
          <w:sz w:val="20"/>
          <w:szCs w:val="20"/>
          <w:color w:val="auto"/>
        </w:rPr>
      </w:pPr>
    </w:p>
    <w:p>
      <w:pPr>
        <w:ind w:left="60"/>
        <w:spacing w:after="0"/>
        <w:tabs>
          <w:tab w:leader="dot" w:pos="4220" w:val="left"/>
        </w:tabs>
        <w:rPr>
          <w:sz w:val="20"/>
          <w:szCs w:val="20"/>
          <w:color w:val="auto"/>
        </w:rPr>
      </w:pPr>
      <w:r>
        <w:rPr>
          <w:rFonts w:ascii="Courier New" w:cs="Courier New" w:eastAsia="Courier New" w:hAnsi="Courier New"/>
          <w:sz w:val="17"/>
          <w:szCs w:val="17"/>
          <w:color w:val="auto"/>
        </w:rPr>
        <w:t>income tax assets</w:t>
      </w:r>
      <w:r>
        <w:rPr>
          <w:sz w:val="20"/>
          <w:szCs w:val="20"/>
          <w:color w:val="auto"/>
        </w:rPr>
        <w:tab/>
      </w:r>
      <w:r>
        <w:rPr>
          <w:rFonts w:ascii="Courier New" w:cs="Courier New" w:eastAsia="Courier New" w:hAnsi="Courier New"/>
          <w:sz w:val="17"/>
          <w:szCs w:val="17"/>
          <w:color w:val="auto"/>
        </w:rPr>
        <w:t>$ 720 $ 1,160 ---</w:t>
      </w:r>
    </w:p>
    <w:p>
      <w:pPr>
        <w:spacing w:after="0" w:line="9"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December 31, 2000, we had net operating loss carryforwards (tax-effected), excluding Excite@Home, for federal and state income tax purposes of $36 and $125, respectively, expiring through 2015. In addition, we had federal tax credit carryforwards of $116, of which $35 have no expiration date and $81 expire through 2005. We also had state tax credit carryforwards (tax-effected) of $32 expiring through 2003. In connection with the TCI merger, we acquired certain federal and state net operating loss carryforwards subject to a valuation allowance of $59. If, in the future, the realization of these acquired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L-78</w:t>
      </w:r>
    </w:p>
    <w:p>
      <w:pPr>
        <w:sectPr>
          <w:pgSz w:w="11900" w:h="16838" w:orient="portrait"/>
          <w:cols w:equalWidth="0" w:num="1">
            <w:col w:w="10219"/>
          </w:cols>
          <w:pgMar w:left="240" w:top="518" w:right="1440" w:bottom="1440" w:gutter="0" w:footer="0" w:header="0"/>
        </w:sectPr>
      </w:pPr>
    </w:p>
    <w:bookmarkStart w:id="681" w:name="page682"/>
    <w:bookmarkEnd w:id="681"/>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039"/>
        <w:spacing w:after="0" w:line="254" w:lineRule="auto"/>
        <w:rPr>
          <w:sz w:val="20"/>
          <w:szCs w:val="20"/>
          <w:color w:val="auto"/>
        </w:rPr>
      </w:pPr>
      <w:r>
        <w:rPr>
          <w:rFonts w:ascii="Courier New" w:cs="Courier New" w:eastAsia="Courier New" w:hAnsi="Courier New"/>
          <w:sz w:val="17"/>
          <w:szCs w:val="17"/>
          <w:color w:val="auto"/>
        </w:rPr>
        <w:t>deferred tax assets becomes more likely than not, any reduction of the associated valuation allowance will be allocated to reduce franchise costs and other purchased intangibles.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December 31, 2000, Excite@Home had net operating loss carryforwards (tax effected) for federal and state income tax purposes of $290 expiring through 2020. Utilization of Excite@Home's net operating loss carryforwards may be subject to a minor annual limitation due to the ownership change limitations provided by the Internal Revenue Code of 1986, as amended, and similar state provisions. The annual limitation may result in the expiration of a portion of Excite@Home's net operating loss carryforwards before utilization. The realization of Excite@Home's net deferred tax asset is dependent upon Excite@Home's future earnings, if any, the timing and amount of which are uncertain. In addition, Excite@Home is a separate taxpayer and is not a member of the AT&amp;T consolidated tax group. Accordingly, Excite@Home provided a valuation allowance in an amount equal to its net deferred tax assets of $702 as of December 31, 2000. Approximately $142 of Excite@Home's valuation allowance at December 31, 2000, is attributable to stock option deductions, the benefit of which will be credited to paid-in capital when realized. Approximately $269 of Excite@Home's valuation allowance at December 31, 2000, is attributable to deferred tax assets that, if realized, will be allocated to first reduce goodwill, then other purchased intangibles, and then income tax expense.</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August 10, 2001, AT&amp;T completed the split-off of LMG. The IRS ruled that the split-off qualified as a tax-free transaction for AT&amp;T, Liberty Media and their shareowners. Pursuant to the tax-sharing agreement dated March 9, 1999 between AT&amp;T and LMG, AT&amp;T is required to reimburse LMG approximately $816 for the value of certain TCI pre-acquisition net operating loss carryforwards. Also, in connection with a tax-sharing agreement between LMG and TCI that was executed prior to AT&amp;T's acquisition of TCI, LMG is obligated to pay AT&amp;T approximately $138 upon its split-off from AT&amp;T.</w:t>
      </w:r>
    </w:p>
    <w:p>
      <w:pPr>
        <w:spacing w:after="0" w:line="201" w:lineRule="exact"/>
        <w:rPr>
          <w:sz w:val="20"/>
          <w:szCs w:val="20"/>
          <w:color w:val="auto"/>
        </w:rPr>
      </w:pPr>
    </w:p>
    <w:p>
      <w:pPr>
        <w:ind w:left="540" w:hanging="533"/>
        <w:spacing w:after="0"/>
        <w:tabs>
          <w:tab w:leader="none" w:pos="540" w:val="left"/>
        </w:tabs>
        <w:numPr>
          <w:ilvl w:val="0"/>
          <w:numId w:val="7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normal course of business we are subject to proceedings, lawsuits and other claims, including proceedings under laws and regulations related to environmental and other matters. Such matters are subject to many uncertainties, and outcomes are not predictable with assurance. Consequently, we are unable to ascertain the ultimate aggregate amount of monetary liability or financial impact with respect to these matters at December 31, 2000. These matters could affect the operating results of any one quarter when resolved in future periods. However, we believe that after final disposition, any monetary liability or financial impact to us beyond that provided for at year-end would not be material to our annual consolidated financial statements.</w:t>
      </w:r>
    </w:p>
    <w:p>
      <w:pPr>
        <w:spacing w:after="0" w:line="201"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We lease land, buildings and equipment through contracts that expire in various years through 2017. Our rental expense under operating leases was $705 in 2000, $622 in 1999 and $558 in 1998. The total of minimum rentals to be received in the future under noncancelable operating subleases as of December 31, 2000, was $209.</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L-79</w:t>
      </w:r>
    </w:p>
    <w:p>
      <w:pPr>
        <w:sectPr>
          <w:pgSz w:w="11900" w:h="16838" w:orient="portrait"/>
          <w:cols w:equalWidth="0" w:num="1">
            <w:col w:w="10219"/>
          </w:cols>
          <w:pgMar w:left="240" w:top="518" w:right="1440" w:bottom="1440" w:gutter="0" w:footer="0" w:header="0"/>
        </w:sectPr>
      </w:pPr>
    </w:p>
    <w:bookmarkStart w:id="682" w:name="page683"/>
    <w:bookmarkEnd w:id="682"/>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779" w:firstLine="524"/>
        <w:spacing w:after="0" w:line="257" w:lineRule="auto"/>
        <w:rPr>
          <w:sz w:val="20"/>
          <w:szCs w:val="20"/>
          <w:color w:val="auto"/>
        </w:rPr>
      </w:pPr>
      <w:r>
        <w:rPr>
          <w:rFonts w:ascii="Courier New" w:cs="Courier New" w:eastAsia="Courier New" w:hAnsi="Courier New"/>
          <w:sz w:val="17"/>
          <w:szCs w:val="17"/>
          <w:color w:val="auto"/>
        </w:rPr>
        <w:t>The following table shows our future minimum commitments due under noncancelable operating and capital leases at December 31, 2000:</w:t>
      </w:r>
    </w:p>
    <w:p>
      <w:pPr>
        <w:spacing w:after="0" w:line="192"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OPERATING LEASES CAPITAL LEASES ---------------- -------</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2001.....................................................</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$ 514 $149</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2002.....................................................</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433 137</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2003.....................................................</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383 87</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2004.....................................................</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342 66</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2005.....................................................</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304 63 Later</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years..............................................</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1,027 175 ------ ---- Total minimum lease</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payments............................. $3,003 677 ======</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Less: Amount representing</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interest....................... (179) ---- Present value</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of net minimum lease payments.............. $498 ====</w:t>
      </w:r>
    </w:p>
    <w:p>
      <w:pPr>
        <w:spacing w:after="0" w:line="200" w:lineRule="exact"/>
        <w:rPr>
          <w:sz w:val="20"/>
          <w:szCs w:val="20"/>
          <w:color w:val="auto"/>
        </w:rPr>
      </w:pPr>
    </w:p>
    <w:p>
      <w:pPr>
        <w:spacing w:after="0" w:line="212"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AT&amp;T has an agreement with Motorola, Inc. to purchase a minimum of 1.25 million digital set-top devices at an average price of $248 per unit in 2001. During 2000, AT&amp;T satisfied its obligation under a previous agreement with Motorola, Inc. to purchase set-top devices.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Through a joint venture (70% owned by AT&amp;T and 30% owned by BT), AT&amp;T and BT have a 31% ownership of AT&amp;T Canada Corp. as a result of the 1999 merger between AT&amp;T Canada Corp. and MetroNet Communications, Corp. In connection with this merger, the AT&amp;T and BT joint venture has the right to call, or arrange for another entity to call, the remaining 69% of AT&amp;T Canada for the greater of Cdn$40.56 per share, which represented the projected value as of December 31, 2000, with an accretion of 4% each quarter that began on June 30, 2000, or the then-appraised fair market value. If we do not exercise our call rights by June 30, 2003, the shares would be put up for auction, and the AT&amp;T and BT joint venture would have to make the shareholders whole for the difference between the proceeds received in auction and the greater of the fair market value or the accreted value. The exact timing of any purchase will likely be partially dependent upon the future status of Canadian foreign-ownership regulations.</w:t>
      </w:r>
    </w:p>
    <w:p>
      <w:pPr>
        <w:spacing w:after="0" w:line="201" w:lineRule="exact"/>
        <w:rPr>
          <w:sz w:val="20"/>
          <w:szCs w:val="20"/>
          <w:color w:val="auto"/>
        </w:rPr>
      </w:pPr>
    </w:p>
    <w:p>
      <w:pPr>
        <w:ind w:left="540" w:hanging="533"/>
        <w:spacing w:after="0"/>
        <w:tabs>
          <w:tab w:leader="none" w:pos="540" w:val="left"/>
        </w:tabs>
        <w:numPr>
          <w:ilvl w:val="0"/>
          <w:numId w:val="7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RELATED PARTY TRANSACTIONS</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AT&amp;T has various related party transactions with Concert as a result of the closure of this global venture in early January 2000.</w:t>
      </w:r>
    </w:p>
    <w:p>
      <w:pPr>
        <w:spacing w:after="0" w:line="192"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Included in revenue for the year ended December 31, 2000, is $1,080, for services provided to Concert.</w:t>
      </w:r>
    </w:p>
    <w:p>
      <w:pPr>
        <w:spacing w:after="0" w:line="192"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Included in access and other connection expenses for the year ended December 31, 2000, are charges from Concert representing costs incurred on our behalf to connect calls made to foreign countries (international settlements) and costs paid by AT&amp;T to Concert for distributing Concert products totaling $2,364.</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During the first quarter of 2000, AT&amp;T contributed property, plant and equipment of approximately $1,600 to Concert. AT&amp;T also loaned $1,000 to Concert; that loan is included within "Other investments and related advances" in the accompanying 2000 Consolidated Balance Sheet. Interest income of $67 was recognized for the year ended December 31, 2000.</w:t>
      </w:r>
    </w:p>
    <w:p>
      <w:pPr>
        <w:spacing w:after="0" w:line="197"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At December 31, 2000, AT&amp;T had a floating rate loan payable to Concert in the amount of $126. The loan, which is due on demand, is included in "Debt maturing within one year" in the accompanying Consolidated Balance Sheet. Interest expense was $6 for the year ended December 31, 2000.</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L-80</w:t>
      </w:r>
    </w:p>
    <w:p>
      <w:pPr>
        <w:sectPr>
          <w:pgSz w:w="11900" w:h="16838" w:orient="portrait"/>
          <w:cols w:equalWidth="0" w:num="1">
            <w:col w:w="10219"/>
          </w:cols>
          <w:pgMar w:left="240" w:top="518" w:right="1440" w:bottom="1440" w:gutter="0" w:footer="0" w:header="0"/>
        </w:sectPr>
      </w:pPr>
    </w:p>
    <w:bookmarkStart w:id="683" w:name="page684"/>
    <w:bookmarkEnd w:id="683"/>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Included in accounts receivable and accounts payable at December 31, 2000, was $462 and $518, respectively, related to transactions with Concert. Included in other receivables and other current liabilities at December 31, 2000, was $1,106 and $1,032, respectively, related to transactions associated with Concert.</w:t>
      </w:r>
    </w:p>
    <w:p>
      <w:pPr>
        <w:spacing w:after="0" w:line="396" w:lineRule="exact"/>
        <w:rPr>
          <w:sz w:val="20"/>
          <w:szCs w:val="20"/>
          <w:color w:val="auto"/>
        </w:rPr>
      </w:pPr>
    </w:p>
    <w:p>
      <w:pPr>
        <w:jc w:val="both"/>
        <w:ind w:right="1939" w:firstLine="524"/>
        <w:spacing w:after="0" w:line="253" w:lineRule="auto"/>
        <w:rPr>
          <w:sz w:val="20"/>
          <w:szCs w:val="20"/>
          <w:color w:val="auto"/>
        </w:rPr>
      </w:pPr>
      <w:r>
        <w:rPr>
          <w:rFonts w:ascii="Courier New" w:cs="Courier New" w:eastAsia="Courier New" w:hAnsi="Courier New"/>
          <w:sz w:val="17"/>
          <w:szCs w:val="17"/>
          <w:color w:val="auto"/>
        </w:rPr>
        <w:t>In addition, we had various related party transactions with LMG. Included in costs of services and products were programming expenses related to services from LMG. These expenses amounted to $239 for the year ended December 31, 2000 and $184 for the 10 months ended December 31, 1999, respectively.</w:t>
      </w:r>
    </w:p>
    <w:p>
      <w:pPr>
        <w:spacing w:after="0" w:line="195"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Included in "Investment in Liberty Media Group and related receivables, net" was $155 and $27 at December 31, 2000 and 1999, respectively, primarily related to taxes pursuant to a tax-sharing agreement between LMG and Broadband. That agreement existed prior to the TCI merger.</w:t>
      </w:r>
    </w:p>
    <w:p>
      <w:pPr>
        <w:spacing w:after="0" w:line="195" w:lineRule="exact"/>
        <w:rPr>
          <w:sz w:val="20"/>
          <w:szCs w:val="20"/>
          <w:color w:val="auto"/>
        </w:rPr>
      </w:pPr>
    </w:p>
    <w:p>
      <w:pPr>
        <w:ind w:left="540" w:hanging="533"/>
        <w:spacing w:after="0"/>
        <w:tabs>
          <w:tab w:leader="none" w:pos="540" w:val="left"/>
        </w:tabs>
        <w:numPr>
          <w:ilvl w:val="0"/>
          <w:numId w:val="7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SEGMENT REPORTING</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AT&amp;T's results are segmented according to the way we manage our business: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Services, Consumer Services and Broadband.</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Our Business Services segment offers a variety of global communications services, including long distance, local, and data and Internet protocol (IP) networking, to small and medium-sized businesses, large domestic and multinational businesses and government agencies. Business Services is also a provider of voice, data and IP transport to service resellers (wholesale services). Also included in the Business Services segment is AT&amp;T Solutions, our outsourcing and network-management business.</w:t>
      </w:r>
    </w:p>
    <w:p>
      <w:pPr>
        <w:spacing w:after="0" w:line="196"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Our Consumer Services segment provides a variety of any-distance communications services, including long distance, local toll (intrastate calls outside the immediate local area) and Internet access to residential customers. In addition, Consumer Services provides prepaid calling card and operator-handled calling services. Local phone service is also provided in certain areas.</w:t>
      </w:r>
    </w:p>
    <w:p>
      <w:pPr>
        <w:spacing w:after="0" w:line="399"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Our Broadband segment offers a variety of services through our cable broadband network, including traditional analog video and new services such as digital video, high-speed data and broadband telephony.</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balance of AT&amp;T's operations (excluding LMG) is included in a "Corporate and Other" category. This category reflects corporate staff functions and the elimination of transactions between segments, as well as the results of Excite@Home and international operations and ventures. LMG is not an operating segment of AT&amp;T because AT&amp;T does not have a controlling financial interest in LMG for financial accounting purposes. Therefore, we account for this investment under the equity method. Additionally, LMG's results are not reviewed by the chief operating decision-makers for purposes of determining resources to be allocated.</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Total assets for our reportable segments generally include all assets, except intercompany receivables. Prepaid pension assets and corporate-owned or leased real estate are generally held at the corporate level and therefore, are included in the Corporate and Other category. Shared network assets are allocated to the segments and reallocated each January based on two years of volumes. Capital additions for each segment include capital expenditures for property, plant and equipment, acquisitions of licenses, additions to nonconsolidated investments, increases in franchise costs and additions to internal-use software.</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accounting policies of the segments are the same as those described in the summary of significant accounting policies (see Note 1). AT&amp;T evaluates performance based on several factors, of which the primary financial measure is earnings before interest and taxes, including pretax minority interest and net pretax losses from other equity investments (EBIT).</w:t>
      </w:r>
    </w:p>
    <w:p>
      <w:pPr>
        <w:spacing w:after="0" w:line="197" w:lineRule="exact"/>
        <w:rPr>
          <w:sz w:val="20"/>
          <w:szCs w:val="20"/>
          <w:color w:val="auto"/>
        </w:rPr>
      </w:pPr>
    </w:p>
    <w:p>
      <w:pPr>
        <w:ind w:right="3099" w:firstLine="524"/>
        <w:spacing w:after="0" w:line="257" w:lineRule="auto"/>
        <w:rPr>
          <w:sz w:val="20"/>
          <w:szCs w:val="20"/>
          <w:color w:val="auto"/>
        </w:rPr>
      </w:pPr>
      <w:r>
        <w:rPr>
          <w:rFonts w:ascii="Courier New" w:cs="Courier New" w:eastAsia="Courier New" w:hAnsi="Courier New"/>
          <w:sz w:val="17"/>
          <w:szCs w:val="17"/>
          <w:color w:val="auto"/>
        </w:rPr>
        <w:t>Generally, AT&amp;T accounts for Business Services' and Broadband's intersegment transactions at market prices.</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L-81</w:t>
      </w:r>
    </w:p>
    <w:p>
      <w:pPr>
        <w:sectPr>
          <w:pgSz w:w="11900" w:h="16838" w:orient="portrait"/>
          <w:cols w:equalWidth="0" w:num="1">
            <w:col w:w="10219"/>
          </w:cols>
          <w:pgMar w:left="240" w:top="518" w:right="1440" w:bottom="860" w:gutter="0" w:footer="0" w:header="0"/>
        </w:sectPr>
      </w:pPr>
    </w:p>
    <w:bookmarkStart w:id="684" w:name="page685"/>
    <w:bookmarkEnd w:id="684"/>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210"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FOR THE YEARS ENDED DECEMBER 31, 2000 1999 1998 - ---</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Business Services external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revenue..................... $28,157 $28,087 $25,001</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Business Services internal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revenue..................... 743 605 356 ------- ----</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 ------- Total Business Services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revenue............................. 28,900 28,692</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25,357 Consumer Services external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revenue.......................... 18,894 21,753</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22,763 Broadband external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revenue............................. 8,212 5,069 --</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Broadband internal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revenue............................. 14 1 -- -------</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 ------- Total Broadband</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revenue..................................... 8,226</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5,070 -- Total reportable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segments............................ 56,020 55,515</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48,120 Corporate and</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Other(1)...................................... (487)</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(542) (303) ------- ------- ------- Total</w:t>
      </w:r>
    </w:p>
    <w:p>
      <w:pPr>
        <w:spacing w:after="0" w:line="9"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$55,533 $54,973 $47,817 ======= ======= =======</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hanging="413"/>
        <w:spacing w:after="0"/>
        <w:tabs>
          <w:tab w:leader="none" w:pos="420" w:val="left"/>
        </w:tabs>
        <w:numPr>
          <w:ilvl w:val="0"/>
          <w:numId w:val="7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$248 and $10 related to Excite@Home in 2000 and 1999, respectively.</w:t>
      </w:r>
    </w:p>
    <w:p>
      <w:pPr>
        <w:spacing w:after="0" w:line="210"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DEPRECIATION AND AMORTIZATION(1)</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2000 1999 1998 -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440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 ------ ------ Business</w:t>
            </w:r>
          </w:p>
        </w:tc>
      </w:tr>
      <w:tr>
        <w:trPr>
          <w:trHeight w:val="201"/>
        </w:trPr>
        <w:tc>
          <w:tcPr>
            <w:tcW w:w="54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Services...........................................</w:t>
            </w:r>
          </w:p>
        </w:tc>
        <w:tc>
          <w:tcPr>
            <w:tcW w:w="760" w:type="dxa"/>
            <w:vAlign w:val="bottom"/>
          </w:tcPr>
          <w:p>
            <w:pPr>
              <w:ind w:left="80"/>
              <w:spacing w:after="0"/>
              <w:rPr>
                <w:sz w:val="20"/>
                <w:szCs w:val="20"/>
                <w:color w:val="auto"/>
              </w:rPr>
            </w:pPr>
            <w:r>
              <w:rPr>
                <w:rFonts w:ascii="Courier New" w:cs="Courier New" w:eastAsia="Courier New" w:hAnsi="Courier New"/>
                <w:sz w:val="17"/>
                <w:szCs w:val="17"/>
                <w:color w:val="auto"/>
              </w:rPr>
              <w:t>$4,220</w:t>
            </w:r>
          </w:p>
        </w:tc>
      </w:tr>
      <w:tr>
        <w:trPr>
          <w:trHeight w:val="201"/>
        </w:trPr>
        <w:tc>
          <w:tcPr>
            <w:tcW w:w="1840" w:type="dxa"/>
            <w:vAlign w:val="bottom"/>
          </w:tcPr>
          <w:p>
            <w:pPr>
              <w:spacing w:after="0"/>
              <w:rPr>
                <w:sz w:val="17"/>
                <w:szCs w:val="17"/>
                <w:color w:val="auto"/>
              </w:rPr>
            </w:pPr>
          </w:p>
        </w:tc>
        <w:tc>
          <w:tcPr>
            <w:tcW w:w="3640" w:type="dxa"/>
            <w:vAlign w:val="bottom"/>
          </w:tcPr>
          <w:p>
            <w:pPr>
              <w:jc w:val="center"/>
              <w:ind w:right="933"/>
              <w:spacing w:after="0"/>
              <w:rPr>
                <w:sz w:val="20"/>
                <w:szCs w:val="20"/>
                <w:color w:val="auto"/>
              </w:rPr>
            </w:pPr>
            <w:r>
              <w:rPr>
                <w:rFonts w:ascii="Courier New" w:cs="Courier New" w:eastAsia="Courier New" w:hAnsi="Courier New"/>
                <w:sz w:val="17"/>
                <w:szCs w:val="17"/>
                <w:color w:val="auto"/>
              </w:rPr>
              <w:t>$4,219 $3,357 Consumer</w:t>
            </w:r>
          </w:p>
        </w:tc>
        <w:tc>
          <w:tcPr>
            <w:tcW w:w="760" w:type="dxa"/>
            <w:vAlign w:val="bottom"/>
          </w:tcPr>
          <w:p>
            <w:pPr>
              <w:spacing w:after="0"/>
              <w:rPr>
                <w:sz w:val="17"/>
                <w:szCs w:val="17"/>
                <w:color w:val="auto"/>
              </w:rPr>
            </w:pPr>
          </w:p>
        </w:tc>
      </w:tr>
      <w:tr>
        <w:trPr>
          <w:trHeight w:val="201"/>
        </w:trPr>
        <w:tc>
          <w:tcPr>
            <w:tcW w:w="54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Services...........................................</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167 184</w:t>
            </w:r>
          </w:p>
        </w:tc>
      </w:tr>
      <w:tr>
        <w:trPr>
          <w:trHeight w:val="201"/>
        </w:trPr>
        <w:tc>
          <w:tcPr>
            <w:tcW w:w="1840" w:type="dxa"/>
            <w:vAlign w:val="bottom"/>
          </w:tcPr>
          <w:p>
            <w:pPr>
              <w:spacing w:after="0"/>
              <w:rPr>
                <w:sz w:val="17"/>
                <w:szCs w:val="17"/>
                <w:color w:val="auto"/>
              </w:rPr>
            </w:pPr>
          </w:p>
        </w:tc>
        <w:tc>
          <w:tcPr>
            <w:tcW w:w="3640" w:type="dxa"/>
            <w:vAlign w:val="bottom"/>
          </w:tcPr>
          <w:p>
            <w:pPr>
              <w:jc w:val="right"/>
              <w:ind w:right="2093"/>
              <w:spacing w:after="0"/>
              <w:rPr>
                <w:sz w:val="20"/>
                <w:szCs w:val="20"/>
                <w:color w:val="auto"/>
              </w:rPr>
            </w:pPr>
            <w:r>
              <w:rPr>
                <w:rFonts w:ascii="Courier New" w:cs="Courier New" w:eastAsia="Courier New" w:hAnsi="Courier New"/>
                <w:sz w:val="17"/>
                <w:szCs w:val="17"/>
                <w:color w:val="auto"/>
              </w:rPr>
              <w:t>116</w:t>
            </w:r>
          </w:p>
        </w:tc>
        <w:tc>
          <w:tcPr>
            <w:tcW w:w="760" w:type="dxa"/>
            <w:vAlign w:val="bottom"/>
          </w:tcPr>
          <w:p>
            <w:pPr>
              <w:spacing w:after="0"/>
              <w:rPr>
                <w:sz w:val="17"/>
                <w:szCs w:val="17"/>
                <w:color w:val="auto"/>
              </w:rPr>
            </w:pPr>
          </w:p>
        </w:tc>
      </w:tr>
      <w:tr>
        <w:trPr>
          <w:trHeight w:val="201"/>
        </w:trPr>
        <w:tc>
          <w:tcPr>
            <w:tcW w:w="54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9"/>
              </w:rPr>
              <w:t>Broadband...................................................</w:t>
            </w:r>
          </w:p>
        </w:tc>
        <w:tc>
          <w:tcPr>
            <w:tcW w:w="760" w:type="dxa"/>
            <w:vAlign w:val="bottom"/>
          </w:tcPr>
          <w:p>
            <w:pPr>
              <w:spacing w:after="0"/>
              <w:rPr>
                <w:sz w:val="17"/>
                <w:szCs w:val="17"/>
                <w:color w:val="auto"/>
              </w:rPr>
            </w:pPr>
          </w:p>
        </w:tc>
      </w:tr>
      <w:tr>
        <w:trPr>
          <w:trHeight w:val="201"/>
        </w:trPr>
        <w:tc>
          <w:tcPr>
            <w:tcW w:w="62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3,063 1,636 -- ------ ------ ------ Total reportable</w:t>
            </w:r>
          </w:p>
        </w:tc>
      </w:tr>
      <w:tr>
        <w:trPr>
          <w:trHeight w:val="201"/>
        </w:trPr>
        <w:tc>
          <w:tcPr>
            <w:tcW w:w="1840" w:type="dxa"/>
            <w:vAlign w:val="bottom"/>
          </w:tcPr>
          <w:p>
            <w:pPr>
              <w:jc w:val="right"/>
              <w:spacing w:after="0"/>
              <w:rPr>
                <w:sz w:val="20"/>
                <w:szCs w:val="20"/>
                <w:color w:val="auto"/>
              </w:rPr>
            </w:pPr>
            <w:r>
              <w:rPr>
                <w:rFonts w:ascii="Courier New" w:cs="Courier New" w:eastAsia="Courier New" w:hAnsi="Courier New"/>
                <w:sz w:val="11"/>
                <w:szCs w:val="11"/>
                <w:color w:val="auto"/>
                <w:w w:val="72"/>
              </w:rPr>
              <w:t>segments..............................</w:t>
            </w:r>
          </w:p>
        </w:tc>
        <w:tc>
          <w:tcPr>
            <w:tcW w:w="3640" w:type="dxa"/>
            <w:vAlign w:val="bottom"/>
          </w:tcPr>
          <w:p>
            <w:pPr>
              <w:jc w:val="right"/>
              <w:spacing w:after="0"/>
              <w:rPr>
                <w:sz w:val="20"/>
                <w:szCs w:val="20"/>
                <w:color w:val="auto"/>
              </w:rPr>
            </w:pPr>
            <w:r>
              <w:rPr>
                <w:rFonts w:ascii="Courier New" w:cs="Courier New" w:eastAsia="Courier New" w:hAnsi="Courier New"/>
                <w:sz w:val="17"/>
                <w:szCs w:val="17"/>
                <w:color w:val="auto"/>
              </w:rPr>
              <w:t>7,450 6,039</w:t>
            </w:r>
          </w:p>
        </w:tc>
        <w:tc>
          <w:tcPr>
            <w:tcW w:w="760" w:type="dxa"/>
            <w:vAlign w:val="bottom"/>
          </w:tcPr>
          <w:p>
            <w:pPr>
              <w:ind w:left="80"/>
              <w:spacing w:after="0"/>
              <w:rPr>
                <w:sz w:val="20"/>
                <w:szCs w:val="20"/>
                <w:color w:val="auto"/>
              </w:rPr>
            </w:pPr>
            <w:r>
              <w:rPr>
                <w:rFonts w:ascii="Courier New" w:cs="Courier New" w:eastAsia="Courier New" w:hAnsi="Courier New"/>
                <w:sz w:val="17"/>
                <w:szCs w:val="17"/>
                <w:color w:val="auto"/>
              </w:rPr>
              <w:t>3,473</w:t>
            </w:r>
          </w:p>
        </w:tc>
      </w:tr>
      <w:tr>
        <w:trPr>
          <w:trHeight w:val="201"/>
        </w:trPr>
        <w:tc>
          <w:tcPr>
            <w:tcW w:w="1840" w:type="dxa"/>
            <w:vAlign w:val="bottom"/>
          </w:tcPr>
          <w:p>
            <w:pPr>
              <w:spacing w:after="0"/>
              <w:rPr>
                <w:sz w:val="17"/>
                <w:szCs w:val="17"/>
                <w:color w:val="auto"/>
              </w:rPr>
            </w:pPr>
          </w:p>
        </w:tc>
        <w:tc>
          <w:tcPr>
            <w:tcW w:w="3640" w:type="dxa"/>
            <w:vAlign w:val="bottom"/>
          </w:tcPr>
          <w:p>
            <w:pPr>
              <w:jc w:val="center"/>
              <w:ind w:right="933"/>
              <w:spacing w:after="0"/>
              <w:rPr>
                <w:sz w:val="20"/>
                <w:szCs w:val="20"/>
                <w:color w:val="auto"/>
              </w:rPr>
            </w:pPr>
            <w:r>
              <w:rPr>
                <w:rFonts w:ascii="Courier New" w:cs="Courier New" w:eastAsia="Courier New" w:hAnsi="Courier New"/>
                <w:sz w:val="17"/>
                <w:szCs w:val="17"/>
                <w:color w:val="auto"/>
              </w:rPr>
              <w:t>Corporate and</w:t>
            </w:r>
          </w:p>
        </w:tc>
        <w:tc>
          <w:tcPr>
            <w:tcW w:w="760" w:type="dxa"/>
            <w:vAlign w:val="bottom"/>
          </w:tcPr>
          <w:p>
            <w:pPr>
              <w:spacing w:after="0"/>
              <w:rPr>
                <w:sz w:val="17"/>
                <w:szCs w:val="17"/>
                <w:color w:val="auto"/>
              </w:rPr>
            </w:pPr>
          </w:p>
        </w:tc>
      </w:tr>
      <w:tr>
        <w:trPr>
          <w:trHeight w:val="201"/>
        </w:trPr>
        <w:tc>
          <w:tcPr>
            <w:tcW w:w="1840" w:type="dxa"/>
            <w:vAlign w:val="bottom"/>
          </w:tcPr>
          <w:p>
            <w:pPr>
              <w:jc w:val="right"/>
              <w:spacing w:after="0"/>
              <w:rPr>
                <w:sz w:val="20"/>
                <w:szCs w:val="20"/>
                <w:color w:val="auto"/>
              </w:rPr>
            </w:pPr>
            <w:r>
              <w:rPr>
                <w:rFonts w:ascii="Courier New" w:cs="Courier New" w:eastAsia="Courier New" w:hAnsi="Courier New"/>
                <w:sz w:val="9"/>
                <w:szCs w:val="9"/>
                <w:color w:val="auto"/>
                <w:w w:val="73"/>
              </w:rPr>
              <w:t>Other(2)......................................</w:t>
            </w:r>
          </w:p>
        </w:tc>
        <w:tc>
          <w:tcPr>
            <w:tcW w:w="44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1,139 155</w:t>
            </w:r>
          </w:p>
        </w:tc>
      </w:tr>
      <w:tr>
        <w:trPr>
          <w:trHeight w:val="201"/>
        </w:trPr>
        <w:tc>
          <w:tcPr>
            <w:tcW w:w="1840" w:type="dxa"/>
            <w:vAlign w:val="bottom"/>
          </w:tcPr>
          <w:p>
            <w:pPr>
              <w:jc w:val="right"/>
              <w:ind w:right="25"/>
              <w:spacing w:after="0"/>
              <w:rPr>
                <w:sz w:val="20"/>
                <w:szCs w:val="20"/>
                <w:color w:val="auto"/>
              </w:rPr>
            </w:pPr>
            <w:r>
              <w:rPr>
                <w:rFonts w:ascii="Courier New" w:cs="Courier New" w:eastAsia="Courier New" w:hAnsi="Courier New"/>
                <w:sz w:val="17"/>
                <w:szCs w:val="17"/>
                <w:color w:val="auto"/>
              </w:rPr>
              <w:t>104 ------</w:t>
            </w:r>
          </w:p>
        </w:tc>
        <w:tc>
          <w:tcPr>
            <w:tcW w:w="440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 ------ Total depreciation and</w:t>
            </w:r>
          </w:p>
        </w:tc>
      </w:tr>
      <w:tr>
        <w:trPr>
          <w:trHeight w:val="201"/>
        </w:trPr>
        <w:tc>
          <w:tcPr>
            <w:tcW w:w="1840" w:type="dxa"/>
            <w:vAlign w:val="bottom"/>
          </w:tcPr>
          <w:p>
            <w:pPr>
              <w:jc w:val="right"/>
              <w:spacing w:after="0"/>
              <w:rPr>
                <w:sz w:val="20"/>
                <w:szCs w:val="20"/>
                <w:color w:val="auto"/>
              </w:rPr>
            </w:pPr>
            <w:r>
              <w:rPr>
                <w:rFonts w:ascii="Courier New" w:cs="Courier New" w:eastAsia="Courier New" w:hAnsi="Courier New"/>
                <w:sz w:val="11"/>
                <w:szCs w:val="11"/>
                <w:color w:val="auto"/>
                <w:w w:val="74"/>
              </w:rPr>
              <w:t>amortization.........................</w:t>
            </w:r>
          </w:p>
        </w:tc>
        <w:tc>
          <w:tcPr>
            <w:tcW w:w="3640" w:type="dxa"/>
            <w:vAlign w:val="bottom"/>
          </w:tcPr>
          <w:p>
            <w:pPr>
              <w:jc w:val="right"/>
              <w:spacing w:after="0"/>
              <w:rPr>
                <w:sz w:val="20"/>
                <w:szCs w:val="20"/>
                <w:color w:val="auto"/>
              </w:rPr>
            </w:pPr>
            <w:r>
              <w:rPr>
                <w:rFonts w:ascii="Courier New" w:cs="Courier New" w:eastAsia="Courier New" w:hAnsi="Courier New"/>
                <w:sz w:val="17"/>
                <w:szCs w:val="17"/>
                <w:color w:val="auto"/>
              </w:rPr>
              <w:t>$8,589 $6,194</w:t>
            </w:r>
          </w:p>
        </w:tc>
        <w:tc>
          <w:tcPr>
            <w:tcW w:w="760" w:type="dxa"/>
            <w:vAlign w:val="bottom"/>
          </w:tcPr>
          <w:p>
            <w:pPr>
              <w:ind w:left="80"/>
              <w:spacing w:after="0"/>
              <w:rPr>
                <w:sz w:val="20"/>
                <w:szCs w:val="20"/>
                <w:color w:val="auto"/>
              </w:rPr>
            </w:pPr>
            <w:r>
              <w:rPr>
                <w:rFonts w:ascii="Courier New" w:cs="Courier New" w:eastAsia="Courier New" w:hAnsi="Courier New"/>
                <w:sz w:val="17"/>
                <w:szCs w:val="17"/>
                <w:color w:val="auto"/>
              </w:rPr>
              <w:t>$3,577</w:t>
            </w:r>
          </w:p>
        </w:tc>
      </w:tr>
      <w:tr>
        <w:trPr>
          <w:trHeight w:val="201"/>
        </w:trPr>
        <w:tc>
          <w:tcPr>
            <w:tcW w:w="1840" w:type="dxa"/>
            <w:vAlign w:val="bottom"/>
          </w:tcPr>
          <w:p>
            <w:pPr>
              <w:spacing w:after="0"/>
              <w:rPr>
                <w:sz w:val="17"/>
                <w:szCs w:val="17"/>
                <w:color w:val="auto"/>
              </w:rPr>
            </w:pPr>
          </w:p>
        </w:tc>
        <w:tc>
          <w:tcPr>
            <w:tcW w:w="3640" w:type="dxa"/>
            <w:vAlign w:val="bottom"/>
          </w:tcPr>
          <w:p>
            <w:pPr>
              <w:jc w:val="right"/>
              <w:ind w:right="1193"/>
              <w:spacing w:after="0"/>
              <w:rPr>
                <w:sz w:val="20"/>
                <w:szCs w:val="20"/>
                <w:color w:val="auto"/>
              </w:rPr>
            </w:pPr>
            <w:r>
              <w:rPr>
                <w:rFonts w:ascii="Courier New" w:cs="Courier New" w:eastAsia="Courier New" w:hAnsi="Courier New"/>
                <w:sz w:val="17"/>
                <w:szCs w:val="17"/>
                <w:color w:val="auto"/>
              </w:rPr>
              <w:t>====== ====== ======</w:t>
            </w:r>
          </w:p>
        </w:tc>
        <w:tc>
          <w:tcPr>
            <w:tcW w:w="76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2039" w:hanging="413"/>
        <w:spacing w:after="0" w:line="257" w:lineRule="auto"/>
        <w:tabs>
          <w:tab w:leader="none" w:pos="420" w:val="left"/>
        </w:tabs>
        <w:numPr>
          <w:ilvl w:val="0"/>
          <w:numId w:val="7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amortization of goodwill, franchise costs and other purchased intangibles.</w:t>
      </w:r>
    </w:p>
    <w:p>
      <w:pPr>
        <w:spacing w:after="0" w:line="191" w:lineRule="exact"/>
        <w:rPr>
          <w:rFonts w:ascii="Courier New" w:cs="Courier New" w:eastAsia="Courier New" w:hAnsi="Courier New"/>
          <w:sz w:val="17"/>
          <w:szCs w:val="17"/>
          <w:color w:val="auto"/>
        </w:rPr>
      </w:pPr>
    </w:p>
    <w:p>
      <w:pPr>
        <w:jc w:val="center"/>
        <w:ind w:left="4100" w:right="1839" w:hanging="4093"/>
        <w:spacing w:after="0" w:line="508" w:lineRule="auto"/>
        <w:tabs>
          <w:tab w:leader="none" w:pos="434" w:val="left"/>
        </w:tabs>
        <w:numPr>
          <w:ilvl w:val="0"/>
          <w:numId w:val="7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$991 and $38 related to Excite@Home in 2000 and 1999, respectively. L-82</w:t>
      </w:r>
    </w:p>
    <w:p>
      <w:pPr>
        <w:sectPr>
          <w:pgSz w:w="11900" w:h="16838" w:orient="portrait"/>
          <w:cols w:equalWidth="0" w:num="1">
            <w:col w:w="10219"/>
          </w:cols>
          <w:pgMar w:left="240" w:top="518" w:right="1440" w:bottom="1440" w:gutter="0" w:footer="0" w:header="0"/>
        </w:sectPr>
      </w:pPr>
    </w:p>
    <w:bookmarkStart w:id="685" w:name="page686"/>
    <w:bookmarkEnd w:id="685"/>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(LOSSES) FROM OTHER EQUITY INVESTMENTS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2000 1999 1998 - ---------</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 ----- ----- ----- Business</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Services........................................... $ 35 $</w:t>
      </w:r>
    </w:p>
    <w:p>
      <w:pPr>
        <w:spacing w:after="0" w:line="9"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(72) $(128)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(215) (396) -- ----- ----- ----- Total reportable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segments.............................. (180) (468) (128)</w:t>
      </w:r>
    </w:p>
    <w:p>
      <w:pPr>
        <w:spacing w:after="0" w:line="9"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Corporate and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Other(1)...................................... (408) (288)</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19 ----- ----- ----- Total net (losses) from other equity</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investments............ $(588) $(756) $(109) ===== =====</w:t>
      </w:r>
    </w:p>
    <w:p>
      <w:pPr>
        <w:spacing w:after="0" w:line="9"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2779" w:hanging="413"/>
        <w:spacing w:after="0" w:line="257" w:lineRule="auto"/>
        <w:tabs>
          <w:tab w:leader="none" w:pos="420" w:val="left"/>
        </w:tabs>
        <w:numPr>
          <w:ilvl w:val="0"/>
          <w:numId w:val="7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$(382) and $(311) related to Excite@Home in 2000 and 1999, respectively.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RECONCILIATION OF EBIT TO INCOME BEFORE INCOME TAXES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2000 1999 1998 -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4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 ------ Business</w:t>
            </w:r>
          </w:p>
        </w:tc>
      </w:tr>
      <w:tr>
        <w:trPr>
          <w:trHeight w:val="201"/>
        </w:trPr>
        <w:tc>
          <w:tcPr>
            <w:tcW w:w="2780" w:type="dxa"/>
            <w:vAlign w:val="bottom"/>
          </w:tcPr>
          <w:p>
            <w:pPr>
              <w:jc w:val="right"/>
              <w:spacing w:after="0"/>
              <w:rPr>
                <w:sz w:val="20"/>
                <w:szCs w:val="20"/>
                <w:color w:val="auto"/>
              </w:rPr>
            </w:pPr>
            <w:r>
              <w:rPr>
                <w:rFonts w:ascii="Courier New" w:cs="Courier New" w:eastAsia="Courier New" w:hAnsi="Courier New"/>
                <w:sz w:val="12"/>
                <w:szCs w:val="12"/>
                <w:color w:val="auto"/>
                <w:w w:val="75"/>
              </w:rPr>
              <w:t>Services...........................................</w:t>
            </w:r>
          </w:p>
        </w:tc>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$5,990</w:t>
            </w:r>
          </w:p>
        </w:tc>
      </w:tr>
      <w:tr>
        <w:trPr>
          <w:trHeight w:val="201"/>
        </w:trPr>
        <w:tc>
          <w:tcPr>
            <w:tcW w:w="2780" w:type="dxa"/>
            <w:vAlign w:val="bottom"/>
          </w:tcPr>
          <w:p>
            <w:pPr>
              <w:jc w:val="right"/>
              <w:ind w:right="22"/>
              <w:spacing w:after="0"/>
              <w:rPr>
                <w:sz w:val="20"/>
                <w:szCs w:val="20"/>
                <w:color w:val="auto"/>
              </w:rPr>
            </w:pPr>
            <w:r>
              <w:rPr>
                <w:rFonts w:ascii="Courier New" w:cs="Courier New" w:eastAsia="Courier New" w:hAnsi="Courier New"/>
                <w:sz w:val="17"/>
                <w:szCs w:val="17"/>
                <w:color w:val="auto"/>
              </w:rPr>
              <w:t>$ 5,248</w:t>
            </w:r>
          </w:p>
        </w:tc>
        <w:tc>
          <w:tcPr>
            <w:tcW w:w="3400" w:type="dxa"/>
            <w:vAlign w:val="bottom"/>
          </w:tcPr>
          <w:p>
            <w:pPr>
              <w:jc w:val="right"/>
              <w:ind w:right="1733"/>
              <w:spacing w:after="0"/>
              <w:rPr>
                <w:sz w:val="20"/>
                <w:szCs w:val="20"/>
                <w:color w:val="auto"/>
              </w:rPr>
            </w:pPr>
            <w:r>
              <w:rPr>
                <w:rFonts w:ascii="Courier New" w:cs="Courier New" w:eastAsia="Courier New" w:hAnsi="Courier New"/>
                <w:sz w:val="17"/>
                <w:szCs w:val="17"/>
                <w:color w:val="auto"/>
              </w:rPr>
              <w:t>$4,017 Consumer</w:t>
            </w:r>
          </w:p>
        </w:tc>
      </w:tr>
      <w:tr>
        <w:trPr>
          <w:trHeight w:val="201"/>
        </w:trPr>
        <w:tc>
          <w:tcPr>
            <w:tcW w:w="2780" w:type="dxa"/>
            <w:vAlign w:val="bottom"/>
          </w:tcPr>
          <w:p>
            <w:pPr>
              <w:jc w:val="right"/>
              <w:spacing w:after="0"/>
              <w:rPr>
                <w:sz w:val="20"/>
                <w:szCs w:val="20"/>
                <w:color w:val="auto"/>
              </w:rPr>
            </w:pPr>
            <w:r>
              <w:rPr>
                <w:rFonts w:ascii="Courier New" w:cs="Courier New" w:eastAsia="Courier New" w:hAnsi="Courier New"/>
                <w:sz w:val="12"/>
                <w:szCs w:val="12"/>
                <w:color w:val="auto"/>
                <w:w w:val="75"/>
              </w:rPr>
              <w:t>Services...........................................</w:t>
            </w:r>
          </w:p>
        </w:tc>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6,893</w:t>
            </w:r>
          </w:p>
        </w:tc>
      </w:tr>
      <w:tr>
        <w:trPr>
          <w:trHeight w:val="201"/>
        </w:trPr>
        <w:tc>
          <w:tcPr>
            <w:tcW w:w="6180" w:type="dxa"/>
            <w:vAlign w:val="bottom"/>
            <w:gridSpan w:val="2"/>
          </w:tcPr>
          <w:p>
            <w:pPr>
              <w:jc w:val="right"/>
              <w:ind w:right="2373"/>
              <w:spacing w:after="0"/>
              <w:rPr>
                <w:sz w:val="20"/>
                <w:szCs w:val="20"/>
                <w:color w:val="auto"/>
              </w:rPr>
            </w:pPr>
            <w:r>
              <w:rPr>
                <w:rFonts w:ascii="Courier New" w:cs="Courier New" w:eastAsia="Courier New" w:hAnsi="Courier New"/>
                <w:sz w:val="17"/>
                <w:szCs w:val="17"/>
                <w:color w:val="auto"/>
              </w:rPr>
              <w:t>7,619 6,289</w:t>
            </w:r>
          </w:p>
        </w:tc>
      </w:tr>
      <w:tr>
        <w:trPr>
          <w:trHeight w:val="201"/>
        </w:trPr>
        <w:tc>
          <w:tcPr>
            <w:tcW w:w="6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Broadband...................................................</w:t>
            </w:r>
          </w:p>
        </w:tc>
      </w:tr>
    </w:tbl>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(1,240) (1,545) -- ------ ------- ------ Total reportable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segments.............................. 11,643 11,322 10,306</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Corporate 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Other(1)...................................... (3,279)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(441) (2,040) Less: Pretax minority interest income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(expense)............. 4,003 (180) (1) Add: Pretax losses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from other equity investments............ 1,017 1,223 177</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expense............................................ (2,964)</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(1,503) (293) ------ ------- ------ Total income from</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continuing operations before income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$2,414 $10,781 $8,151 ====== ======= ======</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2259" w:hanging="413"/>
        <w:spacing w:after="0" w:line="254" w:lineRule="auto"/>
        <w:tabs>
          <w:tab w:leader="none" w:pos="420" w:val="left"/>
        </w:tabs>
        <w:numPr>
          <w:ilvl w:val="0"/>
          <w:numId w:val="7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$(3,603) and $(686) related to Excite@Home in 2000 and 1999, respectively. The Excite@Home EBIT impact in 2000 includes $2,630 of net restructuring and other charges.</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L-83</w:t>
      </w:r>
    </w:p>
    <w:p>
      <w:pPr>
        <w:sectPr>
          <w:pgSz w:w="11900" w:h="16838" w:orient="portrait"/>
          <w:cols w:equalWidth="0" w:num="1">
            <w:col w:w="10219"/>
          </w:cols>
          <w:pgMar w:left="240" w:top="519" w:right="1440" w:bottom="1440" w:gutter="0" w:footer="0" w:header="0"/>
        </w:sectPr>
      </w:pPr>
    </w:p>
    <w:bookmarkStart w:id="686" w:name="page687"/>
    <w:bookmarkEnd w:id="686"/>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2000 1999 1998 - --------------- --------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 Business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Services...........................................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42,747 $ 37,974 $27,320 Consumer</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Services........................................... 3,150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3,781 3,732</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114,848 53,810 -- Total reportable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segments.............................. 160,745 95,565</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31,052 -------- -------- ------- Corporate and Other</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assets: Other</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segments......................................... 1,174</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1,204 1,227 Prepaid pension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costs.................................. 3,003 2,464 2,074</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Deferred income taxes.................................. 406</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527 815 Other corporate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assets(1).............................. 7,518 7,874 4,966</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Net assets of discontinued operations..................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27,224 17,363 14,051 Investment in Liberty Media Group 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related receivables,</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34,290 38,460 -- -------- -------- -------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$234,360 $163,457 $54,185 ======== ======== =======</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2679" w:hanging="413"/>
        <w:spacing w:after="0" w:line="257" w:lineRule="auto"/>
        <w:tabs>
          <w:tab w:leader="none" w:pos="420" w:val="left"/>
        </w:tabs>
        <w:numPr>
          <w:ilvl w:val="0"/>
          <w:numId w:val="7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$2,541 and $2,726 related to Excite@Home for 2000 and 1999, respectively.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EQUITY INVESTMENTS (EXCLUDING LMG)</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2000 1999 1998 - --------------- -------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 Business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Services........................................... $ 2,355</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$ 582 $ 51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6,473 10,327 -- ------- ------- ---- Total reportable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segments.............................. 8,828 10,909 51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Corporate 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Other(1)...................................... 1,666 3,012</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344 ------- ------- ---- Total equity</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investments.................................... $10,494</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$13,921 $395 ======= ======= ====</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2979" w:hanging="413"/>
        <w:spacing w:after="0" w:line="257" w:lineRule="auto"/>
        <w:tabs>
          <w:tab w:leader="none" w:pos="420" w:val="left"/>
        </w:tabs>
        <w:numPr>
          <w:ilvl w:val="0"/>
          <w:numId w:val="7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$35 and $2,726 related to Excite@Home for 2000 and 1999, respectively.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ADDITIONS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2000 1999 1998 -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 ------- ------ Business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Services........................................... $ 6,839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$ 9,091 $6,773 Consumer</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Services........................................... 148 299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99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Broadband...................................................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4,968 4,759 -- ------- ------- ------ Total reportable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segments.............................. 11,955 14,149 6,872</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Corporate 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Other(1)...................................... 1,683 271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310 ------- ------- ------ Total capital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additions..................................... $13,638</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$14,420 $7,182 ======= ======= ======</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Includes $92 related to Excite@Home in 2000.</w:t>
      </w:r>
    </w:p>
    <w:p>
      <w:pPr>
        <w:sectPr>
          <w:pgSz w:w="11900" w:h="16838" w:orient="portrait"/>
          <w:cols w:equalWidth="0" w:num="1">
            <w:col w:w="10219"/>
          </w:cols>
          <w:pgMar w:left="240" w:top="517" w:right="1440" w:bottom="0" w:gutter="0" w:footer="0" w:header="0"/>
        </w:sectPr>
      </w:pPr>
    </w:p>
    <w:bookmarkStart w:id="687" w:name="page688"/>
    <w:bookmarkEnd w:id="687"/>
    <w:p>
      <w:pPr>
        <w:ind w:right="1839" w:firstLine="524"/>
        <w:spacing w:after="0" w:line="257" w:lineRule="auto"/>
        <w:rPr>
          <w:sz w:val="20"/>
          <w:szCs w:val="20"/>
          <w:color w:val="auto"/>
        </w:rPr>
      </w:pPr>
      <w:r>
        <w:rPr>
          <w:rFonts w:ascii="Courier New" w:cs="Courier New" w:eastAsia="Courier New" w:hAnsi="Courier New"/>
          <w:sz w:val="17"/>
          <w:szCs w:val="17"/>
          <w:color w:val="auto"/>
        </w:rPr>
        <w:t>Geographic information is not presented due to the immateriality of revenue attributable to international customers.</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L-84</w:t>
      </w:r>
    </w:p>
    <w:p>
      <w:pPr>
        <w:sectPr>
          <w:pgSz w:w="11900" w:h="16838" w:orient="portrait"/>
          <w:cols w:equalWidth="0" w:num="1">
            <w:col w:w="10219"/>
          </w:cols>
          <w:pgMar w:left="240" w:top="142" w:right="1440" w:bottom="1440" w:gutter="0" w:footer="0" w:header="0"/>
        </w:sectPr>
      </w:pPr>
    </w:p>
    <w:bookmarkStart w:id="688" w:name="page689"/>
    <w:bookmarkEnd w:id="688"/>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779" w:firstLine="524"/>
        <w:spacing w:after="0" w:line="257" w:lineRule="auto"/>
        <w:rPr>
          <w:sz w:val="20"/>
          <w:szCs w:val="20"/>
          <w:color w:val="auto"/>
        </w:rPr>
      </w:pPr>
      <w:r>
        <w:rPr>
          <w:rFonts w:ascii="Courier New" w:cs="Courier New" w:eastAsia="Courier New" w:hAnsi="Courier New"/>
          <w:sz w:val="17"/>
          <w:szCs w:val="17"/>
          <w:color w:val="auto"/>
        </w:rPr>
        <w:t>Reflecting the dynamics of our business, we continually review our management model and structure and make adjustments accordingly.</w:t>
      </w:r>
    </w:p>
    <w:p>
      <w:pPr>
        <w:spacing w:after="0" w:line="192" w:lineRule="exact"/>
        <w:rPr>
          <w:sz w:val="20"/>
          <w:szCs w:val="20"/>
          <w:color w:val="auto"/>
        </w:rPr>
      </w:pPr>
    </w:p>
    <w:p>
      <w:pPr>
        <w:ind w:left="220" w:right="6239" w:hanging="213"/>
        <w:spacing w:after="0" w:line="502" w:lineRule="auto"/>
        <w:tabs>
          <w:tab w:leader="none" w:pos="534" w:val="left"/>
        </w:tabs>
        <w:numPr>
          <w:ilvl w:val="0"/>
          <w:numId w:val="7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GUARANTEE OF PREFERRED SECURITIES TCI Securities:</w:t>
      </w:r>
    </w:p>
    <w:p>
      <w:pPr>
        <w:ind w:right="1839" w:firstLine="524"/>
        <w:spacing w:after="0" w:line="253" w:lineRule="auto"/>
        <w:rPr>
          <w:sz w:val="20"/>
          <w:szCs w:val="20"/>
          <w:color w:val="auto"/>
        </w:rPr>
      </w:pPr>
      <w:r>
        <w:rPr>
          <w:rFonts w:ascii="Courier New" w:cs="Courier New" w:eastAsia="Courier New" w:hAnsi="Courier New"/>
          <w:sz w:val="17"/>
          <w:szCs w:val="17"/>
          <w:color w:val="auto"/>
        </w:rPr>
        <w:t>Prior to the consummation of the TCI merger, TCI issued mandatorily redeemable preferred securities through subsidiary trusts that held subordinated debt securities of TCI. At December 31, 2000, $1,246 of the guaranteed redeemable preferred securities remained outstanding.</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MediaOne Securities:</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Prior to the consummation of the MediaOne merger, MediaOne issued mandatorily redeemable preferred securities through subsidiary trusts that held subordinated debt securities of MediaOne. At December 31, 2000, $776 of the guaranteed securities remained outstanding.</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provides a full and unconditional guarantee on the outstanding securities issued by TCI Communications Financing I, II and IV and the outstanding securities issued by MediaOne Financing I and II and MediaOne Finance II and III. Following are the condensed consolidating financial statements of AT&amp;T Corp., which include the financial results of TCI and MediaOne for each of the corresponding periods. The results of MediaOne have been included in the financial results of AT&amp;T since the date of acquisition on June 15, 2000, and the results of TCI have been included since the March 9, 1999, date of acquisition.</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L-85</w:t>
      </w:r>
    </w:p>
    <w:p>
      <w:pPr>
        <w:sectPr>
          <w:pgSz w:w="11900" w:h="16838" w:orient="portrait"/>
          <w:cols w:equalWidth="0" w:num="1">
            <w:col w:w="10219"/>
          </w:cols>
          <w:pgMar w:left="240" w:top="518" w:right="1440" w:bottom="1440" w:gutter="0" w:footer="0" w:header="0"/>
        </w:sectPr>
      </w:pPr>
    </w:p>
    <w:bookmarkStart w:id="689" w:name="page690"/>
    <w:bookmarkEnd w:id="689"/>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CONSOLIDATING CONDENSED BALANCE SHEET</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AS OF DECEMBER 31, 2000</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GUARANTOR GUARANTOR GUARANTOR TCI TCI AT&amp;T SUBSIDIARY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SUBSIDIARY FINANCING FINANCING PARENT TCI MEDIAONE I II ---</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 ---------- ---------- --------- --------- ASSETS</w:t>
      </w:r>
    </w:p>
    <w:p>
      <w:pPr>
        <w:spacing w:after="0" w:line="9"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Cash and cash</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equivalents................................... $ -- $ -- $</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 $ -- $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11,424 2,577 78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Deferred income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taxes....................................... 811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current assets........................................</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1,103 11 TOTAL CURRENT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ASSETS........................................ 13,338 2,588</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78 Property, plant &amp; equipment,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net............................ 9,463 102 22 Franchise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costs, net........................................ 838 30</w:t>
      </w:r>
    </w:p>
    <w:p>
      <w:pPr>
        <w:spacing w:after="0" w:line="9"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Goodwill,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net............................................... 161</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19,786 Investment in Liberty Media Group and related</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34,290 Other investments and related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advances...................... 164,844 32,650 27,712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5,500 186 528 514 Net assets of discontinued</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operations.......................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$194,144 $69,846 $47,598 $528 $514 LIABILITIES Debt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maturing within one year............................... $</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52,556 $ 664 $ 2,337 $ -- $ -- Liability under put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options................................. Other current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liabilities................................... 9,535 1,129</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76 TOTAL CURRENT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LIABILITIES................................... 62,091 1,793</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2,413 Long-term</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debt.............................................. 21,333</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30,096 1,702 528 514 Deferred 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taxes....................................... 569 230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long-term liabilities and deferred credits............</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7,341 773 129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91,334 32,662 4,474 528 514 Minority</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Company-Obligated Convertible Quarterly Income Preferred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Securities of Subsidiary Trust Holding Solely Subordinated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Debt Securities of AT&amp;T........ 4,710 SHAREOWNERS' EQUITY</w:t>
      </w:r>
    </w:p>
    <w:p>
      <w:pPr>
        <w:spacing w:after="0" w:line="9"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AT&amp;T Common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Stock........................................... 4,176 AT&amp;T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Wireless Group common stock............................ 362</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Liberty Media Group Class A Common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Stock.................... 2,364 Liberty Media Group Class B</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Common Stock.................... 206 Other shareowners'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equity................................... 90,992 37,184</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43,124 TOTAL SHAREOWNERS'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EQUITY................................... 98,100 37,184</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43,124 TOTAL LIABILITIES AND SHAREOWNERS'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EQUITY................... $194,144 $69,846 $47,598 $528</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$514</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TCI MEDIAONE MEDIAONE MEDIAONE MEDIAONE FINANCING FINANCING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FINANCING FINANCE FINANCE IV I II II III --------- --------</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 --------- -------- -------- ASSETS Cash and cash</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equivalents................................... $ -- $-- $--</w:t>
      </w:r>
    </w:p>
    <w:p>
      <w:pPr>
        <w:spacing w:after="0" w:line="9"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Deferred 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taxes....................................... Other current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assets........................................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CURRENT ASSETS........................................</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Property, plant &amp; equipment,</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net............................ Franchise costs,</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net........................................ Goodwill,</w:t>
      </w:r>
    </w:p>
    <w:p>
      <w:pPr>
        <w:sectPr>
          <w:pgSz w:w="11900" w:h="16838" w:orient="portrait"/>
          <w:cols w:equalWidth="0" w:num="1">
            <w:col w:w="10219"/>
          </w:cols>
          <w:pgMar w:left="240" w:top="720" w:right="1440" w:bottom="0" w:gutter="0" w:footer="0" w:header="0"/>
        </w:sectPr>
      </w:pPr>
    </w:p>
    <w:bookmarkStart w:id="690" w:name="page691"/>
    <w:bookmarkEnd w:id="690"/>
    <w:p>
      <w:pPr>
        <w:spacing w:after="0" w:line="1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Investment in Liberty Media Group and related receivables,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Other investments and related</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advances...................... Other</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assets................................................ 204</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51 44 230 516 Net assets of discontinued</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operations....................... TOTAL</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ASSETS................................................ $204</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$51 $44 $230 $516 LIABILITIES Debt maturing within one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year............................... $ -- $-- $-- $ -- $ --</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Liability under put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options................................. Other current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liabilities...................................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CURRENT LIABILITIES...................................</w:t>
      </w:r>
    </w:p>
    <w:p>
      <w:pPr>
        <w:spacing w:after="0" w:line="9"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Long-term</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debt.............................................. 204 30</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28 214 504 Deferred income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taxes....................................... Other long-</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term liabilities and deferred credits............ TOTAL</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LIABILITIES........................................... 204</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30 28 214 504 Minority</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Company-Obligated Convertible Quarterly Income Preferred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Securities of Subsidiary Trust Holding Solely Subordinated</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Debt Securities of AT&amp;T........ SHAREOWNERS' EQUITY 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AT&amp;T Wireless Group common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stock............................ Liberty Media Group Class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 Common Stock.................... Liberty Media Group</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Class B Common Stock.................... Other shareowners'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equity................................... 21 16 16 12 TOTAL</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SHAREOWNERS' EQUITY................................... 21</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16 16 12 TOTAL LIABILITIES AND SHAREOWNERS'</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EQUITY................... $204 $51 $44 $230 $516</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ELIMINATION AND NON-GUARANTOR CONSOLIDATION CONSOLIDATED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SUBSIDIARIES ADJUSTMENTS AT&amp;T CORP. -------------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 ------------ ASSETS Cash and cash</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equivalents................................... $ 64 $ -- $</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64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48,896 (51,922) 11,053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2,102 2,102 Deferred 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taxes....................................... (91) 720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current assets........................................</w:t>
      </w:r>
    </w:p>
    <w:p>
      <w:pPr>
        <w:spacing w:after="0" w:line="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(328) (5) 781 TOTAL CURRENT</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ASSETS........................................ 50,643</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(51,927) 14,720 Property, plant &amp; equipment,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 31,685 (3) 41,269 Franchise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costs, net........................................ 47,350</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48,218 Goodwill,</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net............................................... 6,835</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26,782 Investment in Liberty Media Group and related</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34,290 Other investments and related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advances...................... 19,673 (214,004) 30,875</w:t>
      </w:r>
    </w:p>
    <w:p>
      <w:pPr>
        <w:spacing w:after="0" w:line="9"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15,714 (12,505) 10,982 Net assets of discontinued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operations....................... 24,876 2,348 27,224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$196,776 $(276,091) $234,360 LIABILITIES Debt maturing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within one year............................... $ 5,432 $</w:t>
      </w:r>
    </w:p>
    <w:p>
      <w:pPr>
        <w:spacing w:after="0" w:line="9"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(29,151) $ 31,838 Liability under put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options................................. 2,564 2,564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current liabilities...................................</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11,219 (8,386) 13,573 TOTAL CURRENT</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LIABILITIES................................... 19,215</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(37,537) 47,975 Long-term</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debt.............................................. 2,558</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(24,622) 33,089 Deferred 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taxes....................................... 31,255 32,054</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Other long-term liabilities and deferred</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credits............ 331 (81) 8,493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53,359 (62,240) 121,611 Minority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Interest........................................... 4,841</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4,841 Company-Obligated Convertible Quarterly Income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Preferred Securities of Subsidiary Trust Holding Solely</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Subordinated Debt Securities of AT&amp;T........ 4,710</w:t>
      </w:r>
    </w:p>
    <w:p>
      <w:pPr>
        <w:sectPr>
          <w:pgSz w:w="11900" w:h="16849" w:orient="portrait"/>
          <w:cols w:equalWidth="0" w:num="1">
            <w:col w:w="10219"/>
          </w:cols>
          <w:pgMar w:left="240" w:top="142" w:right="1440" w:bottom="0" w:gutter="0" w:footer="0" w:header="0"/>
        </w:sectPr>
      </w:pPr>
    </w:p>
    <w:bookmarkStart w:id="691" w:name="page692"/>
    <w:bookmarkEnd w:id="691"/>
    <w:tbl>
      <w:tblPr>
        <w:tblLayout w:type="fixed"/>
        <w:tblInd w:w="0" w:type="dxa"/>
        <w:tblCellMar>
          <w:top w:w="0" w:type="dxa"/>
          <w:left w:w="0" w:type="dxa"/>
          <w:bottom w:w="0" w:type="dxa"/>
          <w:right w:w="0" w:type="dxa"/>
        </w:tblCellMar>
      </w:tblPr>
      <w:tr>
        <w:trPr>
          <w:trHeight w:val="197"/>
        </w:trPr>
        <w:tc>
          <w:tcPr>
            <w:tcW w:w="5080" w:type="dxa"/>
            <w:vAlign w:val="bottom"/>
            <w:gridSpan w:val="2"/>
          </w:tcPr>
          <w:p>
            <w:pPr>
              <w:jc w:val="center"/>
              <w:ind w:left="1013"/>
              <w:spacing w:after="0"/>
              <w:rPr>
                <w:sz w:val="20"/>
                <w:szCs w:val="20"/>
                <w:color w:val="auto"/>
              </w:rPr>
            </w:pPr>
            <w:r>
              <w:rPr>
                <w:rFonts w:ascii="Courier New" w:cs="Courier New" w:eastAsia="Courier New" w:hAnsi="Courier New"/>
                <w:sz w:val="17"/>
                <w:szCs w:val="17"/>
                <w:color w:val="auto"/>
              </w:rPr>
              <w:t>SHAREOWNERS' EQUITY AT&amp;T Common</w:t>
            </w:r>
          </w:p>
        </w:tc>
        <w:tc>
          <w:tcPr>
            <w:tcW w:w="1100" w:type="dxa"/>
            <w:vAlign w:val="bottom"/>
          </w:tcPr>
          <w:p>
            <w:pPr>
              <w:spacing w:after="0"/>
              <w:rPr>
                <w:sz w:val="17"/>
                <w:szCs w:val="17"/>
                <w:color w:val="auto"/>
              </w:rPr>
            </w:pPr>
          </w:p>
        </w:tc>
      </w:tr>
      <w:tr>
        <w:trPr>
          <w:trHeight w:val="201"/>
        </w:trPr>
        <w:tc>
          <w:tcPr>
            <w:tcW w:w="5080" w:type="dxa"/>
            <w:vAlign w:val="bottom"/>
            <w:gridSpan w:val="2"/>
          </w:tcPr>
          <w:p>
            <w:pPr>
              <w:ind w:left="260"/>
              <w:spacing w:after="0"/>
              <w:rPr>
                <w:sz w:val="20"/>
                <w:szCs w:val="20"/>
                <w:color w:val="auto"/>
              </w:rPr>
            </w:pPr>
            <w:r>
              <w:rPr>
                <w:rFonts w:ascii="Courier New" w:cs="Courier New" w:eastAsia="Courier New" w:hAnsi="Courier New"/>
                <w:sz w:val="17"/>
                <w:szCs w:val="17"/>
                <w:color w:val="auto"/>
                <w:w w:val="98"/>
              </w:rPr>
              <w:t>Stock...........................................</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(416)</w:t>
            </w:r>
          </w:p>
        </w:tc>
      </w:tr>
      <w:tr>
        <w:trPr>
          <w:trHeight w:val="201"/>
        </w:trPr>
        <w:tc>
          <w:tcPr>
            <w:tcW w:w="5080" w:type="dxa"/>
            <w:vAlign w:val="bottom"/>
            <w:gridSpan w:val="2"/>
          </w:tcPr>
          <w:p>
            <w:pPr>
              <w:jc w:val="center"/>
              <w:ind w:left="1013"/>
              <w:spacing w:after="0"/>
              <w:rPr>
                <w:sz w:val="20"/>
                <w:szCs w:val="20"/>
                <w:color w:val="auto"/>
              </w:rPr>
            </w:pPr>
            <w:r>
              <w:rPr>
                <w:rFonts w:ascii="Courier New" w:cs="Courier New" w:eastAsia="Courier New" w:hAnsi="Courier New"/>
                <w:sz w:val="17"/>
                <w:szCs w:val="17"/>
                <w:color w:val="auto"/>
              </w:rPr>
              <w:t>3,760 AT&amp;T Wireless Group common</w:t>
            </w:r>
          </w:p>
        </w:tc>
        <w:tc>
          <w:tcPr>
            <w:tcW w:w="1100" w:type="dxa"/>
            <w:vAlign w:val="bottom"/>
          </w:tcPr>
          <w:p>
            <w:pPr>
              <w:spacing w:after="0"/>
              <w:rPr>
                <w:sz w:val="17"/>
                <w:szCs w:val="17"/>
                <w:color w:val="auto"/>
              </w:rPr>
            </w:pPr>
          </w:p>
        </w:tc>
      </w:tr>
      <w:tr>
        <w:trPr>
          <w:trHeight w:val="201"/>
        </w:trPr>
        <w:tc>
          <w:tcPr>
            <w:tcW w:w="2980" w:type="dxa"/>
            <w:vAlign w:val="bottom"/>
          </w:tcPr>
          <w:p>
            <w:pPr>
              <w:jc w:val="right"/>
              <w:spacing w:after="0"/>
              <w:rPr>
                <w:sz w:val="20"/>
                <w:szCs w:val="20"/>
                <w:color w:val="auto"/>
              </w:rPr>
            </w:pPr>
            <w:r>
              <w:rPr>
                <w:rFonts w:ascii="Courier New" w:cs="Courier New" w:eastAsia="Courier New" w:hAnsi="Courier New"/>
                <w:sz w:val="17"/>
                <w:szCs w:val="17"/>
                <w:color w:val="auto"/>
                <w:w w:val="87"/>
              </w:rPr>
              <w:t>stock............................</w:t>
            </w:r>
          </w:p>
        </w:tc>
        <w:tc>
          <w:tcPr>
            <w:tcW w:w="3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362 Liberty Media Group</w:t>
            </w:r>
          </w:p>
        </w:tc>
      </w:tr>
      <w:tr>
        <w:trPr>
          <w:trHeight w:val="201"/>
        </w:trPr>
        <w:tc>
          <w:tcPr>
            <w:tcW w:w="2980" w:type="dxa"/>
            <w:vAlign w:val="bottom"/>
          </w:tcPr>
          <w:p>
            <w:pPr>
              <w:jc w:val="right"/>
              <w:spacing w:after="0"/>
              <w:rPr>
                <w:sz w:val="20"/>
                <w:szCs w:val="20"/>
                <w:color w:val="auto"/>
              </w:rPr>
            </w:pPr>
            <w:r>
              <w:rPr>
                <w:rFonts w:ascii="Courier New" w:cs="Courier New" w:eastAsia="Courier New" w:hAnsi="Courier New"/>
                <w:sz w:val="17"/>
                <w:szCs w:val="17"/>
                <w:color w:val="auto"/>
                <w:w w:val="72"/>
              </w:rPr>
              <w:t>Class A Common Stock....................</w:t>
            </w:r>
          </w:p>
        </w:tc>
        <w:tc>
          <w:tcPr>
            <w:tcW w:w="32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2,364 Liberty</w:t>
            </w:r>
          </w:p>
        </w:tc>
      </w:tr>
      <w:tr>
        <w:trPr>
          <w:trHeight w:val="201"/>
        </w:trPr>
        <w:tc>
          <w:tcPr>
            <w:tcW w:w="50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2"/>
              </w:rPr>
              <w:t>Media Group Class B Common Stock....................</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206</w:t>
            </w:r>
          </w:p>
        </w:tc>
      </w:tr>
      <w:tr>
        <w:trPr>
          <w:trHeight w:val="201"/>
        </w:trPr>
        <w:tc>
          <w:tcPr>
            <w:tcW w:w="5080" w:type="dxa"/>
            <w:vAlign w:val="bottom"/>
            <w:gridSpan w:val="2"/>
          </w:tcPr>
          <w:p>
            <w:pPr>
              <w:jc w:val="center"/>
              <w:ind w:left="1013"/>
              <w:spacing w:after="0"/>
              <w:rPr>
                <w:sz w:val="20"/>
                <w:szCs w:val="20"/>
                <w:color w:val="auto"/>
              </w:rPr>
            </w:pPr>
            <w:r>
              <w:rPr>
                <w:rFonts w:ascii="Courier New" w:cs="Courier New" w:eastAsia="Courier New" w:hAnsi="Courier New"/>
                <w:sz w:val="17"/>
                <w:szCs w:val="17"/>
                <w:color w:val="auto"/>
              </w:rPr>
              <w:t>Other shareowners'</w:t>
            </w:r>
          </w:p>
        </w:tc>
        <w:tc>
          <w:tcPr>
            <w:tcW w:w="1100" w:type="dxa"/>
            <w:vAlign w:val="bottom"/>
          </w:tcPr>
          <w:p>
            <w:pPr>
              <w:spacing w:after="0"/>
              <w:rPr>
                <w:sz w:val="17"/>
                <w:szCs w:val="17"/>
                <w:color w:val="auto"/>
              </w:rPr>
            </w:pPr>
          </w:p>
        </w:tc>
      </w:tr>
      <w:tr>
        <w:trPr>
          <w:trHeight w:val="201"/>
        </w:trPr>
        <w:tc>
          <w:tcPr>
            <w:tcW w:w="2980" w:type="dxa"/>
            <w:vAlign w:val="bottom"/>
          </w:tcPr>
          <w:p>
            <w:pPr>
              <w:jc w:val="right"/>
              <w:spacing w:after="0"/>
              <w:rPr>
                <w:sz w:val="20"/>
                <w:szCs w:val="20"/>
                <w:color w:val="auto"/>
              </w:rPr>
            </w:pPr>
            <w:r>
              <w:rPr>
                <w:rFonts w:ascii="Courier New" w:cs="Courier New" w:eastAsia="Courier New" w:hAnsi="Courier New"/>
                <w:sz w:val="17"/>
                <w:szCs w:val="17"/>
                <w:color w:val="auto"/>
                <w:w w:val="70"/>
              </w:rPr>
              <w:t>equity...................................</w:t>
            </w:r>
          </w:p>
        </w:tc>
        <w:tc>
          <w:tcPr>
            <w:tcW w:w="3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138,992 (213,851)</w:t>
            </w:r>
          </w:p>
        </w:tc>
      </w:tr>
      <w:tr>
        <w:trPr>
          <w:trHeight w:val="201"/>
        </w:trPr>
        <w:tc>
          <w:tcPr>
            <w:tcW w:w="5080" w:type="dxa"/>
            <w:vAlign w:val="bottom"/>
            <w:gridSpan w:val="2"/>
          </w:tcPr>
          <w:p>
            <w:pPr>
              <w:jc w:val="center"/>
              <w:ind w:left="1013"/>
              <w:spacing w:after="0"/>
              <w:rPr>
                <w:sz w:val="20"/>
                <w:szCs w:val="20"/>
                <w:color w:val="auto"/>
              </w:rPr>
            </w:pPr>
            <w:r>
              <w:rPr>
                <w:rFonts w:ascii="Courier New" w:cs="Courier New" w:eastAsia="Courier New" w:hAnsi="Courier New"/>
                <w:sz w:val="17"/>
                <w:szCs w:val="17"/>
                <w:color w:val="auto"/>
              </w:rPr>
              <w:t>96,506 TOTAL SHAREOWNERS'</w:t>
            </w:r>
          </w:p>
        </w:tc>
        <w:tc>
          <w:tcPr>
            <w:tcW w:w="1100" w:type="dxa"/>
            <w:vAlign w:val="bottom"/>
          </w:tcPr>
          <w:p>
            <w:pPr>
              <w:spacing w:after="0"/>
              <w:rPr>
                <w:sz w:val="17"/>
                <w:szCs w:val="17"/>
                <w:color w:val="auto"/>
              </w:rPr>
            </w:pPr>
          </w:p>
        </w:tc>
      </w:tr>
      <w:tr>
        <w:trPr>
          <w:trHeight w:val="201"/>
        </w:trPr>
        <w:tc>
          <w:tcPr>
            <w:tcW w:w="2980" w:type="dxa"/>
            <w:vAlign w:val="bottom"/>
          </w:tcPr>
          <w:p>
            <w:pPr>
              <w:jc w:val="right"/>
              <w:spacing w:after="0"/>
              <w:rPr>
                <w:sz w:val="20"/>
                <w:szCs w:val="20"/>
                <w:color w:val="auto"/>
              </w:rPr>
            </w:pPr>
            <w:r>
              <w:rPr>
                <w:rFonts w:ascii="Courier New" w:cs="Courier New" w:eastAsia="Courier New" w:hAnsi="Courier New"/>
                <w:sz w:val="17"/>
                <w:szCs w:val="17"/>
                <w:color w:val="auto"/>
                <w:w w:val="70"/>
              </w:rPr>
              <w:t>EQUITY...................................</w:t>
            </w:r>
          </w:p>
        </w:tc>
        <w:tc>
          <w:tcPr>
            <w:tcW w:w="3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138,576 (213,851)</w:t>
            </w:r>
          </w:p>
        </w:tc>
      </w:tr>
      <w:tr>
        <w:trPr>
          <w:trHeight w:val="201"/>
        </w:trPr>
        <w:tc>
          <w:tcPr>
            <w:tcW w:w="618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103,198 TOTAL LIABILITIES AND SHAREOWNERS'</w:t>
            </w:r>
          </w:p>
        </w:tc>
      </w:tr>
      <w:tr>
        <w:trPr>
          <w:trHeight w:val="201"/>
        </w:trPr>
        <w:tc>
          <w:tcPr>
            <w:tcW w:w="2980" w:type="dxa"/>
            <w:vAlign w:val="bottom"/>
          </w:tcPr>
          <w:p>
            <w:pPr>
              <w:ind w:left="260"/>
              <w:spacing w:after="0"/>
              <w:rPr>
                <w:sz w:val="20"/>
                <w:szCs w:val="20"/>
                <w:color w:val="auto"/>
              </w:rPr>
            </w:pPr>
            <w:r>
              <w:rPr>
                <w:rFonts w:ascii="Courier New" w:cs="Courier New" w:eastAsia="Courier New" w:hAnsi="Courier New"/>
                <w:sz w:val="17"/>
                <w:szCs w:val="17"/>
                <w:color w:val="auto"/>
              </w:rPr>
              <w:t>EQUITY...................</w:t>
            </w:r>
          </w:p>
        </w:tc>
        <w:tc>
          <w:tcPr>
            <w:tcW w:w="2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$196,776 $(276,091)</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$234,360</w:t>
            </w:r>
          </w:p>
        </w:tc>
      </w:tr>
      <w:tr>
        <w:trPr>
          <w:trHeight w:val="604"/>
        </w:trPr>
        <w:tc>
          <w:tcPr>
            <w:tcW w:w="2980" w:type="dxa"/>
            <w:vAlign w:val="bottom"/>
          </w:tcPr>
          <w:p>
            <w:pPr>
              <w:spacing w:after="0"/>
              <w:rPr>
                <w:sz w:val="24"/>
                <w:szCs w:val="24"/>
                <w:color w:val="auto"/>
              </w:rPr>
            </w:pPr>
          </w:p>
        </w:tc>
        <w:tc>
          <w:tcPr>
            <w:tcW w:w="21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L-86</w:t>
            </w:r>
          </w:p>
        </w:tc>
        <w:tc>
          <w:tcPr>
            <w:tcW w:w="1100" w:type="dxa"/>
            <w:vAlign w:val="bottom"/>
          </w:tcPr>
          <w:p>
            <w:pPr>
              <w:spacing w:after="0"/>
              <w:rPr>
                <w:sz w:val="24"/>
                <w:szCs w:val="24"/>
                <w:color w:val="auto"/>
              </w:rPr>
            </w:pPr>
          </w:p>
        </w:tc>
      </w:tr>
    </w:tbl>
    <w:p>
      <w:pPr>
        <w:sectPr>
          <w:pgSz w:w="11900" w:h="16838" w:orient="portrait"/>
          <w:cols w:equalWidth="0" w:num="1">
            <w:col w:w="10159"/>
          </w:cols>
          <w:pgMar w:left="300" w:top="142" w:right="1440" w:bottom="1440" w:gutter="0" w:footer="0" w:header="0"/>
        </w:sectPr>
      </w:pPr>
    </w:p>
    <w:bookmarkStart w:id="692" w:name="page693"/>
    <w:bookmarkEnd w:id="692"/>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CONSOLIDATING CONDENSED INCOME STATEMENT</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FOR THE YEAR ENDED DECEMBER 31, 2000</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GUARANTOR GUARANTOR GUARANTOR TCI TCI TCI AT&amp;T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SUBSIDIARY SUBSIDIARY FINANCING FINANCING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FINANCING PARENT TCI MEDIAONE I II IV --------</w:t>
      </w:r>
    </w:p>
    <w:p>
      <w:pPr>
        <w:spacing w:after="0" w:line="9" w:lineRule="exact"/>
        <w:rPr>
          <w:sz w:val="20"/>
          <w:szCs w:val="20"/>
          <w:color w:val="auto"/>
        </w:rPr>
      </w:pPr>
    </w:p>
    <w:p>
      <w:pPr>
        <w:ind w:left="260" w:hanging="204"/>
        <w:spacing w:after="0"/>
        <w:tabs>
          <w:tab w:leader="none" w:pos="260" w:val="left"/>
        </w:tabs>
        <w:numPr>
          <w:ilvl w:val="0"/>
          <w:numId w:val="7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8" w:lineRule="exact"/>
        <w:rPr>
          <w:rFonts w:ascii="Courier New" w:cs="Courier New" w:eastAsia="Courier New" w:hAnsi="Courier New"/>
          <w:sz w:val="17"/>
          <w:szCs w:val="17"/>
          <w:color w:val="auto"/>
        </w:rPr>
      </w:pPr>
    </w:p>
    <w:p>
      <w:pPr>
        <w:ind w:left="2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$22,234 $ -- $ -- $ -- $ -- $ -- Operating</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Expenses Costs of services and</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products................. 2,961 Access and</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other connection.................... 7,047</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Selling, general and</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administrative............ 2,071 19 29</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Depreciation and other</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amortization............ 1,806 52 7</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Amortization of goodwill, franchise costs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other purchased intangibles..................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50 6 226 Net restructuring and other</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charges............ 443 60 Total operating</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expenses....................... 14,378 137 262</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(loss)........................ 7,856 (137)</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(262) Other income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(expense)......................... 971 30 64</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43 46 18 Interest expense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(benefit)..................... 4,786 1,793 170</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43 46 18 Income (loss) from continuing</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operations before income taxes, minority</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interest and earnings (losses) from equity</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investments............. 4,041 (1,900) (368)</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Provision (benefit) for income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taxes........... 1,505 (727) (54) Minority</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interest income (expense)............. (161)</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Equity earnings from Liberty Media</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Group....... 1,488 Net earnings (losses) from</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other equity</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6,258 (3,765) (202) Income (loss) from</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continuing operations..... 8,633 (3,450) (516)</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Income from discontinued operations (net of</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income taxes) Net income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(loss).............................. 8,633</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(3,450) (516) Dividend requirements on</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preferred stock held by AT&amp;T,</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net................................. Net</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income (loss) after preferred stock</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dividends....................................</w:t>
      </w:r>
    </w:p>
    <w:p>
      <w:pPr>
        <w:spacing w:after="0" w:line="9" w:lineRule="exact"/>
        <w:rPr>
          <w:sz w:val="20"/>
          <w:szCs w:val="20"/>
          <w:color w:val="auto"/>
        </w:rPr>
      </w:pPr>
    </w:p>
    <w:p>
      <w:pPr>
        <w:ind w:left="680" w:hanging="205"/>
        <w:spacing w:after="0"/>
        <w:tabs>
          <w:tab w:leader="none" w:pos="680" w:val="left"/>
        </w:tabs>
        <w:numPr>
          <w:ilvl w:val="0"/>
          <w:numId w:val="7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8,633 $(3,450) $(516) $ -- $ -- $ --</w:t>
      </w:r>
    </w:p>
    <w:p>
      <w:pPr>
        <w:spacing w:after="0" w:line="8" w:lineRule="exact"/>
        <w:rPr>
          <w:rFonts w:ascii="Courier New" w:cs="Courier New" w:eastAsia="Courier New" w:hAnsi="Courier New"/>
          <w:sz w:val="17"/>
          <w:szCs w:val="17"/>
          <w:color w:val="auto"/>
        </w:rPr>
      </w:pP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MEDIAONE MEDIAONE MEDIAONE MEDIAONE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ELIMINATION AND FINANCING FINANCING FINANCE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FINANCE NON-GUARANTOR CONSOLIDATION I II II</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III SUBSIDIARIES ADJUSTMENTS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 -----------</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900" w:right="5459" w:hanging="740"/>
        <w:spacing w:after="0" w:line="251" w:lineRule="auto"/>
        <w:tabs>
          <w:tab w:leader="none" w:pos="376" w:val="left"/>
        </w:tabs>
        <w:numPr>
          <w:ilvl w:val="0"/>
          <w:numId w:val="7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 $35,386 $(2,087) Operating Expenses Costs of services and</w:t>
      </w:r>
    </w:p>
    <w:p>
      <w:pPr>
        <w:jc w:val="center"/>
        <w:ind w:right="5299"/>
        <w:spacing w:after="0"/>
        <w:rPr>
          <w:sz w:val="20"/>
          <w:szCs w:val="20"/>
          <w:color w:val="auto"/>
        </w:rPr>
      </w:pPr>
      <w:r>
        <w:rPr>
          <w:rFonts w:ascii="Courier New" w:cs="Courier New" w:eastAsia="Courier New" w:hAnsi="Courier New"/>
          <w:sz w:val="17"/>
          <w:szCs w:val="17"/>
          <w:color w:val="auto"/>
        </w:rPr>
        <w:t>products................. 11,536 (1,702)</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Access and other</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connection.................... 6,425 (332)</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Selling, general and</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administrative............ 7,649 (16)</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Depreciation and other</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amortization............ 4,059 Amortization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goodwill, franchise costs and other purchased</w:t>
      </w:r>
    </w:p>
    <w:p>
      <w:pPr>
        <w:spacing w:after="0" w:line="9"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3100" w:type="dxa"/>
            <w:vAlign w:val="bottom"/>
          </w:tcPr>
          <w:p>
            <w:pPr>
              <w:spacing w:after="0"/>
              <w:rPr>
                <w:sz w:val="20"/>
                <w:szCs w:val="20"/>
                <w:color w:val="auto"/>
              </w:rPr>
            </w:pPr>
            <w:r>
              <w:rPr>
                <w:rFonts w:ascii="Courier New" w:cs="Courier New" w:eastAsia="Courier New" w:hAnsi="Courier New"/>
                <w:sz w:val="17"/>
                <w:szCs w:val="17"/>
                <w:color w:val="auto"/>
              </w:rPr>
              <w:t>intangibles..................</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2,383 Net</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restructuring and other charges............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6,526 Total operating</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expenses....................... 38,578 (2,050)</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(loss)........................ (3,192) (37)</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Other income</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(expense)......................... 2 2 11 25</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4,242 (4,304) Interest expense</w:t>
      </w:r>
    </w:p>
    <w:p>
      <w:pPr>
        <w:sectPr>
          <w:pgSz w:w="11900" w:h="16838" w:orient="portrait"/>
          <w:cols w:equalWidth="0" w:num="1">
            <w:col w:w="10219"/>
          </w:cols>
          <w:pgMar w:left="240" w:top="719" w:right="1440" w:bottom="0" w:gutter="0" w:footer="0" w:header="0"/>
        </w:sectPr>
      </w:pPr>
    </w:p>
    <w:bookmarkStart w:id="693" w:name="page694"/>
    <w:bookmarkEnd w:id="693"/>
    <w:p>
      <w:pPr>
        <w:ind w:left="160"/>
        <w:spacing w:after="0"/>
        <w:rPr>
          <w:sz w:val="20"/>
          <w:szCs w:val="20"/>
          <w:color w:val="auto"/>
        </w:rPr>
      </w:pPr>
      <w:r>
        <w:rPr>
          <w:rFonts w:ascii="Courier New" w:cs="Courier New" w:eastAsia="Courier New" w:hAnsi="Courier New"/>
          <w:sz w:val="17"/>
          <w:szCs w:val="17"/>
          <w:color w:val="auto"/>
        </w:rPr>
        <w:t>(benefit)..................... 1 1 11 24 311</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(4,240) Income (loss) from continuing</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operations before income taxes, minority</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interest and earnings (losses) from equity</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investments............. 1 1 1 739 (101)</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Provision (benefit) for income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taxes........... 1 2,559 Minority interest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income (expense)............. 4,264 Equity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earnings from Liberty Media Group....... Net</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earnings (losses) from other equity</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(586) (2,293) Income (loss) from continuing</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operations..... 1 1 1,858 (2,394) Income from</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discontinued operations (net of income taxes)</w:t>
      </w:r>
    </w:p>
    <w:p>
      <w:pPr>
        <w:spacing w:after="0" w:line="9" w:lineRule="exact"/>
        <w:rPr>
          <w:sz w:val="20"/>
          <w:szCs w:val="20"/>
          <w:color w:val="auto"/>
        </w:rPr>
      </w:pPr>
    </w:p>
    <w:p>
      <w:pPr>
        <w:ind w:left="1460"/>
        <w:spacing w:after="0"/>
        <w:rPr>
          <w:sz w:val="20"/>
          <w:szCs w:val="20"/>
          <w:color w:val="auto"/>
        </w:rPr>
      </w:pPr>
      <w:r>
        <w:rPr>
          <w:rFonts w:ascii="Courier New" w:cs="Courier New" w:eastAsia="Courier New" w:hAnsi="Courier New"/>
          <w:sz w:val="17"/>
          <w:szCs w:val="17"/>
          <w:color w:val="auto"/>
        </w:rPr>
        <w:t>546 (10) Net 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(loss).............................. 1 1 2,404</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(2,404) Dividend requirements on preferred</w:t>
      </w:r>
    </w:p>
    <w:p>
      <w:pPr>
        <w:spacing w:after="0" w:line="9" w:lineRule="exact"/>
        <w:rPr>
          <w:sz w:val="20"/>
          <w:szCs w:val="20"/>
          <w:color w:val="auto"/>
        </w:rPr>
      </w:pPr>
    </w:p>
    <w:p>
      <w:pPr>
        <w:ind w:left="1460"/>
        <w:spacing w:after="0"/>
        <w:rPr>
          <w:sz w:val="20"/>
          <w:szCs w:val="20"/>
          <w:color w:val="auto"/>
        </w:rPr>
      </w:pPr>
      <w:r>
        <w:rPr>
          <w:rFonts w:ascii="Courier New" w:cs="Courier New" w:eastAsia="Courier New" w:hAnsi="Courier New"/>
          <w:sz w:val="17"/>
          <w:szCs w:val="17"/>
          <w:color w:val="auto"/>
        </w:rPr>
        <w:t>stock held by AT&amp;T,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 111 (111)</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Net income (loss) after preferred stock</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dividends....................................</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7"/>
          <w:szCs w:val="17"/>
          <w:color w:val="auto"/>
        </w:rPr>
        <w:t>$ 1 $ 1 $-- $-- $ 2,293 $(2,293)</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CONSOLIDATED AT&amp;T CORP.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$55,533 Operating Expenses Costs of services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and products................. 12,795 Access</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and other connection....................</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13,140 Selling, general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administrative............ 9,752 Depreciation</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and other amortization............ 5,924</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Amortization of goodwill, franchise costs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other purchased intangibles..................</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2,665 Net restructuring and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charges............ 7,029 Total operating</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expenses....................... 51,305</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(loss)........................ 4,228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income (expense).........................</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1,150 Interest expense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(benefit)..................... 2,964 Income</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(loss) from continuing operations before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income taxes, minority interest and earnings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(losses) from equity investments.............</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2,414 Provision (benefit) for income</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taxes........... 3,284 Minority interest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income (expense)............. 4,103 Equity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earnings from Liberty Media Group....... 1,488</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Net earnings (losses) from other equity</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(588) Income (loss) from continuing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operations..... 4,133 Income from discontinued</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operations (net of income taxes) 536 Net</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income (loss)..............................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4,669 Dividend requirements on preferred stock</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held by AT&amp;T,</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net................................. Net</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income (loss) after preferred stock</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dividends....................................</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$ 4,699</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L-87</w:t>
      </w:r>
    </w:p>
    <w:p>
      <w:pPr>
        <w:sectPr>
          <w:pgSz w:w="11900" w:h="16838" w:orient="portrait"/>
          <w:cols w:equalWidth="0" w:num="1">
            <w:col w:w="10219"/>
          </w:cols>
          <w:pgMar w:left="240" w:top="142" w:right="1440" w:bottom="1440" w:gutter="0" w:footer="0" w:header="0"/>
        </w:sectPr>
      </w:pPr>
    </w:p>
    <w:bookmarkStart w:id="694" w:name="page695"/>
    <w:bookmarkEnd w:id="694"/>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jc w:val="center"/>
        <w:ind w:right="3559"/>
        <w:spacing w:after="0" w:line="253" w:lineRule="auto"/>
        <w:rPr>
          <w:sz w:val="20"/>
          <w:szCs w:val="20"/>
          <w:color w:val="auto"/>
        </w:rPr>
      </w:pPr>
      <w:r>
        <w:rPr>
          <w:rFonts w:ascii="Courier New" w:cs="Courier New" w:eastAsia="Courier New" w:hAnsi="Courier New"/>
          <w:sz w:val="17"/>
          <w:szCs w:val="17"/>
          <w:color w:val="auto"/>
        </w:rPr>
        <w:t>CONSOLIDATING CONDENSED STATEMENT OF CASH FLOWS FOR THE YEAR ENDED DECEMBER 31, 2000 GUARANTOR GUARANTOR GUARANTOR TCI TCI TCI MEDIAONE AT&amp;T SUBSIDIARY SUBSIDIARY FINANCING FINANCING FINANCING FINANCING PARENT TCI</w:t>
      </w:r>
    </w:p>
    <w:p>
      <w:pPr>
        <w:spacing w:after="0" w:line="19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MEDIAONE I II IV I --------- ---------- -----</w:t>
      </w:r>
    </w:p>
    <w:p>
      <w:pPr>
        <w:spacing w:after="0" w:line="9" w:lineRule="exact"/>
        <w:rPr>
          <w:sz w:val="20"/>
          <w:szCs w:val="20"/>
          <w:color w:val="auto"/>
        </w:rPr>
      </w:pPr>
    </w:p>
    <w:p>
      <w:pPr>
        <w:ind w:left="680" w:hanging="626"/>
        <w:spacing w:after="0"/>
        <w:tabs>
          <w:tab w:leader="none" w:pos="680" w:val="left"/>
        </w:tabs>
        <w:numPr>
          <w:ilvl w:val="0"/>
          <w:numId w:val="7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CASH PROVIDED BY (USED IN) OPERATING</w:t>
      </w:r>
    </w:p>
    <w:p>
      <w:pPr>
        <w:spacing w:after="0" w:line="210" w:lineRule="exact"/>
        <w:rPr>
          <w:sz w:val="20"/>
          <w:szCs w:val="20"/>
          <w:color w:val="auto"/>
        </w:rPr>
      </w:pPr>
    </w:p>
    <w:p>
      <w:pPr>
        <w:ind w:left="60" w:right="5459" w:firstLine="204"/>
        <w:spacing w:after="0" w:line="251" w:lineRule="auto"/>
        <w:tabs>
          <w:tab w:leader="none" w:pos="480" w:val="left"/>
        </w:tabs>
        <w:numPr>
          <w:ilvl w:val="0"/>
          <w:numId w:val="7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2,735 $ (374) $ (138) $ -- $ -- $ -- $1 INVESTING ACTIVITIES Capital expenditures and</w:t>
      </w:r>
    </w:p>
    <w:p>
      <w:pPr>
        <w:ind w:left="160"/>
        <w:spacing w:after="0"/>
        <w:rPr>
          <w:sz w:val="20"/>
          <w:szCs w:val="20"/>
          <w:color w:val="auto"/>
        </w:rPr>
      </w:pPr>
      <w:r>
        <w:rPr>
          <w:rFonts w:ascii="Courier New" w:cs="Courier New" w:eastAsia="Courier New" w:hAnsi="Courier New"/>
          <w:sz w:val="17"/>
          <w:szCs w:val="17"/>
          <w:color w:val="auto"/>
        </w:rPr>
        <w:t>other additions...... (51) (79) (21) Equity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investment distributions and sales..... 363</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1,384 Equity investment contributions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purchases...................................</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(1,700) (7,360) Net (acquisitions)</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dispositions of businesses net of cash</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acquired/disposed............... (23,943)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(2,057) (48) NET CASH (USED IN) PROVIDED BY</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INVESTING ACTIVITIES OF CONTINUING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OPERATIONS......... (27,388) (7,487) 1,363</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debt issuances........ 739 Proceeds from debt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from AT&amp;T.................. 5,867 13,743 275</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Retirement of long-term</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debt.................. (498) (1,058)</w:t>
      </w:r>
    </w:p>
    <w:p>
      <w:pPr>
        <w:spacing w:after="0" w:line="9" w:lineRule="exact"/>
        <w:rPr>
          <w:sz w:val="20"/>
          <w:szCs w:val="20"/>
          <w:color w:val="auto"/>
        </w:rPr>
      </w:pPr>
    </w:p>
    <w:p>
      <w:pPr>
        <w:ind w:left="1460"/>
        <w:spacing w:after="0"/>
        <w:rPr>
          <w:sz w:val="20"/>
          <w:szCs w:val="20"/>
          <w:color w:val="auto"/>
        </w:rPr>
      </w:pPr>
      <w:r>
        <w:rPr>
          <w:rFonts w:ascii="Courier New" w:cs="Courier New" w:eastAsia="Courier New" w:hAnsi="Courier New"/>
          <w:sz w:val="17"/>
          <w:szCs w:val="17"/>
          <w:color w:val="auto"/>
        </w:rPr>
        <w:t>Retirement of AT&amp;T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debt....................... (4,990) (1,500)</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Issuance of AT&amp;T Wireless Group common</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shares................ 10,314 Dividends paid</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on common stock................ (3,047)</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Increase (decrease) in short-term borrowings,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12,108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740" w:hanging="634"/>
        <w:spacing w:after="0"/>
        <w:tabs>
          <w:tab w:leader="none" w:pos="740" w:val="left"/>
        </w:tabs>
        <w:numPr>
          <w:ilvl w:val="0"/>
          <w:numId w:val="7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166 (1) NET CASH PROVIDED BY (USED IN)</w:t>
      </w:r>
    </w:p>
    <w:p>
      <w:pPr>
        <w:spacing w:after="0" w:line="8" w:lineRule="exact"/>
        <w:rPr>
          <w:rFonts w:ascii="Courier New" w:cs="Courier New" w:eastAsia="Courier New" w:hAnsi="Courier New"/>
          <w:sz w:val="17"/>
          <w:szCs w:val="17"/>
          <w:color w:val="auto"/>
        </w:rPr>
      </w:pP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FINANCING ACTIVITIES OF CONTINUING</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2040" w:type="dxa"/>
            <w:vAlign w:val="bottom"/>
          </w:tcPr>
          <w:p>
            <w:pPr>
              <w:spacing w:after="0"/>
              <w:rPr>
                <w:sz w:val="20"/>
                <w:szCs w:val="20"/>
                <w:color w:val="auto"/>
              </w:rPr>
            </w:pPr>
            <w:r>
              <w:rPr>
                <w:rFonts w:ascii="Courier New" w:cs="Courier New" w:eastAsia="Courier New" w:hAnsi="Courier New"/>
                <w:sz w:val="17"/>
                <w:szCs w:val="17"/>
                <w:color w:val="auto"/>
              </w:rPr>
              <w:t>OPERATIONS.........</w:t>
            </w:r>
          </w:p>
        </w:tc>
        <w:tc>
          <w:tcPr>
            <w:tcW w:w="2580" w:type="dxa"/>
            <w:vAlign w:val="bottom"/>
          </w:tcPr>
          <w:p>
            <w:pPr>
              <w:jc w:val="right"/>
              <w:spacing w:after="0"/>
              <w:rPr>
                <w:sz w:val="20"/>
                <w:szCs w:val="20"/>
                <w:color w:val="auto"/>
              </w:rPr>
            </w:pPr>
            <w:r>
              <w:rPr>
                <w:rFonts w:ascii="Courier New" w:cs="Courier New" w:eastAsia="Courier New" w:hAnsi="Courier New"/>
                <w:sz w:val="17"/>
                <w:szCs w:val="17"/>
                <w:color w:val="auto"/>
              </w:rPr>
              <w:t>24,653 7,861 (1,225) (1)</w:t>
            </w:r>
          </w:p>
        </w:tc>
      </w:tr>
    </w:tbl>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Net cash provided by (used in) discontinued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Net (decrease) increase in cash and 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equivalents.................................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Cash and cash equivalents at beginning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Cash and cash equivalents at end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period.... $ -- $ -- $ -- $ -- $ -- $ -- $--</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MEDIAONE MEDIAONE MEDIAONE ELIMINATION AND</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FINANCING FINANCE FINANCE NON-GUARANTOR</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CONSOLIDATION CONSOLIDATED II II III</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SUBSIDIARIES ADJUSTMENTS AT&amp;T CORP.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ind w:left="520" w:hanging="309"/>
        <w:spacing w:after="0"/>
        <w:tabs>
          <w:tab w:leader="none" w:pos="520" w:val="left"/>
        </w:tabs>
        <w:numPr>
          <w:ilvl w:val="0"/>
          <w:numId w:val="7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NET CASH PROVIDED BY (USED</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OPERATING ACTIVITIES OF CONTINUING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OPERATIONS......... $1 $ -- $ -- $ 9,079 $</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361 $ 11,665 INVESTING ACTIVITIES Capital</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expenditures and other additions......</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(10,760) (10,911) Equity investment</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3000" w:type="dxa"/>
            <w:vAlign w:val="bottom"/>
          </w:tcPr>
          <w:p>
            <w:pPr>
              <w:spacing w:after="0"/>
              <w:rPr>
                <w:sz w:val="20"/>
                <w:szCs w:val="20"/>
                <w:color w:val="auto"/>
              </w:rPr>
            </w:pPr>
            <w:r>
              <w:rPr>
                <w:rFonts w:ascii="Courier New" w:cs="Courier New" w:eastAsia="Courier New" w:hAnsi="Courier New"/>
                <w:sz w:val="17"/>
                <w:szCs w:val="17"/>
                <w:color w:val="auto"/>
              </w:rPr>
              <w:t>distributions and sales.....</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629 (1,384) 992</w:t>
            </w:r>
          </w:p>
        </w:tc>
      </w:tr>
    </w:tbl>
    <w:p>
      <w:pPr>
        <w:spacing w:after="0" w:line="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Equity investment contributions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purchases...................................</w:t>
      </w:r>
    </w:p>
    <w:p>
      <w:pPr>
        <w:spacing w:after="0" w:line="9" w:lineRule="exact"/>
        <w:rPr>
          <w:sz w:val="20"/>
          <w:szCs w:val="20"/>
          <w:color w:val="auto"/>
        </w:rPr>
      </w:pPr>
    </w:p>
    <w:p>
      <w:pPr>
        <w:jc w:val="both"/>
        <w:ind w:left="420" w:right="5819" w:firstLine="1"/>
        <w:spacing w:after="0" w:line="251" w:lineRule="auto"/>
        <w:tabs>
          <w:tab w:leader="none" w:pos="1048" w:val="left"/>
        </w:tabs>
        <w:numPr>
          <w:ilvl w:val="0"/>
          <w:numId w:val="7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7,360 (2,394) Net (acquisitions) dispositions of businesses net of cash acquired/disposed............... 7,286</w:t>
      </w:r>
    </w:p>
    <w:p>
      <w:pPr>
        <w:jc w:val="center"/>
        <w:ind w:right="5399"/>
        <w:spacing w:after="0"/>
        <w:rPr>
          <w:sz w:val="20"/>
          <w:szCs w:val="20"/>
          <w:color w:val="auto"/>
        </w:rPr>
      </w:pPr>
      <w:r>
        <w:rPr>
          <w:rFonts w:ascii="Courier New" w:cs="Courier New" w:eastAsia="Courier New" w:hAnsi="Courier New"/>
          <w:sz w:val="17"/>
          <w:szCs w:val="17"/>
          <w:color w:val="auto"/>
        </w:rPr>
        <w:t>(16,657)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(6,186) 7,216 (1,075) NET CASH (USED IN)</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PROVIDED BY INVESTING ACTIVITIES OF</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3180" w:type="dxa"/>
            <w:vAlign w:val="bottom"/>
          </w:tcPr>
          <w:p>
            <w:pPr>
              <w:spacing w:after="0"/>
              <w:rPr>
                <w:sz w:val="20"/>
                <w:szCs w:val="20"/>
                <w:color w:val="auto"/>
              </w:rPr>
            </w:pPr>
            <w:r>
              <w:rPr>
                <w:rFonts w:ascii="Courier New" w:cs="Courier New" w:eastAsia="Courier New" w:hAnsi="Courier New"/>
                <w:sz w:val="17"/>
                <w:szCs w:val="17"/>
                <w:color w:val="auto"/>
              </w:rPr>
              <w:t>CONTINUING OPERATIONS.........</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(9,725) 13,192</w:t>
            </w:r>
          </w:p>
        </w:tc>
      </w:tr>
    </w:tbl>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(30,045) FINANCING ACTIVITIES Proceeds from</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long-term debt issuances</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 3,862 4,601</w:t>
            </w:r>
          </w:p>
        </w:tc>
      </w:tr>
      <w:tr>
        <w:trPr>
          <w:trHeight w:val="201"/>
        </w:trPr>
        <w:tc>
          <w:tcPr>
            <w:tcW w:w="4620" w:type="dxa"/>
            <w:vAlign w:val="bottom"/>
            <w:gridSpan w:val="2"/>
          </w:tcPr>
          <w:p>
            <w:pPr>
              <w:ind w:left="1100"/>
              <w:spacing w:after="0"/>
              <w:rPr>
                <w:sz w:val="20"/>
                <w:szCs w:val="20"/>
                <w:color w:val="auto"/>
              </w:rPr>
            </w:pPr>
            <w:r>
              <w:rPr>
                <w:rFonts w:ascii="Courier New" w:cs="Courier New" w:eastAsia="Courier New" w:hAnsi="Courier New"/>
                <w:sz w:val="17"/>
                <w:szCs w:val="17"/>
                <w:color w:val="auto"/>
              </w:rPr>
              <w:t>Proceeds from debt from</w:t>
            </w:r>
          </w:p>
        </w:tc>
      </w:tr>
      <w:tr>
        <w:trPr>
          <w:trHeight w:val="201"/>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AT&amp;T..................</w:t>
            </w:r>
          </w:p>
        </w:tc>
        <w:tc>
          <w:tcPr>
            <w:tcW w:w="2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4,595 (24,480)</w:t>
            </w:r>
          </w:p>
        </w:tc>
      </w:tr>
      <w:tr>
        <w:trPr>
          <w:trHeight w:val="201"/>
        </w:trPr>
        <w:tc>
          <w:tcPr>
            <w:tcW w:w="4620" w:type="dxa"/>
            <w:vAlign w:val="bottom"/>
            <w:gridSpan w:val="2"/>
          </w:tcPr>
          <w:p>
            <w:pPr>
              <w:ind w:left="1100"/>
              <w:spacing w:after="0"/>
              <w:rPr>
                <w:sz w:val="20"/>
                <w:szCs w:val="20"/>
                <w:color w:val="auto"/>
              </w:rPr>
            </w:pPr>
            <w:r>
              <w:rPr>
                <w:rFonts w:ascii="Courier New" w:cs="Courier New" w:eastAsia="Courier New" w:hAnsi="Courier New"/>
                <w:sz w:val="17"/>
                <w:szCs w:val="17"/>
                <w:color w:val="auto"/>
              </w:rPr>
              <w:t>Retirement of long-term</w:t>
            </w:r>
          </w:p>
        </w:tc>
      </w:tr>
      <w:tr>
        <w:trPr>
          <w:trHeight w:val="201"/>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debt..................</w:t>
            </w:r>
          </w:p>
        </w:tc>
        <w:tc>
          <w:tcPr>
            <w:tcW w:w="2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(562) (2,118)</w:t>
            </w:r>
          </w:p>
        </w:tc>
      </w:tr>
    </w:tbl>
    <w:p>
      <w:pPr>
        <w:sectPr>
          <w:pgSz w:w="11900" w:h="16838" w:orient="portrait"/>
          <w:cols w:equalWidth="0" w:num="1">
            <w:col w:w="10219"/>
          </w:cols>
          <w:pgMar w:left="240" w:top="719" w:right="1440" w:bottom="0" w:gutter="0" w:footer="0" w:header="0"/>
        </w:sectPr>
      </w:pPr>
    </w:p>
    <w:bookmarkStart w:id="695" w:name="page696"/>
    <w:bookmarkEnd w:id="695"/>
    <w:p>
      <w:pPr>
        <w:jc w:val="center"/>
        <w:ind w:right="5399"/>
        <w:spacing w:after="0"/>
        <w:rPr>
          <w:sz w:val="20"/>
          <w:szCs w:val="20"/>
          <w:color w:val="auto"/>
        </w:rPr>
      </w:pPr>
      <w:r>
        <w:rPr>
          <w:rFonts w:ascii="Courier New" w:cs="Courier New" w:eastAsia="Courier New" w:hAnsi="Courier New"/>
          <w:sz w:val="17"/>
          <w:szCs w:val="17"/>
          <w:color w:val="auto"/>
        </w:rPr>
        <w:t>Retirement of AT&amp;T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debt....................... 6,490 Issuance of</w:t>
      </w:r>
    </w:p>
    <w:p>
      <w:pPr>
        <w:spacing w:after="0" w:line="9"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AT&amp;T Wireless Group common</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shares................ 10,314 Dividends paid</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on common stock................ (3,047)</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Increase (decrease) in short-term borrowings,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706 4,159 16,973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100" w:right="5499" w:firstLine="111"/>
        <w:spacing w:after="0" w:line="251" w:lineRule="auto"/>
        <w:tabs>
          <w:tab w:leader="none" w:pos="624" w:val="left"/>
        </w:tabs>
        <w:numPr>
          <w:ilvl w:val="0"/>
          <w:numId w:val="7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(1,242) 917 (991) NET CASH PROVIDED BY (USED IN) FINANCING ACTIVITIES OF CONTINUING</w:t>
      </w:r>
    </w:p>
    <w:tbl>
      <w:tblPr>
        <w:tblLayout w:type="fixed"/>
        <w:tblInd w:w="60" w:type="dxa"/>
        <w:tblCellMar>
          <w:top w:w="0" w:type="dxa"/>
          <w:left w:w="0" w:type="dxa"/>
          <w:bottom w:w="0" w:type="dxa"/>
          <w:right w:w="0" w:type="dxa"/>
        </w:tblCellMar>
      </w:tblPr>
      <w:tr>
        <w:trPr>
          <w:trHeight w:val="197"/>
        </w:trPr>
        <w:tc>
          <w:tcPr>
            <w:tcW w:w="2040" w:type="dxa"/>
            <w:vAlign w:val="bottom"/>
          </w:tcPr>
          <w:p>
            <w:pPr>
              <w:spacing w:after="0"/>
              <w:rPr>
                <w:sz w:val="20"/>
                <w:szCs w:val="20"/>
                <w:color w:val="auto"/>
              </w:rPr>
            </w:pPr>
            <w:r>
              <w:rPr>
                <w:rFonts w:ascii="Courier New" w:cs="Courier New" w:eastAsia="Courier New" w:hAnsi="Courier New"/>
                <w:sz w:val="17"/>
                <w:szCs w:val="17"/>
                <w:color w:val="auto"/>
              </w:rPr>
              <w:t>OPERATIONS.........</w:t>
            </w:r>
          </w:p>
        </w:tc>
        <w:tc>
          <w:tcPr>
            <w:tcW w:w="2660" w:type="dxa"/>
            <w:vAlign w:val="bottom"/>
          </w:tcPr>
          <w:p>
            <w:pPr>
              <w:jc w:val="right"/>
              <w:spacing w:after="0"/>
              <w:rPr>
                <w:sz w:val="20"/>
                <w:szCs w:val="20"/>
                <w:color w:val="auto"/>
              </w:rPr>
            </w:pPr>
            <w:r>
              <w:rPr>
                <w:rFonts w:ascii="Courier New" w:cs="Courier New" w:eastAsia="Courier New" w:hAnsi="Courier New"/>
                <w:sz w:val="17"/>
                <w:szCs w:val="17"/>
                <w:color w:val="auto"/>
              </w:rPr>
              <w:t>(1) 7,359 (12,914) 25,732</w:t>
            </w:r>
          </w:p>
        </w:tc>
      </w:tr>
    </w:tbl>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Net cash provided by (used in) discontinued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(7,667) (639) (8,306) Net (decrease) increase</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in cash and 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equivalents.................................</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(954) (954) Cash and cash equivalents at</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beginning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1,018 1,018 Cash and cash equivalents at end</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1400" w:type="dxa"/>
            <w:vAlign w:val="bottom"/>
          </w:tcPr>
          <w:p>
            <w:pPr>
              <w:spacing w:after="0"/>
              <w:rPr>
                <w:sz w:val="20"/>
                <w:szCs w:val="20"/>
                <w:color w:val="auto"/>
              </w:rPr>
            </w:pPr>
            <w:r>
              <w:rPr>
                <w:rFonts w:ascii="Courier New" w:cs="Courier New" w:eastAsia="Courier New" w:hAnsi="Courier New"/>
                <w:sz w:val="17"/>
                <w:szCs w:val="17"/>
                <w:color w:val="auto"/>
              </w:rPr>
              <w:t>of period....</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 $ -- $ -- $ 64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 $ 64</w:t>
            </w:r>
          </w:p>
        </w:tc>
      </w:tr>
      <w:tr>
        <w:trPr>
          <w:trHeight w:val="604"/>
        </w:trPr>
        <w:tc>
          <w:tcPr>
            <w:tcW w:w="1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L-88</w:t>
            </w:r>
          </w:p>
        </w:tc>
      </w:tr>
    </w:tbl>
    <w:p>
      <w:pPr>
        <w:sectPr>
          <w:pgSz w:w="11900" w:h="16838" w:orient="portrait"/>
          <w:cols w:equalWidth="0" w:num="1">
            <w:col w:w="10219"/>
          </w:cols>
          <w:pgMar w:left="240" w:top="143" w:right="1440" w:bottom="1440" w:gutter="0" w:footer="0" w:header="0"/>
        </w:sectPr>
      </w:pPr>
    </w:p>
    <w:bookmarkStart w:id="696" w:name="page697"/>
    <w:bookmarkEnd w:id="696"/>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CONSOLIDATING CONDENSED BALANCE SHEET</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AS OF DECEMBER 31, 1999</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ELIMINATION GUARANTOR</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GUARANTOR TCI TCI TCI AND</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AT&amp;T SUBSIDIARY FINANCING</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FINANCING FINANCING NON-</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GUARANTOR CONSOLIDATION</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PARENT TCI I II IV</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SUBSIDIARIES ADJUSTMENTS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ind w:left="480" w:hanging="424"/>
        <w:spacing w:after="0"/>
        <w:tabs>
          <w:tab w:leader="none" w:pos="480" w:val="left"/>
        </w:tabs>
        <w:numPr>
          <w:ilvl w:val="0"/>
          <w:numId w:val="7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ASSETS Cash and 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equivalents..............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 $ -- $ -- $ --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60" w:type="dxa"/>
            <w:vAlign w:val="bottom"/>
            <w:gridSpan w:val="4"/>
          </w:tcPr>
          <w:p>
            <w:pPr>
              <w:jc w:val="right"/>
              <w:ind w:right="233"/>
              <w:spacing w:after="0"/>
              <w:rPr>
                <w:sz w:val="20"/>
                <w:szCs w:val="20"/>
                <w:color w:val="auto"/>
              </w:rPr>
            </w:pPr>
            <w:r>
              <w:rPr>
                <w:rFonts w:ascii="Courier New" w:cs="Courier New" w:eastAsia="Courier New" w:hAnsi="Courier New"/>
                <w:sz w:val="17"/>
                <w:szCs w:val="17"/>
                <w:color w:val="auto"/>
              </w:rPr>
              <w:t>1,018 $ --</w:t>
            </w:r>
          </w:p>
        </w:tc>
        <w:tc>
          <w:tcPr>
            <w:tcW w:w="520" w:type="dxa"/>
            <w:vAlign w:val="bottom"/>
          </w:tcPr>
          <w:p>
            <w:pPr>
              <w:spacing w:after="0"/>
              <w:rPr>
                <w:sz w:val="17"/>
                <w:szCs w:val="17"/>
                <w:color w:val="auto"/>
              </w:rPr>
            </w:pPr>
          </w:p>
        </w:tc>
      </w:tr>
      <w:tr>
        <w:trPr>
          <w:trHeight w:val="201"/>
        </w:trPr>
        <w:tc>
          <w:tcPr>
            <w:tcW w:w="1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Receivables................</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278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12,513 5 40,968 (44,244)</w:t>
            </w:r>
          </w:p>
        </w:tc>
      </w:tr>
      <w:tr>
        <w:trPr>
          <w:trHeight w:val="201"/>
        </w:trPr>
        <w:tc>
          <w:tcPr>
            <w:tcW w:w="2260" w:type="dxa"/>
            <w:vAlign w:val="bottom"/>
            <w:gridSpan w:val="4"/>
          </w:tcPr>
          <w:p>
            <w:pPr>
              <w:jc w:val="center"/>
              <w:ind w:left="494"/>
              <w:spacing w:after="0"/>
              <w:rPr>
                <w:sz w:val="20"/>
                <w:szCs w:val="20"/>
                <w:color w:val="auto"/>
              </w:rPr>
            </w:pPr>
            <w:r>
              <w:rPr>
                <w:rFonts w:ascii="Courier New" w:cs="Courier New" w:eastAsia="Courier New" w:hAnsi="Courier New"/>
                <w:sz w:val="17"/>
                <w:szCs w:val="17"/>
                <w:color w:val="auto"/>
              </w:rPr>
              <w:t>Deferred income</w:t>
            </w:r>
          </w:p>
        </w:tc>
        <w:tc>
          <w:tcPr>
            <w:tcW w:w="520" w:type="dxa"/>
            <w:vAlign w:val="bottom"/>
          </w:tcPr>
          <w:p>
            <w:pPr>
              <w:spacing w:after="0"/>
              <w:rPr>
                <w:sz w:val="17"/>
                <w:szCs w:val="17"/>
                <w:color w:val="auto"/>
              </w:rPr>
            </w:pPr>
          </w:p>
        </w:tc>
      </w:tr>
      <w:tr>
        <w:trPr>
          <w:trHeight w:val="201"/>
        </w:trPr>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rPr>
              <w:t>taxes......</w:t>
            </w:r>
          </w:p>
        </w:tc>
        <w:tc>
          <w:tcPr>
            <w:tcW w:w="14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945 215 Other</w:t>
            </w:r>
          </w:p>
        </w:tc>
      </w:tr>
      <w:tr>
        <w:trPr>
          <w:trHeight w:val="201"/>
        </w:trPr>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current assets</w:t>
            </w:r>
          </w:p>
        </w:tc>
        <w:tc>
          <w:tcPr>
            <w:tcW w:w="680" w:type="dxa"/>
            <w:vAlign w:val="bottom"/>
            <w:gridSpan w:val="2"/>
          </w:tcPr>
          <w:p>
            <w:pPr>
              <w:spacing w:after="0"/>
              <w:rPr>
                <w:sz w:val="20"/>
                <w:szCs w:val="20"/>
                <w:color w:val="auto"/>
              </w:rPr>
            </w:pPr>
            <w:r>
              <w:rPr>
                <w:rFonts w:ascii="Courier New" w:cs="Courier New" w:eastAsia="Courier New" w:hAnsi="Courier New"/>
                <w:sz w:val="17"/>
                <w:szCs w:val="17"/>
                <w:color w:val="auto"/>
                <w:w w:val="92"/>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381</w:t>
            </w:r>
          </w:p>
        </w:tc>
      </w:tr>
      <w:tr>
        <w:trPr>
          <w:trHeight w:val="201"/>
        </w:trPr>
        <w:tc>
          <w:tcPr>
            <w:tcW w:w="278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3 545 (5) TOTAL CURRENT</w:t>
            </w:r>
          </w:p>
        </w:tc>
      </w:tr>
      <w:tr>
        <w:trPr>
          <w:trHeight w:val="201"/>
        </w:trPr>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ASSETS.......</w:t>
            </w:r>
          </w:p>
        </w:tc>
        <w:tc>
          <w:tcPr>
            <w:tcW w:w="160" w:type="dxa"/>
            <w:vAlign w:val="bottom"/>
          </w:tcPr>
          <w:p>
            <w:pPr>
              <w:spacing w:after="0"/>
              <w:rPr>
                <w:sz w:val="17"/>
                <w:szCs w:val="17"/>
                <w:color w:val="auto"/>
              </w:rPr>
            </w:pPr>
          </w:p>
        </w:tc>
        <w:tc>
          <w:tcPr>
            <w:tcW w:w="10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w w:val="97"/>
              </w:rPr>
              <w:t>13,839 8</w:t>
            </w:r>
          </w:p>
        </w:tc>
      </w:tr>
      <w:tr>
        <w:trPr>
          <w:trHeight w:val="201"/>
        </w:trPr>
        <w:tc>
          <w:tcPr>
            <w:tcW w:w="278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42,746 (44,249) Property,</w:t>
            </w:r>
          </w:p>
        </w:tc>
      </w:tr>
      <w:tr>
        <w:trPr>
          <w:trHeight w:val="201"/>
        </w:trPr>
        <w:tc>
          <w:tcPr>
            <w:tcW w:w="278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plant &amp; equipment,</w:t>
            </w:r>
          </w:p>
        </w:tc>
      </w:tr>
      <w:tr>
        <w:trPr>
          <w:trHeight w:val="201"/>
        </w:trPr>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net...........</w:t>
            </w:r>
          </w:p>
        </w:tc>
        <w:tc>
          <w:tcPr>
            <w:tcW w:w="12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11,078 128</w:t>
            </w:r>
          </w:p>
        </w:tc>
      </w:tr>
      <w:tr>
        <w:trPr>
          <w:trHeight w:val="201"/>
        </w:trPr>
        <w:tc>
          <w:tcPr>
            <w:tcW w:w="278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22,160 Franchise costs,</w:t>
            </w:r>
          </w:p>
        </w:tc>
      </w:tr>
      <w:tr>
        <w:trPr>
          <w:trHeight w:val="201"/>
        </w:trPr>
        <w:tc>
          <w:tcPr>
            <w:tcW w:w="15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net.......</w:t>
            </w:r>
          </w:p>
        </w:tc>
        <w:tc>
          <w:tcPr>
            <w:tcW w:w="1200" w:type="dxa"/>
            <w:vAlign w:val="bottom"/>
            <w:gridSpan w:val="3"/>
          </w:tcPr>
          <w:p>
            <w:pPr>
              <w:spacing w:after="0"/>
              <w:rPr>
                <w:sz w:val="20"/>
                <w:szCs w:val="20"/>
                <w:color w:val="auto"/>
              </w:rPr>
            </w:pPr>
            <w:r>
              <w:rPr>
                <w:rFonts w:ascii="Courier New" w:cs="Courier New" w:eastAsia="Courier New" w:hAnsi="Courier New"/>
                <w:sz w:val="17"/>
                <w:szCs w:val="17"/>
                <w:color w:val="auto"/>
              </w:rPr>
              <w:t>8 32,685</w:t>
            </w:r>
          </w:p>
        </w:tc>
      </w:tr>
      <w:tr>
        <w:trPr>
          <w:trHeight w:val="201"/>
        </w:trPr>
        <w:tc>
          <w:tcPr>
            <w:tcW w:w="2260" w:type="dxa"/>
            <w:vAlign w:val="bottom"/>
            <w:gridSpan w:val="4"/>
          </w:tcPr>
          <w:p>
            <w:pPr>
              <w:jc w:val="center"/>
              <w:ind w:left="474"/>
              <w:spacing w:after="0"/>
              <w:rPr>
                <w:sz w:val="20"/>
                <w:szCs w:val="20"/>
                <w:color w:val="auto"/>
              </w:rPr>
            </w:pPr>
            <w:r>
              <w:rPr>
                <w:rFonts w:ascii="Courier New" w:cs="Courier New" w:eastAsia="Courier New" w:hAnsi="Courier New"/>
                <w:sz w:val="17"/>
                <w:szCs w:val="17"/>
                <w:color w:val="auto"/>
              </w:rPr>
              <w:t>Goodwill,</w:t>
            </w:r>
          </w:p>
        </w:tc>
        <w:tc>
          <w:tcPr>
            <w:tcW w:w="520" w:type="dxa"/>
            <w:vAlign w:val="bottom"/>
          </w:tcPr>
          <w:p>
            <w:pPr>
              <w:spacing w:after="0"/>
              <w:rPr>
                <w:sz w:val="17"/>
                <w:szCs w:val="17"/>
                <w:color w:val="auto"/>
              </w:rPr>
            </w:pPr>
          </w:p>
        </w:tc>
      </w:tr>
      <w:tr>
        <w:trPr>
          <w:trHeight w:val="201"/>
        </w:trPr>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9"/>
              </w:rPr>
              <w:t>net..............</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88 5,222</w:t>
            </w:r>
          </w:p>
        </w:tc>
      </w:tr>
      <w:tr>
        <w:trPr>
          <w:trHeight w:val="201"/>
        </w:trPr>
        <w:tc>
          <w:tcPr>
            <w:tcW w:w="278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Investment in Liberty</w:t>
            </w:r>
          </w:p>
        </w:tc>
      </w:tr>
      <w:tr>
        <w:trPr>
          <w:trHeight w:val="201"/>
        </w:trPr>
        <w:tc>
          <w:tcPr>
            <w:tcW w:w="278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Media Group and related</w:t>
            </w:r>
          </w:p>
        </w:tc>
      </w:tr>
      <w:tr>
        <w:trPr>
          <w:trHeight w:val="201"/>
        </w:trPr>
        <w:tc>
          <w:tcPr>
            <w:tcW w:w="278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receivables, net.........</w:t>
            </w:r>
          </w:p>
        </w:tc>
      </w:tr>
      <w:tr>
        <w:trPr>
          <w:trHeight w:val="201"/>
        </w:trPr>
        <w:tc>
          <w:tcPr>
            <w:tcW w:w="278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38,460 Other investments</w:t>
            </w:r>
          </w:p>
        </w:tc>
      </w:tr>
      <w:tr>
        <w:trPr>
          <w:trHeight w:val="201"/>
        </w:trPr>
        <w:tc>
          <w:tcPr>
            <w:tcW w:w="2260" w:type="dxa"/>
            <w:vAlign w:val="bottom"/>
            <w:gridSpan w:val="4"/>
          </w:tcPr>
          <w:p>
            <w:pPr>
              <w:jc w:val="center"/>
              <w:ind w:left="494"/>
              <w:spacing w:after="0"/>
              <w:rPr>
                <w:sz w:val="20"/>
                <w:szCs w:val="20"/>
                <w:color w:val="auto"/>
              </w:rPr>
            </w:pPr>
            <w:r>
              <w:rPr>
                <w:rFonts w:ascii="Courier New" w:cs="Courier New" w:eastAsia="Courier New" w:hAnsi="Courier New"/>
                <w:sz w:val="17"/>
                <w:szCs w:val="17"/>
                <w:color w:val="auto"/>
              </w:rPr>
              <w:t>and related</w:t>
            </w:r>
          </w:p>
        </w:tc>
        <w:tc>
          <w:tcPr>
            <w:tcW w:w="520" w:type="dxa"/>
            <w:vAlign w:val="bottom"/>
          </w:tcPr>
          <w:p>
            <w:pPr>
              <w:spacing w:after="0"/>
              <w:rPr>
                <w:sz w:val="17"/>
                <w:szCs w:val="17"/>
                <w:color w:val="auto"/>
              </w:rPr>
            </w:pPr>
          </w:p>
        </w:tc>
      </w:tr>
      <w:tr>
        <w:trPr>
          <w:trHeight w:val="201"/>
        </w:trPr>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9"/>
              </w:rPr>
              <w:t>advances.........</w:t>
            </w:r>
          </w:p>
        </w:tc>
        <w:tc>
          <w:tcPr>
            <w:tcW w:w="1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111,056</w:t>
            </w:r>
          </w:p>
        </w:tc>
      </w:tr>
      <w:tr>
        <w:trPr>
          <w:trHeight w:val="201"/>
        </w:trPr>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34,046 18,829</w:t>
            </w:r>
          </w:p>
        </w:tc>
        <w:tc>
          <w:tcPr>
            <w:tcW w:w="120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(149,075)</w:t>
            </w:r>
          </w:p>
        </w:tc>
      </w:tr>
      <w:tr>
        <w:trPr>
          <w:trHeight w:val="201"/>
        </w:trPr>
        <w:tc>
          <w:tcPr>
            <w:tcW w:w="1740" w:type="dxa"/>
            <w:vAlign w:val="bottom"/>
            <w:gridSpan w:val="3"/>
          </w:tcPr>
          <w:p>
            <w:pPr>
              <w:jc w:val="center"/>
              <w:ind w:left="1014"/>
              <w:spacing w:after="0"/>
              <w:rPr>
                <w:sz w:val="20"/>
                <w:szCs w:val="20"/>
                <w:color w:val="auto"/>
              </w:rPr>
            </w:pPr>
            <w:r>
              <w:rPr>
                <w:rFonts w:ascii="Courier New" w:cs="Courier New" w:eastAsia="Courier New" w:hAnsi="Courier New"/>
                <w:sz w:val="17"/>
                <w:szCs w:val="17"/>
                <w:color w:val="auto"/>
              </w:rPr>
              <w:t>Other</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2"/>
              </w:rPr>
              <w:t>assets...............</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5,143 74 528</w:t>
            </w:r>
          </w:p>
        </w:tc>
        <w:tc>
          <w:tcPr>
            <w:tcW w:w="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521</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217</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9,368</w:t>
            </w:r>
          </w:p>
        </w:tc>
      </w:tr>
      <w:tr>
        <w:trPr>
          <w:trHeight w:val="201"/>
        </w:trPr>
        <w:tc>
          <w:tcPr>
            <w:tcW w:w="278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(6,786) Net assets of</w:t>
            </w:r>
          </w:p>
        </w:tc>
      </w:tr>
      <w:tr>
        <w:trPr>
          <w:trHeight w:val="201"/>
        </w:trPr>
        <w:tc>
          <w:tcPr>
            <w:tcW w:w="2260" w:type="dxa"/>
            <w:vAlign w:val="bottom"/>
            <w:gridSpan w:val="4"/>
          </w:tcPr>
          <w:p>
            <w:pPr>
              <w:jc w:val="center"/>
              <w:ind w:left="474"/>
              <w:spacing w:after="0"/>
              <w:rPr>
                <w:sz w:val="20"/>
                <w:szCs w:val="20"/>
                <w:color w:val="auto"/>
              </w:rPr>
            </w:pPr>
            <w:r>
              <w:rPr>
                <w:rFonts w:ascii="Courier New" w:cs="Courier New" w:eastAsia="Courier New" w:hAnsi="Courier New"/>
                <w:sz w:val="17"/>
                <w:szCs w:val="17"/>
                <w:color w:val="auto"/>
              </w:rPr>
              <w:t>discontinued</w:t>
            </w:r>
          </w:p>
        </w:tc>
        <w:tc>
          <w:tcPr>
            <w:tcW w:w="520" w:type="dxa"/>
            <w:vAlign w:val="bottom"/>
          </w:tcPr>
          <w:p>
            <w:pPr>
              <w:spacing w:after="0"/>
              <w:rPr>
                <w:sz w:val="17"/>
                <w:szCs w:val="17"/>
                <w:color w:val="auto"/>
              </w:rPr>
            </w:pP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17,449 (86)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$141,204 $72,724 $528 $521</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$217 $148,459 $(200,196)</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LIABILITIES Debt maturing</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within one</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$ 40,246 $ 1,136 $ -- $ --</w:t>
      </w:r>
    </w:p>
    <w:p>
      <w:pPr>
        <w:spacing w:after="0" w:line="9" w:lineRule="exact"/>
        <w:rPr>
          <w:sz w:val="20"/>
          <w:szCs w:val="20"/>
          <w:color w:val="auto"/>
        </w:rPr>
      </w:pPr>
    </w:p>
    <w:p>
      <w:pPr>
        <w:ind w:left="740" w:right="7599" w:hanging="527"/>
        <w:spacing w:after="0" w:line="251" w:lineRule="auto"/>
        <w:tabs>
          <w:tab w:leader="none" w:pos="426" w:val="left"/>
        </w:tabs>
        <w:numPr>
          <w:ilvl w:val="0"/>
          <w:numId w:val="7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$ 5,988 $ (34,890) Other current</w:t>
      </w:r>
    </w:p>
    <w:tbl>
      <w:tblPr>
        <w:tblLayout w:type="fixed"/>
        <w:tblInd w:w="60" w:type="dxa"/>
        <w:tblCellMar>
          <w:top w:w="0" w:type="dxa"/>
          <w:left w:w="0" w:type="dxa"/>
          <w:bottom w:w="0" w:type="dxa"/>
          <w:right w:w="0" w:type="dxa"/>
        </w:tblCellMar>
      </w:tblPr>
      <w:tr>
        <w:trPr>
          <w:trHeight w:val="197"/>
        </w:trPr>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liabilities</w:t>
            </w:r>
          </w:p>
        </w:tc>
        <w:tc>
          <w:tcPr>
            <w:tcW w:w="6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1"/>
        </w:trPr>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6,319 1,462</w:t>
            </w:r>
          </w:p>
        </w:tc>
        <w:tc>
          <w:tcPr>
            <w:tcW w:w="15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13,855 (8,098)</w:t>
            </w:r>
          </w:p>
        </w:tc>
      </w:tr>
      <w:tr>
        <w:trPr>
          <w:trHeight w:val="201"/>
        </w:trPr>
        <w:tc>
          <w:tcPr>
            <w:tcW w:w="2160" w:type="dxa"/>
            <w:vAlign w:val="bottom"/>
            <w:gridSpan w:val="5"/>
          </w:tcPr>
          <w:p>
            <w:pPr>
              <w:jc w:val="center"/>
              <w:ind w:left="474"/>
              <w:spacing w:after="0"/>
              <w:rPr>
                <w:sz w:val="20"/>
                <w:szCs w:val="20"/>
                <w:color w:val="auto"/>
              </w:rPr>
            </w:pPr>
            <w:r>
              <w:rPr>
                <w:rFonts w:ascii="Courier New" w:cs="Courier New" w:eastAsia="Courier New" w:hAnsi="Courier New"/>
                <w:sz w:val="17"/>
                <w:szCs w:val="17"/>
                <w:color w:val="auto"/>
              </w:rPr>
              <w:t>TOTAL CURRENT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1"/>
        </w:trPr>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LIABILITIES</w:t>
            </w:r>
          </w:p>
        </w:tc>
        <w:tc>
          <w:tcPr>
            <w:tcW w:w="6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1"/>
        </w:trPr>
        <w:tc>
          <w:tcPr>
            <w:tcW w:w="2360" w:type="dxa"/>
            <w:vAlign w:val="bottom"/>
            <w:gridSpan w:val="6"/>
          </w:tcPr>
          <w:p>
            <w:pPr>
              <w:jc w:val="center"/>
              <w:ind w:left="274"/>
              <w:spacing w:after="0"/>
              <w:rPr>
                <w:sz w:val="20"/>
                <w:szCs w:val="20"/>
                <w:color w:val="auto"/>
              </w:rPr>
            </w:pPr>
            <w:r>
              <w:rPr>
                <w:rFonts w:ascii="Courier New" w:cs="Courier New" w:eastAsia="Courier New" w:hAnsi="Courier New"/>
                <w:sz w:val="17"/>
                <w:szCs w:val="17"/>
                <w:color w:val="auto"/>
              </w:rPr>
              <w:t>46,565 2,598 19,843</w:t>
            </w:r>
          </w:p>
        </w:tc>
        <w:tc>
          <w:tcPr>
            <w:tcW w:w="360" w:type="dxa"/>
            <w:vAlign w:val="bottom"/>
          </w:tcPr>
          <w:p>
            <w:pPr>
              <w:spacing w:after="0"/>
              <w:rPr>
                <w:sz w:val="17"/>
                <w:szCs w:val="17"/>
                <w:color w:val="auto"/>
              </w:rPr>
            </w:pPr>
          </w:p>
        </w:tc>
      </w:tr>
      <w:tr>
        <w:trPr>
          <w:trHeight w:val="201"/>
        </w:trPr>
        <w:tc>
          <w:tcPr>
            <w:tcW w:w="2360" w:type="dxa"/>
            <w:vAlign w:val="bottom"/>
            <w:gridSpan w:val="6"/>
          </w:tcPr>
          <w:p>
            <w:pPr>
              <w:jc w:val="center"/>
              <w:ind w:left="274"/>
              <w:spacing w:after="0"/>
              <w:rPr>
                <w:sz w:val="20"/>
                <w:szCs w:val="20"/>
                <w:color w:val="auto"/>
              </w:rPr>
            </w:pPr>
            <w:r>
              <w:rPr>
                <w:rFonts w:ascii="Courier New" w:cs="Courier New" w:eastAsia="Courier New" w:hAnsi="Courier New"/>
                <w:sz w:val="17"/>
                <w:szCs w:val="17"/>
                <w:color w:val="auto"/>
              </w:rPr>
              <w:t>(42,988) Long-term</w:t>
            </w:r>
          </w:p>
        </w:tc>
        <w:tc>
          <w:tcPr>
            <w:tcW w:w="360" w:type="dxa"/>
            <w:vAlign w:val="bottom"/>
          </w:tcPr>
          <w:p>
            <w:pPr>
              <w:spacing w:after="0"/>
              <w:rPr>
                <w:sz w:val="17"/>
                <w:szCs w:val="17"/>
                <w:color w:val="auto"/>
              </w:rPr>
            </w:pPr>
          </w:p>
        </w:tc>
      </w:tr>
      <w:tr>
        <w:trPr>
          <w:trHeight w:val="201"/>
        </w:trPr>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debt.............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13,429</w:t>
            </w:r>
          </w:p>
        </w:tc>
      </w:tr>
      <w:tr>
        <w:trPr>
          <w:trHeight w:val="201"/>
        </w:trPr>
        <w:tc>
          <w:tcPr>
            <w:tcW w:w="940" w:type="dxa"/>
            <w:vAlign w:val="bottom"/>
          </w:tcPr>
          <w:p>
            <w:pPr>
              <w:ind w:left="200"/>
              <w:spacing w:after="0"/>
              <w:rPr>
                <w:sz w:val="20"/>
                <w:szCs w:val="20"/>
                <w:color w:val="auto"/>
              </w:rPr>
            </w:pPr>
            <w:r>
              <w:rPr>
                <w:rFonts w:ascii="Courier New" w:cs="Courier New" w:eastAsia="Courier New" w:hAnsi="Courier New"/>
                <w:sz w:val="17"/>
                <w:szCs w:val="17"/>
                <w:color w:val="auto"/>
              </w:rPr>
              <w:t>18,873</w:t>
            </w:r>
          </w:p>
        </w:tc>
        <w:tc>
          <w:tcPr>
            <w:tcW w:w="840" w:type="dxa"/>
            <w:vAlign w:val="bottom"/>
            <w:gridSpan w:val="2"/>
          </w:tcPr>
          <w:p>
            <w:pPr>
              <w:spacing w:after="0"/>
              <w:rPr>
                <w:sz w:val="20"/>
                <w:szCs w:val="20"/>
                <w:color w:val="auto"/>
              </w:rPr>
            </w:pPr>
            <w:r>
              <w:rPr>
                <w:rFonts w:ascii="Courier New" w:cs="Courier New" w:eastAsia="Courier New" w:hAnsi="Courier New"/>
                <w:sz w:val="17"/>
                <w:szCs w:val="17"/>
                <w:color w:val="auto"/>
              </w:rPr>
              <w:t>528 521</w:t>
            </w:r>
          </w:p>
        </w:tc>
        <w:tc>
          <w:tcPr>
            <w:tcW w:w="3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217</w:t>
            </w:r>
          </w:p>
        </w:tc>
        <w:tc>
          <w:tcPr>
            <w:tcW w:w="5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889</w:t>
            </w:r>
          </w:p>
        </w:tc>
      </w:tr>
      <w:tr>
        <w:trPr>
          <w:trHeight w:val="201"/>
        </w:trPr>
        <w:tc>
          <w:tcPr>
            <w:tcW w:w="2720" w:type="dxa"/>
            <w:vAlign w:val="bottom"/>
            <w:gridSpan w:val="7"/>
          </w:tcPr>
          <w:p>
            <w:pPr>
              <w:jc w:val="center"/>
              <w:spacing w:after="0"/>
              <w:rPr>
                <w:sz w:val="20"/>
                <w:szCs w:val="20"/>
                <w:color w:val="auto"/>
              </w:rPr>
            </w:pPr>
            <w:r>
              <w:rPr>
                <w:rFonts w:ascii="Courier New" w:cs="Courier New" w:eastAsia="Courier New" w:hAnsi="Courier New"/>
                <w:sz w:val="17"/>
                <w:szCs w:val="17"/>
                <w:color w:val="auto"/>
              </w:rPr>
              <w:t>(11,243) Deferred income</w:t>
            </w:r>
          </w:p>
        </w:tc>
      </w:tr>
      <w:tr>
        <w:trPr>
          <w:trHeight w:val="201"/>
        </w:trPr>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taxes......</w:t>
            </w:r>
          </w:p>
        </w:tc>
        <w:tc>
          <w:tcPr>
            <w:tcW w:w="1520" w:type="dxa"/>
            <w:vAlign w:val="bottom"/>
            <w:gridSpan w:val="5"/>
          </w:tcPr>
          <w:p>
            <w:pPr>
              <w:jc w:val="right"/>
              <w:ind w:right="173"/>
              <w:spacing w:after="0"/>
              <w:rPr>
                <w:sz w:val="20"/>
                <w:szCs w:val="20"/>
                <w:color w:val="auto"/>
              </w:rPr>
            </w:pPr>
            <w:r>
              <w:rPr>
                <w:rFonts w:ascii="Courier New" w:cs="Courier New" w:eastAsia="Courier New" w:hAnsi="Courier New"/>
                <w:sz w:val="17"/>
                <w:szCs w:val="17"/>
                <w:color w:val="auto"/>
              </w:rPr>
              <w:t>78 20,429</w:t>
            </w:r>
          </w:p>
        </w:tc>
      </w:tr>
      <w:tr>
        <w:trPr>
          <w:trHeight w:val="201"/>
        </w:trPr>
        <w:tc>
          <w:tcPr>
            <w:tcW w:w="2160" w:type="dxa"/>
            <w:vAlign w:val="bottom"/>
            <w:gridSpan w:val="5"/>
          </w:tcPr>
          <w:p>
            <w:pPr>
              <w:jc w:val="center"/>
              <w:ind w:left="474"/>
              <w:spacing w:after="0"/>
              <w:rPr>
                <w:sz w:val="20"/>
                <w:szCs w:val="20"/>
                <w:color w:val="auto"/>
              </w:rPr>
            </w:pPr>
            <w:r>
              <w:rPr>
                <w:rFonts w:ascii="Courier New" w:cs="Courier New" w:eastAsia="Courier New" w:hAnsi="Courier New"/>
                <w:sz w:val="17"/>
                <w:szCs w:val="17"/>
                <w:color w:val="auto"/>
              </w:rPr>
              <w:t>Other long-term</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1"/>
        </w:trPr>
        <w:tc>
          <w:tcPr>
            <w:tcW w:w="2720" w:type="dxa"/>
            <w:vAlign w:val="bottom"/>
            <w:gridSpan w:val="7"/>
          </w:tcPr>
          <w:p>
            <w:pPr>
              <w:jc w:val="center"/>
              <w:spacing w:after="0"/>
              <w:rPr>
                <w:sz w:val="20"/>
                <w:szCs w:val="20"/>
                <w:color w:val="auto"/>
              </w:rPr>
            </w:pPr>
            <w:r>
              <w:rPr>
                <w:rFonts w:ascii="Courier New" w:cs="Courier New" w:eastAsia="Courier New" w:hAnsi="Courier New"/>
                <w:sz w:val="17"/>
                <w:szCs w:val="17"/>
                <w:color w:val="auto"/>
              </w:rPr>
              <w:t>liabilities and deferred</w:t>
            </w:r>
          </w:p>
        </w:tc>
      </w:tr>
      <w:tr>
        <w:trPr>
          <w:trHeight w:val="201"/>
        </w:trPr>
        <w:tc>
          <w:tcPr>
            <w:tcW w:w="940" w:type="dxa"/>
            <w:vAlign w:val="bottom"/>
          </w:tcPr>
          <w:p>
            <w:pPr>
              <w:ind w:left="200"/>
              <w:spacing w:after="0"/>
              <w:rPr>
                <w:sz w:val="20"/>
                <w:szCs w:val="20"/>
                <w:color w:val="auto"/>
              </w:rPr>
            </w:pPr>
            <w:r>
              <w:rPr>
                <w:rFonts w:ascii="Courier New" w:cs="Courier New" w:eastAsia="Courier New" w:hAnsi="Courier New"/>
                <w:sz w:val="17"/>
                <w:szCs w:val="17"/>
                <w:color w:val="auto"/>
              </w:rPr>
              <w:t>credits</w:t>
            </w:r>
          </w:p>
        </w:tc>
        <w:tc>
          <w:tcPr>
            <w:tcW w:w="260" w:type="dxa"/>
            <w:vAlign w:val="bottom"/>
          </w:tcPr>
          <w:p>
            <w:pPr>
              <w:spacing w:after="0"/>
              <w:rPr>
                <w:sz w:val="20"/>
                <w:szCs w:val="20"/>
                <w:color w:val="auto"/>
              </w:rPr>
            </w:pPr>
            <w:r>
              <w:rPr>
                <w:rFonts w:ascii="Courier New" w:cs="Courier New" w:eastAsia="Courier New" w:hAnsi="Courier New"/>
                <w:sz w:val="11"/>
                <w:szCs w:val="11"/>
                <w:color w:val="auto"/>
                <w:w w:val="72"/>
              </w:rPr>
              <w:t>.....</w:t>
            </w:r>
          </w:p>
        </w:tc>
        <w:tc>
          <w:tcPr>
            <w:tcW w:w="1520" w:type="dxa"/>
            <w:vAlign w:val="bottom"/>
            <w:gridSpan w:val="5"/>
          </w:tcPr>
          <w:p>
            <w:pPr>
              <w:jc w:val="right"/>
              <w:ind w:right="133"/>
              <w:spacing w:after="0"/>
              <w:rPr>
                <w:sz w:val="20"/>
                <w:szCs w:val="20"/>
                <w:color w:val="auto"/>
              </w:rPr>
            </w:pPr>
            <w:r>
              <w:rPr>
                <w:rFonts w:ascii="Courier New" w:cs="Courier New" w:eastAsia="Courier New" w:hAnsi="Courier New"/>
                <w:sz w:val="17"/>
                <w:szCs w:val="17"/>
                <w:color w:val="auto"/>
              </w:rPr>
              <w:t>6,600 153</w:t>
            </w:r>
          </w:p>
        </w:tc>
      </w:tr>
      <w:tr>
        <w:trPr>
          <w:trHeight w:val="201"/>
        </w:trPr>
        <w:tc>
          <w:tcPr>
            <w:tcW w:w="2360" w:type="dxa"/>
            <w:vAlign w:val="bottom"/>
            <w:gridSpan w:val="6"/>
          </w:tcPr>
          <w:p>
            <w:pPr>
              <w:jc w:val="center"/>
              <w:ind w:left="254"/>
              <w:spacing w:after="0"/>
              <w:rPr>
                <w:sz w:val="20"/>
                <w:szCs w:val="20"/>
                <w:color w:val="auto"/>
              </w:rPr>
            </w:pPr>
            <w:r>
              <w:rPr>
                <w:rFonts w:ascii="Courier New" w:cs="Courier New" w:eastAsia="Courier New" w:hAnsi="Courier New"/>
                <w:sz w:val="17"/>
                <w:szCs w:val="17"/>
                <w:color w:val="auto"/>
              </w:rPr>
              <w:t>1,069 (103) TOTAL</w:t>
            </w:r>
          </w:p>
        </w:tc>
        <w:tc>
          <w:tcPr>
            <w:tcW w:w="360" w:type="dxa"/>
            <w:vAlign w:val="bottom"/>
          </w:tcPr>
          <w:p>
            <w:pPr>
              <w:spacing w:after="0"/>
              <w:rPr>
                <w:sz w:val="17"/>
                <w:szCs w:val="17"/>
                <w:color w:val="auto"/>
              </w:rPr>
            </w:pPr>
          </w:p>
        </w:tc>
      </w:tr>
      <w:tr>
        <w:trPr>
          <w:trHeight w:val="201"/>
        </w:trPr>
        <w:tc>
          <w:tcPr>
            <w:tcW w:w="188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86"/>
              </w:rPr>
              <w:t>LIABILITIES..........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1"/>
        </w:trPr>
        <w:tc>
          <w:tcPr>
            <w:tcW w:w="18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66,672 21,624 528</w:t>
            </w:r>
          </w:p>
        </w:tc>
        <w:tc>
          <w:tcPr>
            <w:tcW w:w="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521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217</w:t>
            </w:r>
          </w:p>
        </w:tc>
      </w:tr>
      <w:tr>
        <w:trPr>
          <w:trHeight w:val="201"/>
        </w:trPr>
        <w:tc>
          <w:tcPr>
            <w:tcW w:w="2720" w:type="dxa"/>
            <w:vAlign w:val="bottom"/>
            <w:gridSpan w:val="7"/>
          </w:tcPr>
          <w:p>
            <w:pPr>
              <w:jc w:val="center"/>
              <w:spacing w:after="0"/>
              <w:rPr>
                <w:sz w:val="20"/>
                <w:szCs w:val="20"/>
                <w:color w:val="auto"/>
              </w:rPr>
            </w:pPr>
            <w:r>
              <w:rPr>
                <w:rFonts w:ascii="Courier New" w:cs="Courier New" w:eastAsia="Courier New" w:hAnsi="Courier New"/>
                <w:sz w:val="17"/>
                <w:szCs w:val="17"/>
                <w:color w:val="auto"/>
              </w:rPr>
              <w:t>42,230 (54,334) Minority</w:t>
            </w:r>
          </w:p>
        </w:tc>
      </w:tr>
      <w:tr>
        <w:trPr>
          <w:trHeight w:val="201"/>
        </w:trPr>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Interest..........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5 2,367</w:t>
            </w:r>
          </w:p>
        </w:tc>
      </w:tr>
    </w:tbl>
    <w:p>
      <w:pPr>
        <w:spacing w:after="0" w:line="4"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Company-Obligated</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Convertible Quarterly</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Income Preferred</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Securities of Subsidiary</w:t>
      </w:r>
    </w:p>
    <w:p>
      <w:pPr>
        <w:spacing w:after="0" w:line="9"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7"/>
          <w:szCs w:val="17"/>
          <w:color w:val="auto"/>
        </w:rPr>
        <w:t>Trust Holding Solely</w:t>
      </w:r>
    </w:p>
    <w:p>
      <w:pPr>
        <w:sectPr>
          <w:pgSz w:w="11900" w:h="16838" w:orient="portrait"/>
          <w:cols w:equalWidth="0" w:num="1">
            <w:col w:w="10219"/>
          </w:cols>
          <w:pgMar w:left="240" w:top="517" w:right="1440" w:bottom="0" w:gutter="0" w:footer="0" w:header="0"/>
        </w:sectPr>
      </w:pPr>
    </w:p>
    <w:bookmarkStart w:id="697" w:name="page698"/>
    <w:bookmarkEnd w:id="697"/>
    <w:p>
      <w:pPr>
        <w:spacing w:after="0" w:line="1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Subordinated Debt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Securities of AT&amp;T.......</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4,700 SHAREOWNERS' EQUITY</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AT&amp;T Common</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Stock.......... 3,483</w:t>
      </w:r>
    </w:p>
    <w:p>
      <w:pPr>
        <w:spacing w:after="0" w:line="9" w:lineRule="exact"/>
        <w:rPr>
          <w:sz w:val="20"/>
          <w:szCs w:val="20"/>
          <w:color w:val="auto"/>
        </w:rPr>
      </w:pPr>
    </w:p>
    <w:p>
      <w:pPr>
        <w:ind w:left="680" w:right="7499" w:hanging="572"/>
        <w:spacing w:after="0" w:line="251" w:lineRule="auto"/>
        <w:tabs>
          <w:tab w:leader="none" w:pos="732" w:val="left"/>
        </w:tabs>
        <w:numPr>
          <w:ilvl w:val="0"/>
          <w:numId w:val="7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Liberty Media Group Class A Common</w:t>
      </w:r>
    </w:p>
    <w:tbl>
      <w:tblPr>
        <w:tblLayout w:type="fixed"/>
        <w:tblInd w:w="60" w:type="dxa"/>
        <w:tblCellMar>
          <w:top w:w="0" w:type="dxa"/>
          <w:left w:w="0" w:type="dxa"/>
          <w:bottom w:w="0" w:type="dxa"/>
          <w:right w:w="0" w:type="dxa"/>
        </w:tblCellMar>
      </w:tblPr>
      <w:tr>
        <w:trPr>
          <w:trHeight w:val="197"/>
        </w:trPr>
        <w:tc>
          <w:tcPr>
            <w:tcW w:w="940" w:type="dxa"/>
            <w:vAlign w:val="bottom"/>
          </w:tcPr>
          <w:p>
            <w:pPr>
              <w:jc w:val="right"/>
              <w:spacing w:after="0"/>
              <w:rPr>
                <w:sz w:val="20"/>
                <w:szCs w:val="20"/>
                <w:color w:val="auto"/>
              </w:rPr>
            </w:pPr>
            <w:r>
              <w:rPr>
                <w:rFonts w:ascii="Courier New" w:cs="Courier New" w:eastAsia="Courier New" w:hAnsi="Courier New"/>
                <w:sz w:val="12"/>
                <w:szCs w:val="12"/>
                <w:color w:val="auto"/>
                <w:w w:val="70"/>
              </w:rPr>
              <w:t>Stock.............</w:t>
            </w:r>
          </w:p>
        </w:tc>
        <w:tc>
          <w:tcPr>
            <w:tcW w:w="1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2,314</w:t>
            </w:r>
          </w:p>
        </w:tc>
      </w:tr>
      <w:tr>
        <w:trPr>
          <w:trHeight w:val="201"/>
        </w:trPr>
        <w:tc>
          <w:tcPr>
            <w:tcW w:w="27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Liberty Media Group Class</w:t>
            </w:r>
          </w:p>
        </w:tc>
      </w:tr>
      <w:tr>
        <w:trPr>
          <w:trHeight w:val="201"/>
        </w:trPr>
        <w:tc>
          <w:tcPr>
            <w:tcW w:w="940" w:type="dxa"/>
            <w:vAlign w:val="bottom"/>
          </w:tcPr>
          <w:p>
            <w:pPr>
              <w:spacing w:after="0"/>
              <w:rPr>
                <w:sz w:val="17"/>
                <w:szCs w:val="17"/>
                <w:color w:val="auto"/>
              </w:rPr>
            </w:pPr>
          </w:p>
        </w:tc>
        <w:tc>
          <w:tcPr>
            <w:tcW w:w="1780" w:type="dxa"/>
            <w:vAlign w:val="bottom"/>
          </w:tcPr>
          <w:p>
            <w:pPr>
              <w:jc w:val="center"/>
              <w:ind w:right="853"/>
              <w:spacing w:after="0"/>
              <w:rPr>
                <w:sz w:val="20"/>
                <w:szCs w:val="20"/>
                <w:color w:val="auto"/>
              </w:rPr>
            </w:pPr>
            <w:r>
              <w:rPr>
                <w:rFonts w:ascii="Courier New" w:cs="Courier New" w:eastAsia="Courier New" w:hAnsi="Courier New"/>
                <w:sz w:val="17"/>
                <w:szCs w:val="17"/>
                <w:color w:val="auto"/>
              </w:rPr>
              <w:t>B Common</w:t>
            </w:r>
          </w:p>
        </w:tc>
      </w:tr>
      <w:tr>
        <w:trPr>
          <w:trHeight w:val="201"/>
        </w:trPr>
        <w:tc>
          <w:tcPr>
            <w:tcW w:w="940" w:type="dxa"/>
            <w:vAlign w:val="bottom"/>
          </w:tcPr>
          <w:p>
            <w:pPr>
              <w:jc w:val="right"/>
              <w:spacing w:after="0"/>
              <w:rPr>
                <w:sz w:val="20"/>
                <w:szCs w:val="20"/>
                <w:color w:val="auto"/>
              </w:rPr>
            </w:pPr>
            <w:r>
              <w:rPr>
                <w:rFonts w:ascii="Courier New" w:cs="Courier New" w:eastAsia="Courier New" w:hAnsi="Courier New"/>
                <w:sz w:val="12"/>
                <w:szCs w:val="12"/>
                <w:color w:val="auto"/>
                <w:w w:val="70"/>
              </w:rPr>
              <w:t>Stock.............</w:t>
            </w:r>
          </w:p>
        </w:tc>
        <w:tc>
          <w:tcPr>
            <w:tcW w:w="1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217</w:t>
            </w:r>
          </w:p>
        </w:tc>
      </w:tr>
      <w:tr>
        <w:trPr>
          <w:trHeight w:val="201"/>
        </w:trPr>
        <w:tc>
          <w:tcPr>
            <w:tcW w:w="27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Other shareowners'</w:t>
            </w:r>
          </w:p>
        </w:tc>
      </w:tr>
      <w:tr>
        <w:trPr>
          <w:trHeight w:val="201"/>
        </w:trPr>
        <w:tc>
          <w:tcPr>
            <w:tcW w:w="27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equity...................</w:t>
            </w:r>
          </w:p>
        </w:tc>
      </w:tr>
      <w:tr>
        <w:trPr>
          <w:trHeight w:val="201"/>
        </w:trPr>
        <w:tc>
          <w:tcPr>
            <w:tcW w:w="27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63,813 51,100 104,149</w:t>
            </w:r>
          </w:p>
        </w:tc>
      </w:tr>
      <w:tr>
        <w:trPr>
          <w:trHeight w:val="201"/>
        </w:trPr>
        <w:tc>
          <w:tcPr>
            <w:tcW w:w="27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(145,862) TOTAL</w:t>
            </w:r>
          </w:p>
        </w:tc>
      </w:tr>
      <w:tr>
        <w:trPr>
          <w:trHeight w:val="201"/>
        </w:trPr>
        <w:tc>
          <w:tcPr>
            <w:tcW w:w="27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SHAREOWNERS'</w:t>
            </w:r>
          </w:p>
        </w:tc>
      </w:tr>
      <w:tr>
        <w:trPr>
          <w:trHeight w:val="201"/>
        </w:trPr>
        <w:tc>
          <w:tcPr>
            <w:tcW w:w="27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EQUITY...................</w:t>
            </w:r>
          </w:p>
        </w:tc>
      </w:tr>
      <w:tr>
        <w:trPr>
          <w:trHeight w:val="201"/>
        </w:trPr>
        <w:tc>
          <w:tcPr>
            <w:tcW w:w="27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69,827 51,100 103,862</w:t>
            </w:r>
          </w:p>
        </w:tc>
      </w:tr>
      <w:tr>
        <w:trPr>
          <w:trHeight w:val="201"/>
        </w:trPr>
        <w:tc>
          <w:tcPr>
            <w:tcW w:w="27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(145,862) TOTAL</w:t>
            </w:r>
          </w:p>
        </w:tc>
      </w:tr>
      <w:tr>
        <w:trPr>
          <w:trHeight w:val="201"/>
        </w:trPr>
        <w:tc>
          <w:tcPr>
            <w:tcW w:w="27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LIABILITIES AND</w:t>
            </w:r>
          </w:p>
        </w:tc>
      </w:tr>
      <w:tr>
        <w:trPr>
          <w:trHeight w:val="201"/>
        </w:trPr>
        <w:tc>
          <w:tcPr>
            <w:tcW w:w="27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SHAREOWNERS' EQUITY......</w:t>
            </w:r>
          </w:p>
        </w:tc>
      </w:tr>
      <w:tr>
        <w:trPr>
          <w:trHeight w:val="201"/>
        </w:trPr>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$141,204</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$72,724 $528 $521</w:t>
            </w:r>
          </w:p>
        </w:tc>
      </w:tr>
    </w:tbl>
    <w:p>
      <w:pPr>
        <w:spacing w:after="0" w:line="4"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$217 $148,459 $(200,196)</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CONSOLIDATED AT&amp;T CORP.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ASSETS Cash and</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equivalents..............</w:t>
      </w:r>
    </w:p>
    <w:p>
      <w:pPr>
        <w:spacing w:after="0" w:line="9" w:lineRule="exact"/>
        <w:rPr>
          <w:sz w:val="20"/>
          <w:szCs w:val="20"/>
          <w:color w:val="auto"/>
        </w:rPr>
      </w:pPr>
    </w:p>
    <w:p>
      <w:pPr>
        <w:ind w:left="1260" w:hanging="209"/>
        <w:spacing w:after="0"/>
        <w:tabs>
          <w:tab w:leader="none" w:pos="1260" w:val="left"/>
        </w:tabs>
        <w:numPr>
          <w:ilvl w:val="0"/>
          <w:numId w:val="7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1,018</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Receivables................</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9,242 Deferred income</w:t>
      </w:r>
    </w:p>
    <w:p>
      <w:pPr>
        <w:spacing w:after="0" w:line="9" w:lineRule="exact"/>
        <w:rPr>
          <w:sz w:val="20"/>
          <w:szCs w:val="20"/>
          <w:color w:val="auto"/>
        </w:rPr>
      </w:pPr>
    </w:p>
    <w:p>
      <w:pPr>
        <w:ind w:left="220"/>
        <w:spacing w:after="0"/>
        <w:tabs>
          <w:tab w:leader="dot" w:pos="1440" w:val="left"/>
        </w:tabs>
        <w:rPr>
          <w:sz w:val="20"/>
          <w:szCs w:val="20"/>
          <w:color w:val="auto"/>
        </w:rPr>
      </w:pPr>
      <w:r>
        <w:rPr>
          <w:rFonts w:ascii="Courier New" w:cs="Courier New" w:eastAsia="Courier New" w:hAnsi="Courier New"/>
          <w:sz w:val="17"/>
          <w:szCs w:val="17"/>
          <w:color w:val="auto"/>
        </w:rPr>
        <w:t>taxes</w:t>
      </w:r>
      <w:r>
        <w:rPr>
          <w:sz w:val="20"/>
          <w:szCs w:val="20"/>
          <w:color w:val="auto"/>
        </w:rPr>
        <w:tab/>
      </w:r>
      <w:r>
        <w:rPr>
          <w:rFonts w:ascii="Courier New" w:cs="Courier New" w:eastAsia="Courier New" w:hAnsi="Courier New"/>
          <w:sz w:val="17"/>
          <w:szCs w:val="17"/>
          <w:color w:val="auto"/>
        </w:rPr>
        <w:t>1,160 Other</w:t>
      </w:r>
    </w:p>
    <w:p>
      <w:pPr>
        <w:spacing w:after="0" w:line="9" w:lineRule="exact"/>
        <w:rPr>
          <w:sz w:val="20"/>
          <w:szCs w:val="20"/>
          <w:color w:val="auto"/>
        </w:rPr>
      </w:pPr>
    </w:p>
    <w:p>
      <w:pPr>
        <w:ind w:left="100"/>
        <w:spacing w:after="0"/>
        <w:tabs>
          <w:tab w:leader="dot" w:pos="2400" w:val="left"/>
        </w:tabs>
        <w:rPr>
          <w:sz w:val="20"/>
          <w:szCs w:val="20"/>
          <w:color w:val="auto"/>
        </w:rPr>
      </w:pPr>
      <w:r>
        <w:rPr>
          <w:rFonts w:ascii="Courier New" w:cs="Courier New" w:eastAsia="Courier New" w:hAnsi="Courier New"/>
          <w:sz w:val="17"/>
          <w:szCs w:val="17"/>
          <w:color w:val="auto"/>
        </w:rPr>
        <w:t>current assets</w:t>
      </w:r>
      <w:r>
        <w:rPr>
          <w:sz w:val="20"/>
          <w:szCs w:val="20"/>
          <w:color w:val="auto"/>
        </w:rPr>
        <w:tab/>
      </w:r>
      <w:r>
        <w:rPr>
          <w:rFonts w:ascii="Courier New" w:cs="Courier New" w:eastAsia="Courier New" w:hAnsi="Courier New"/>
          <w:sz w:val="16"/>
          <w:szCs w:val="16"/>
          <w:color w:val="auto"/>
        </w:rPr>
        <w:t>924</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TOTAL CURRENT</w:t>
      </w:r>
    </w:p>
    <w:p>
      <w:pPr>
        <w:spacing w:after="0" w:line="9" w:lineRule="exact"/>
        <w:rPr>
          <w:sz w:val="20"/>
          <w:szCs w:val="20"/>
          <w:color w:val="auto"/>
        </w:rPr>
      </w:pPr>
    </w:p>
    <w:p>
      <w:pPr>
        <w:ind w:left="380"/>
        <w:spacing w:after="0"/>
        <w:tabs>
          <w:tab w:leader="dot" w:pos="1820" w:val="left"/>
        </w:tabs>
        <w:rPr>
          <w:sz w:val="20"/>
          <w:szCs w:val="20"/>
          <w:color w:val="auto"/>
        </w:rPr>
      </w:pPr>
      <w:r>
        <w:rPr>
          <w:rFonts w:ascii="Courier New" w:cs="Courier New" w:eastAsia="Courier New" w:hAnsi="Courier New"/>
          <w:sz w:val="17"/>
          <w:szCs w:val="17"/>
          <w:color w:val="auto"/>
        </w:rPr>
        <w:t>ASSETS</w:t>
      </w:r>
      <w:r>
        <w:rPr>
          <w:sz w:val="20"/>
          <w:szCs w:val="20"/>
          <w:color w:val="auto"/>
        </w:rPr>
        <w:tab/>
      </w:r>
      <w:r>
        <w:rPr>
          <w:rFonts w:ascii="Courier New" w:cs="Courier New" w:eastAsia="Courier New" w:hAnsi="Courier New"/>
          <w:sz w:val="17"/>
          <w:szCs w:val="17"/>
          <w:color w:val="auto"/>
        </w:rPr>
        <w:t>12,344</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Property, plant &amp;</w:t>
      </w:r>
    </w:p>
    <w:p>
      <w:pPr>
        <w:spacing w:after="0" w:line="9" w:lineRule="exact"/>
        <w:rPr>
          <w:sz w:val="20"/>
          <w:szCs w:val="20"/>
          <w:color w:val="auto"/>
        </w:rPr>
      </w:pPr>
    </w:p>
    <w:p>
      <w:pPr>
        <w:ind w:left="100"/>
        <w:spacing w:after="0"/>
        <w:tabs>
          <w:tab w:leader="none" w:pos="1560" w:val="left"/>
        </w:tabs>
        <w:rPr>
          <w:sz w:val="20"/>
          <w:szCs w:val="20"/>
          <w:color w:val="auto"/>
        </w:rPr>
      </w:pPr>
      <w:r>
        <w:rPr>
          <w:rFonts w:ascii="Courier New" w:cs="Courier New" w:eastAsia="Courier New" w:hAnsi="Courier New"/>
          <w:sz w:val="17"/>
          <w:szCs w:val="17"/>
          <w:color w:val="auto"/>
        </w:rPr>
        <w:t>equipment, net</w:t>
        <w:tab/>
        <w: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33,366 Franchise costs,</w:t>
      </w:r>
    </w:p>
    <w:p>
      <w:pPr>
        <w:spacing w:after="0" w:line="9" w:lineRule="exact"/>
        <w:rPr>
          <w:sz w:val="20"/>
          <w:szCs w:val="20"/>
          <w:color w:val="auto"/>
        </w:rPr>
      </w:pPr>
    </w:p>
    <w:p>
      <w:pPr>
        <w:ind w:left="520"/>
        <w:spacing w:after="0"/>
        <w:tabs>
          <w:tab w:leader="dot" w:pos="1660" w:val="left"/>
        </w:tabs>
        <w:rPr>
          <w:sz w:val="20"/>
          <w:szCs w:val="20"/>
          <w:color w:val="auto"/>
        </w:rPr>
      </w:pPr>
      <w:r>
        <w:rPr>
          <w:rFonts w:ascii="Courier New" w:cs="Courier New" w:eastAsia="Courier New" w:hAnsi="Courier New"/>
          <w:sz w:val="17"/>
          <w:szCs w:val="17"/>
          <w:color w:val="auto"/>
        </w:rPr>
        <w:t>net</w:t>
      </w:r>
      <w:r>
        <w:rPr>
          <w:sz w:val="20"/>
          <w:szCs w:val="20"/>
          <w:color w:val="auto"/>
        </w:rPr>
        <w:tab/>
      </w:r>
      <w:r>
        <w:rPr>
          <w:rFonts w:ascii="Courier New" w:cs="Courier New" w:eastAsia="Courier New" w:hAnsi="Courier New"/>
          <w:sz w:val="17"/>
          <w:szCs w:val="17"/>
          <w:color w:val="auto"/>
        </w:rPr>
        <w:t>32,693</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Goodwill,</w:t>
      </w:r>
    </w:p>
    <w:p>
      <w:pPr>
        <w:spacing w:after="0" w:line="9" w:lineRule="exact"/>
        <w:rPr>
          <w:sz w:val="20"/>
          <w:szCs w:val="20"/>
          <w:color w:val="auto"/>
        </w:rPr>
      </w:pPr>
    </w:p>
    <w:p>
      <w:pPr>
        <w:ind w:left="220"/>
        <w:spacing w:after="0"/>
        <w:tabs>
          <w:tab w:leader="dot" w:pos="2080" w:val="left"/>
        </w:tabs>
        <w:rPr>
          <w:sz w:val="20"/>
          <w:szCs w:val="20"/>
          <w:color w:val="auto"/>
        </w:rPr>
      </w:pPr>
      <w:r>
        <w:rPr>
          <w:rFonts w:ascii="Courier New" w:cs="Courier New" w:eastAsia="Courier New" w:hAnsi="Courier New"/>
          <w:sz w:val="17"/>
          <w:szCs w:val="17"/>
          <w:color w:val="auto"/>
        </w:rPr>
        <w:t>net</w:t>
      </w:r>
      <w:r>
        <w:rPr>
          <w:sz w:val="20"/>
          <w:szCs w:val="20"/>
          <w:color w:val="auto"/>
        </w:rPr>
        <w:tab/>
      </w:r>
      <w:r>
        <w:rPr>
          <w:rFonts w:ascii="Courier New" w:cs="Courier New" w:eastAsia="Courier New" w:hAnsi="Courier New"/>
          <w:sz w:val="17"/>
          <w:szCs w:val="17"/>
          <w:color w:val="auto"/>
        </w:rPr>
        <w:t>5,310</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Investment in Liberty</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Media Group and related</w:t>
      </w:r>
    </w:p>
    <w:p>
      <w:pPr>
        <w:spacing w:after="0" w:line="9" w:lineRule="exact"/>
        <w:rPr>
          <w:sz w:val="20"/>
          <w:szCs w:val="20"/>
          <w:color w:val="auto"/>
        </w:rPr>
      </w:pPr>
    </w:p>
    <w:p>
      <w:pPr>
        <w:ind w:left="100"/>
        <w:spacing w:after="0"/>
        <w:tabs>
          <w:tab w:leader="none" w:pos="1760" w:val="left"/>
        </w:tabs>
        <w:rPr>
          <w:sz w:val="20"/>
          <w:szCs w:val="20"/>
          <w:color w:val="auto"/>
        </w:rPr>
      </w:pPr>
      <w:r>
        <w:rPr>
          <w:rFonts w:ascii="Courier New" w:cs="Courier New" w:eastAsia="Courier New" w:hAnsi="Courier New"/>
          <w:sz w:val="17"/>
          <w:szCs w:val="17"/>
          <w:color w:val="auto"/>
        </w:rPr>
        <w:t>receivables, net</w:t>
        <w:tab/>
        <w: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38,460 Other investments</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and related</w:t>
      </w:r>
    </w:p>
    <w:p>
      <w:pPr>
        <w:spacing w:after="0" w:line="9" w:lineRule="exact"/>
        <w:rPr>
          <w:sz w:val="20"/>
          <w:szCs w:val="20"/>
          <w:color w:val="auto"/>
        </w:rPr>
      </w:pPr>
    </w:p>
    <w:p>
      <w:pPr>
        <w:ind w:left="160"/>
        <w:spacing w:after="0"/>
        <w:tabs>
          <w:tab w:leader="dot" w:pos="2020" w:val="left"/>
        </w:tabs>
        <w:rPr>
          <w:sz w:val="20"/>
          <w:szCs w:val="20"/>
          <w:color w:val="auto"/>
        </w:rPr>
      </w:pPr>
      <w:r>
        <w:rPr>
          <w:rFonts w:ascii="Courier New" w:cs="Courier New" w:eastAsia="Courier New" w:hAnsi="Courier New"/>
          <w:sz w:val="17"/>
          <w:szCs w:val="17"/>
          <w:color w:val="auto"/>
        </w:rPr>
        <w:t>advances</w:t>
      </w:r>
      <w:r>
        <w:rPr>
          <w:sz w:val="20"/>
          <w:szCs w:val="20"/>
          <w:color w:val="auto"/>
        </w:rPr>
        <w:tab/>
      </w:r>
      <w:r>
        <w:rPr>
          <w:rFonts w:ascii="Courier New" w:cs="Courier New" w:eastAsia="Courier New" w:hAnsi="Courier New"/>
          <w:sz w:val="17"/>
          <w:szCs w:val="17"/>
          <w:color w:val="auto"/>
        </w:rPr>
        <w:t>14,856</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320"/>
        <w:spacing w:after="0"/>
        <w:tabs>
          <w:tab w:leader="none" w:pos="920" w:val="left"/>
        </w:tabs>
        <w:rPr>
          <w:sz w:val="20"/>
          <w:szCs w:val="20"/>
          <w:color w:val="auto"/>
        </w:rPr>
      </w:pPr>
      <w:r>
        <w:rPr>
          <w:rFonts w:ascii="Courier New" w:cs="Courier New" w:eastAsia="Courier New" w:hAnsi="Courier New"/>
          <w:sz w:val="17"/>
          <w:szCs w:val="17"/>
          <w:color w:val="auto"/>
        </w:rPr>
        <w:t>assets</w:t>
        <w:tab/>
        <w: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9,065 Net assets of</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7"/>
          <w:szCs w:val="17"/>
          <w:color w:val="auto"/>
        </w:rPr>
        <w:t>discontinued</w:t>
      </w:r>
    </w:p>
    <w:p>
      <w:pPr>
        <w:spacing w:after="0" w:line="9"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7"/>
          <w:szCs w:val="17"/>
          <w:color w:val="auto"/>
        </w:rPr>
        <w:t>operations</w:t>
        <w:tab/>
        <w:t>...............</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7"/>
          <w:szCs w:val="17"/>
          <w:color w:val="auto"/>
        </w:rPr>
        <w:t>17,363 TOTAL</w:t>
      </w:r>
    </w:p>
    <w:p>
      <w:pPr>
        <w:spacing w:after="0" w:line="9" w:lineRule="exact"/>
        <w:rPr>
          <w:sz w:val="20"/>
          <w:szCs w:val="20"/>
          <w:color w:val="auto"/>
        </w:rPr>
      </w:pPr>
    </w:p>
    <w:p>
      <w:pPr>
        <w:ind w:left="320"/>
        <w:spacing w:after="0"/>
        <w:tabs>
          <w:tab w:leader="none" w:pos="920" w:val="left"/>
        </w:tabs>
        <w:rPr>
          <w:sz w:val="20"/>
          <w:szCs w:val="20"/>
          <w:color w:val="auto"/>
        </w:rPr>
      </w:pPr>
      <w:r>
        <w:rPr>
          <w:rFonts w:ascii="Courier New" w:cs="Courier New" w:eastAsia="Courier New" w:hAnsi="Courier New"/>
          <w:sz w:val="17"/>
          <w:szCs w:val="17"/>
          <w:color w:val="auto"/>
        </w:rPr>
        <w:t>ASSETS</w:t>
        <w:tab/>
        <w: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$163,457 LIABILITIES Debt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maturing within one</w:t>
      </w:r>
    </w:p>
    <w:p>
      <w:pPr>
        <w:spacing w:after="0" w:line="9" w:lineRule="exact"/>
        <w:rPr>
          <w:sz w:val="20"/>
          <w:szCs w:val="20"/>
          <w:color w:val="auto"/>
        </w:rPr>
      </w:pPr>
    </w:p>
    <w:p>
      <w:pPr>
        <w:ind w:left="100"/>
        <w:spacing w:after="0"/>
        <w:tabs>
          <w:tab w:leader="none" w:pos="500" w:val="left"/>
        </w:tabs>
        <w:rPr>
          <w:sz w:val="20"/>
          <w:szCs w:val="20"/>
          <w:color w:val="auto"/>
        </w:rPr>
      </w:pPr>
      <w:r>
        <w:rPr>
          <w:rFonts w:ascii="Courier New" w:cs="Courier New" w:eastAsia="Courier New" w:hAnsi="Courier New"/>
          <w:sz w:val="17"/>
          <w:szCs w:val="17"/>
          <w:color w:val="auto"/>
        </w:rPr>
        <w:t>year</w:t>
        <w:tab/>
        <w:t>.....................</w:t>
      </w:r>
    </w:p>
    <w:p>
      <w:pPr>
        <w:spacing w:after="0" w:line="9" w:lineRule="exact"/>
        <w:rPr>
          <w:sz w:val="20"/>
          <w:szCs w:val="20"/>
          <w:color w:val="auto"/>
        </w:rPr>
      </w:pPr>
    </w:p>
    <w:p>
      <w:pPr>
        <w:ind w:left="100" w:right="7499" w:firstLine="165"/>
        <w:spacing w:after="0" w:line="251" w:lineRule="auto"/>
        <w:tabs>
          <w:tab w:leader="none" w:pos="467" w:val="left"/>
        </w:tabs>
        <w:numPr>
          <w:ilvl w:val="0"/>
          <w:numId w:val="7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12,480 Other current liabilities..............</w:t>
      </w: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13,538 TOTAL CURRENT</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w:t>
      </w:r>
    </w:p>
    <w:p>
      <w:pPr>
        <w:spacing w:after="0" w:line="8" w:lineRule="exact"/>
        <w:rPr>
          <w:rFonts w:ascii="Courier New" w:cs="Courier New" w:eastAsia="Courier New" w:hAnsi="Courier New"/>
          <w:sz w:val="17"/>
          <w:szCs w:val="17"/>
          <w:color w:val="auto"/>
        </w:rPr>
      </w:pPr>
    </w:p>
    <w:p>
      <w:pPr>
        <w:ind w:left="5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26,018 Long-term</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debt............. 23,214</w:t>
      </w:r>
    </w:p>
    <w:p>
      <w:pPr>
        <w:spacing w:after="0" w:line="8" w:lineRule="exact"/>
        <w:rPr>
          <w:rFonts w:ascii="Courier New" w:cs="Courier New" w:eastAsia="Courier New" w:hAnsi="Courier New"/>
          <w:sz w:val="17"/>
          <w:szCs w:val="17"/>
          <w:color w:val="auto"/>
        </w:rPr>
      </w:pP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income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taxes...... 20,507 Other</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long-term liabilities and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deferred credits.....</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7,719 TOTAL</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77,458 Minority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Interest.......... 2,372</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Company-Obligated</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Convertible Quarterly</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Income Preferred</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Securities of Subsidiary</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Trust Holding Solely</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Subordinated Debt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Securities of AT&amp;T.......</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4,700 SHAREOWNERS' EQUITY</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AT&amp;T Common</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Stock.......... 3,196</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Liberty Media Group Class</w:t>
      </w:r>
    </w:p>
    <w:p>
      <w:pPr>
        <w:spacing w:after="0" w:line="9"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7"/>
          <w:szCs w:val="17"/>
          <w:color w:val="auto"/>
        </w:rPr>
        <w:t>A Common</w:t>
      </w:r>
    </w:p>
    <w:p>
      <w:pPr>
        <w:sectPr>
          <w:pgSz w:w="11900" w:h="16849" w:orient="portrait"/>
          <w:cols w:equalWidth="0" w:num="1">
            <w:col w:w="10219"/>
          </w:cols>
          <w:pgMar w:left="240" w:top="142" w:right="1440" w:bottom="0" w:gutter="0" w:footer="0" w:header="0"/>
        </w:sectPr>
      </w:pPr>
    </w:p>
    <w:bookmarkStart w:id="698" w:name="page699"/>
    <w:bookmarkEnd w:id="698"/>
    <w:p>
      <w:pPr>
        <w:ind w:left="60"/>
        <w:spacing w:after="0"/>
        <w:tabs>
          <w:tab w:leader="dot" w:pos="2040" w:val="left"/>
        </w:tabs>
        <w:rPr>
          <w:sz w:val="20"/>
          <w:szCs w:val="20"/>
          <w:color w:val="auto"/>
        </w:rPr>
      </w:pPr>
      <w:r>
        <w:rPr>
          <w:rFonts w:ascii="Courier New" w:cs="Courier New" w:eastAsia="Courier New" w:hAnsi="Courier New"/>
          <w:sz w:val="17"/>
          <w:szCs w:val="17"/>
          <w:color w:val="auto"/>
        </w:rPr>
        <w:t>Stock</w:t>
      </w:r>
      <w:r>
        <w:rPr>
          <w:sz w:val="20"/>
          <w:szCs w:val="20"/>
          <w:color w:val="auto"/>
        </w:rPr>
        <w:tab/>
      </w:r>
      <w:r>
        <w:rPr>
          <w:rFonts w:ascii="Courier New" w:cs="Courier New" w:eastAsia="Courier New" w:hAnsi="Courier New"/>
          <w:sz w:val="17"/>
          <w:szCs w:val="17"/>
          <w:color w:val="auto"/>
        </w:rPr>
        <w:t>2,314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Liberty Media Group Class</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B Common</w:t>
      </w:r>
    </w:p>
    <w:p>
      <w:pPr>
        <w:spacing w:after="0" w:line="9" w:lineRule="exact"/>
        <w:rPr>
          <w:sz w:val="20"/>
          <w:szCs w:val="20"/>
          <w:color w:val="auto"/>
        </w:rPr>
      </w:pPr>
    </w:p>
    <w:p>
      <w:pPr>
        <w:ind w:left="160"/>
        <w:spacing w:after="0"/>
        <w:tabs>
          <w:tab w:leader="dot" w:pos="2140" w:val="left"/>
        </w:tabs>
        <w:rPr>
          <w:sz w:val="20"/>
          <w:szCs w:val="20"/>
          <w:color w:val="auto"/>
        </w:rPr>
      </w:pPr>
      <w:r>
        <w:rPr>
          <w:rFonts w:ascii="Courier New" w:cs="Courier New" w:eastAsia="Courier New" w:hAnsi="Courier New"/>
          <w:sz w:val="17"/>
          <w:szCs w:val="17"/>
          <w:color w:val="auto"/>
        </w:rPr>
        <w:t>Stock</w:t>
      </w:r>
      <w:r>
        <w:rPr>
          <w:sz w:val="20"/>
          <w:szCs w:val="20"/>
          <w:color w:val="auto"/>
        </w:rPr>
        <w:tab/>
      </w:r>
      <w:r>
        <w:rPr>
          <w:rFonts w:ascii="Courier New" w:cs="Courier New" w:eastAsia="Courier New" w:hAnsi="Courier New"/>
          <w:sz w:val="16"/>
          <w:szCs w:val="16"/>
          <w:color w:val="auto"/>
        </w:rPr>
        <w:t>217</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Other shareowners'</w:t>
      </w:r>
    </w:p>
    <w:p>
      <w:pPr>
        <w:spacing w:after="0" w:line="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equity</w:t>
        <w:tab/>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73,200 TOTAL SHAREOWNERS'</w:t>
      </w:r>
    </w:p>
    <w:p>
      <w:pPr>
        <w:spacing w:after="0" w:line="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EQUITY</w:t>
        <w:tab/>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78,927 TOTAL LIABILITIES</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AND SHAREOWNERS'</w:t>
      </w:r>
    </w:p>
    <w:p>
      <w:pPr>
        <w:spacing w:after="0" w:line="9" w:lineRule="exact"/>
        <w:rPr>
          <w:sz w:val="20"/>
          <w:szCs w:val="20"/>
          <w:color w:val="auto"/>
        </w:rPr>
      </w:pPr>
    </w:p>
    <w:p>
      <w:pPr>
        <w:ind w:left="220"/>
        <w:spacing w:after="0"/>
        <w:tabs>
          <w:tab w:leader="dot" w:pos="1560" w:val="left"/>
        </w:tabs>
        <w:rPr>
          <w:sz w:val="20"/>
          <w:szCs w:val="20"/>
          <w:color w:val="auto"/>
        </w:rPr>
      </w:pPr>
      <w:r>
        <w:rPr>
          <w:rFonts w:ascii="Courier New" w:cs="Courier New" w:eastAsia="Courier New" w:hAnsi="Courier New"/>
          <w:sz w:val="17"/>
          <w:szCs w:val="17"/>
          <w:color w:val="auto"/>
        </w:rPr>
        <w:t>EQUITY</w:t>
      </w:r>
      <w:r>
        <w:rPr>
          <w:sz w:val="20"/>
          <w:szCs w:val="20"/>
          <w:color w:val="auto"/>
        </w:rPr>
        <w:tab/>
      </w:r>
      <w:r>
        <w:rPr>
          <w:rFonts w:ascii="Courier New" w:cs="Courier New" w:eastAsia="Courier New" w:hAnsi="Courier New"/>
          <w:sz w:val="17"/>
          <w:szCs w:val="17"/>
          <w:color w:val="auto"/>
        </w:rPr>
        <w:t>$163,457</w:t>
      </w:r>
    </w:p>
    <w:p>
      <w:pPr>
        <w:spacing w:after="0" w:line="200" w:lineRule="exact"/>
        <w:rPr>
          <w:sz w:val="20"/>
          <w:szCs w:val="20"/>
          <w:color w:val="auto"/>
        </w:rPr>
      </w:pPr>
    </w:p>
    <w:p>
      <w:pPr>
        <w:spacing w:after="0" w:line="212"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L-89</w:t>
      </w:r>
    </w:p>
    <w:p>
      <w:pPr>
        <w:sectPr>
          <w:pgSz w:w="11900" w:h="16838" w:orient="portrait"/>
          <w:cols w:equalWidth="0" w:num="1">
            <w:col w:w="10119"/>
          </w:cols>
          <w:pgMar w:left="340" w:top="141" w:right="1440" w:bottom="1440" w:gutter="0" w:footer="0" w:header="0"/>
        </w:sectPr>
      </w:pPr>
    </w:p>
    <w:bookmarkStart w:id="699" w:name="page700"/>
    <w:bookmarkEnd w:id="699"/>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CONSOLIDATING CONDENSED INCOME STATEMENT</w:t>
      </w:r>
    </w:p>
    <w:p>
      <w:pPr>
        <w:spacing w:after="0" w:line="210" w:lineRule="exact"/>
        <w:rPr>
          <w:sz w:val="20"/>
          <w:szCs w:val="20"/>
          <w:color w:val="auto"/>
        </w:rPr>
      </w:pPr>
    </w:p>
    <w:p>
      <w:pPr>
        <w:ind w:left="480" w:right="4139" w:firstLine="1833"/>
        <w:spacing w:after="0" w:line="251" w:lineRule="auto"/>
        <w:rPr>
          <w:sz w:val="20"/>
          <w:szCs w:val="20"/>
          <w:color w:val="auto"/>
        </w:rPr>
      </w:pPr>
      <w:r>
        <w:rPr>
          <w:rFonts w:ascii="Courier New" w:cs="Courier New" w:eastAsia="Courier New" w:hAnsi="Courier New"/>
          <w:sz w:val="17"/>
          <w:szCs w:val="17"/>
          <w:color w:val="auto"/>
        </w:rPr>
        <w:t>FOR THE YEAR ENDED DECEMBER 31, 1999 ELIMINATION GUARANTOR</w:t>
      </w:r>
    </w:p>
    <w:p>
      <w:pPr>
        <w:jc w:val="center"/>
        <w:ind w:right="7079"/>
        <w:spacing w:after="0"/>
        <w:rPr>
          <w:sz w:val="20"/>
          <w:szCs w:val="20"/>
          <w:color w:val="auto"/>
        </w:rPr>
      </w:pPr>
      <w:r>
        <w:rPr>
          <w:rFonts w:ascii="Courier New" w:cs="Courier New" w:eastAsia="Courier New" w:hAnsi="Courier New"/>
          <w:sz w:val="17"/>
          <w:szCs w:val="17"/>
          <w:color w:val="auto"/>
        </w:rPr>
        <w:t>GUARANTOR TCI TCI TCI NON-</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AND AT&amp;T SUBSIDIARY FINANCING</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FINANCING FINANCING GUARANTOR</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CONSOLIDATION PARENT TCI I II</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IV SUBSIDIARIES ADJUSTMENTS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ind w:left="1100" w:hanging="412"/>
        <w:spacing w:after="0"/>
        <w:tabs>
          <w:tab w:leader="none" w:pos="1100" w:val="left"/>
        </w:tabs>
        <w:numPr>
          <w:ilvl w:val="0"/>
          <w:numId w:val="7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Revenue.......................</w:t>
      </w:r>
    </w:p>
    <w:p>
      <w:pPr>
        <w:spacing w:after="0" w:line="8" w:lineRule="exact"/>
        <w:rPr>
          <w:rFonts w:ascii="Courier New" w:cs="Courier New" w:eastAsia="Courier New" w:hAnsi="Courier New"/>
          <w:sz w:val="17"/>
          <w:szCs w:val="17"/>
          <w:color w:val="auto"/>
        </w:rPr>
      </w:pPr>
    </w:p>
    <w:p>
      <w:pPr>
        <w:jc w:val="center"/>
        <w:ind w:left="120" w:right="7179" w:firstLine="210"/>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$24,755 $ -- $-- $-- $-- $31,879 $(1,661) Operating Expenses Costs of services and products....................</w:t>
      </w: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1,536 10,707 (1,230) Access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460" w:type="dxa"/>
            <w:vAlign w:val="bottom"/>
          </w:tcPr>
          <w:p>
            <w:pPr>
              <w:spacing w:after="0"/>
              <w:rPr>
                <w:sz w:val="20"/>
                <w:szCs w:val="20"/>
                <w:color w:val="auto"/>
              </w:rPr>
            </w:pPr>
            <w:r>
              <w:rPr>
                <w:rFonts w:ascii="Courier New" w:cs="Courier New" w:eastAsia="Courier New" w:hAnsi="Courier New"/>
                <w:sz w:val="17"/>
                <w:szCs w:val="17"/>
                <w:color w:val="auto"/>
              </w:rPr>
              <w:t>and other connection...</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8,403</w:t>
            </w:r>
          </w:p>
        </w:tc>
      </w:tr>
    </w:tbl>
    <w:p>
      <w:pPr>
        <w:spacing w:after="0" w:line="4"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6,232 (196) Selling, general</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and</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administrative</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4,363 575</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5,960 (4)</w:t>
            </w:r>
          </w:p>
        </w:tc>
      </w:tr>
    </w:tbl>
    <w:p>
      <w:pPr>
        <w:spacing w:after="0" w:line="4"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Depreciation and other</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amortization................</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2,072 49 3,016 Amortization</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of goodwill, franchise costs</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and other purchased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7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intangibles.......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34 4</w:t>
            </w:r>
          </w:p>
        </w:tc>
        <w:tc>
          <w:tcPr>
            <w:tcW w:w="580" w:type="dxa"/>
            <w:vAlign w:val="bottom"/>
          </w:tcPr>
          <w:p>
            <w:pPr>
              <w:ind w:left="60"/>
              <w:spacing w:after="0"/>
              <w:rPr>
                <w:sz w:val="20"/>
                <w:szCs w:val="20"/>
                <w:color w:val="auto"/>
              </w:rPr>
            </w:pPr>
            <w:r>
              <w:rPr>
                <w:rFonts w:ascii="Courier New" w:cs="Courier New" w:eastAsia="Courier New" w:hAnsi="Courier New"/>
                <w:sz w:val="17"/>
                <w:szCs w:val="17"/>
                <w:color w:val="auto"/>
                <w:w w:val="97"/>
              </w:rPr>
              <w:t>1,019</w:t>
            </w:r>
          </w:p>
        </w:tc>
      </w:tr>
      <w:tr>
        <w:trPr>
          <w:trHeight w:val="201"/>
        </w:trPr>
        <w:tc>
          <w:tcPr>
            <w:tcW w:w="30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Net restructuring and other</w:t>
            </w: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charges.....................</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1"/>
        </w:trPr>
        <w:tc>
          <w:tcPr>
            <w:tcW w:w="30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18 326 631 Total operating</w:t>
            </w:r>
          </w:p>
        </w:tc>
      </w:tr>
      <w:tr>
        <w:trPr>
          <w:trHeight w:val="201"/>
        </w:trPr>
        <w:tc>
          <w:tcPr>
            <w:tcW w:w="1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expenses......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16,426</w:t>
            </w:r>
          </w:p>
        </w:tc>
        <w:tc>
          <w:tcPr>
            <w:tcW w:w="580" w:type="dxa"/>
            <w:vAlign w:val="bottom"/>
          </w:tcPr>
          <w:p>
            <w:pPr>
              <w:ind w:left="60"/>
              <w:spacing w:after="0"/>
              <w:rPr>
                <w:sz w:val="20"/>
                <w:szCs w:val="20"/>
                <w:color w:val="auto"/>
              </w:rPr>
            </w:pPr>
            <w:r>
              <w:rPr>
                <w:rFonts w:ascii="Courier New" w:cs="Courier New" w:eastAsia="Courier New" w:hAnsi="Courier New"/>
                <w:sz w:val="17"/>
                <w:szCs w:val="17"/>
                <w:color w:val="auto"/>
              </w:rPr>
              <w:t>954</w:t>
            </w:r>
          </w:p>
        </w:tc>
      </w:tr>
      <w:tr>
        <w:trPr>
          <w:trHeight w:val="201"/>
        </w:trPr>
        <w:tc>
          <w:tcPr>
            <w:tcW w:w="30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27,565 (1,430) Operating</w:t>
            </w:r>
          </w:p>
        </w:tc>
      </w:tr>
      <w:tr>
        <w:trPr>
          <w:trHeight w:val="201"/>
        </w:trPr>
        <w:tc>
          <w:tcPr>
            <w:tcW w:w="17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6"/>
              </w:rPr>
              <w:t>income (loss).......</w:t>
            </w:r>
          </w:p>
        </w:tc>
        <w:tc>
          <w:tcPr>
            <w:tcW w:w="12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8,329</w:t>
            </w:r>
          </w:p>
        </w:tc>
      </w:tr>
      <w:tr>
        <w:trPr>
          <w:trHeight w:val="201"/>
        </w:trPr>
        <w:tc>
          <w:tcPr>
            <w:tcW w:w="30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(954) 4,314 (231) Other</w:t>
            </w:r>
          </w:p>
        </w:tc>
      </w:tr>
      <w:tr>
        <w:trPr>
          <w:trHeight w:val="201"/>
        </w:trPr>
        <w:tc>
          <w:tcPr>
            <w:tcW w:w="246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9"/>
              </w:rPr>
              <w:t>income (expense)........</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539</w:t>
            </w:r>
          </w:p>
        </w:tc>
      </w:tr>
      <w:tr>
        <w:trPr>
          <w:trHeight w:val="201"/>
        </w:trPr>
        <w:tc>
          <w:tcPr>
            <w:tcW w:w="14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6 36 40 16</w:t>
            </w:r>
          </w:p>
        </w:tc>
        <w:tc>
          <w:tcPr>
            <w:tcW w:w="1620" w:type="dxa"/>
            <w:vAlign w:val="bottom"/>
            <w:gridSpan w:val="3"/>
          </w:tcPr>
          <w:p>
            <w:pPr>
              <w:jc w:val="right"/>
              <w:ind w:right="173"/>
              <w:spacing w:after="0"/>
              <w:rPr>
                <w:sz w:val="20"/>
                <w:szCs w:val="20"/>
                <w:color w:val="auto"/>
              </w:rPr>
            </w:pPr>
            <w:r>
              <w:rPr>
                <w:rFonts w:ascii="Courier New" w:cs="Courier New" w:eastAsia="Courier New" w:hAnsi="Courier New"/>
                <w:sz w:val="17"/>
                <w:szCs w:val="17"/>
                <w:color w:val="auto"/>
              </w:rPr>
              <w:t>2,734 (2,545)</w:t>
            </w:r>
          </w:p>
        </w:tc>
      </w:tr>
      <w:tr>
        <w:trPr>
          <w:trHeight w:val="201"/>
        </w:trPr>
        <w:tc>
          <w:tcPr>
            <w:tcW w:w="2460" w:type="dxa"/>
            <w:vAlign w:val="bottom"/>
            <w:gridSpan w:val="3"/>
          </w:tcPr>
          <w:p>
            <w:pPr>
              <w:jc w:val="center"/>
              <w:ind w:left="494"/>
              <w:spacing w:after="0"/>
              <w:rPr>
                <w:sz w:val="20"/>
                <w:szCs w:val="20"/>
                <w:color w:val="auto"/>
              </w:rPr>
            </w:pPr>
            <w:r>
              <w:rPr>
                <w:rFonts w:ascii="Courier New" w:cs="Courier New" w:eastAsia="Courier New" w:hAnsi="Courier New"/>
                <w:sz w:val="17"/>
                <w:szCs w:val="17"/>
                <w:color w:val="auto"/>
              </w:rPr>
              <w:t>Interest expense</w:t>
            </w:r>
          </w:p>
        </w:tc>
        <w:tc>
          <w:tcPr>
            <w:tcW w:w="580" w:type="dxa"/>
            <w:vAlign w:val="bottom"/>
          </w:tcPr>
          <w:p>
            <w:pPr>
              <w:spacing w:after="0"/>
              <w:rPr>
                <w:sz w:val="17"/>
                <w:szCs w:val="17"/>
                <w:color w:val="auto"/>
              </w:rPr>
            </w:pPr>
          </w:p>
        </w:tc>
      </w:tr>
      <w:tr>
        <w:trPr>
          <w:trHeight w:val="201"/>
        </w:trPr>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(benefit)....</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3,186 342</w:t>
            </w:r>
          </w:p>
        </w:tc>
        <w:tc>
          <w:tcPr>
            <w:tcW w:w="580" w:type="dxa"/>
            <w:vAlign w:val="bottom"/>
          </w:tcPr>
          <w:p>
            <w:pPr>
              <w:ind w:left="60"/>
              <w:spacing w:after="0"/>
              <w:rPr>
                <w:sz w:val="20"/>
                <w:szCs w:val="20"/>
                <w:color w:val="auto"/>
              </w:rPr>
            </w:pPr>
            <w:r>
              <w:rPr>
                <w:rFonts w:ascii="Courier New" w:cs="Courier New" w:eastAsia="Courier New" w:hAnsi="Courier New"/>
                <w:sz w:val="17"/>
                <w:szCs w:val="17"/>
                <w:color w:val="auto"/>
                <w:w w:val="97"/>
              </w:rPr>
              <w:t>36 40</w:t>
            </w:r>
          </w:p>
        </w:tc>
      </w:tr>
    </w:tbl>
    <w:p>
      <w:pPr>
        <w:spacing w:after="0" w:line="4"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16 634 (2,751) Income (loss)</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from continuing operations</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before income taxes, minority</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interest and earnings</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(losses) from equity</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investments.......... 5,682</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(1,290) 6,414 (25) Provision</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(benefit) for 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2,118 (363) 2,261 Minority</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interest 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(expense)...................</w:t>
      </w:r>
    </w:p>
    <w:p>
      <w:pPr>
        <w:spacing w:after="0" w:line="9" w:lineRule="exact"/>
        <w:rPr>
          <w:sz w:val="20"/>
          <w:szCs w:val="20"/>
          <w:color w:val="auto"/>
        </w:rPr>
      </w:pPr>
    </w:p>
    <w:p>
      <w:pPr>
        <w:ind w:left="640" w:right="7339" w:hanging="371"/>
        <w:spacing w:after="0" w:line="251" w:lineRule="auto"/>
        <w:tabs>
          <w:tab w:leader="none" w:pos="797" w:val="left"/>
        </w:tabs>
        <w:numPr>
          <w:ilvl w:val="0"/>
          <w:numId w:val="7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(39) Equity earnings from Liberty Media</w:t>
      </w:r>
    </w:p>
    <w:p>
      <w:pPr>
        <w:ind w:left="420"/>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(2,022) Net earnings (losses)</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from other equity</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620" w:type="dxa"/>
            <w:vAlign w:val="bottom"/>
          </w:tcPr>
          <w:p>
            <w:pPr>
              <w:spacing w:after="0"/>
              <w:rPr>
                <w:sz w:val="20"/>
                <w:szCs w:val="20"/>
                <w:color w:val="auto"/>
              </w:rPr>
            </w:pPr>
            <w:r>
              <w:rPr>
                <w:rFonts w:ascii="Courier New" w:cs="Courier New" w:eastAsia="Courier New" w:hAnsi="Courier New"/>
                <w:sz w:val="17"/>
                <w:szCs w:val="17"/>
                <w:color w:val="auto"/>
              </w:rPr>
              <w:t>investments....</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4,171 (1,271)</w:t>
            </w:r>
          </w:p>
        </w:tc>
      </w:tr>
    </w:tbl>
    <w:p>
      <w:pPr>
        <w:spacing w:after="0" w:line="4" w:lineRule="exact"/>
        <w:rPr>
          <w:sz w:val="20"/>
          <w:szCs w:val="20"/>
          <w:color w:val="auto"/>
        </w:rPr>
      </w:pPr>
    </w:p>
    <w:p>
      <w:pPr>
        <w:ind w:left="800" w:right="7219" w:hanging="636"/>
        <w:spacing w:after="0" w:line="251" w:lineRule="auto"/>
        <w:tabs>
          <w:tab w:leader="none" w:pos="800" w:val="left"/>
        </w:tabs>
        <w:numPr>
          <w:ilvl w:val="0"/>
          <w:numId w:val="7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(2,877) Income (loss) from continuing</w:t>
      </w:r>
    </w:p>
    <w:tbl>
      <w:tblPr>
        <w:tblLayout w:type="fixed"/>
        <w:tblInd w:w="120" w:type="dxa"/>
        <w:tblCellMar>
          <w:top w:w="0" w:type="dxa"/>
          <w:left w:w="0" w:type="dxa"/>
          <w:bottom w:w="0" w:type="dxa"/>
          <w:right w:w="0" w:type="dxa"/>
        </w:tblCellMar>
      </w:tblPr>
      <w:tr>
        <w:trPr>
          <w:trHeight w:val="197"/>
        </w:trPr>
        <w:tc>
          <w:tcPr>
            <w:tcW w:w="28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operations..................</w:t>
            </w:r>
          </w:p>
        </w:tc>
      </w:tr>
      <w:tr>
        <w:trPr>
          <w:trHeight w:val="201"/>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7,648</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(4,220)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3,335 (2,902)</w:t>
            </w:r>
          </w:p>
        </w:tc>
      </w:tr>
    </w:tbl>
    <w:p>
      <w:pPr>
        <w:spacing w:after="0" w:line="4"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Income from discontinued</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operations (net of income</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(458) 25 Net income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(loss)............. $ 7,648</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$(4,220) $-- $-- $-- $ 2,877</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$(2,877)</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CONSOLIDATED AT&amp;T CORP. -----</w:t>
      </w:r>
    </w:p>
    <w:p>
      <w:pPr>
        <w:spacing w:after="0" w:line="9"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$54,973 Operating Expenses</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Costs of services and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products....................</w:t>
      </w:r>
    </w:p>
    <w:p>
      <w:pPr>
        <w:sectPr>
          <w:pgSz w:w="11900" w:h="16838" w:orient="portrait"/>
          <w:cols w:equalWidth="0" w:num="1">
            <w:col w:w="10219"/>
          </w:cols>
          <w:pgMar w:left="240" w:top="519" w:right="1440" w:bottom="0" w:gutter="0" w:footer="0" w:header="0"/>
        </w:sectPr>
      </w:pPr>
    </w:p>
    <w:bookmarkStart w:id="700" w:name="page701"/>
    <w:bookmarkEnd w:id="700"/>
    <w:p>
      <w:pPr>
        <w:jc w:val="center"/>
        <w:ind w:right="7119"/>
        <w:spacing w:after="0"/>
        <w:rPr>
          <w:sz w:val="20"/>
          <w:szCs w:val="20"/>
          <w:color w:val="auto"/>
        </w:rPr>
      </w:pPr>
      <w:r>
        <w:rPr>
          <w:rFonts w:ascii="Courier New" w:cs="Courier New" w:eastAsia="Courier New" w:hAnsi="Courier New"/>
          <w:sz w:val="17"/>
          <w:szCs w:val="17"/>
          <w:color w:val="auto"/>
        </w:rPr>
        <w:t>11,013 Access and other</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connection... 14,439 Selling,</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general and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administrative..............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10,894 Depreciation and other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amortization................</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5,137 Amortization of</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goodwill, franchise costs and</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other purchased</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intangibles....... 1,057 Net</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restructuring and other</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charges.....................</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975 Total operating</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expenses...... 43,515</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(loss)....... 11,458 Other</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income (expense)........ 826</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Interest expense</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(benefit).... 1,503 Income</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(loss) from continuing</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operations before 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taxes, minority interest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(losses) from equity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investments.......... 10,781</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Provision (benefit) for</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4,016 Minority interest</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(expense)...................</w:t>
      </w:r>
    </w:p>
    <w:p>
      <w:pPr>
        <w:spacing w:after="0" w:line="9" w:lineRule="exact"/>
        <w:rPr>
          <w:sz w:val="20"/>
          <w:szCs w:val="20"/>
          <w:color w:val="auto"/>
        </w:rPr>
      </w:pPr>
    </w:p>
    <w:p>
      <w:pPr>
        <w:ind w:left="840" w:right="7279" w:hanging="683"/>
        <w:spacing w:after="0" w:line="251" w:lineRule="auto"/>
        <w:tabs>
          <w:tab w:leader="none" w:pos="787" w:val="left"/>
        </w:tabs>
        <w:numPr>
          <w:ilvl w:val="0"/>
          <w:numId w:val="7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Equity earnings from Liberty Media</w:t>
      </w:r>
    </w:p>
    <w:p>
      <w:pPr>
        <w:ind w:left="360"/>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(2,022) Net earnings (losses)</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from other equity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investments.... (756) Income</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(loss) from continuing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3,861 Income from</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discontinued operations (net</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7"/>
          <w:szCs w:val="17"/>
          <w:color w:val="auto"/>
        </w:rPr>
        <w:t>of 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(433) Net income</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2040" w:type="dxa"/>
            <w:vAlign w:val="bottom"/>
          </w:tcPr>
          <w:p>
            <w:pPr>
              <w:spacing w:after="0"/>
              <w:rPr>
                <w:sz w:val="20"/>
                <w:szCs w:val="20"/>
                <w:color w:val="auto"/>
              </w:rPr>
            </w:pPr>
            <w:r>
              <w:rPr>
                <w:rFonts w:ascii="Courier New" w:cs="Courier New" w:eastAsia="Courier New" w:hAnsi="Courier New"/>
                <w:sz w:val="17"/>
                <w:szCs w:val="17"/>
                <w:color w:val="auto"/>
              </w:rPr>
              <w:t>(loss).............</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$ 3,428</w:t>
            </w:r>
          </w:p>
        </w:tc>
      </w:tr>
    </w:tbl>
    <w:p>
      <w:pPr>
        <w:spacing w:after="0" w:line="200" w:lineRule="exact"/>
        <w:rPr>
          <w:sz w:val="20"/>
          <w:szCs w:val="20"/>
          <w:color w:val="auto"/>
        </w:rPr>
      </w:pPr>
    </w:p>
    <w:p>
      <w:pPr>
        <w:spacing w:after="0" w:line="207"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L-90</w:t>
      </w:r>
    </w:p>
    <w:p>
      <w:pPr>
        <w:sectPr>
          <w:pgSz w:w="11900" w:h="16838" w:orient="portrait"/>
          <w:cols w:equalWidth="0" w:num="1">
            <w:col w:w="10159"/>
          </w:cols>
          <w:pgMar w:left="300" w:top="142" w:right="1440" w:bottom="1440" w:gutter="0" w:footer="0" w:header="0"/>
        </w:sectPr>
      </w:pPr>
    </w:p>
    <w:bookmarkStart w:id="701" w:name="page702"/>
    <w:bookmarkEnd w:id="701"/>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CONSOLIDATING CONDENSED STATEMENT OF CASH FLOWS</w:t>
      </w:r>
    </w:p>
    <w:p>
      <w:pPr>
        <w:spacing w:after="0" w:line="9" w:lineRule="exact"/>
        <w:rPr>
          <w:sz w:val="20"/>
          <w:szCs w:val="20"/>
          <w:color w:val="auto"/>
        </w:rPr>
      </w:pPr>
    </w:p>
    <w:p>
      <w:pPr>
        <w:ind w:left="60" w:right="4139" w:firstLine="2256"/>
        <w:spacing w:after="0" w:line="251" w:lineRule="auto"/>
        <w:rPr>
          <w:sz w:val="20"/>
          <w:szCs w:val="20"/>
          <w:color w:val="auto"/>
        </w:rPr>
      </w:pPr>
      <w:r>
        <w:rPr>
          <w:rFonts w:ascii="Courier New" w:cs="Courier New" w:eastAsia="Courier New" w:hAnsi="Courier New"/>
          <w:sz w:val="17"/>
          <w:szCs w:val="17"/>
          <w:color w:val="auto"/>
        </w:rPr>
        <w:t>FOR THE YEAR ENDED DECEMBER 31, 1999 ELIMINATION GUARANTOR GUARANTOR</w:t>
      </w:r>
    </w:p>
    <w:p>
      <w:pPr>
        <w:jc w:val="center"/>
        <w:ind w:right="6859"/>
        <w:spacing w:after="0"/>
        <w:rPr>
          <w:sz w:val="20"/>
          <w:szCs w:val="20"/>
          <w:color w:val="auto"/>
        </w:rPr>
      </w:pPr>
      <w:r>
        <w:rPr>
          <w:rFonts w:ascii="Courier New" w:cs="Courier New" w:eastAsia="Courier New" w:hAnsi="Courier New"/>
          <w:sz w:val="17"/>
          <w:szCs w:val="17"/>
          <w:color w:val="auto"/>
        </w:rPr>
        <w:t>TCI TCI TCI AND AT&amp;T SUBSIDIARY</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FINANCING FINANCING FINANCING</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NON-GUARANTOR CONSOLIDATION</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PARENT TCI I II IV SUBSIDIARIES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ADJUSTMENTS --------- ---------</w:t>
      </w:r>
    </w:p>
    <w:p>
      <w:pPr>
        <w:spacing w:after="0" w:line="9" w:lineRule="exact"/>
        <w:rPr>
          <w:sz w:val="20"/>
          <w:szCs w:val="20"/>
          <w:color w:val="auto"/>
        </w:rPr>
      </w:pPr>
    </w:p>
    <w:p>
      <w:pPr>
        <w:ind w:left="260" w:hanging="204"/>
        <w:spacing w:after="0"/>
        <w:tabs>
          <w:tab w:leader="none" w:pos="260" w:val="left"/>
        </w:tabs>
        <w:numPr>
          <w:ilvl w:val="0"/>
          <w:numId w:val="7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NET</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CASH PROVIDED BY (USED IN)</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OPERATING ACTIVITIES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CONTINUING OPERATIONS.........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$ 2,672 $ (578) $ -- $ -- $ --</w:t>
      </w:r>
    </w:p>
    <w:p>
      <w:pPr>
        <w:spacing w:after="0" w:line="9" w:lineRule="exact"/>
        <w:rPr>
          <w:sz w:val="20"/>
          <w:szCs w:val="20"/>
          <w:color w:val="auto"/>
        </w:rPr>
      </w:pPr>
    </w:p>
    <w:p>
      <w:pPr>
        <w:ind w:left="60" w:right="6919" w:firstLine="310"/>
        <w:spacing w:after="0" w:line="251" w:lineRule="auto"/>
        <w:tabs>
          <w:tab w:leader="none" w:pos="584" w:val="left"/>
        </w:tabs>
        <w:numPr>
          <w:ilvl w:val="0"/>
          <w:numId w:val="7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8,613 $ (198) INVESTING ACTIVITIES Capital expenditures</w:t>
      </w:r>
    </w:p>
    <w:p>
      <w:pPr>
        <w:ind w:left="1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 other</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additions.....................</w:t>
      </w:r>
    </w:p>
    <w:p>
      <w:pPr>
        <w:spacing w:after="0" w:line="8" w:lineRule="exact"/>
        <w:rPr>
          <w:rFonts w:ascii="Courier New" w:cs="Courier New" w:eastAsia="Courier New" w:hAnsi="Courier New"/>
          <w:sz w:val="17"/>
          <w:szCs w:val="17"/>
          <w:color w:val="auto"/>
        </w:rPr>
      </w:pPr>
    </w:p>
    <w:p>
      <w:pPr>
        <w:jc w:val="center"/>
        <w:ind w:left="60" w:right="6919" w:firstLine="105"/>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(1,733) (60) -- -- (9,797) -- Equity investment distributions and sales.....................</w:t>
      </w:r>
    </w:p>
    <w:p>
      <w:pPr>
        <w:jc w:val="center"/>
        <w:ind w:left="220" w:right="7079" w:firstLine="5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61 -- -- -- 1,513 -- Equity investment contributions and purchases.................</w:t>
      </w: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(5,473) (1,857) -- -- (2,364)</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1,857 Net (acquisitions)</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dispositions of businesses net</w:t>
      </w:r>
    </w:p>
    <w:p>
      <w:pPr>
        <w:spacing w:after="0" w:line="8" w:lineRule="exact"/>
        <w:rPr>
          <w:rFonts w:ascii="Courier New" w:cs="Courier New" w:eastAsia="Courier New" w:hAnsi="Courier New"/>
          <w:sz w:val="17"/>
          <w:szCs w:val="17"/>
          <w:color w:val="auto"/>
        </w:rPr>
      </w:pPr>
    </w:p>
    <w:p>
      <w:pPr>
        <w:ind w:left="1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cash</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acquired/disposed.............</w:t>
      </w:r>
    </w:p>
    <w:p>
      <w:pPr>
        <w:spacing w:after="0" w:line="8" w:lineRule="exact"/>
        <w:rPr>
          <w:rFonts w:ascii="Courier New" w:cs="Courier New" w:eastAsia="Courier New" w:hAnsi="Courier New"/>
          <w:sz w:val="17"/>
          <w:szCs w:val="17"/>
          <w:color w:val="auto"/>
        </w:rPr>
      </w:pPr>
    </w:p>
    <w:p>
      <w:pPr>
        <w:ind w:left="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(6,405) -- -- -- 436 --</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Other...........................</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(203) 103 -- -- (15,056) 15,094</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CASH (USED IN) PROVIDED BY</w:t>
      </w:r>
    </w:p>
    <w:p>
      <w:pPr>
        <w:spacing w:after="0" w:line="8" w:lineRule="exact"/>
        <w:rPr>
          <w:rFonts w:ascii="Courier New" w:cs="Courier New" w:eastAsia="Courier New" w:hAnsi="Courier New"/>
          <w:sz w:val="17"/>
          <w:szCs w:val="17"/>
          <w:color w:val="auto"/>
        </w:rPr>
      </w:pPr>
    </w:p>
    <w:p>
      <w:pPr>
        <w:ind w:left="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 ACTIVITIES OF</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OPERATIONS.........</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(13,753) (1,814) -- -- (25,268)</w:t>
      </w:r>
    </w:p>
    <w:p>
      <w:pPr>
        <w:spacing w:after="0" w:line="8" w:lineRule="exact"/>
        <w:rPr>
          <w:rFonts w:ascii="Courier New" w:cs="Courier New" w:eastAsia="Courier New" w:hAnsi="Courier New"/>
          <w:sz w:val="17"/>
          <w:szCs w:val="17"/>
          <w:color w:val="auto"/>
        </w:rPr>
      </w:pPr>
    </w:p>
    <w:p>
      <w:pPr>
        <w:jc w:val="center"/>
        <w:ind w:left="100" w:right="6979" w:firstLine="157"/>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16,951 FINANCING ACTIVITIES Proceeds from long-term debt issuances.....................</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8,396 -- -- -- -- Proceeds from</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debt from AT&amp;T.... -- 5,866 --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-- 5,365 (11,231) Retirement of</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long-term debt.... (1,014)</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(1,365) -- -- 124 -- Retirement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of AT&amp;T debt......... --</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(2,109) -- -- 2,109 Issuance of</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AT&amp;T convertible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securities....................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4,694 -- -- -- (56) -- Net</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acquisitions of treasury</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(4,624) -- -- -- -- Dividends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paid on common</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(2,685) -- -- -- (27) --</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Increase (decrease) in short-</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term borrowings, net.... 19,154</w:t>
      </w:r>
    </w:p>
    <w:p>
      <w:pPr>
        <w:spacing w:after="0" w:line="9" w:lineRule="exact"/>
        <w:rPr>
          <w:sz w:val="20"/>
          <w:szCs w:val="20"/>
          <w:color w:val="auto"/>
        </w:rPr>
      </w:pPr>
    </w:p>
    <w:p>
      <w:pPr>
        <w:ind w:right="6859" w:firstLine="422"/>
        <w:spacing w:after="0" w:line="251" w:lineRule="auto"/>
        <w:tabs>
          <w:tab w:leader="none" w:pos="729" w:val="left"/>
        </w:tabs>
        <w:numPr>
          <w:ilvl w:val="0"/>
          <w:numId w:val="7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(1,207) (7,774) Other...........................</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(13,215) -- -- -- 13,365 88 NET</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PROVIDED BY (USED IN)</w:t>
      </w:r>
    </w:p>
    <w:p>
      <w:pPr>
        <w:spacing w:after="0" w:line="8" w:lineRule="exact"/>
        <w:rPr>
          <w:rFonts w:ascii="Courier New" w:cs="Courier New" w:eastAsia="Courier New" w:hAnsi="Courier New"/>
          <w:sz w:val="17"/>
          <w:szCs w:val="17"/>
          <w:color w:val="auto"/>
        </w:rPr>
      </w:pPr>
    </w:p>
    <w:p>
      <w:pPr>
        <w:ind w:left="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FINANCING ACTIVITIES OF</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OPERATIONS.........</w:t>
      </w:r>
    </w:p>
    <w:p>
      <w:pPr>
        <w:spacing w:after="0" w:line="8" w:lineRule="exact"/>
        <w:rPr>
          <w:rFonts w:ascii="Courier New" w:cs="Courier New" w:eastAsia="Courier New" w:hAnsi="Courier New"/>
          <w:sz w:val="17"/>
          <w:szCs w:val="17"/>
          <w:color w:val="auto"/>
        </w:rPr>
      </w:pP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10,706 2,392 -- -- 17,564</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(16,808) Net cash provided by</w:t>
      </w:r>
    </w:p>
    <w:p>
      <w:pPr>
        <w:spacing w:after="0" w:line="8"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(used in) discontinued</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operations....... -- -- -- --</w:t>
      </w:r>
    </w:p>
    <w:p>
      <w:pPr>
        <w:spacing w:after="0" w:line="8" w:lineRule="exact"/>
        <w:rPr>
          <w:rFonts w:ascii="Courier New" w:cs="Courier New" w:eastAsia="Courier New" w:hAnsi="Courier New"/>
          <w:sz w:val="17"/>
          <w:szCs w:val="17"/>
          <w:color w:val="auto"/>
        </w:rPr>
      </w:pPr>
    </w:p>
    <w:p>
      <w:pPr>
        <w:jc w:val="both"/>
        <w:ind w:left="360" w:right="72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(2,649) 55 Net (decrease) increase in cash and cash</w:t>
      </w:r>
    </w:p>
    <w:tbl>
      <w:tblPr>
        <w:tblLayout w:type="fixed"/>
        <w:tblInd w:w="100" w:type="dxa"/>
        <w:tblCellMar>
          <w:top w:w="0" w:type="dxa"/>
          <w:left w:w="0" w:type="dxa"/>
          <w:bottom w:w="0" w:type="dxa"/>
          <w:right w:w="0" w:type="dxa"/>
        </w:tblCellMar>
      </w:tblPr>
      <w:tr>
        <w:trPr>
          <w:trHeight w:val="197"/>
        </w:trPr>
        <w:tc>
          <w:tcPr>
            <w:tcW w:w="2260" w:type="dxa"/>
            <w:vAlign w:val="bottom"/>
          </w:tcPr>
          <w:p>
            <w:pPr>
              <w:spacing w:after="0"/>
              <w:rPr>
                <w:sz w:val="20"/>
                <w:szCs w:val="20"/>
                <w:color w:val="auto"/>
              </w:rPr>
            </w:pPr>
            <w:r>
              <w:rPr>
                <w:rFonts w:ascii="Courier New" w:cs="Courier New" w:eastAsia="Courier New" w:hAnsi="Courier New"/>
                <w:sz w:val="17"/>
                <w:szCs w:val="17"/>
                <w:color w:val="auto"/>
              </w:rPr>
              <w:t>equivalents..........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(375) --</w:t>
            </w:r>
          </w:p>
        </w:tc>
      </w:tr>
    </w:tbl>
    <w:p>
      <w:pPr>
        <w:spacing w:after="0" w:line="4" w:lineRule="exact"/>
        <w:rPr>
          <w:sz w:val="20"/>
          <w:szCs w:val="20"/>
          <w:color w:val="auto"/>
        </w:rPr>
      </w:pPr>
    </w:p>
    <w:p>
      <w:pPr>
        <w:ind w:left="260" w:right="6959" w:hanging="152"/>
        <w:spacing w:after="0" w:line="251" w:lineRule="auto"/>
        <w:tabs>
          <w:tab w:leader="none" w:pos="417" w:val="left"/>
        </w:tabs>
        <w:numPr>
          <w:ilvl w:val="0"/>
          <w:numId w:val="7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(1,740) -- Cash and cash equivalents at beginning of</w:t>
      </w:r>
    </w:p>
    <w:p>
      <w:pPr>
        <w:ind w:left="100"/>
        <w:spacing w:after="0"/>
        <w:rPr>
          <w:sz w:val="20"/>
          <w:szCs w:val="20"/>
          <w:color w:val="auto"/>
        </w:rPr>
      </w:pPr>
      <w:r>
        <w:rPr>
          <w:rFonts w:ascii="Courier New" w:cs="Courier New" w:eastAsia="Courier New" w:hAnsi="Courier New"/>
          <w:sz w:val="17"/>
          <w:szCs w:val="17"/>
          <w:color w:val="auto"/>
        </w:rPr>
        <w:t>year............. 375 -- -- --</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2,758 -- Cash and cash</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equivalents at end of</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period..................... $ -</w:t>
      </w:r>
    </w:p>
    <w:p>
      <w:pPr>
        <w:sectPr>
          <w:pgSz w:w="11900" w:h="16838" w:orient="portrait"/>
          <w:cols w:equalWidth="0" w:num="1">
            <w:col w:w="10219"/>
          </w:cols>
          <w:pgMar w:left="240" w:top="518" w:right="1440" w:bottom="0" w:gutter="0" w:footer="0" w:header="0"/>
        </w:sectPr>
      </w:pPr>
    </w:p>
    <w:bookmarkStart w:id="702" w:name="page703"/>
    <w:bookmarkEnd w:id="702"/>
    <w:p>
      <w:pPr>
        <w:ind w:left="260" w:hanging="204"/>
        <w:spacing w:after="0"/>
        <w:tabs>
          <w:tab w:leader="none" w:pos="260" w:val="left"/>
        </w:tabs>
        <w:numPr>
          <w:ilvl w:val="0"/>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 -- $ -- $ 1,018 $</w:t>
      </w:r>
    </w:p>
    <w:p>
      <w:pPr>
        <w:spacing w:after="0" w:line="8" w:lineRule="exact"/>
        <w:rPr>
          <w:rFonts w:ascii="Courier New" w:cs="Courier New" w:eastAsia="Courier New" w:hAnsi="Courier New"/>
          <w:sz w:val="17"/>
          <w:szCs w:val="17"/>
          <w:color w:val="auto"/>
        </w:rPr>
      </w:pPr>
    </w:p>
    <w:p>
      <w:pPr>
        <w:ind w:left="15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100" w:right="6979" w:firstLine="218"/>
        <w:spacing w:after="0" w:line="257" w:lineRule="auto"/>
        <w:tabs>
          <w:tab w:leader="none" w:pos="938" w:val="left"/>
        </w:tabs>
        <w:numPr>
          <w:ilvl w:val="0"/>
          <w:numId w:val="7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CASH PROVIDED BY (USED IN) OPERATING ACTIVITIES</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2040" w:type="dxa"/>
            <w:vAlign w:val="bottom"/>
          </w:tcPr>
          <w:p>
            <w:pPr>
              <w:spacing w:after="0"/>
              <w:rPr>
                <w:sz w:val="20"/>
                <w:szCs w:val="20"/>
                <w:color w:val="auto"/>
              </w:rPr>
            </w:pPr>
            <w:r>
              <w:rPr>
                <w:rFonts w:ascii="Courier New" w:cs="Courier New" w:eastAsia="Courier New" w:hAnsi="Courier New"/>
                <w:sz w:val="17"/>
                <w:szCs w:val="17"/>
                <w:color w:val="auto"/>
              </w:rPr>
              <w:t>OPERATIONS.........</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$ 10,509</w:t>
            </w:r>
          </w:p>
        </w:tc>
      </w:tr>
    </w:tbl>
    <w:p>
      <w:pPr>
        <w:spacing w:after="0" w:line="4"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INVESTING ACTIVITIES Capital</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expenditures and other</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additions.....................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(11,590) Equity investment</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distributions and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sales.....................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1,574 Equity investment</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contributions and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purchases.................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(7,837) Net (acquisitions)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dispositions of businesses net</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of 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acquired/disposed.............</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(5,969)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580" w:right="7339" w:hanging="106"/>
        <w:spacing w:after="0" w:line="257" w:lineRule="auto"/>
        <w:tabs>
          <w:tab w:leader="none" w:pos="999" w:val="left"/>
        </w:tabs>
        <w:numPr>
          <w:ilvl w:val="0"/>
          <w:numId w:val="7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CASH (USED IN) PROVIDED BY INVESTING</w:t>
      </w:r>
    </w:p>
    <w:p>
      <w:pPr>
        <w:spacing w:after="0" w:line="192"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OPERATIONS......... (23,884)</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FINANCING ACTIVITIES Proceeds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from long-term debt</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issuances.....................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8,396 Proceeds from debt from</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AT&amp;T.... -- Retirement of long-</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term debt.... (2,255)</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Retirement of AT&amp;T</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debt......... -- Issuance of</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AT&amp;T convertible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securities....................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4,638 Net acquisitions of</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treasury</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(4,624) Dividends paid on</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(2,712) Increase (decrease) in</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short-term borrowings, net....</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10,173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238 NET CASH PROVIDED BY (USED</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IN) FINANCING ACTIVITIES OF</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CONTINUING OPERATIONS.........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13,854 Net cash provided by</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(used in) discontinued</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operations....... (2,594) Net</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(decrease) increase in cash and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cash equivalents..........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(2,115) Cash and cash</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equivalents at beginning of</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year............. 3,133 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and cash equivalents at end of</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period..................... $</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1,018</w:t>
      </w:r>
    </w:p>
    <w:p>
      <w:pPr>
        <w:spacing w:after="0" w:line="200" w:lineRule="exact"/>
        <w:rPr>
          <w:sz w:val="20"/>
          <w:szCs w:val="20"/>
          <w:color w:val="auto"/>
        </w:rPr>
      </w:pPr>
    </w:p>
    <w:p>
      <w:pPr>
        <w:spacing w:after="0" w:line="212"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7"/>
          <w:szCs w:val="17"/>
          <w:color w:val="auto"/>
        </w:rPr>
        <w:t>L-91</w:t>
      </w:r>
    </w:p>
    <w:p>
      <w:pPr>
        <w:sectPr>
          <w:pgSz w:w="11900" w:h="16838" w:orient="portrait"/>
          <w:cols w:equalWidth="0" w:num="1">
            <w:col w:w="10219"/>
          </w:cols>
          <w:pgMar w:left="240" w:top="142" w:right="1440" w:bottom="1440" w:gutter="0" w:footer="0" w:header="0"/>
        </w:sectPr>
      </w:pPr>
    </w:p>
    <w:bookmarkStart w:id="703" w:name="page704"/>
    <w:bookmarkEnd w:id="703"/>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540" w:hanging="533"/>
        <w:spacing w:after="0"/>
        <w:tabs>
          <w:tab w:leader="none" w:pos="540" w:val="left"/>
        </w:tabs>
        <w:numPr>
          <w:ilvl w:val="0"/>
          <w:numId w:val="7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INFORMATION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FIRST SECOND THIRD FOURTH</w:t>
            </w:r>
          </w:p>
        </w:tc>
        <w:tc>
          <w:tcPr>
            <w:tcW w:w="34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 -------</w:t>
            </w:r>
          </w:p>
        </w:tc>
      </w:tr>
      <w:tr>
        <w:trPr>
          <w:trHeight w:val="201"/>
        </w:trPr>
        <w:tc>
          <w:tcPr>
            <w:tcW w:w="2720" w:type="dxa"/>
            <w:vAlign w:val="bottom"/>
          </w:tcPr>
          <w:p>
            <w:pPr>
              <w:spacing w:after="0"/>
              <w:rPr>
                <w:sz w:val="17"/>
                <w:szCs w:val="17"/>
                <w:color w:val="auto"/>
              </w:rPr>
            </w:pPr>
          </w:p>
        </w:tc>
        <w:tc>
          <w:tcPr>
            <w:tcW w:w="2000" w:type="dxa"/>
            <w:vAlign w:val="bottom"/>
          </w:tcPr>
          <w:p>
            <w:pPr>
              <w:jc w:val="right"/>
              <w:ind w:right="1333"/>
              <w:spacing w:after="0"/>
              <w:rPr>
                <w:sz w:val="20"/>
                <w:szCs w:val="20"/>
                <w:color w:val="auto"/>
              </w:rPr>
            </w:pPr>
            <w:r>
              <w:rPr>
                <w:rFonts w:ascii="Courier New" w:cs="Courier New" w:eastAsia="Courier New" w:hAnsi="Courier New"/>
                <w:sz w:val="17"/>
                <w:szCs w:val="17"/>
                <w:color w:val="auto"/>
              </w:rPr>
              <w:t>2000</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4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Revenue(1).................................................</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2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$13,703 $13,744 $14,176</w:t>
            </w:r>
          </w:p>
        </w:tc>
        <w:tc>
          <w:tcPr>
            <w:tcW w:w="33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$13,910 Operating income (loss)</w:t>
            </w:r>
          </w:p>
        </w:tc>
        <w:tc>
          <w:tcPr>
            <w:tcW w:w="120" w:type="dxa"/>
            <w:vAlign w:val="bottom"/>
          </w:tcPr>
          <w:p>
            <w:pPr>
              <w:spacing w:after="0"/>
              <w:rPr>
                <w:sz w:val="17"/>
                <w:szCs w:val="17"/>
                <w:color w:val="auto"/>
              </w:rPr>
            </w:pPr>
          </w:p>
        </w:tc>
      </w:tr>
      <w:tr>
        <w:trPr>
          <w:trHeight w:val="201"/>
        </w:trPr>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w w:val="73"/>
              </w:rPr>
              <w:t>(2).................................</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2,347</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3,140</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2,907</w:t>
            </w:r>
          </w:p>
        </w:tc>
        <w:tc>
          <w:tcPr>
            <w:tcW w:w="120" w:type="dxa"/>
            <w:vAlign w:val="bottom"/>
          </w:tcPr>
          <w:p>
            <w:pPr>
              <w:spacing w:after="0"/>
              <w:rPr>
                <w:sz w:val="17"/>
                <w:szCs w:val="17"/>
                <w:color w:val="auto"/>
              </w:rPr>
            </w:pPr>
          </w:p>
        </w:tc>
      </w:tr>
      <w:tr>
        <w:trPr>
          <w:trHeight w:val="201"/>
        </w:trPr>
        <w:tc>
          <w:tcPr>
            <w:tcW w:w="5340" w:type="dxa"/>
            <w:vAlign w:val="bottom"/>
            <w:gridSpan w:val="3"/>
          </w:tcPr>
          <w:p>
            <w:pPr>
              <w:jc w:val="center"/>
              <w:ind w:left="773"/>
              <w:spacing w:after="0"/>
              <w:rPr>
                <w:sz w:val="20"/>
                <w:szCs w:val="20"/>
                <w:color w:val="auto"/>
              </w:rPr>
            </w:pPr>
            <w:r>
              <w:rPr>
                <w:rFonts w:ascii="Courier New" w:cs="Courier New" w:eastAsia="Courier New" w:hAnsi="Courier New"/>
                <w:sz w:val="17"/>
                <w:szCs w:val="17"/>
                <w:color w:val="auto"/>
              </w:rPr>
              <w:t>(4,166) Income (loss) from continuing</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w w:val="91"/>
              </w:rPr>
              <w:t>operations...................</w:t>
            </w:r>
          </w:p>
        </w:tc>
        <w:tc>
          <w:tcPr>
            <w:tcW w:w="33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2,650 1,857 3,074 (3,448)</w:t>
            </w:r>
          </w:p>
        </w:tc>
        <w:tc>
          <w:tcPr>
            <w:tcW w:w="120" w:type="dxa"/>
            <w:vAlign w:val="bottom"/>
          </w:tcPr>
          <w:p>
            <w:pPr>
              <w:spacing w:after="0"/>
              <w:rPr>
                <w:sz w:val="17"/>
                <w:szCs w:val="17"/>
                <w:color w:val="auto"/>
              </w:rPr>
            </w:pPr>
          </w:p>
        </w:tc>
      </w:tr>
      <w:tr>
        <w:trPr>
          <w:trHeight w:val="201"/>
        </w:trPr>
        <w:tc>
          <w:tcPr>
            <w:tcW w:w="6020" w:type="dxa"/>
            <w:vAlign w:val="bottom"/>
            <w:gridSpan w:val="4"/>
          </w:tcPr>
          <w:p>
            <w:pPr>
              <w:jc w:val="center"/>
              <w:ind w:left="93"/>
              <w:spacing w:after="0"/>
              <w:rPr>
                <w:sz w:val="20"/>
                <w:szCs w:val="20"/>
                <w:color w:val="auto"/>
              </w:rPr>
            </w:pPr>
            <w:r>
              <w:rPr>
                <w:rFonts w:ascii="Courier New" w:cs="Courier New" w:eastAsia="Courier New" w:hAnsi="Courier New"/>
                <w:sz w:val="17"/>
                <w:szCs w:val="17"/>
                <w:color w:val="auto"/>
              </w:rPr>
              <w:t>Income (loss) from discontinued operations -- net of</w:t>
            </w:r>
          </w:p>
        </w:tc>
        <w:tc>
          <w:tcPr>
            <w:tcW w:w="120" w:type="dxa"/>
            <w:vAlign w:val="bottom"/>
          </w:tcPr>
          <w:p>
            <w:pPr>
              <w:spacing w:after="0"/>
              <w:rPr>
                <w:sz w:val="17"/>
                <w:szCs w:val="17"/>
                <w:color w:val="auto"/>
              </w:rPr>
            </w:pPr>
          </w:p>
        </w:tc>
      </w:tr>
      <w:tr>
        <w:trPr>
          <w:trHeight w:val="201"/>
        </w:trPr>
        <w:tc>
          <w:tcPr>
            <w:tcW w:w="2720" w:type="dxa"/>
            <w:vAlign w:val="bottom"/>
          </w:tcPr>
          <w:p>
            <w:pPr>
              <w:spacing w:after="0"/>
              <w:rPr>
                <w:sz w:val="17"/>
                <w:szCs w:val="17"/>
                <w:color w:val="auto"/>
              </w:rPr>
            </w:pPr>
          </w:p>
        </w:tc>
        <w:tc>
          <w:tcPr>
            <w:tcW w:w="2000" w:type="dxa"/>
            <w:vAlign w:val="bottom"/>
          </w:tcPr>
          <w:p>
            <w:pPr>
              <w:jc w:val="center"/>
              <w:ind w:right="1173"/>
              <w:spacing w:after="0"/>
              <w:rPr>
                <w:sz w:val="20"/>
                <w:szCs w:val="20"/>
                <w:color w:val="auto"/>
              </w:rPr>
            </w:pPr>
            <w:r>
              <w:rPr>
                <w:rFonts w:ascii="Courier New" w:cs="Courier New" w:eastAsia="Courier New" w:hAnsi="Courier New"/>
                <w:sz w:val="17"/>
                <w:szCs w:val="17"/>
                <w:color w:val="auto"/>
              </w:rPr>
              <w:t>income</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4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0"/>
              </w:rPr>
              <w:t>taxes....................................................</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4720" w:type="dxa"/>
            <w:vAlign w:val="bottom"/>
            <w:gridSpan w:val="2"/>
          </w:tcPr>
          <w:p>
            <w:pPr>
              <w:jc w:val="center"/>
              <w:ind w:left="1373"/>
              <w:spacing w:after="0"/>
              <w:rPr>
                <w:sz w:val="20"/>
                <w:szCs w:val="20"/>
                <w:color w:val="auto"/>
              </w:rPr>
            </w:pPr>
            <w:r>
              <w:rPr>
                <w:rFonts w:ascii="Courier New" w:cs="Courier New" w:eastAsia="Courier New" w:hAnsi="Courier New"/>
                <w:sz w:val="17"/>
                <w:szCs w:val="17"/>
                <w:color w:val="auto"/>
              </w:rPr>
              <w:t>33 177 (2) 328 Net income</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4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(loss)..........................................</w:t>
            </w:r>
          </w:p>
        </w:tc>
        <w:tc>
          <w:tcPr>
            <w:tcW w:w="13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$ 2,683</w:t>
            </w:r>
          </w:p>
        </w:tc>
        <w:tc>
          <w:tcPr>
            <w:tcW w:w="1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201"/>
        </w:trPr>
        <w:tc>
          <w:tcPr>
            <w:tcW w:w="6020" w:type="dxa"/>
            <w:vAlign w:val="bottom"/>
            <w:gridSpan w:val="4"/>
          </w:tcPr>
          <w:p>
            <w:pPr>
              <w:jc w:val="center"/>
              <w:ind w:left="73"/>
              <w:spacing w:after="0"/>
              <w:rPr>
                <w:sz w:val="20"/>
                <w:szCs w:val="20"/>
                <w:color w:val="auto"/>
              </w:rPr>
            </w:pPr>
            <w:r>
              <w:rPr>
                <w:rFonts w:ascii="Courier New" w:cs="Courier New" w:eastAsia="Courier New" w:hAnsi="Courier New"/>
                <w:sz w:val="17"/>
                <w:szCs w:val="17"/>
                <w:color w:val="auto"/>
              </w:rPr>
              <w:t>2,034 $ 3,072 $(3,120) AT&amp;T Common Stock Group: Earnings</w:t>
            </w:r>
          </w:p>
        </w:tc>
        <w:tc>
          <w:tcPr>
            <w:tcW w:w="120" w:type="dxa"/>
            <w:vAlign w:val="bottom"/>
          </w:tcPr>
          <w:p>
            <w:pPr>
              <w:spacing w:after="0"/>
              <w:rPr>
                <w:sz w:val="17"/>
                <w:szCs w:val="17"/>
                <w:color w:val="auto"/>
              </w:rPr>
            </w:pPr>
          </w:p>
        </w:tc>
      </w:tr>
      <w:tr>
        <w:trPr>
          <w:trHeight w:val="201"/>
        </w:trPr>
        <w:tc>
          <w:tcPr>
            <w:tcW w:w="5340" w:type="dxa"/>
            <w:vAlign w:val="bottom"/>
            <w:gridSpan w:val="3"/>
          </w:tcPr>
          <w:p>
            <w:pPr>
              <w:jc w:val="center"/>
              <w:ind w:left="773"/>
              <w:spacing w:after="0"/>
              <w:rPr>
                <w:sz w:val="20"/>
                <w:szCs w:val="20"/>
                <w:color w:val="auto"/>
              </w:rPr>
            </w:pPr>
            <w:r>
              <w:rPr>
                <w:rFonts w:ascii="Courier New" w:cs="Courier New" w:eastAsia="Courier New" w:hAnsi="Courier New"/>
                <w:sz w:val="17"/>
                <w:szCs w:val="17"/>
                <w:color w:val="auto"/>
              </w:rPr>
              <w:t>(loss) per share -- basic: Continuing</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4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operations....................................</w:t>
            </w:r>
          </w:p>
        </w:tc>
        <w:tc>
          <w:tcPr>
            <w:tcW w:w="14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.54 $ .49</w:t>
            </w:r>
          </w:p>
        </w:tc>
      </w:tr>
      <w:tr>
        <w:trPr>
          <w:trHeight w:val="201"/>
        </w:trPr>
        <w:tc>
          <w:tcPr>
            <w:tcW w:w="4720" w:type="dxa"/>
            <w:vAlign w:val="bottom"/>
            <w:gridSpan w:val="2"/>
          </w:tcPr>
          <w:p>
            <w:pPr>
              <w:jc w:val="center"/>
              <w:ind w:left="1393"/>
              <w:spacing w:after="0"/>
              <w:rPr>
                <w:sz w:val="20"/>
                <w:szCs w:val="20"/>
                <w:color w:val="auto"/>
              </w:rPr>
            </w:pPr>
            <w:r>
              <w:rPr>
                <w:rFonts w:ascii="Courier New" w:cs="Courier New" w:eastAsia="Courier New" w:hAnsi="Courier New"/>
                <w:sz w:val="17"/>
                <w:szCs w:val="17"/>
                <w:color w:val="auto"/>
              </w:rPr>
              <w:t>$ .35 $ (.52) Discontinued</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4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operations..................................</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.01 .05 --</w:t>
            </w:r>
          </w:p>
        </w:tc>
        <w:tc>
          <w:tcPr>
            <w:tcW w:w="120" w:type="dxa"/>
            <w:vAlign w:val="bottom"/>
          </w:tcPr>
          <w:p>
            <w:pPr>
              <w:spacing w:after="0"/>
              <w:rPr>
                <w:sz w:val="17"/>
                <w:szCs w:val="17"/>
                <w:color w:val="auto"/>
              </w:rPr>
            </w:pPr>
          </w:p>
        </w:tc>
      </w:tr>
      <w:tr>
        <w:trPr>
          <w:trHeight w:val="201"/>
        </w:trPr>
        <w:tc>
          <w:tcPr>
            <w:tcW w:w="2720" w:type="dxa"/>
            <w:vAlign w:val="bottom"/>
          </w:tcPr>
          <w:p>
            <w:pPr>
              <w:spacing w:after="0"/>
              <w:rPr>
                <w:sz w:val="17"/>
                <w:szCs w:val="17"/>
                <w:color w:val="auto"/>
              </w:rPr>
            </w:pPr>
          </w:p>
        </w:tc>
        <w:tc>
          <w:tcPr>
            <w:tcW w:w="2000" w:type="dxa"/>
            <w:vAlign w:val="bottom"/>
          </w:tcPr>
          <w:p>
            <w:pPr>
              <w:jc w:val="right"/>
              <w:ind w:right="1373"/>
              <w:spacing w:after="0"/>
              <w:rPr>
                <w:sz w:val="20"/>
                <w:szCs w:val="20"/>
                <w:color w:val="auto"/>
              </w:rPr>
            </w:pPr>
            <w:r>
              <w:rPr>
                <w:rFonts w:ascii="Courier New" w:cs="Courier New" w:eastAsia="Courier New" w:hAnsi="Courier New"/>
                <w:sz w:val="17"/>
                <w:szCs w:val="17"/>
                <w:color w:val="auto"/>
              </w:rPr>
              <w:t>.07</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4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0"/>
              </w:rPr>
              <w:t>Total....................................................</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4" w:lineRule="exact"/>
        <w:rPr>
          <w:sz w:val="20"/>
          <w:szCs w:val="20"/>
          <w:color w:val="auto"/>
        </w:rPr>
      </w:pPr>
    </w:p>
    <w:p>
      <w:pPr>
        <w:ind w:left="2100" w:right="4299" w:hanging="1832"/>
        <w:spacing w:after="0" w:line="251" w:lineRule="auto"/>
        <w:tabs>
          <w:tab w:leader="none" w:pos="477" w:val="left"/>
        </w:tabs>
        <w:numPr>
          <w:ilvl w:val="0"/>
          <w:numId w:val="7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.55 $ .54 $ .35 $ (.45) Earnings (loss) per share -- diluted: Continuing</w:t>
      </w:r>
    </w:p>
    <w:tbl>
      <w:tblPr>
        <w:tblLayout w:type="fixed"/>
        <w:tblInd w:w="60" w:type="dxa"/>
        <w:tblCellMar>
          <w:top w:w="0" w:type="dxa"/>
          <w:left w:w="0" w:type="dxa"/>
          <w:bottom w:w="0" w:type="dxa"/>
          <w:right w:w="0" w:type="dxa"/>
        </w:tblCellMar>
      </w:tblPr>
      <w:tr>
        <w:trPr>
          <w:trHeight w:val="197"/>
        </w:trPr>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rPr>
              <w:t>operations</w:t>
            </w:r>
          </w:p>
        </w:tc>
        <w:tc>
          <w:tcPr>
            <w:tcW w:w="1420" w:type="dxa"/>
            <w:vAlign w:val="bottom"/>
          </w:tcPr>
          <w:p>
            <w:pPr>
              <w:jc w:val="right"/>
              <w:spacing w:after="0"/>
              <w:rPr>
                <w:sz w:val="20"/>
                <w:szCs w:val="20"/>
                <w:color w:val="auto"/>
              </w:rPr>
            </w:pPr>
            <w:r>
              <w:rPr>
                <w:rFonts w:ascii="Courier New" w:cs="Courier New" w:eastAsia="Courier New" w:hAnsi="Courier New"/>
                <w:sz w:val="9"/>
                <w:szCs w:val="9"/>
                <w:color w:val="auto"/>
                <w:w w:val="71"/>
              </w:rPr>
              <w:t>....................................</w:t>
            </w:r>
          </w:p>
        </w:tc>
        <w:tc>
          <w:tcPr>
            <w:tcW w:w="3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.53 $ .48</w:t>
            </w:r>
          </w:p>
        </w:tc>
      </w:tr>
      <w:tr>
        <w:trPr>
          <w:trHeight w:val="201"/>
        </w:trPr>
        <w:tc>
          <w:tcPr>
            <w:tcW w:w="1040" w:type="dxa"/>
            <w:vAlign w:val="bottom"/>
          </w:tcPr>
          <w:p>
            <w:pPr>
              <w:spacing w:after="0"/>
              <w:rPr>
                <w:sz w:val="17"/>
                <w:szCs w:val="17"/>
                <w:color w:val="auto"/>
              </w:rPr>
            </w:pPr>
          </w:p>
        </w:tc>
        <w:tc>
          <w:tcPr>
            <w:tcW w:w="4880" w:type="dxa"/>
            <w:vAlign w:val="bottom"/>
            <w:gridSpan w:val="2"/>
          </w:tcPr>
          <w:p>
            <w:pPr>
              <w:jc w:val="center"/>
              <w:ind w:right="793"/>
              <w:spacing w:after="0"/>
              <w:rPr>
                <w:sz w:val="20"/>
                <w:szCs w:val="20"/>
                <w:color w:val="auto"/>
              </w:rPr>
            </w:pPr>
            <w:r>
              <w:rPr>
                <w:rFonts w:ascii="Courier New" w:cs="Courier New" w:eastAsia="Courier New" w:hAnsi="Courier New"/>
                <w:sz w:val="17"/>
                <w:szCs w:val="17"/>
                <w:color w:val="auto"/>
              </w:rPr>
              <w:t>$ .35 $ (.52) Discontinued</w:t>
            </w:r>
          </w:p>
        </w:tc>
        <w:tc>
          <w:tcPr>
            <w:tcW w:w="160" w:type="dxa"/>
            <w:vAlign w:val="bottom"/>
          </w:tcPr>
          <w:p>
            <w:pPr>
              <w:spacing w:after="0"/>
              <w:rPr>
                <w:sz w:val="17"/>
                <w:szCs w:val="17"/>
                <w:color w:val="auto"/>
              </w:rPr>
            </w:pPr>
          </w:p>
        </w:tc>
      </w:tr>
      <w:tr>
        <w:trPr>
          <w:trHeight w:val="201"/>
        </w:trPr>
        <w:tc>
          <w:tcPr>
            <w:tcW w:w="24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operations..................................</w:t>
            </w:r>
          </w:p>
        </w:tc>
        <w:tc>
          <w:tcPr>
            <w:tcW w:w="3460" w:type="dxa"/>
            <w:vAlign w:val="bottom"/>
          </w:tcPr>
          <w:p>
            <w:pPr>
              <w:jc w:val="right"/>
              <w:spacing w:after="0"/>
              <w:rPr>
                <w:sz w:val="20"/>
                <w:szCs w:val="20"/>
                <w:color w:val="auto"/>
              </w:rPr>
            </w:pPr>
            <w:r>
              <w:rPr>
                <w:rFonts w:ascii="Courier New" w:cs="Courier New" w:eastAsia="Courier New" w:hAnsi="Courier New"/>
                <w:sz w:val="17"/>
                <w:szCs w:val="17"/>
                <w:color w:val="auto"/>
              </w:rPr>
              <w:t>.01 .05 --</w:t>
            </w:r>
          </w:p>
        </w:tc>
        <w:tc>
          <w:tcPr>
            <w:tcW w:w="160" w:type="dxa"/>
            <w:vAlign w:val="bottom"/>
          </w:tcPr>
          <w:p>
            <w:pPr>
              <w:spacing w:after="0"/>
              <w:rPr>
                <w:sz w:val="17"/>
                <w:szCs w:val="17"/>
                <w:color w:val="auto"/>
              </w:rPr>
            </w:pPr>
          </w:p>
        </w:tc>
      </w:tr>
      <w:tr>
        <w:trPr>
          <w:trHeight w:val="201"/>
        </w:trPr>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60" w:type="dxa"/>
            <w:vAlign w:val="bottom"/>
          </w:tcPr>
          <w:p>
            <w:pPr>
              <w:jc w:val="center"/>
              <w:ind w:right="2213"/>
              <w:spacing w:after="0"/>
              <w:rPr>
                <w:sz w:val="20"/>
                <w:szCs w:val="20"/>
                <w:color w:val="auto"/>
              </w:rPr>
            </w:pPr>
            <w:r>
              <w:rPr>
                <w:rFonts w:ascii="Courier New" w:cs="Courier New" w:eastAsia="Courier New" w:hAnsi="Courier New"/>
                <w:sz w:val="17"/>
                <w:szCs w:val="17"/>
                <w:color w:val="auto"/>
              </w:rPr>
              <w:t>.07</w:t>
            </w:r>
          </w:p>
        </w:tc>
        <w:tc>
          <w:tcPr>
            <w:tcW w:w="160" w:type="dxa"/>
            <w:vAlign w:val="bottom"/>
          </w:tcPr>
          <w:p>
            <w:pPr>
              <w:spacing w:after="0"/>
              <w:rPr>
                <w:sz w:val="17"/>
                <w:szCs w:val="17"/>
                <w:color w:val="auto"/>
              </w:rPr>
            </w:pPr>
          </w:p>
        </w:tc>
      </w:tr>
      <w:tr>
        <w:trPr>
          <w:trHeight w:val="201"/>
        </w:trPr>
        <w:tc>
          <w:tcPr>
            <w:tcW w:w="24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Total....................................................</w:t>
            </w:r>
          </w:p>
        </w:tc>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1040" w:type="dxa"/>
            <w:vAlign w:val="bottom"/>
          </w:tcPr>
          <w:p>
            <w:pPr>
              <w:spacing w:after="0"/>
              <w:rPr>
                <w:sz w:val="17"/>
                <w:szCs w:val="17"/>
                <w:color w:val="auto"/>
              </w:rPr>
            </w:pPr>
          </w:p>
        </w:tc>
        <w:tc>
          <w:tcPr>
            <w:tcW w:w="1420" w:type="dxa"/>
            <w:vAlign w:val="bottom"/>
          </w:tcPr>
          <w:p>
            <w:pPr>
              <w:jc w:val="right"/>
              <w:ind w:right="24"/>
              <w:spacing w:after="0"/>
              <w:rPr>
                <w:sz w:val="20"/>
                <w:szCs w:val="20"/>
                <w:color w:val="auto"/>
              </w:rPr>
            </w:pPr>
            <w:r>
              <w:rPr>
                <w:rFonts w:ascii="Courier New" w:cs="Courier New" w:eastAsia="Courier New" w:hAnsi="Courier New"/>
                <w:sz w:val="17"/>
                <w:szCs w:val="17"/>
                <w:color w:val="auto"/>
              </w:rPr>
              <w:t>$ .54 $ .53</w:t>
            </w:r>
          </w:p>
        </w:tc>
        <w:tc>
          <w:tcPr>
            <w:tcW w:w="3460" w:type="dxa"/>
            <w:vAlign w:val="bottom"/>
          </w:tcPr>
          <w:p>
            <w:pPr>
              <w:jc w:val="right"/>
              <w:ind w:right="973"/>
              <w:spacing w:after="0"/>
              <w:rPr>
                <w:sz w:val="20"/>
                <w:szCs w:val="20"/>
                <w:color w:val="auto"/>
              </w:rPr>
            </w:pPr>
            <w:r>
              <w:rPr>
                <w:rFonts w:ascii="Courier New" w:cs="Courier New" w:eastAsia="Courier New" w:hAnsi="Courier New"/>
                <w:sz w:val="17"/>
                <w:szCs w:val="17"/>
                <w:color w:val="auto"/>
              </w:rPr>
              <w:t>$ .35 $ (.45) Dividends</w:t>
            </w:r>
          </w:p>
        </w:tc>
        <w:tc>
          <w:tcPr>
            <w:tcW w:w="160" w:type="dxa"/>
            <w:vAlign w:val="bottom"/>
          </w:tcPr>
          <w:p>
            <w:pPr>
              <w:spacing w:after="0"/>
              <w:rPr>
                <w:sz w:val="17"/>
                <w:szCs w:val="17"/>
                <w:color w:val="auto"/>
              </w:rPr>
            </w:pPr>
          </w:p>
        </w:tc>
      </w:tr>
      <w:tr>
        <w:trPr>
          <w:trHeight w:val="201"/>
        </w:trPr>
        <w:tc>
          <w:tcPr>
            <w:tcW w:w="24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declared.........................................</w:t>
            </w:r>
          </w:p>
        </w:tc>
        <w:tc>
          <w:tcPr>
            <w:tcW w:w="3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.22</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r>
      <w:tr>
        <w:trPr>
          <w:trHeight w:val="201"/>
        </w:trPr>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.22 $ .22</w:t>
            </w:r>
          </w:p>
        </w:tc>
        <w:tc>
          <w:tcPr>
            <w:tcW w:w="5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.0375 AT&amp;T Wireless Group(3): Earnings (loss)</w:t>
            </w:r>
          </w:p>
        </w:tc>
      </w:tr>
      <w:tr>
        <w:trPr>
          <w:trHeight w:val="201"/>
        </w:trPr>
        <w:tc>
          <w:tcPr>
            <w:tcW w:w="5920" w:type="dxa"/>
            <w:vAlign w:val="bottom"/>
            <w:gridSpan w:val="3"/>
          </w:tcPr>
          <w:p>
            <w:pPr>
              <w:jc w:val="center"/>
              <w:ind w:left="70"/>
              <w:spacing w:after="0"/>
              <w:rPr>
                <w:sz w:val="20"/>
                <w:szCs w:val="20"/>
                <w:color w:val="auto"/>
              </w:rPr>
            </w:pPr>
            <w:r>
              <w:rPr>
                <w:rFonts w:ascii="Courier New" w:cs="Courier New" w:eastAsia="Courier New" w:hAnsi="Courier New"/>
                <w:sz w:val="17"/>
                <w:szCs w:val="17"/>
                <w:color w:val="auto"/>
              </w:rPr>
              <w:t>from discontinued operations per share: Basic and</w:t>
            </w:r>
          </w:p>
        </w:tc>
        <w:tc>
          <w:tcPr>
            <w:tcW w:w="160" w:type="dxa"/>
            <w:vAlign w:val="bottom"/>
          </w:tcPr>
          <w:p>
            <w:pPr>
              <w:spacing w:after="0"/>
              <w:rPr>
                <w:sz w:val="17"/>
                <w:szCs w:val="17"/>
                <w:color w:val="auto"/>
              </w:rPr>
            </w:pPr>
          </w:p>
        </w:tc>
      </w:tr>
      <w:tr>
        <w:trPr>
          <w:trHeight w:val="201"/>
        </w:trPr>
        <w:tc>
          <w:tcPr>
            <w:tcW w:w="24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diluted........................................</w:t>
            </w:r>
          </w:p>
        </w:tc>
        <w:tc>
          <w:tcPr>
            <w:tcW w:w="3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 $ .06</w:t>
            </w:r>
          </w:p>
        </w:tc>
      </w:tr>
    </w:tbl>
    <w:p>
      <w:pPr>
        <w:spacing w:after="0" w:line="4" w:lineRule="exact"/>
        <w:rPr>
          <w:sz w:val="20"/>
          <w:szCs w:val="20"/>
          <w:color w:val="auto"/>
        </w:rPr>
      </w:pPr>
    </w:p>
    <w:p>
      <w:pPr>
        <w:jc w:val="center"/>
        <w:ind w:left="2260" w:right="4139" w:hanging="2150"/>
        <w:spacing w:after="0" w:line="251" w:lineRule="auto"/>
        <w:tabs>
          <w:tab w:leader="none" w:pos="322" w:val="left"/>
        </w:tabs>
        <w:numPr>
          <w:ilvl w:val="0"/>
          <w:numId w:val="7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(.01) $ .16 Liberty Media Group(3): Earnings (loss) per share: Basic and</w:t>
      </w:r>
    </w:p>
    <w:tbl>
      <w:tblPr>
        <w:tblLayout w:type="fixed"/>
        <w:tblInd w:w="120" w:type="dxa"/>
        <w:tblCellMar>
          <w:top w:w="0" w:type="dxa"/>
          <w:left w:w="0" w:type="dxa"/>
          <w:bottom w:w="0" w:type="dxa"/>
          <w:right w:w="0" w:type="dxa"/>
        </w:tblCellMar>
      </w:tblPr>
      <w:tr>
        <w:trPr>
          <w:trHeight w:val="197"/>
        </w:trPr>
        <w:tc>
          <w:tcPr>
            <w:tcW w:w="130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0"/>
              </w:rPr>
              <w:t>diluted(4).....................................</w:t>
            </w:r>
          </w:p>
        </w:tc>
        <w:tc>
          <w:tcPr>
            <w:tcW w:w="4400" w:type="dxa"/>
            <w:vAlign w:val="bottom"/>
          </w:tcPr>
          <w:p>
            <w:pPr>
              <w:jc w:val="center"/>
              <w:ind w:left="3673"/>
              <w:spacing w:after="0"/>
              <w:rPr>
                <w:sz w:val="20"/>
                <w:szCs w:val="20"/>
                <w:color w:val="auto"/>
              </w:rPr>
            </w:pPr>
            <w:r>
              <w:rPr>
                <w:rFonts w:ascii="Courier New" w:cs="Courier New" w:eastAsia="Courier New" w:hAnsi="Courier New"/>
                <w:sz w:val="17"/>
                <w:szCs w:val="17"/>
                <w:color w:val="auto"/>
              </w:rPr>
              <w:t>$ .37</w:t>
            </w:r>
          </w:p>
        </w:tc>
        <w:tc>
          <w:tcPr>
            <w:tcW w:w="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80" w:type="dxa"/>
            <w:vAlign w:val="bottom"/>
          </w:tcPr>
          <w:p>
            <w:pPr>
              <w:jc w:val="right"/>
              <w:ind w:right="18"/>
              <w:spacing w:after="0"/>
              <w:rPr>
                <w:sz w:val="20"/>
                <w:szCs w:val="20"/>
                <w:color w:val="auto"/>
              </w:rPr>
            </w:pPr>
            <w:r>
              <w:rPr>
                <w:rFonts w:ascii="Courier New" w:cs="Courier New" w:eastAsia="Courier New" w:hAnsi="Courier New"/>
                <w:sz w:val="17"/>
                <w:szCs w:val="17"/>
                <w:color w:val="auto"/>
              </w:rPr>
              <w:t>.10</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 .68</w:t>
            </w: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 (.57) Stock price(5): AT&amp;T common stock</w:t>
            </w:r>
          </w:p>
        </w:tc>
        <w:tc>
          <w:tcPr>
            <w:tcW w:w="260" w:type="dxa"/>
            <w:vAlign w:val="bottom"/>
          </w:tcPr>
          <w:p>
            <w:pPr>
              <w:spacing w:after="0"/>
              <w:rPr>
                <w:sz w:val="17"/>
                <w:szCs w:val="17"/>
                <w:color w:val="auto"/>
              </w:rPr>
            </w:pPr>
          </w:p>
        </w:tc>
      </w:tr>
      <w:tr>
        <w:trPr>
          <w:trHeight w:val="201"/>
        </w:trPr>
        <w:tc>
          <w:tcPr>
            <w:tcW w:w="130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4"/>
              </w:rPr>
              <w:t>High.....................................................</w:t>
            </w:r>
          </w:p>
        </w:tc>
        <w:tc>
          <w:tcPr>
            <w:tcW w:w="44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0" w:type="dxa"/>
            <w:vAlign w:val="bottom"/>
          </w:tcPr>
          <w:p>
            <w:pPr>
              <w:jc w:val="right"/>
              <w:ind w:right="1013"/>
              <w:spacing w:after="0"/>
              <w:rPr>
                <w:sz w:val="20"/>
                <w:szCs w:val="20"/>
                <w:color w:val="auto"/>
              </w:rPr>
            </w:pPr>
            <w:r>
              <w:rPr>
                <w:rFonts w:ascii="Courier New" w:cs="Courier New" w:eastAsia="Courier New" w:hAnsi="Courier New"/>
                <w:sz w:val="17"/>
                <w:szCs w:val="17"/>
                <w:color w:val="auto"/>
              </w:rPr>
              <w:t>$ 47.37 $ 45.67 $ 27.33 $ 23.30</w:t>
            </w:r>
          </w:p>
        </w:tc>
        <w:tc>
          <w:tcPr>
            <w:tcW w:w="260" w:type="dxa"/>
            <w:vAlign w:val="bottom"/>
          </w:tcPr>
          <w:p>
            <w:pPr>
              <w:spacing w:after="0"/>
              <w:rPr>
                <w:sz w:val="17"/>
                <w:szCs w:val="17"/>
                <w:color w:val="auto"/>
              </w:rPr>
            </w:pPr>
          </w:p>
        </w:tc>
      </w:tr>
      <w:tr>
        <w:trPr>
          <w:trHeight w:val="201"/>
        </w:trPr>
        <w:tc>
          <w:tcPr>
            <w:tcW w:w="130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4"/>
              </w:rPr>
              <w:t>Low......................................................</w:t>
            </w:r>
          </w:p>
        </w:tc>
        <w:tc>
          <w:tcPr>
            <w:tcW w:w="44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5020" w:type="dxa"/>
            <w:vAlign w:val="bottom"/>
            <w:gridSpan w:val="2"/>
          </w:tcPr>
          <w:p>
            <w:pPr>
              <w:jc w:val="center"/>
              <w:ind w:right="353"/>
              <w:spacing w:after="0"/>
              <w:rPr>
                <w:sz w:val="20"/>
                <w:szCs w:val="20"/>
                <w:color w:val="auto"/>
              </w:rPr>
            </w:pPr>
            <w:r>
              <w:rPr>
                <w:rFonts w:ascii="Courier New" w:cs="Courier New" w:eastAsia="Courier New" w:hAnsi="Courier New"/>
                <w:sz w:val="17"/>
                <w:szCs w:val="17"/>
                <w:color w:val="auto"/>
              </w:rPr>
              <w:t>34.41 24.27 21.16 12.81 Quarter-end</w:t>
            </w:r>
          </w:p>
        </w:tc>
        <w:tc>
          <w:tcPr>
            <w:tcW w:w="260" w:type="dxa"/>
            <w:vAlign w:val="bottom"/>
          </w:tcPr>
          <w:p>
            <w:pPr>
              <w:spacing w:after="0"/>
              <w:rPr>
                <w:sz w:val="17"/>
                <w:szCs w:val="17"/>
                <w:color w:val="auto"/>
              </w:rPr>
            </w:pPr>
          </w:p>
        </w:tc>
      </w:tr>
      <w:tr>
        <w:trPr>
          <w:trHeight w:val="201"/>
        </w:trPr>
        <w:tc>
          <w:tcPr>
            <w:tcW w:w="130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4"/>
              </w:rPr>
              <w:t>close........................................</w:t>
            </w:r>
          </w:p>
        </w:tc>
        <w:tc>
          <w:tcPr>
            <w:tcW w:w="4660" w:type="dxa"/>
            <w:vAlign w:val="bottom"/>
            <w:gridSpan w:val="2"/>
          </w:tcPr>
          <w:p>
            <w:pPr>
              <w:jc w:val="center"/>
              <w:ind w:left="3413"/>
              <w:spacing w:after="0"/>
              <w:rPr>
                <w:sz w:val="20"/>
                <w:szCs w:val="20"/>
                <w:color w:val="auto"/>
              </w:rPr>
            </w:pPr>
            <w:r>
              <w:rPr>
                <w:rFonts w:ascii="Courier New" w:cs="Courier New" w:eastAsia="Courier New" w:hAnsi="Courier New"/>
                <w:sz w:val="17"/>
                <w:szCs w:val="17"/>
                <w:color w:val="auto"/>
              </w:rPr>
              <w:t>43.68 24.56</w:t>
            </w:r>
          </w:p>
        </w:tc>
      </w:tr>
      <w:tr>
        <w:trPr>
          <w:trHeight w:val="201"/>
        </w:trPr>
        <w:tc>
          <w:tcPr>
            <w:tcW w:w="680" w:type="dxa"/>
            <w:vAlign w:val="bottom"/>
          </w:tcPr>
          <w:p>
            <w:pPr>
              <w:spacing w:after="0"/>
              <w:rPr>
                <w:sz w:val="17"/>
                <w:szCs w:val="17"/>
                <w:color w:val="auto"/>
              </w:rPr>
            </w:pPr>
          </w:p>
        </w:tc>
        <w:tc>
          <w:tcPr>
            <w:tcW w:w="5020" w:type="dxa"/>
            <w:vAlign w:val="bottom"/>
            <w:gridSpan w:val="2"/>
          </w:tcPr>
          <w:p>
            <w:pPr>
              <w:jc w:val="center"/>
              <w:ind w:right="333"/>
              <w:spacing w:after="0"/>
              <w:rPr>
                <w:sz w:val="20"/>
                <w:szCs w:val="20"/>
                <w:color w:val="auto"/>
              </w:rPr>
            </w:pPr>
            <w:r>
              <w:rPr>
                <w:rFonts w:ascii="Courier New" w:cs="Courier New" w:eastAsia="Courier New" w:hAnsi="Courier New"/>
                <w:sz w:val="17"/>
                <w:szCs w:val="17"/>
                <w:color w:val="auto"/>
              </w:rPr>
              <w:t>22.81 13.40 AT&amp;T Wireless Group common stock</w:t>
            </w:r>
          </w:p>
        </w:tc>
        <w:tc>
          <w:tcPr>
            <w:tcW w:w="260" w:type="dxa"/>
            <w:vAlign w:val="bottom"/>
          </w:tcPr>
          <w:p>
            <w:pPr>
              <w:spacing w:after="0"/>
              <w:rPr>
                <w:sz w:val="17"/>
                <w:szCs w:val="17"/>
                <w:color w:val="auto"/>
              </w:rPr>
            </w:pPr>
          </w:p>
        </w:tc>
      </w:tr>
      <w:tr>
        <w:trPr>
          <w:trHeight w:val="201"/>
        </w:trPr>
        <w:tc>
          <w:tcPr>
            <w:tcW w:w="130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4"/>
              </w:rPr>
              <w:t>High.....................................................</w:t>
            </w:r>
          </w:p>
        </w:tc>
        <w:tc>
          <w:tcPr>
            <w:tcW w:w="44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0" w:type="dxa"/>
            <w:vAlign w:val="bottom"/>
          </w:tcPr>
          <w:p>
            <w:pPr>
              <w:jc w:val="right"/>
              <w:ind w:right="1593"/>
              <w:spacing w:after="0"/>
              <w:rPr>
                <w:sz w:val="20"/>
                <w:szCs w:val="20"/>
                <w:color w:val="auto"/>
              </w:rPr>
            </w:pPr>
            <w:r>
              <w:rPr>
                <w:rFonts w:ascii="Courier New" w:cs="Courier New" w:eastAsia="Courier New" w:hAnsi="Courier New"/>
                <w:sz w:val="17"/>
                <w:szCs w:val="17"/>
                <w:color w:val="auto"/>
              </w:rPr>
              <w:t>-- 36.00 29.56 24.94</w:t>
            </w:r>
          </w:p>
        </w:tc>
        <w:tc>
          <w:tcPr>
            <w:tcW w:w="260" w:type="dxa"/>
            <w:vAlign w:val="bottom"/>
          </w:tcPr>
          <w:p>
            <w:pPr>
              <w:spacing w:after="0"/>
              <w:rPr>
                <w:sz w:val="17"/>
                <w:szCs w:val="17"/>
                <w:color w:val="auto"/>
              </w:rPr>
            </w:pPr>
          </w:p>
        </w:tc>
      </w:tr>
      <w:tr>
        <w:trPr>
          <w:trHeight w:val="201"/>
        </w:trPr>
        <w:tc>
          <w:tcPr>
            <w:tcW w:w="130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4"/>
              </w:rPr>
              <w:t>Low......................................................</w:t>
            </w:r>
          </w:p>
        </w:tc>
        <w:tc>
          <w:tcPr>
            <w:tcW w:w="44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1"/>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0" w:type="dxa"/>
            <w:vAlign w:val="bottom"/>
          </w:tcPr>
          <w:p>
            <w:pPr>
              <w:jc w:val="center"/>
              <w:ind w:right="953"/>
              <w:spacing w:after="0"/>
              <w:rPr>
                <w:sz w:val="20"/>
                <w:szCs w:val="20"/>
                <w:color w:val="auto"/>
              </w:rPr>
            </w:pPr>
            <w:r>
              <w:rPr>
                <w:rFonts w:ascii="Courier New" w:cs="Courier New" w:eastAsia="Courier New" w:hAnsi="Courier New"/>
                <w:sz w:val="17"/>
                <w:szCs w:val="17"/>
                <w:color w:val="auto"/>
              </w:rPr>
              <w:t>-- 23.56 20.50 16.38 Quarter-end</w:t>
            </w:r>
          </w:p>
        </w:tc>
        <w:tc>
          <w:tcPr>
            <w:tcW w:w="260" w:type="dxa"/>
            <w:vAlign w:val="bottom"/>
          </w:tcPr>
          <w:p>
            <w:pPr>
              <w:spacing w:after="0"/>
              <w:rPr>
                <w:sz w:val="17"/>
                <w:szCs w:val="17"/>
                <w:color w:val="auto"/>
              </w:rPr>
            </w:pPr>
          </w:p>
        </w:tc>
      </w:tr>
      <w:tr>
        <w:trPr>
          <w:trHeight w:val="201"/>
        </w:trPr>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close</w:t>
            </w:r>
          </w:p>
        </w:tc>
        <w:tc>
          <w:tcPr>
            <w:tcW w:w="620" w:type="dxa"/>
            <w:vAlign w:val="bottom"/>
          </w:tcPr>
          <w:p>
            <w:pPr>
              <w:jc w:val="right"/>
              <w:spacing w:after="0"/>
              <w:rPr>
                <w:sz w:val="20"/>
                <w:szCs w:val="20"/>
                <w:color w:val="auto"/>
              </w:rPr>
            </w:pPr>
            <w:r>
              <w:rPr>
                <w:rFonts w:ascii="Courier New" w:cs="Courier New" w:eastAsia="Courier New" w:hAnsi="Courier New"/>
                <w:sz w:val="3"/>
                <w:szCs w:val="3"/>
                <w:color w:val="auto"/>
                <w:w w:val="83"/>
              </w:rPr>
              <w:t>........................................</w:t>
            </w:r>
          </w:p>
        </w:tc>
        <w:tc>
          <w:tcPr>
            <w:tcW w:w="4660" w:type="dxa"/>
            <w:vAlign w:val="bottom"/>
            <w:gridSpan w:val="2"/>
          </w:tcPr>
          <w:p>
            <w:pPr>
              <w:jc w:val="center"/>
              <w:ind w:left="3413"/>
              <w:spacing w:after="0"/>
              <w:rPr>
                <w:sz w:val="20"/>
                <w:szCs w:val="20"/>
                <w:color w:val="auto"/>
              </w:rPr>
            </w:pPr>
            <w:r>
              <w:rPr>
                <w:rFonts w:ascii="Courier New" w:cs="Courier New" w:eastAsia="Courier New" w:hAnsi="Courier New"/>
                <w:sz w:val="17"/>
                <w:szCs w:val="17"/>
                <w:color w:val="auto"/>
              </w:rPr>
              <w:t>-- 27.88</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20.88 17.31 Liberty Media Group Class A common stock(4)</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High.....................................................</w:t>
            </w:r>
          </w:p>
        </w:tc>
        <w:tc>
          <w:tcPr>
            <w:tcW w:w="6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1"/>
        </w:trPr>
        <w:tc>
          <w:tcPr>
            <w:tcW w:w="2400" w:type="dxa"/>
            <w:vAlign w:val="bottom"/>
          </w:tcPr>
          <w:p>
            <w:pPr>
              <w:jc w:val="right"/>
              <w:ind w:right="26"/>
              <w:spacing w:after="0"/>
              <w:rPr>
                <w:sz w:val="20"/>
                <w:szCs w:val="20"/>
                <w:color w:val="auto"/>
              </w:rPr>
            </w:pPr>
            <w:r>
              <w:rPr>
                <w:rFonts w:ascii="Courier New" w:cs="Courier New" w:eastAsia="Courier New" w:hAnsi="Courier New"/>
                <w:sz w:val="17"/>
                <w:szCs w:val="17"/>
                <w:color w:val="auto"/>
              </w:rPr>
              <w:t>30.72</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29.94</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26.56</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19.25</w:t>
            </w:r>
          </w:p>
        </w:tc>
      </w:tr>
      <w:tr>
        <w:trPr>
          <w:trHeight w:val="201"/>
        </w:trPr>
        <w:tc>
          <w:tcPr>
            <w:tcW w:w="2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Low......................................................</w:t>
            </w:r>
          </w:p>
        </w:tc>
        <w:tc>
          <w:tcPr>
            <w:tcW w:w="6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1"/>
        </w:trPr>
        <w:tc>
          <w:tcPr>
            <w:tcW w:w="2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24.44 19.19 17.44</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10.75</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Quarter-end</w:t>
            </w:r>
          </w:p>
        </w:tc>
      </w:tr>
      <w:tr>
        <w:trPr>
          <w:trHeight w:val="201"/>
        </w:trPr>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close........................................</w:t>
            </w:r>
          </w:p>
        </w:tc>
        <w:tc>
          <w:tcPr>
            <w:tcW w:w="62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29.63 24.25</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18.00 13.56 Liberty Media Group Class B common stock(4)</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High.....................................................</w:t>
            </w:r>
          </w:p>
        </w:tc>
        <w:tc>
          <w:tcPr>
            <w:tcW w:w="6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1"/>
        </w:trPr>
        <w:tc>
          <w:tcPr>
            <w:tcW w:w="2400" w:type="dxa"/>
            <w:vAlign w:val="bottom"/>
          </w:tcPr>
          <w:p>
            <w:pPr>
              <w:jc w:val="right"/>
              <w:ind w:right="26"/>
              <w:spacing w:after="0"/>
              <w:rPr>
                <w:sz w:val="20"/>
                <w:szCs w:val="20"/>
                <w:color w:val="auto"/>
              </w:rPr>
            </w:pPr>
            <w:r>
              <w:rPr>
                <w:rFonts w:ascii="Courier New" w:cs="Courier New" w:eastAsia="Courier New" w:hAnsi="Courier New"/>
                <w:sz w:val="17"/>
                <w:szCs w:val="17"/>
                <w:color w:val="auto"/>
              </w:rPr>
              <w:t>36.56</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32.69</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32.63</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20.63</w:t>
            </w:r>
          </w:p>
        </w:tc>
      </w:tr>
      <w:tr>
        <w:trPr>
          <w:trHeight w:val="201"/>
        </w:trPr>
        <w:tc>
          <w:tcPr>
            <w:tcW w:w="2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Low......................................................</w:t>
            </w:r>
          </w:p>
        </w:tc>
        <w:tc>
          <w:tcPr>
            <w:tcW w:w="6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1"/>
        </w:trPr>
        <w:tc>
          <w:tcPr>
            <w:tcW w:w="2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27.00 22.13 18.75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12.75</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Quarter-end</w:t>
            </w:r>
          </w:p>
        </w:tc>
      </w:tr>
      <w:tr>
        <w:trPr>
          <w:trHeight w:val="201"/>
        </w:trPr>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close........................................</w:t>
            </w:r>
          </w:p>
        </w:tc>
        <w:tc>
          <w:tcPr>
            <w:tcW w:w="62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32.81 32.50</w:t>
            </w:r>
          </w:p>
        </w:tc>
      </w:tr>
      <w:tr>
        <w:trPr>
          <w:trHeight w:val="201"/>
        </w:trPr>
        <w:tc>
          <w:tcPr>
            <w:tcW w:w="2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18.75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18.75</w:t>
            </w:r>
          </w:p>
        </w:tc>
        <w:tc>
          <w:tcPr>
            <w:tcW w:w="2360" w:type="dxa"/>
            <w:vAlign w:val="bottom"/>
          </w:tcPr>
          <w:p>
            <w:pPr>
              <w:spacing w:after="0"/>
              <w:rPr>
                <w:sz w:val="17"/>
                <w:szCs w:val="17"/>
                <w:color w:val="auto"/>
              </w:rPr>
            </w:pPr>
          </w:p>
        </w:tc>
      </w:tr>
      <w:tr>
        <w:trPr>
          <w:trHeight w:val="604"/>
        </w:trPr>
        <w:tc>
          <w:tcPr>
            <w:tcW w:w="2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60" w:type="dxa"/>
            <w:vAlign w:val="bottom"/>
          </w:tcPr>
          <w:p>
            <w:pPr>
              <w:ind w:left="380"/>
              <w:spacing w:after="0"/>
              <w:rPr>
                <w:sz w:val="20"/>
                <w:szCs w:val="20"/>
                <w:color w:val="auto"/>
              </w:rPr>
            </w:pPr>
            <w:r>
              <w:rPr>
                <w:rFonts w:ascii="Courier New" w:cs="Courier New" w:eastAsia="Courier New" w:hAnsi="Courier New"/>
                <w:sz w:val="17"/>
                <w:szCs w:val="17"/>
                <w:color w:val="auto"/>
              </w:rPr>
              <w:t>L-92</w:t>
            </w:r>
          </w:p>
        </w:tc>
      </w:tr>
    </w:tbl>
    <w:p>
      <w:pPr>
        <w:sectPr>
          <w:pgSz w:w="11900" w:h="16838" w:orient="portrait"/>
          <w:cols w:equalWidth="0" w:num="1">
            <w:col w:w="10219"/>
          </w:cols>
          <w:pgMar w:left="240" w:top="518" w:right="1440" w:bottom="1440" w:gutter="0" w:footer="0" w:header="0"/>
        </w:sectPr>
      </w:pPr>
    </w:p>
    <w:bookmarkStart w:id="704" w:name="page705"/>
    <w:bookmarkEnd w:id="704"/>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FIRST SECOND THIRD FOURTH ------- ------- ------- -------</w:t>
      </w:r>
    </w:p>
    <w:p>
      <w:pPr>
        <w:spacing w:after="0" w:line="9"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1999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Revenue(1).................................................</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$12,554 $13,875 $14,283 $14,261 Operating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income(2)........................................ 2,191</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2,881 3,309 3,077 Income from continuing</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operations.......................... 1,079 991 1,415 376</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(Loss) income from discontinued operations -- net of</w:t>
      </w:r>
    </w:p>
    <w:p>
      <w:pPr>
        <w:spacing w:after="0" w:line="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(61) 54 1 (427) Net 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(loss).......................................... $ 1,018 $</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1,045 $ 1,416 $ (51) AT&amp;T Common Stock Group: Earnings</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(loss) per share -- basic: Continuing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operations.................................... $ .41 $ .48</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 .51 $ .49 Discontinued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operations.................................. (.02) .02 --</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(.13)</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Total....................................................</w:t>
      </w:r>
    </w:p>
    <w:p>
      <w:pPr>
        <w:spacing w:after="0" w:line="9" w:lineRule="exact"/>
        <w:rPr>
          <w:sz w:val="20"/>
          <w:szCs w:val="20"/>
          <w:color w:val="auto"/>
        </w:rPr>
      </w:pPr>
    </w:p>
    <w:p>
      <w:pPr>
        <w:ind w:left="2100" w:right="4399" w:hanging="1728"/>
        <w:spacing w:after="0" w:line="251" w:lineRule="auto"/>
        <w:tabs>
          <w:tab w:leader="none" w:pos="581" w:val="left"/>
        </w:tabs>
        <w:numPr>
          <w:ilvl w:val="0"/>
          <w:numId w:val="7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.39 $ .50 $ .51 $ .36 Earnings (loss) per share -- diluted: Continuing</w:t>
      </w:r>
    </w:p>
    <w:tbl>
      <w:tblPr>
        <w:tblLayout w:type="fixed"/>
        <w:tblInd w:w="60" w:type="dxa"/>
        <w:tblCellMar>
          <w:top w:w="0" w:type="dxa"/>
          <w:left w:w="0" w:type="dxa"/>
          <w:bottom w:w="0" w:type="dxa"/>
          <w:right w:w="0" w:type="dxa"/>
        </w:tblCellMar>
      </w:tblPr>
      <w:tr>
        <w:trPr>
          <w:trHeight w:val="197"/>
        </w:trPr>
        <w:tc>
          <w:tcPr>
            <w:tcW w:w="24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operations....................................</w:t>
            </w:r>
          </w:p>
        </w:tc>
        <w:tc>
          <w:tcPr>
            <w:tcW w:w="120" w:type="dxa"/>
            <w:vAlign w:val="bottom"/>
          </w:tcPr>
          <w:p>
            <w:pPr>
              <w:spacing w:after="0"/>
              <w:rPr>
                <w:sz w:val="17"/>
                <w:szCs w:val="17"/>
                <w:color w:val="auto"/>
              </w:rPr>
            </w:pPr>
          </w:p>
        </w:tc>
        <w:tc>
          <w:tcPr>
            <w:tcW w:w="3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.40 $ .47</w:t>
            </w:r>
          </w:p>
        </w:tc>
      </w:tr>
      <w:tr>
        <w:trPr>
          <w:trHeight w:val="201"/>
        </w:trPr>
        <w:tc>
          <w:tcPr>
            <w:tcW w:w="1200" w:type="dxa"/>
            <w:vAlign w:val="bottom"/>
          </w:tcPr>
          <w:p>
            <w:pPr>
              <w:spacing w:after="0"/>
              <w:rPr>
                <w:sz w:val="17"/>
                <w:szCs w:val="17"/>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.50</w:t>
            </w:r>
          </w:p>
        </w:tc>
        <w:tc>
          <w:tcPr>
            <w:tcW w:w="3520" w:type="dxa"/>
            <w:vAlign w:val="bottom"/>
            <w:gridSpan w:val="2"/>
          </w:tcPr>
          <w:p>
            <w:pPr>
              <w:jc w:val="right"/>
              <w:ind w:right="1533"/>
              <w:spacing w:after="0"/>
              <w:rPr>
                <w:sz w:val="20"/>
                <w:szCs w:val="20"/>
                <w:color w:val="auto"/>
              </w:rPr>
            </w:pPr>
            <w:r>
              <w:rPr>
                <w:rFonts w:ascii="Courier New" w:cs="Courier New" w:eastAsia="Courier New" w:hAnsi="Courier New"/>
                <w:sz w:val="17"/>
                <w:szCs w:val="17"/>
                <w:color w:val="auto"/>
              </w:rPr>
              <w:t>$ .49 Discontinued</w:t>
            </w:r>
          </w:p>
        </w:tc>
        <w:tc>
          <w:tcPr>
            <w:tcW w:w="160" w:type="dxa"/>
            <w:vAlign w:val="bottom"/>
          </w:tcPr>
          <w:p>
            <w:pPr>
              <w:spacing w:after="0"/>
              <w:rPr>
                <w:sz w:val="17"/>
                <w:szCs w:val="17"/>
                <w:color w:val="auto"/>
              </w:rPr>
            </w:pPr>
          </w:p>
        </w:tc>
      </w:tr>
      <w:tr>
        <w:trPr>
          <w:trHeight w:val="201"/>
        </w:trPr>
        <w:tc>
          <w:tcPr>
            <w:tcW w:w="24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operations..................................</w:t>
            </w:r>
          </w:p>
        </w:tc>
        <w:tc>
          <w:tcPr>
            <w:tcW w:w="120" w:type="dxa"/>
            <w:vAlign w:val="bottom"/>
          </w:tcPr>
          <w:p>
            <w:pPr>
              <w:spacing w:after="0"/>
              <w:rPr>
                <w:sz w:val="17"/>
                <w:szCs w:val="17"/>
                <w:color w:val="auto"/>
              </w:rPr>
            </w:pPr>
          </w:p>
        </w:tc>
        <w:tc>
          <w:tcPr>
            <w:tcW w:w="3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(.02) .02 --</w:t>
            </w:r>
          </w:p>
        </w:tc>
      </w:tr>
      <w:tr>
        <w:trPr>
          <w:trHeight w:val="201"/>
        </w:trPr>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Pr>
          <w:p>
            <w:pPr>
              <w:jc w:val="right"/>
              <w:ind w:right="2533"/>
              <w:spacing w:after="0"/>
              <w:rPr>
                <w:sz w:val="20"/>
                <w:szCs w:val="20"/>
                <w:color w:val="auto"/>
              </w:rPr>
            </w:pPr>
            <w:r>
              <w:rPr>
                <w:rFonts w:ascii="Courier New" w:cs="Courier New" w:eastAsia="Courier New" w:hAnsi="Courier New"/>
                <w:sz w:val="17"/>
                <w:szCs w:val="17"/>
                <w:color w:val="auto"/>
              </w:rPr>
              <w:t>(.13)</w:t>
            </w:r>
          </w:p>
        </w:tc>
        <w:tc>
          <w:tcPr>
            <w:tcW w:w="160" w:type="dxa"/>
            <w:vAlign w:val="bottom"/>
          </w:tcPr>
          <w:p>
            <w:pPr>
              <w:spacing w:after="0"/>
              <w:rPr>
                <w:sz w:val="17"/>
                <w:szCs w:val="17"/>
                <w:color w:val="auto"/>
              </w:rPr>
            </w:pPr>
          </w:p>
        </w:tc>
      </w:tr>
      <w:tr>
        <w:trPr>
          <w:trHeight w:val="201"/>
        </w:trPr>
        <w:tc>
          <w:tcPr>
            <w:tcW w:w="24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Total....................................................</w:t>
            </w:r>
          </w:p>
        </w:tc>
        <w:tc>
          <w:tcPr>
            <w:tcW w:w="1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.38 $ .49</w:t>
            </w:r>
          </w:p>
        </w:tc>
        <w:tc>
          <w:tcPr>
            <w:tcW w:w="340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 .50 $ .36 Dividends</w:t>
            </w:r>
          </w:p>
        </w:tc>
        <w:tc>
          <w:tcPr>
            <w:tcW w:w="160" w:type="dxa"/>
            <w:vAlign w:val="bottom"/>
          </w:tcPr>
          <w:p>
            <w:pPr>
              <w:spacing w:after="0"/>
              <w:rPr>
                <w:sz w:val="17"/>
                <w:szCs w:val="17"/>
                <w:color w:val="auto"/>
              </w:rPr>
            </w:pPr>
          </w:p>
        </w:tc>
      </w:tr>
      <w:tr>
        <w:trPr>
          <w:trHeight w:val="201"/>
        </w:trPr>
        <w:tc>
          <w:tcPr>
            <w:tcW w:w="24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declared.........................................</w:t>
            </w:r>
          </w:p>
        </w:tc>
        <w:tc>
          <w:tcPr>
            <w:tcW w:w="120" w:type="dxa"/>
            <w:vAlign w:val="bottom"/>
          </w:tcPr>
          <w:p>
            <w:pPr>
              <w:spacing w:after="0"/>
              <w:rPr>
                <w:sz w:val="17"/>
                <w:szCs w:val="17"/>
                <w:color w:val="auto"/>
              </w:rPr>
            </w:pPr>
          </w:p>
        </w:tc>
        <w:tc>
          <w:tcPr>
            <w:tcW w:w="3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.22</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r>
      <w:tr>
        <w:trPr>
          <w:trHeight w:val="201"/>
        </w:trPr>
        <w:tc>
          <w:tcPr>
            <w:tcW w:w="1200" w:type="dxa"/>
            <w:vAlign w:val="bottom"/>
          </w:tcPr>
          <w:p>
            <w:pPr>
              <w:jc w:val="right"/>
              <w:ind w:right="41"/>
              <w:spacing w:after="0"/>
              <w:rPr>
                <w:sz w:val="20"/>
                <w:szCs w:val="20"/>
                <w:color w:val="auto"/>
              </w:rPr>
            </w:pPr>
            <w:r>
              <w:rPr>
                <w:rFonts w:ascii="Courier New" w:cs="Courier New" w:eastAsia="Courier New" w:hAnsi="Courier New"/>
                <w:sz w:val="17"/>
                <w:szCs w:val="17"/>
                <w:color w:val="auto"/>
              </w:rPr>
              <w:t>.22 $ .22</w:t>
            </w:r>
          </w:p>
        </w:tc>
        <w:tc>
          <w:tcPr>
            <w:tcW w:w="47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.22 Liberty Media Group(3): Loss per share:</w:t>
            </w:r>
          </w:p>
        </w:tc>
        <w:tc>
          <w:tcPr>
            <w:tcW w:w="160" w:type="dxa"/>
            <w:vAlign w:val="bottom"/>
          </w:tcPr>
          <w:p>
            <w:pPr>
              <w:spacing w:after="0"/>
              <w:rPr>
                <w:sz w:val="17"/>
                <w:szCs w:val="17"/>
                <w:color w:val="auto"/>
              </w:rPr>
            </w:pPr>
          </w:p>
        </w:tc>
      </w:tr>
      <w:tr>
        <w:trPr>
          <w:trHeight w:val="201"/>
        </w:trPr>
        <w:tc>
          <w:tcPr>
            <w:tcW w:w="252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3"/>
              </w:rPr>
              <w:t>Basic and diluted(4).....................................</w:t>
            </w: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4" w:lineRule="exact"/>
        <w:rPr>
          <w:sz w:val="20"/>
          <w:szCs w:val="20"/>
          <w:color w:val="auto"/>
        </w:rPr>
      </w:pPr>
    </w:p>
    <w:p>
      <w:pPr>
        <w:jc w:val="both"/>
        <w:ind w:left="120" w:right="4139" w:hanging="9"/>
        <w:spacing w:after="0" w:line="251" w:lineRule="auto"/>
        <w:tabs>
          <w:tab w:leader="none" w:pos="330" w:val="left"/>
        </w:tabs>
        <w:numPr>
          <w:ilvl w:val="0"/>
          <w:numId w:val="7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.02 $ .21 $ .09 $ .48 Stock price(5): AT&amp;T common stock High.....................................................</w:t>
      </w:r>
    </w:p>
    <w:p>
      <w:pPr>
        <w:ind w:left="1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$ 49.77 $ 48.93 $ 45.82 $ 47.37</w:t>
      </w:r>
    </w:p>
    <w:p>
      <w:pPr>
        <w:spacing w:after="0" w:line="8" w:lineRule="exact"/>
        <w:rPr>
          <w:rFonts w:ascii="Courier New" w:cs="Courier New" w:eastAsia="Courier New" w:hAnsi="Courier New"/>
          <w:sz w:val="17"/>
          <w:szCs w:val="17"/>
          <w:color w:val="auto"/>
        </w:rPr>
      </w:pPr>
    </w:p>
    <w:p>
      <w:pPr>
        <w:ind w:left="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Low......................................................</w:t>
      </w:r>
    </w:p>
    <w:p>
      <w:pPr>
        <w:spacing w:after="0" w:line="8" w:lineRule="exact"/>
        <w:rPr>
          <w:rFonts w:ascii="Courier New" w:cs="Courier New" w:eastAsia="Courier New" w:hAnsi="Courier New"/>
          <w:sz w:val="17"/>
          <w:szCs w:val="17"/>
          <w:color w:val="auto"/>
        </w:rPr>
      </w:pPr>
    </w:p>
    <w:p>
      <w:pPr>
        <w:ind w:left="1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39.28 38.88 32.47 32.23 Quarter-end</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4760" w:type="dxa"/>
            <w:vAlign w:val="bottom"/>
          </w:tcPr>
          <w:p>
            <w:pPr>
              <w:spacing w:after="0"/>
              <w:rPr>
                <w:sz w:val="20"/>
                <w:szCs w:val="20"/>
                <w:color w:val="auto"/>
              </w:rPr>
            </w:pPr>
            <w:r>
              <w:rPr>
                <w:rFonts w:ascii="Courier New" w:cs="Courier New" w:eastAsia="Courier New" w:hAnsi="Courier New"/>
                <w:sz w:val="17"/>
                <w:szCs w:val="17"/>
                <w:color w:val="auto"/>
              </w:rPr>
              <w:t>close........................................</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41.32 43.34</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33.78 39.46 Liberty Media Group Class A common stock(4)</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High.....................................................</w:t>
            </w:r>
          </w:p>
        </w:tc>
        <w:tc>
          <w:tcPr>
            <w:tcW w:w="6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1"/>
        </w:trPr>
        <w:tc>
          <w:tcPr>
            <w:tcW w:w="2400" w:type="dxa"/>
            <w:vAlign w:val="bottom"/>
          </w:tcPr>
          <w:p>
            <w:pPr>
              <w:jc w:val="right"/>
              <w:ind w:right="26"/>
              <w:spacing w:after="0"/>
              <w:rPr>
                <w:sz w:val="20"/>
                <w:szCs w:val="20"/>
                <w:color w:val="auto"/>
              </w:rPr>
            </w:pPr>
            <w:r>
              <w:rPr>
                <w:rFonts w:ascii="Courier New" w:cs="Courier New" w:eastAsia="Courier New" w:hAnsi="Courier New"/>
                <w:sz w:val="17"/>
                <w:szCs w:val="17"/>
                <w:color w:val="auto"/>
              </w:rPr>
              <w:t>14.53</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18.52</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19.84</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28.34</w:t>
            </w:r>
          </w:p>
        </w:tc>
      </w:tr>
      <w:tr>
        <w:trPr>
          <w:trHeight w:val="201"/>
        </w:trPr>
        <w:tc>
          <w:tcPr>
            <w:tcW w:w="2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Low......................................................</w:t>
            </w:r>
          </w:p>
        </w:tc>
        <w:tc>
          <w:tcPr>
            <w:tcW w:w="6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1"/>
        </w:trPr>
        <w:tc>
          <w:tcPr>
            <w:tcW w:w="2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10.95 13.13 15.44</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17.94</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Quarter-end</w:t>
            </w:r>
          </w:p>
        </w:tc>
      </w:tr>
      <w:tr>
        <w:trPr>
          <w:trHeight w:val="201"/>
        </w:trPr>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close........................................</w:t>
            </w:r>
          </w:p>
        </w:tc>
        <w:tc>
          <w:tcPr>
            <w:tcW w:w="62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13.15 18.38</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18.66 28.41 Liberty Media Group Class B common stock(4)</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High.....................................................</w:t>
            </w:r>
          </w:p>
        </w:tc>
        <w:tc>
          <w:tcPr>
            <w:tcW w:w="6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1"/>
        </w:trPr>
        <w:tc>
          <w:tcPr>
            <w:tcW w:w="2400" w:type="dxa"/>
            <w:vAlign w:val="bottom"/>
          </w:tcPr>
          <w:p>
            <w:pPr>
              <w:jc w:val="right"/>
              <w:ind w:right="26"/>
              <w:spacing w:after="0"/>
              <w:rPr>
                <w:sz w:val="20"/>
                <w:szCs w:val="20"/>
                <w:color w:val="auto"/>
              </w:rPr>
            </w:pPr>
            <w:r>
              <w:rPr>
                <w:rFonts w:ascii="Courier New" w:cs="Courier New" w:eastAsia="Courier New" w:hAnsi="Courier New"/>
                <w:sz w:val="17"/>
                <w:szCs w:val="17"/>
                <w:color w:val="auto"/>
              </w:rPr>
              <w:t>14.56</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18.63</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19.88</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34.38</w:t>
            </w:r>
          </w:p>
        </w:tc>
      </w:tr>
      <w:tr>
        <w:trPr>
          <w:trHeight w:val="201"/>
        </w:trPr>
        <w:tc>
          <w:tcPr>
            <w:tcW w:w="2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Low......................................................</w:t>
            </w:r>
          </w:p>
        </w:tc>
        <w:tc>
          <w:tcPr>
            <w:tcW w:w="6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1"/>
        </w:trPr>
        <w:tc>
          <w:tcPr>
            <w:tcW w:w="2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11.13 13.69 16.00</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19.31</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Quarter-end</w:t>
            </w:r>
          </w:p>
        </w:tc>
      </w:tr>
      <w:tr>
        <w:trPr>
          <w:trHeight w:val="201"/>
        </w:trPr>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close........................................</w:t>
            </w:r>
          </w:p>
        </w:tc>
        <w:tc>
          <w:tcPr>
            <w:tcW w:w="62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13.44 18.63</w:t>
            </w:r>
          </w:p>
        </w:tc>
      </w:tr>
      <w:tr>
        <w:trPr>
          <w:trHeight w:val="201"/>
        </w:trPr>
        <w:tc>
          <w:tcPr>
            <w:tcW w:w="2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19.88</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34.38</w:t>
            </w:r>
          </w:p>
        </w:tc>
        <w:tc>
          <w:tcPr>
            <w:tcW w:w="236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2039" w:hanging="413"/>
        <w:spacing w:after="0" w:line="252" w:lineRule="auto"/>
        <w:tabs>
          <w:tab w:leader="none" w:pos="420" w:val="left"/>
        </w:tabs>
        <w:numPr>
          <w:ilvl w:val="0"/>
          <w:numId w:val="7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Results have been restated to reflect certain franchise tax expenses as revenue and expense in the amount of $21 in first quarter 1999, $61 in second quarter 1999, $63 in third quarter 1999, $64 in fourth quarter 1999 and $65 in first quarter 2000. This restatement had no impact on operating income or net income.</w:t>
      </w:r>
    </w:p>
    <w:p>
      <w:pPr>
        <w:spacing w:after="0" w:line="197" w:lineRule="exact"/>
        <w:rPr>
          <w:rFonts w:ascii="Courier New" w:cs="Courier New" w:eastAsia="Courier New" w:hAnsi="Courier New"/>
          <w:sz w:val="17"/>
          <w:szCs w:val="17"/>
          <w:color w:val="auto"/>
        </w:rPr>
      </w:pPr>
    </w:p>
    <w:p>
      <w:pPr>
        <w:ind w:left="420" w:right="1839" w:hanging="413"/>
        <w:spacing w:after="0" w:line="253" w:lineRule="auto"/>
        <w:tabs>
          <w:tab w:leader="none" w:pos="420" w:val="left"/>
        </w:tabs>
        <w:numPr>
          <w:ilvl w:val="0"/>
          <w:numId w:val="7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income (loss) included net restructuring and other charges of $773 in first quarter 2000, $24 in third quarter 2000, $6,232 in fourth quarter 2000, $731 in first quarter 1999 and $273 in fourth quarter 1999. Second quarter 1999 included a net restructuring and other charges benefit of $29.</w:t>
      </w:r>
    </w:p>
    <w:p>
      <w:pPr>
        <w:spacing w:after="0" w:line="195" w:lineRule="exact"/>
        <w:rPr>
          <w:rFonts w:ascii="Courier New" w:cs="Courier New" w:eastAsia="Courier New" w:hAnsi="Courier New"/>
          <w:sz w:val="17"/>
          <w:szCs w:val="17"/>
          <w:color w:val="auto"/>
        </w:rPr>
      </w:pPr>
    </w:p>
    <w:p>
      <w:pPr>
        <w:ind w:left="420" w:right="2359" w:hanging="413"/>
        <w:spacing w:after="0" w:line="257" w:lineRule="auto"/>
        <w:tabs>
          <w:tab w:leader="none" w:pos="420" w:val="left"/>
        </w:tabs>
        <w:numPr>
          <w:ilvl w:val="0"/>
          <w:numId w:val="7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dividends have been declared on AT&amp;T Wireless Group or Liberty Media Group (LMG) common stocks.</w:t>
      </w:r>
    </w:p>
    <w:p>
      <w:pPr>
        <w:spacing w:after="0" w:line="191" w:lineRule="exact"/>
        <w:rPr>
          <w:rFonts w:ascii="Courier New" w:cs="Courier New" w:eastAsia="Courier New" w:hAnsi="Courier New"/>
          <w:sz w:val="17"/>
          <w:szCs w:val="17"/>
          <w:color w:val="auto"/>
        </w:rPr>
      </w:pPr>
    </w:p>
    <w:p>
      <w:pPr>
        <w:ind w:left="420" w:right="1839" w:hanging="413"/>
        <w:spacing w:after="0" w:line="257" w:lineRule="auto"/>
        <w:tabs>
          <w:tab w:leader="none" w:pos="420" w:val="left"/>
        </w:tabs>
        <w:numPr>
          <w:ilvl w:val="0"/>
          <w:numId w:val="7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have been restated to reflect the June 2000 two-for-one split of LMG common stock.</w:t>
      </w:r>
    </w:p>
    <w:p>
      <w:pPr>
        <w:spacing w:after="0" w:line="19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7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prices obtained from the New York Stock Exchange Composite Tape.</w:t>
      </w:r>
    </w:p>
    <w:p>
      <w:pPr>
        <w:spacing w:after="0" w:line="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L-93</w:t>
      </w:r>
    </w:p>
    <w:p>
      <w:pPr>
        <w:sectPr>
          <w:pgSz w:w="11900" w:h="16838" w:orient="portrait"/>
          <w:cols w:equalWidth="0" w:num="1">
            <w:col w:w="10219"/>
          </w:cols>
          <w:pgMar w:left="240" w:top="519" w:right="1440" w:bottom="456" w:gutter="0" w:footer="0" w:header="0"/>
        </w:sectPr>
      </w:pPr>
    </w:p>
    <w:bookmarkStart w:id="705" w:name="page706"/>
    <w:bookmarkEnd w:id="705"/>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left="540" w:hanging="533"/>
        <w:spacing w:after="0"/>
        <w:tabs>
          <w:tab w:leader="none" w:pos="540" w:val="left"/>
        </w:tabs>
        <w:numPr>
          <w:ilvl w:val="0"/>
          <w:numId w:val="7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ACCOUNTING PRONOUNCEMENTS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June 1998, the Financial Accounting Standards Board (FASB) issued SFAS No. 133, "Accounting for Derivative Instruments and Hedging Activities." Among other provisions, it requires that entities recognize all derivatives as either assets or liabilities in the statement of financial position and measure those instruments at fair value. Gains and losses resulting from changes in the fair values of those derivatives would be accounted for depending on the use of the derivative and whether it qualifies for hedge accounting. The effective date for this standard was delayed via the issuance of SFAS No. 137. The effective date for SFAS No. 133 is now for fiscal years beginning after June 15, 2000, though earlier adoption is encouraged and retroactive application is prohibited. For AT&amp;T, this means that the standard must be adopted no later than January 1, 2001.</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 June 2000, the FASB issued SFAS No. 138, "Accounting for Certain Derivative Instruments and Certain Hedging Activities," as an amendment to SFAS No. 133. This statement provides clarification with regard to certain implementation issues under SFAS No. 133 on specific types of hedges.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January 1, 2001, AT&amp;T adopted SFAS No. 133. We recorded a cumulative effect of an accounting change, net of applicable income taxes, of approximately $359 of income, or approximately $0.09 per diluted share, primarily attributable to fair value adjustments of debt instruments, including those acquired in conjunction with the MediaOne merger, as well as to our warrant portfolio. In addition, in connection with the adoption of SFAS No. 133, we reclassified certain investment securities, which support debt that is indexed to those securities, from "available-for-sale" to "trading." This reclassification resulted in the recognition of a charge of $713, or approximately $0.19 per diluted share, net of applicable taxes, which was recorded as a reduction of other income. As available-for-sale securities, changes in fair value were previously included within other comprehensive income as a component of shareowners' equity. In addition, LMG recorded a cumulative effect of an accounting change, net of applicable income taxes, of approximately $545 of income, or approximately $0.21 per share.</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The impact of the adoption of SFAS No. 133, as amended by SFAS No. 138, on AT&amp;T's future results of operations is dependent upon the fair values of our derivatives and related financial instruments and could result in pronounced quarterly fluctuations in other income in future periods.</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September 2000, the FASB issued SFAS No. 140, "Accounting for Transfers and Servicing of Financial Assets and Extinguishments of Liabilities -- a Replacement of FASB Statement No. 125." This statement provides accounting and reporting standards for transfers and servicing of financial assets and extinguishments of liabilities. Under these standards, after a transfer of financial assets, an entity recognizes the financial and servicing assets it controls and the liabilities it has incurred, derecognizes financial assets when control has been surrendered, and derecognizes liabilities when extinguished. This statement provides consistent standards for distinguishing transfers of financial assets that are sales from transfers that are secured borrowings. This statement is effective for transfers and servicing of financial assets and extinguishments of liabilities occurring after March 31, 2001. AT&amp;T does not expect that the adoption of SFAS No. 140 will have a material impact on AT&amp;T's results of operations, financial position or cash flows.</w:t>
      </w:r>
    </w:p>
    <w:p>
      <w:pPr>
        <w:spacing w:after="0" w:line="202" w:lineRule="exact"/>
        <w:rPr>
          <w:sz w:val="20"/>
          <w:szCs w:val="20"/>
          <w:color w:val="auto"/>
        </w:rPr>
      </w:pPr>
    </w:p>
    <w:p>
      <w:pPr>
        <w:ind w:left="540" w:hanging="533"/>
        <w:spacing w:after="0"/>
        <w:tabs>
          <w:tab w:leader="none" w:pos="540" w:val="left"/>
        </w:tabs>
        <w:numPr>
          <w:ilvl w:val="0"/>
          <w:numId w:val="7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EVENTS</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Effective January 1, 2001, AT&amp;T sold to Insight Communications Company LP (Insight) several Illinois cable-systems serving approximately 98 thousand customers for $0.4 billion. Insight subsequently contributed the purchased cable-system and additional cable-systems serving approximately 177 thousand customers to Insight Midwest L.P. in which AT&amp;T has a 50% interest. AT&amp;T also contributed entities owning cable-systems serving approximately 248 thousand customers in Illinois to Insight Midwest L.P.</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L-94</w:t>
      </w:r>
    </w:p>
    <w:p>
      <w:pPr>
        <w:sectPr>
          <w:pgSz w:w="11900" w:h="16838" w:orient="portrait"/>
          <w:cols w:equalWidth="0" w:num="1">
            <w:col w:w="10219"/>
          </w:cols>
          <w:pgMar w:left="240" w:top="517" w:right="1440" w:bottom="1440" w:gutter="0" w:footer="0" w:header="0"/>
        </w:sectPr>
      </w:pPr>
    </w:p>
    <w:bookmarkStart w:id="706" w:name="page707"/>
    <w:bookmarkEnd w:id="706"/>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The transactions resulted in pretax gains of $0.2 billion, which were deferred due to a debt support agreement with Insight Midwest, L.P.</w:t>
      </w:r>
    </w:p>
    <w:p>
      <w:pPr>
        <w:spacing w:after="0" w:line="19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January 8, 2001, AT&amp;T and Cablevision Systems Corporation (Cablevision) completed the transfer of cable-systems in which AT&amp;T received cable-systems serving 358 thousand subscribers in Boston and Eastern Massachusetts. In exchange, Cablevision received cable-systems serving approximately 130 thousand subscribers in northern New York suburbs, and 44 million shares of AT&amp;T common stock valued at approximately $0.9 billion, and approximately $0.2 billion in cash. Cablevision recorded a gain as a result of the transaction. Due to AT&amp;T's ownership interest in Cablevision, AT&amp;T recorded an after-tax gain of approximately $0.1 billion included within "Net losses from other equity investments."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January 12, 2001, AT&amp;T announced that Cox and Comcast had exercised their rights to sell a combined total of 60.4 million shares of Excite@Home Series A common stock to AT&amp;T as part of an agreement announced in August 2000 to reorganize Excite@Home's governance. On May 18, 2001, AT&amp;T, Cox Communications (Cox) and Comcast reached agreement on the terms of the previously announced transaction on the put options related to Excite@Home. Under the new agreement, which was no longer a tax-free exchange, Cox and Comcast retained their stakes in Excite@Home and AT&amp;T issued 75 million of AT&amp;T common shares to Cox and more than 80 million of AT&amp;T common shares to Comcast. We recorded a loss of approximately $0.8 billion in other income for this put option settlement in the second quarter of 2001. The new agreement resulted in a tax benefit to AT&amp;T, which essentially offset this loss.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January 22, 2001, NTT DoCoMo invested approximately $9.8 billion for 812,511.778 shares of a new class of AT&amp;T preferred stock with a par value of $1 per share; and five-year warrants to purchase the equivalent of an additional 41.7 million shares of AT&amp;T Wireless Group tracking stock at $35 per share. The $9.8 billion of proceeds were recorded based on their relative fair values as $9.2 billion for the preferred shares, $0.3 billion for the warrants in other current liabilities and $0.3 billion for the beneficial conversion feature. The preferred shares, convertible at NTT DoCoMo's option, were economically equivalent to 406 million shares (a 16 percent interest) of AT&amp;T Wireless Group tracking stock at June 30, 2001. On July 9, 2001, in conjunction with the split-off of AT&amp;T Wireless Group, these preferred shares were converted into AT&amp;T Wireless common stock. Upon conversion, AT&amp;T reduced its portion of the financial performance and economic value in the AT&amp;T Wireless Group by 178 million shares, and the balance of the 406 million shares came from the issuance of 228 million new shares of AT&amp;T Wireless common stock. Since NTT DoCoMo converted their preferred stock in connection with the Wireless Group split-off, we will recognize, in the third quarter of 2001, the remaining unamortized beneficial conversion feature balance of $0.2 billion.</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April 27, 2001, AT&amp;T completed the sale announced on February 27, 2001, of our 10% stake in Japan Telecom Co. Ltd to Vodafone Group plc for $1.35 billion in cash. The proceeds from the transaction were split evenly between AT&amp;T and AT&amp;T Wireless Group since AT&amp;T Wireless Group held one-half of AT&amp;T's investment. The transaction resulted in a pretax gain of approximately $0.5 billion recorded in AT&amp;T continuing operations and a pretax gain of approximately $0.5 billion recorded in discontinued operations.</w:t>
      </w:r>
    </w:p>
    <w:p>
      <w:pPr>
        <w:spacing w:after="0" w:line="196"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On April 30, 2001, AT&amp;T received 63.9 million shares of AT&amp;T common stock held by Comcast Corp. (Comcast) in exchange for an entity owning cable-systems which serves approximately 590 thousand customers in six states. The transaction resulted in a pretax loss of $0.3 billion.</w:t>
      </w:r>
    </w:p>
    <w:p>
      <w:pPr>
        <w:spacing w:after="0" w:line="195"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On May 25, 2001, AT&amp;T completed an exchange offer of AT&amp;T common stock for AT&amp;T Wireless stock. Under the terms of the exchange offer, AT&amp;T issued 1.176 shares of AT&amp;T Wireless Group tracking stock in exchange for each share of AT&amp;T common stock validly tendered. A total of</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L-95</w:t>
      </w:r>
    </w:p>
    <w:p>
      <w:pPr>
        <w:sectPr>
          <w:pgSz w:w="11900" w:h="16838" w:orient="portrait"/>
          <w:cols w:equalWidth="0" w:num="1">
            <w:col w:w="10219"/>
          </w:cols>
          <w:pgMar w:left="240" w:top="518" w:right="1440" w:bottom="1440" w:gutter="0" w:footer="0" w:header="0"/>
        </w:sectPr>
      </w:pPr>
    </w:p>
    <w:bookmarkStart w:id="707" w:name="page708"/>
    <w:bookmarkEnd w:id="707"/>
    <w:p>
      <w:pPr>
        <w:jc w:val="center"/>
        <w:ind w:right="183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10"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372.2 million shares of AT&amp;T common stock were tendered in exchange for 437.7 million shares of AT&amp;T Wireless Group tracking stock.</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June 20, 2001, AT&amp;T amended an existing accounts receivable securitization program for a new 364-day term providing for up to $0.5 billion of funding. Under the program, AT&amp;T Consumer accounts receivable were sold on a discounted, revolving basis, to a special purpose, wholly-owned subsidiary of AT&amp;T, which assigns interests in such receivables to unrelated third-party financing entities. Interest is paid monthly based on a floating rate set by the corresponding agreements. The borrowing was collateralized by approximately $1.0 billion of accounts receivable.</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June 22, 2001, AT&amp;T initiated a 364-day accounts receivable securitization program providing for up to $2.2 billion of funding. Under the program, AT&amp;T Business accounts receivable were sold on a discounted, revolving basis, to a special purpose, wholly-owned subsidiary of AT&amp;T, which assigns interests in such receivables to unrelated third-party financing entities. Interest is paid monthly based on a floating rate set by the corresponding agreements. The borrowing was collateralized by approximately $5.7 billion of accounts receivable.</w:t>
      </w:r>
    </w:p>
    <w:p>
      <w:pPr>
        <w:spacing w:after="0" w:line="201"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On June 30, 2001, AT&amp;T transferred its 99.75% interest in an entity owning Baltimore Maryland cable-system serving approximately 115 thousand customers to Comcast for approximately $0.5 billion in cash. The transaction resulted in a pretax gain of $0.1 billion.</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July 8, 2001, Comcast made an unsolicited offer to acquire AT&amp;T Broadband. On July 18, AT&amp;T's Board of Directors unanimously voted to reject Comcast's proposal to acquire AT&amp;T Broadband. The Board has directed management to explore financial and strategic alternatives relating to AT&amp;T Broadband, including the previously announced restructuring plans, with the goal to provide the greatest long-term value to shareowners. The Board also decided to delay finalizing and mailing to shareowners the proxy materials, filed preliminary with the SEC on July 3, 2001, for its current restructuring plans. However, AT&amp;T remains committed to separate AT&amp;T Consumer and AT&amp;T Business from AT&amp;T Broadband and to creating a separate tracking stock designed to represent the financial performance of AT&amp;T Consumer.</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July 9, 2001, AT&amp;T completed the split-off of AT&amp;T Wireless as a separate, independently-traded company. All AT&amp;T Wireless tracking stock was converted into AT&amp;T Wireless common stock on a one-for-one basis and 1,136 million shares of AT&amp;T Wireless common stock, held by AT&amp;T, was distributed to AT&amp;T common shareowners on a basis of 0.3218 of a share of AT&amp;T Wireless for each AT&amp;T share outstanding. The split-off of AT&amp;T Wireless will result in a non-cash gain of approximately $13 billion, which represents the difference between the fair value of the Wireless tracking stock at the date of the split-off and AT&amp;T's book value in AT&amp;T Wireless Services. This gain will be recorded in the third quarter of 2001 and be reflected as "Gain on the disposition of discontinued operations." In addition, AT&amp;T retained approximately $3 billion, or 7.3%, of AT&amp;T Wireless common stock, about half of which was used in a debt-for-equity exchange in July which will result in a pretax gain of approximately $0.5 billion to be recorded in other income. The remaining shares are expected to be sold, exchanged or monetized within six months of the split-off.</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On August 10, 2001, AT&amp;T completed the split-off of Liberty Media Corporation as an independent, publicly-traded company. AT&amp;T redeemed each outstanding share of Class A and Class B Liberty Media Group (LMG) tracking stock for one share of Liberty Media Corporation's Series A and Series B common stock, respectively. The split-off will be recorded as a book value transaction, therefore, no gain or loss will be recorded on the transaction.</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L-96</w:t>
      </w:r>
    </w:p>
    <w:p>
      <w:pPr>
        <w:sectPr>
          <w:pgSz w:w="11900" w:h="16838" w:orient="portrait"/>
          <w:cols w:equalWidth="0" w:num="1">
            <w:col w:w="10219"/>
          </w:cols>
          <w:pgMar w:left="240" w:top="518" w:right="1440" w:bottom="1440" w:gutter="0" w:footer="0" w:header="0"/>
        </w:sectPr>
      </w:pPr>
    </w:p>
    <w:bookmarkStart w:id="708" w:name="page709"/>
    <w:bookmarkEnd w:id="708"/>
    <w:p>
      <w:pPr>
        <w:jc w:val="center"/>
        <w:ind w:right="181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COMBINED STATEMENTS OF OPERATIONS</w:t>
      </w:r>
    </w:p>
    <w:p>
      <w:pPr>
        <w:spacing w:after="0" w:line="21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THREE MONTHS NINE MONTHS ENDED ENDED SEPTEMBER 30,</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SEPTEMBER 30, --------------- ----------------- 2001</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2000 2001 2000 ------ ------ ------- ------- (UNAUDITED)</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$2,500 $2,493 $ 7,756 $ 5,766 Operating expenses: Costs</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of services (excluding depreciation of $453, $412,</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$1,374 and $872, included below).............. 1,325</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1,303 4,245 3,105 Selling, general and</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administrative.................... 608 668 1,951 1,454</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Depreciation and other amortization....................</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629 510 1,952 1,073 Amortization of goodwill, franchise</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costs and other purchased</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intangibles............................... 512 716 1,681</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1,226 Asset impairment, restructuring and other</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charges...... 399 24 1,494 40 ------ ------ ------- ----</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 Total operating</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expenses................................. 3,473 3,221</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11,323 6,898 ------ ------ ------- ------- Operating</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loss......................................... (973)</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(728) (3,567) (1,132) Other (expense)</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income................................... (252) 67</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(2,156) 547 Interest</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expense......................................... 386 390</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1,347 909 ------ ------ ------- ------- Loss before</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income taxes, net losses from equity investments,</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minority interest and cumulative effect of accounting</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change................................ 1,611 1,051 7,070</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1,494 Benefit for income</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taxes................................. 1,036 247 3,214</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845 Net losses from equity</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investments....................... 53 219 37 636</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Minority interest income</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(expense)....................... 169 83 905 (21) ------</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 ------- ------- Loss before cumulative effect of</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accounting change..... 459 940 2,988 1,306 Cumulative</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effect of accounting change (net of income taxes of</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$142)......................................... -- -- 229</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 ------ ------ ------- ------- Net</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loss............................................... $</w:t>
      </w:r>
    </w:p>
    <w:p>
      <w:pPr>
        <w:spacing w:after="0" w:line="9"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459 $ 940 $ 2,759 $ 1,306 ====== ====== ======= =======</w:t>
      </w:r>
    </w:p>
    <w:p>
      <w:pPr>
        <w:spacing w:after="0" w:line="200" w:lineRule="exact"/>
        <w:rPr>
          <w:sz w:val="20"/>
          <w:szCs w:val="20"/>
          <w:color w:val="auto"/>
        </w:rPr>
      </w:pPr>
    </w:p>
    <w:p>
      <w:pPr>
        <w:spacing w:after="0" w:line="21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9" w:lineRule="exact"/>
        <w:rPr>
          <w:sz w:val="20"/>
          <w:szCs w:val="20"/>
          <w:color w:val="auto"/>
        </w:rPr>
      </w:pPr>
    </w:p>
    <w:p>
      <w:pPr>
        <w:jc w:val="center"/>
        <w:ind w:right="1619"/>
        <w:spacing w:after="0"/>
        <w:rPr>
          <w:sz w:val="20"/>
          <w:szCs w:val="20"/>
          <w:color w:val="auto"/>
        </w:rPr>
      </w:pPr>
      <w:r>
        <w:rPr>
          <w:rFonts w:ascii="Courier New" w:cs="Courier New" w:eastAsia="Courier New" w:hAnsi="Courier New"/>
          <w:sz w:val="17"/>
          <w:szCs w:val="17"/>
          <w:color w:val="auto"/>
        </w:rPr>
        <w:t>L-97</w:t>
      </w:r>
    </w:p>
    <w:p>
      <w:pPr>
        <w:sectPr>
          <w:pgSz w:w="11900" w:h="16838" w:orient="portrait"/>
          <w:cols w:equalWidth="0" w:num="1">
            <w:col w:w="10219"/>
          </w:cols>
          <w:pgMar w:left="240" w:top="720" w:right="1440" w:bottom="1440" w:gutter="0" w:footer="0" w:header="0"/>
        </w:sectPr>
      </w:pPr>
    </w:p>
    <w:bookmarkStart w:id="709" w:name="page710"/>
    <w:bookmarkEnd w:id="709"/>
    <w:p>
      <w:pPr>
        <w:jc w:val="center"/>
        <w:ind w:right="181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COMBINED BALANCE SHEETS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SEPTEMBER 30, DECEMBER 31, 2001 2000 -------------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(UNAUDITED) (DOLLARS IN MILLIONS) ASSETS Cash and cash</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60" w:type="dxa"/>
            <w:vAlign w:val="bottom"/>
          </w:tcPr>
          <w:p>
            <w:pPr>
              <w:jc w:val="right"/>
              <w:spacing w:after="0"/>
              <w:rPr>
                <w:sz w:val="20"/>
                <w:szCs w:val="20"/>
                <w:color w:val="auto"/>
              </w:rPr>
            </w:pPr>
            <w:r>
              <w:rPr>
                <w:rFonts w:ascii="Courier New" w:cs="Courier New" w:eastAsia="Courier New" w:hAnsi="Courier New"/>
                <w:sz w:val="17"/>
                <w:szCs w:val="17"/>
                <w:color w:val="auto"/>
                <w:w w:val="75"/>
              </w:rPr>
              <w:t>equivalents...................................</w:t>
            </w:r>
          </w:p>
        </w:tc>
        <w:tc>
          <w:tcPr>
            <w:tcW w:w="2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$ 253</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$ 61</w:t>
            </w:r>
          </w:p>
        </w:tc>
      </w:tr>
      <w:tr>
        <w:trPr>
          <w:trHeight w:val="201"/>
        </w:trPr>
        <w:tc>
          <w:tcPr>
            <w:tcW w:w="5720" w:type="dxa"/>
            <w:vAlign w:val="bottom"/>
            <w:gridSpan w:val="2"/>
          </w:tcPr>
          <w:p>
            <w:pPr>
              <w:jc w:val="center"/>
              <w:ind w:left="493"/>
              <w:spacing w:after="0"/>
              <w:rPr>
                <w:sz w:val="20"/>
                <w:szCs w:val="20"/>
                <w:color w:val="auto"/>
              </w:rPr>
            </w:pPr>
            <w:r>
              <w:rPr>
                <w:rFonts w:ascii="Courier New" w:cs="Courier New" w:eastAsia="Courier New" w:hAnsi="Courier New"/>
                <w:sz w:val="17"/>
                <w:szCs w:val="17"/>
                <w:color w:val="auto"/>
              </w:rPr>
              <w:t>Trade receivables, less allowances of $69 and</w:t>
            </w:r>
          </w:p>
        </w:tc>
        <w:tc>
          <w:tcPr>
            <w:tcW w:w="520" w:type="dxa"/>
            <w:vAlign w:val="bottom"/>
          </w:tcPr>
          <w:p>
            <w:pPr>
              <w:spacing w:after="0"/>
              <w:rPr>
                <w:sz w:val="17"/>
                <w:szCs w:val="17"/>
                <w:color w:val="auto"/>
              </w:rPr>
            </w:pPr>
          </w:p>
        </w:tc>
      </w:tr>
      <w:tr>
        <w:trPr>
          <w:trHeight w:val="201"/>
        </w:trPr>
        <w:tc>
          <w:tcPr>
            <w:tcW w:w="3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$74...........</w:t>
            </w:r>
          </w:p>
        </w:tc>
        <w:tc>
          <w:tcPr>
            <w:tcW w:w="2160" w:type="dxa"/>
            <w:vAlign w:val="bottom"/>
          </w:tcPr>
          <w:p>
            <w:pPr>
              <w:jc w:val="right"/>
              <w:ind w:right="1333"/>
              <w:spacing w:after="0"/>
              <w:rPr>
                <w:sz w:val="20"/>
                <w:szCs w:val="20"/>
                <w:color w:val="auto"/>
              </w:rPr>
            </w:pPr>
            <w:r>
              <w:rPr>
                <w:rFonts w:ascii="Courier New" w:cs="Courier New" w:eastAsia="Courier New" w:hAnsi="Courier New"/>
                <w:sz w:val="17"/>
                <w:szCs w:val="17"/>
                <w:color w:val="auto"/>
              </w:rPr>
              <w:t>604 774</w:t>
            </w:r>
          </w:p>
        </w:tc>
        <w:tc>
          <w:tcPr>
            <w:tcW w:w="520" w:type="dxa"/>
            <w:vAlign w:val="bottom"/>
          </w:tcPr>
          <w:p>
            <w:pPr>
              <w:spacing w:after="0"/>
              <w:rPr>
                <w:sz w:val="17"/>
                <w:szCs w:val="17"/>
                <w:color w:val="auto"/>
              </w:rPr>
            </w:pPr>
          </w:p>
        </w:tc>
      </w:tr>
      <w:tr>
        <w:trPr>
          <w:trHeight w:val="201"/>
        </w:trPr>
        <w:tc>
          <w:tcPr>
            <w:tcW w:w="5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3"/>
              </w:rPr>
              <w:t>Investments.................................................</w:t>
            </w:r>
          </w:p>
        </w:tc>
        <w:tc>
          <w:tcPr>
            <w:tcW w:w="520" w:type="dxa"/>
            <w:vAlign w:val="bottom"/>
          </w:tcPr>
          <w:p>
            <w:pPr>
              <w:spacing w:after="0"/>
              <w:rPr>
                <w:sz w:val="17"/>
                <w:szCs w:val="17"/>
                <w:color w:val="auto"/>
              </w:rPr>
            </w:pPr>
          </w:p>
        </w:tc>
      </w:tr>
      <w:tr>
        <w:trPr>
          <w:trHeight w:val="201"/>
        </w:trPr>
        <w:tc>
          <w:tcPr>
            <w:tcW w:w="5720" w:type="dxa"/>
            <w:vAlign w:val="bottom"/>
            <w:gridSpan w:val="2"/>
          </w:tcPr>
          <w:p>
            <w:pPr>
              <w:jc w:val="center"/>
              <w:ind w:left="493"/>
              <w:spacing w:after="0"/>
              <w:rPr>
                <w:sz w:val="20"/>
                <w:szCs w:val="20"/>
                <w:color w:val="auto"/>
              </w:rPr>
            </w:pPr>
            <w:r>
              <w:rPr>
                <w:rFonts w:ascii="Courier New" w:cs="Courier New" w:eastAsia="Courier New" w:hAnsi="Courier New"/>
                <w:sz w:val="17"/>
                <w:szCs w:val="17"/>
                <w:color w:val="auto"/>
              </w:rPr>
              <w:t>-- 2,204 Other current</w:t>
            </w:r>
          </w:p>
        </w:tc>
        <w:tc>
          <w:tcPr>
            <w:tcW w:w="520" w:type="dxa"/>
            <w:vAlign w:val="bottom"/>
          </w:tcPr>
          <w:p>
            <w:pPr>
              <w:spacing w:after="0"/>
              <w:rPr>
                <w:sz w:val="17"/>
                <w:szCs w:val="17"/>
                <w:color w:val="auto"/>
              </w:rPr>
            </w:pPr>
          </w:p>
        </w:tc>
      </w:tr>
      <w:tr>
        <w:trPr>
          <w:trHeight w:val="201"/>
        </w:trPr>
        <w:tc>
          <w:tcPr>
            <w:tcW w:w="3560" w:type="dxa"/>
            <w:vAlign w:val="bottom"/>
          </w:tcPr>
          <w:p>
            <w:pPr>
              <w:jc w:val="right"/>
              <w:spacing w:after="0"/>
              <w:rPr>
                <w:sz w:val="20"/>
                <w:szCs w:val="20"/>
                <w:color w:val="auto"/>
              </w:rPr>
            </w:pPr>
            <w:r>
              <w:rPr>
                <w:rFonts w:ascii="Courier New" w:cs="Courier New" w:eastAsia="Courier New" w:hAnsi="Courier New"/>
                <w:sz w:val="17"/>
                <w:szCs w:val="17"/>
                <w:color w:val="auto"/>
                <w:w w:val="75"/>
              </w:rPr>
              <w:t>assets........................................</w:t>
            </w:r>
          </w:p>
        </w:tc>
        <w:tc>
          <w:tcPr>
            <w:tcW w:w="2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570 467 ----</w:t>
            </w:r>
          </w:p>
        </w:tc>
      </w:tr>
      <w:tr>
        <w:trPr>
          <w:trHeight w:val="201"/>
        </w:trPr>
        <w:tc>
          <w:tcPr>
            <w:tcW w:w="5720" w:type="dxa"/>
            <w:vAlign w:val="bottom"/>
            <w:gridSpan w:val="2"/>
          </w:tcPr>
          <w:p>
            <w:pPr>
              <w:jc w:val="center"/>
              <w:ind w:left="493"/>
              <w:spacing w:after="0"/>
              <w:rPr>
                <w:sz w:val="20"/>
                <w:szCs w:val="20"/>
                <w:color w:val="auto"/>
              </w:rPr>
            </w:pPr>
            <w:r>
              <w:rPr>
                <w:rFonts w:ascii="Courier New" w:cs="Courier New" w:eastAsia="Courier New" w:hAnsi="Courier New"/>
                <w:sz w:val="17"/>
                <w:szCs w:val="17"/>
                <w:color w:val="auto"/>
              </w:rPr>
              <w:t>---- -------- Total current</w:t>
            </w:r>
          </w:p>
        </w:tc>
        <w:tc>
          <w:tcPr>
            <w:tcW w:w="520" w:type="dxa"/>
            <w:vAlign w:val="bottom"/>
          </w:tcPr>
          <w:p>
            <w:pPr>
              <w:spacing w:after="0"/>
              <w:rPr>
                <w:sz w:val="17"/>
                <w:szCs w:val="17"/>
                <w:color w:val="auto"/>
              </w:rPr>
            </w:pPr>
          </w:p>
        </w:tc>
      </w:tr>
      <w:tr>
        <w:trPr>
          <w:trHeight w:val="201"/>
        </w:trPr>
        <w:tc>
          <w:tcPr>
            <w:tcW w:w="3560" w:type="dxa"/>
            <w:vAlign w:val="bottom"/>
          </w:tcPr>
          <w:p>
            <w:pPr>
              <w:jc w:val="right"/>
              <w:spacing w:after="0"/>
              <w:rPr>
                <w:sz w:val="20"/>
                <w:szCs w:val="20"/>
                <w:color w:val="auto"/>
              </w:rPr>
            </w:pPr>
            <w:r>
              <w:rPr>
                <w:rFonts w:ascii="Courier New" w:cs="Courier New" w:eastAsia="Courier New" w:hAnsi="Courier New"/>
                <w:sz w:val="17"/>
                <w:szCs w:val="17"/>
                <w:color w:val="auto"/>
                <w:w w:val="84"/>
              </w:rPr>
              <w:t>assets...................................</w:t>
            </w:r>
          </w:p>
        </w:tc>
        <w:tc>
          <w:tcPr>
            <w:tcW w:w="26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1,427 3,506</w:t>
            </w:r>
          </w:p>
        </w:tc>
      </w:tr>
      <w:tr>
        <w:trPr>
          <w:trHeight w:val="201"/>
        </w:trPr>
        <w:tc>
          <w:tcPr>
            <w:tcW w:w="5720" w:type="dxa"/>
            <w:vAlign w:val="bottom"/>
            <w:gridSpan w:val="2"/>
          </w:tcPr>
          <w:p>
            <w:pPr>
              <w:jc w:val="center"/>
              <w:ind w:left="493"/>
              <w:spacing w:after="0"/>
              <w:rPr>
                <w:sz w:val="20"/>
                <w:szCs w:val="20"/>
                <w:color w:val="auto"/>
              </w:rPr>
            </w:pPr>
            <w:r>
              <w:rPr>
                <w:rFonts w:ascii="Courier New" w:cs="Courier New" w:eastAsia="Courier New" w:hAnsi="Courier New"/>
                <w:sz w:val="17"/>
                <w:szCs w:val="17"/>
                <w:color w:val="auto"/>
              </w:rPr>
              <w:t>Property, plant and equipment, net of accumulated</w:t>
            </w:r>
          </w:p>
        </w:tc>
        <w:tc>
          <w:tcPr>
            <w:tcW w:w="520" w:type="dxa"/>
            <w:vAlign w:val="bottom"/>
          </w:tcPr>
          <w:p>
            <w:pPr>
              <w:spacing w:after="0"/>
              <w:rPr>
                <w:sz w:val="17"/>
                <w:szCs w:val="17"/>
                <w:color w:val="auto"/>
              </w:rPr>
            </w:pPr>
          </w:p>
        </w:tc>
      </w:tr>
      <w:tr>
        <w:trPr>
          <w:trHeight w:val="201"/>
        </w:trPr>
        <w:tc>
          <w:tcPr>
            <w:tcW w:w="5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depreciation of $2,647 and $2,078.........................</w:t>
            </w:r>
          </w:p>
        </w:tc>
        <w:tc>
          <w:tcPr>
            <w:tcW w:w="520" w:type="dxa"/>
            <w:vAlign w:val="bottom"/>
          </w:tcPr>
          <w:p>
            <w:pPr>
              <w:spacing w:after="0"/>
              <w:rPr>
                <w:sz w:val="17"/>
                <w:szCs w:val="17"/>
                <w:color w:val="auto"/>
              </w:rPr>
            </w:pPr>
          </w:p>
        </w:tc>
      </w:tr>
      <w:tr>
        <w:trPr>
          <w:trHeight w:val="201"/>
        </w:trPr>
        <w:tc>
          <w:tcPr>
            <w:tcW w:w="5720" w:type="dxa"/>
            <w:vAlign w:val="bottom"/>
            <w:gridSpan w:val="2"/>
          </w:tcPr>
          <w:p>
            <w:pPr>
              <w:jc w:val="center"/>
              <w:ind w:left="493"/>
              <w:spacing w:after="0"/>
              <w:rPr>
                <w:sz w:val="20"/>
                <w:szCs w:val="20"/>
                <w:color w:val="auto"/>
              </w:rPr>
            </w:pPr>
            <w:r>
              <w:rPr>
                <w:rFonts w:ascii="Courier New" w:cs="Courier New" w:eastAsia="Courier New" w:hAnsi="Courier New"/>
                <w:sz w:val="17"/>
                <w:szCs w:val="17"/>
                <w:color w:val="auto"/>
              </w:rPr>
              <w:t>14,292 15,187 Franchise costs, net of accumulated</w:t>
            </w:r>
          </w:p>
        </w:tc>
        <w:tc>
          <w:tcPr>
            <w:tcW w:w="520" w:type="dxa"/>
            <w:vAlign w:val="bottom"/>
          </w:tcPr>
          <w:p>
            <w:pPr>
              <w:spacing w:after="0"/>
              <w:rPr>
                <w:sz w:val="17"/>
                <w:szCs w:val="17"/>
                <w:color w:val="auto"/>
              </w:rPr>
            </w:pPr>
          </w:p>
        </w:tc>
      </w:tr>
      <w:tr>
        <w:trPr>
          <w:trHeight w:val="201"/>
        </w:trPr>
        <w:tc>
          <w:tcPr>
            <w:tcW w:w="5720" w:type="dxa"/>
            <w:vAlign w:val="bottom"/>
            <w:gridSpan w:val="2"/>
          </w:tcPr>
          <w:p>
            <w:pPr>
              <w:jc w:val="center"/>
              <w:ind w:left="493"/>
              <w:spacing w:after="0"/>
              <w:rPr>
                <w:sz w:val="20"/>
                <w:szCs w:val="20"/>
                <w:color w:val="auto"/>
              </w:rPr>
            </w:pPr>
            <w:r>
              <w:rPr>
                <w:rFonts w:ascii="Courier New" w:cs="Courier New" w:eastAsia="Courier New" w:hAnsi="Courier New"/>
                <w:sz w:val="17"/>
                <w:szCs w:val="17"/>
                <w:color w:val="auto"/>
              </w:rPr>
              <w:t>amortization of $2,226 and</w:t>
            </w:r>
          </w:p>
        </w:tc>
        <w:tc>
          <w:tcPr>
            <w:tcW w:w="520" w:type="dxa"/>
            <w:vAlign w:val="bottom"/>
          </w:tcPr>
          <w:p>
            <w:pPr>
              <w:spacing w:after="0"/>
              <w:rPr>
                <w:sz w:val="17"/>
                <w:szCs w:val="17"/>
                <w:color w:val="auto"/>
              </w:rPr>
            </w:pPr>
          </w:p>
        </w:tc>
      </w:tr>
      <w:tr>
        <w:trPr>
          <w:trHeight w:val="201"/>
        </w:trPr>
        <w:tc>
          <w:tcPr>
            <w:tcW w:w="5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$1,664................................................</w:t>
            </w:r>
          </w:p>
        </w:tc>
        <w:tc>
          <w:tcPr>
            <w:tcW w:w="520" w:type="dxa"/>
            <w:vAlign w:val="bottom"/>
          </w:tcPr>
          <w:p>
            <w:pPr>
              <w:spacing w:after="0"/>
              <w:rPr>
                <w:sz w:val="17"/>
                <w:szCs w:val="17"/>
                <w:color w:val="auto"/>
              </w:rPr>
            </w:pPr>
          </w:p>
        </w:tc>
      </w:tr>
    </w:tbl>
    <w:p>
      <w:pPr>
        <w:spacing w:after="0" w:line="4"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43,287 48,218 Goodwill, net of accumulated amortization of</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$615 and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$240......................................................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19,393 21,139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22,492 25,045 Other assets, net of accumulated amortization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of $515 and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$578......................................................</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3,370 4,439 -------- -------- Total</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assets........................................... $104,261</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$117,534 ======== ======== LIABILITIES AND COMBINED</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ATTRIBUTED NET ASSETS Accounts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payable............................................ $ 700 $</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1,250 Payroll and benefit-related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liabilities..................... 438 570 Debt maturing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within one year............................... 572 3,073</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Short-term debt due to</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AT&amp;T................................. 5,390 5,830 Deferred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income tax liability............................... -- 486</w:t>
      </w:r>
    </w:p>
    <w:p>
      <w:pPr>
        <w:spacing w:after="0" w:line="9"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Liability under put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options................................. -- 2,564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current liabilities...................................</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1,783 2,177 -------- -------- Total current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liabilities.............................. 8,883 15,950</w:t>
      </w:r>
    </w:p>
    <w:p>
      <w:pPr>
        <w:spacing w:after="0" w:line="9"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Long-term</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debt.............................................. 17,312</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19,517 Deferred 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taxes....................................... 25,659 28,550</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Other long-term liabilities and deferred</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credits............ 974 1,069 -------- -------- Total</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liabilities...................................... 52,828</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65,086 Minority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interest........................................... 3,319</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4,421 Company-Obligated Convertible Quarterly Income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Preferred Securities of Subsidiary Trust Holding Solely</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Subordinated Debt Securities of</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AT&amp;T................................... 4,718 4,710</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Combined attributed net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assets.............................. 43,396 43,317 --------</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 Total liabilities and combined attributed net</w:t>
      </w:r>
    </w:p>
    <w:p>
      <w:pPr>
        <w:spacing w:after="0" w:line="9"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assets... $104,261 $117,534 ======== ========</w:t>
      </w:r>
    </w:p>
    <w:p>
      <w:pPr>
        <w:spacing w:after="0" w:line="200" w:lineRule="exact"/>
        <w:rPr>
          <w:sz w:val="20"/>
          <w:szCs w:val="20"/>
          <w:color w:val="auto"/>
        </w:rPr>
      </w:pPr>
    </w:p>
    <w:p>
      <w:pPr>
        <w:spacing w:after="0" w:line="21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9" w:lineRule="exact"/>
        <w:rPr>
          <w:sz w:val="20"/>
          <w:szCs w:val="20"/>
          <w:color w:val="auto"/>
        </w:rPr>
      </w:pPr>
    </w:p>
    <w:p>
      <w:pPr>
        <w:jc w:val="center"/>
        <w:ind w:right="1619"/>
        <w:spacing w:after="0"/>
        <w:rPr>
          <w:sz w:val="20"/>
          <w:szCs w:val="20"/>
          <w:color w:val="auto"/>
        </w:rPr>
      </w:pPr>
      <w:r>
        <w:rPr>
          <w:rFonts w:ascii="Courier New" w:cs="Courier New" w:eastAsia="Courier New" w:hAnsi="Courier New"/>
          <w:sz w:val="17"/>
          <w:szCs w:val="17"/>
          <w:color w:val="auto"/>
        </w:rPr>
        <w:t>L-98</w:t>
      </w:r>
    </w:p>
    <w:p>
      <w:pPr>
        <w:sectPr>
          <w:pgSz w:w="11900" w:h="16838" w:orient="portrait"/>
          <w:cols w:equalWidth="0" w:num="1">
            <w:col w:w="10219"/>
          </w:cols>
          <w:pgMar w:left="240" w:top="720" w:right="1440" w:bottom="1440" w:gutter="0" w:footer="0" w:header="0"/>
        </w:sectPr>
      </w:pPr>
    </w:p>
    <w:bookmarkStart w:id="710" w:name="page711"/>
    <w:bookmarkEnd w:id="710"/>
    <w:p>
      <w:pPr>
        <w:jc w:val="center"/>
        <w:ind w:right="181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COMBINED STATEMENTS OF CHANGES IN COMBINED ATTRIBUTED NET ASSETS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NINE MONTHS ENDED SEPTEMBER 30,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 --------- (UNAUDITED) (DOLLARS IN</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MILLIONS) COMBINED ATTRIBUTED NET ASSETS: Balance at</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beginning of period............................</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$43,317 $14,889 Net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loss..................................................</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(2,759) (1,306) Contributions from AT&amp;T,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net.............................. 2,485 35,616</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Issuance of common stock by</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affiliates.................... 39 (60) Net</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revaluation of financial</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instruments.................. (671) (1,373)</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Recognition of previously unrealized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losses............... 950 -- Other comprehensive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income................................ 35 -- -------</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 Balance at end of</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period.................................. $43,396</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$47,766 ======= ======= SUMMARY OF TOTAL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COMPREHENSIVE LOSS: Losses before cumulative effect</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of accounting change...... $(2,988) $(1,306)</w:t>
      </w:r>
    </w:p>
    <w:p>
      <w:pPr>
        <w:spacing w:after="0" w:line="9"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Cumulative effect of accounting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change.................... 229 -- ------- ------- Net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loss..................................................</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(2,759) (1,306) Net revaluation of financial</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instruments (net of income taxes of $422 and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$863)................................ (671) (1,373)</w:t>
      </w:r>
    </w:p>
    <w:p>
      <w:pPr>
        <w:spacing w:after="0" w:line="21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income taxes of</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$598)......................................... 950 --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Other comprehensive income (net of income taxes of</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$7).... 35 -- ------- ------- Total comprehensive</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loss.................................. $(2,445)</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$(2,679) ======= =======</w:t>
      </w:r>
    </w:p>
    <w:p>
      <w:pPr>
        <w:spacing w:after="0" w:line="200" w:lineRule="exact"/>
        <w:rPr>
          <w:sz w:val="20"/>
          <w:szCs w:val="20"/>
          <w:color w:val="auto"/>
        </w:rPr>
      </w:pPr>
    </w:p>
    <w:p>
      <w:pPr>
        <w:spacing w:after="0" w:line="21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9" w:lineRule="exact"/>
        <w:rPr>
          <w:sz w:val="20"/>
          <w:szCs w:val="20"/>
          <w:color w:val="auto"/>
        </w:rPr>
      </w:pPr>
    </w:p>
    <w:p>
      <w:pPr>
        <w:jc w:val="center"/>
        <w:ind w:right="1619"/>
        <w:spacing w:after="0"/>
        <w:rPr>
          <w:sz w:val="20"/>
          <w:szCs w:val="20"/>
          <w:color w:val="auto"/>
        </w:rPr>
      </w:pPr>
      <w:r>
        <w:rPr>
          <w:rFonts w:ascii="Courier New" w:cs="Courier New" w:eastAsia="Courier New" w:hAnsi="Courier New"/>
          <w:sz w:val="17"/>
          <w:szCs w:val="17"/>
          <w:color w:val="auto"/>
        </w:rPr>
        <w:t>L-99</w:t>
      </w:r>
    </w:p>
    <w:p>
      <w:pPr>
        <w:sectPr>
          <w:pgSz w:w="11900" w:h="16838" w:orient="portrait"/>
          <w:cols w:equalWidth="0" w:num="1">
            <w:col w:w="10219"/>
          </w:cols>
          <w:pgMar w:left="240" w:top="719" w:right="1440" w:bottom="1440" w:gutter="0" w:footer="0" w:header="0"/>
        </w:sectPr>
      </w:pPr>
    </w:p>
    <w:bookmarkStart w:id="711" w:name="page712"/>
    <w:bookmarkEnd w:id="711"/>
    <w:p>
      <w:pPr>
        <w:jc w:val="center"/>
        <w:ind w:right="181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COMBINED STATEMENTS OF CASH FLOWS</w:t>
      </w:r>
    </w:p>
    <w:p>
      <w:pPr>
        <w:spacing w:after="0" w:line="21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NINE MONTHS ENDED SEPTEMBER 30, ----------------- 2001</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2000 ------- ------- (UNAUDITED) (DOLLARS IN MILLIONS)</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OPERATING ACTIVITIES: Net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loss..................................................</w:t>
      </w:r>
    </w:p>
    <w:p>
      <w:pPr>
        <w:spacing w:after="0" w:line="9" w:lineRule="exact"/>
        <w:rPr>
          <w:sz w:val="20"/>
          <w:szCs w:val="20"/>
          <w:color w:val="auto"/>
        </w:rPr>
      </w:pPr>
    </w:p>
    <w:p>
      <w:pPr>
        <w:jc w:val="center"/>
        <w:ind w:right="4339"/>
        <w:spacing w:after="0" w:line="251" w:lineRule="auto"/>
        <w:rPr>
          <w:sz w:val="20"/>
          <w:szCs w:val="20"/>
          <w:color w:val="auto"/>
        </w:rPr>
      </w:pPr>
      <w:r>
        <w:rPr>
          <w:rFonts w:ascii="Courier New" w:cs="Courier New" w:eastAsia="Courier New" w:hAnsi="Courier New"/>
          <w:sz w:val="17"/>
          <w:szCs w:val="17"/>
          <w:color w:val="auto"/>
        </w:rPr>
        <w:t>$(2,759) $(1,306) Adjustments to reconcile net loss to net cash provided by (used in) operating activities: Cumulative effect of accounting change, net of income taxes.................................................. (229) -- Loss (gain) on sales of businesses and</w:t>
      </w:r>
    </w:p>
    <w:p>
      <w:pPr>
        <w:ind w:left="580"/>
        <w:spacing w:after="0"/>
        <w:rPr>
          <w:sz w:val="20"/>
          <w:szCs w:val="20"/>
          <w:color w:val="auto"/>
        </w:rPr>
      </w:pPr>
      <w:r>
        <w:rPr>
          <w:rFonts w:ascii="Courier New" w:cs="Courier New" w:eastAsia="Courier New" w:hAnsi="Courier New"/>
          <w:sz w:val="17"/>
          <w:szCs w:val="17"/>
          <w:color w:val="auto"/>
        </w:rPr>
        <w:t>investments...... 451 (453) Asset impairment,</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restructuring and other charges, net of cash</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payments....................................... 1,386</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24 Depreciation and</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amortization........................... 3,633 2,299</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Provision for</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uncollectibles............................ 181 94</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Losses from equity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investments.......................... 43 1,030 Deferred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taxes................................... (3,353)</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(521) Put option settlement and mark-to-market</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charge......... 838 21 Minority interest (income)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expense...................... (936) 63 Net revaluation</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of trading securities................... 924 --</w:t>
      </w:r>
    </w:p>
    <w:p>
      <w:pPr>
        <w:spacing w:after="0" w:line="9"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Decrease in accounts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receivable......................... 78 2 Decrease in</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accounts payable............................ (393)</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(229) Net change in other operating assets and</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liabilities.... (774) (491) Other adjustments,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 131 (112) -------</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Net cash (used in) provided by operating</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activities... (779) 421 ------- ------- INVESTING</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ACTIVITIES: Capital expended for property and</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equipment, net of proceeds from</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disposal.................................. (2,521)</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(3,067) Sales of marketable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securities............................ 102 35 Purchases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of marketable securities........................ (18) -</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 Equity investment distributions and</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sales................. 379 508 Equity investment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contributions and purchases............. (273) (579)</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 cash received (paid) for acquisitions/dispositions</w:t>
      </w:r>
    </w:p>
    <w:p>
      <w:pPr>
        <w:spacing w:after="0" w:line="9"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businesses..............................................</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4,812 (83) Other investing activities,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 (153) (22) ------- -----</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 Net cash provided by (used in) investing</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activities... 2,328 (3,208) ------- ------- FINANCING</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ACTIVITIES: Proceeds from long-term debt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issuances.................... 98 -- Retirements of</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long-term debt............................. (905)</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(1,270) Retirements of redeemable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securities...................... -- (152) Dividends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paid on preferred securities.................... (190)</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(147) Change in short-term debt due to AT&amp;T,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net................ (440) 4,763 Transfers from AT&amp;T,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net.................................. 80 168 Other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financing activities, net...........................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(399) ------- ------- Net cash (used in) provided by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financing activities... (1,357) 2,963 ------- -------</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Net change in cash and cash</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equivalents..................... 192 176 ------- ------</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 Cash and cash equivalents at beginning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period............ 61 -- ------- ------- Cash and 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equivalents at end of period.................. $ 253 $</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176 ======= =======</w:t>
      </w:r>
    </w:p>
    <w:p>
      <w:pPr>
        <w:spacing w:after="0" w:line="200" w:lineRule="exact"/>
        <w:rPr>
          <w:sz w:val="20"/>
          <w:szCs w:val="20"/>
          <w:color w:val="auto"/>
        </w:rPr>
      </w:pPr>
    </w:p>
    <w:p>
      <w:pPr>
        <w:spacing w:after="0" w:line="21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L-100</w:t>
      </w:r>
    </w:p>
    <w:p>
      <w:pPr>
        <w:sectPr>
          <w:pgSz w:w="11900" w:h="16838" w:orient="portrait"/>
          <w:cols w:equalWidth="0" w:num="1">
            <w:col w:w="10219"/>
          </w:cols>
          <w:pgMar w:left="240" w:top="719" w:right="1440" w:bottom="458" w:gutter="0" w:footer="0" w:header="0"/>
        </w:sectPr>
      </w:pPr>
    </w:p>
    <w:bookmarkStart w:id="712" w:name="page713"/>
    <w:bookmarkEnd w:id="712"/>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EXCEPT PER SHARE AMOUNTS AND UNLESS OTHERWISE NOTED)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BASIS OF PRESENTATION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Group is an integrated business of AT&amp;T Corp. and not a stand-alone entity. AT&amp;T will assign and transfer substantially all the assets, liabilities and business of AT&amp;T Broadband Group to AT&amp;T Broadband Corp., a newly formed holding company for AT&amp;T's broadband business, which will be subsequently merged with Comcast Corporation ("Comcast") as discussed below. AT&amp;T Broadband Group consists primarily of the assets, liabilities and business of AT&amp;T Broadband, LLC (formerly Tele-Communications, Inc. ("TCI")), acquired by AT&amp;T on March 9, 1999 in the TCI merger and MediaOne Group, Inc. ("MediaOne") acquired by AT&amp;T on June 15, 2000 in the MediaOne acquisition. AT&amp;T Broadband, LLC ("ATTBLLC") and MediaOne are both separate subsidiaries of AT&amp;T. AT&amp;T Broadband Group is one of the nation's largest broadband communications providers, providing cable television, high-speed cable Internet and broadband telephone services.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Comcast and AT&amp;T have agreed to a merger of Comcast and AT&amp;T Broadband Corp. (the "AT&amp;T Comcast Merger"). The AT&amp;T Comcast Merger is pursuant to, and subject to the terms and conditions set forth in the Agreement and Plan of Merger, dated as of December 19, 2001 (the "Merger Agreement"). The AT&amp;T Comcast Merger will occur in several steps, which are expected to occur on the closing date of the AT&amp;T Comcast Merger.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to each holder of record of a share of AT&amp;T common stock, NYSE symbol "T," as of the close of business on the record date for the AT&amp;T Broadband Corp. spin-off ("AT&amp;T Broadband spin-off"). Immediately following the AT&amp;T Broadband spin-off, AT&amp;T Broadband Corp. will merge with AT&amp;T Broadband Acquisition Corp., a newly formed, wholly owned shell subsidiary of AT&amp;T Comcast Corporation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0.34 of a share of AT&amp;T Comcast common stock for each of such holder's shares of AT&amp;T Broadband Corp. common stock.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Merger because a competing acquisition proposal made by a third party is pending at the time of the AT&amp;T shareholder meeting and within one year of the AT&amp;T meeting, AT&amp;T enters into an agreement relating to an alternative material transaction. Comcast will pay to AT&amp;T a sum of $1.5 billion</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L-101</w:t>
      </w:r>
    </w:p>
    <w:p>
      <w:pPr>
        <w:sectPr>
          <w:pgSz w:w="11900" w:h="16838" w:orient="portrait"/>
          <w:cols w:equalWidth="0" w:num="1">
            <w:col w:w="10219"/>
          </w:cols>
          <w:pgMar w:left="240" w:top="720" w:right="1440" w:bottom="1440" w:gutter="0" w:footer="0" w:header="0"/>
        </w:sectPr>
      </w:pPr>
    </w:p>
    <w:bookmarkStart w:id="713" w:name="page714"/>
    <w:bookmarkEnd w:id="713"/>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termination fee in cash if the Merger Agreement is terminated because the Comcast shareholders fail to approve the AT&amp;T Comcast Merger.</w:t>
      </w:r>
    </w:p>
    <w:p>
      <w:pPr>
        <w:spacing w:after="0" w:line="192"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Consummation of the AT&amp;T Comcast Merger is subject to the satisfaction or waiver of several conditions, including but not limited to, approval by the shareholders of AT&amp;T and Comcast and receipt of all necessary governmental consents and approvals. As a result, there can be no assurance that the AT&amp;T Comcast Merger will be consummated, or if the AT&amp;T Comcast Merger is consummated, as to the date of such consummation.</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combined financial statements of AT&amp;T Broadband Group are prepared in accordance with generally accepted accounting principles and in management's opinion, include all adjustments necessary for a fair presentation of combined operations, financial position and cash flows for the periods presented. The combined financial statements of AT&amp;T Broadband Group reflect the assets, liabilities, revenue and expenses directly attributable to AT&amp;T Broadband Group, as well as allocations deemed reasonable by management, to present the results of operations, financial position,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In addition, the combined results for interim periods presented are not necessarily indicative of results for the full year. Earnings per share disclosure has not been presented as AT&amp;T Broadband Group is a business unit of AT&amp;T and earnings per share data is not considered meaningful. The combined financial statements of AT&amp;T Broadband Group should be read in conjunction with AT&amp;T's Form 10-K/A for the year ended December 31, 2000, AT&amp;T's Form 8-K filed on September 24, 2001 restating AT&amp;T's financial results for the year ended December 31, 2000 to reflect AT&amp;T Wireless as a discontinued operation, AT&amp;T's Form 10-Q for the quarter ended September 30, 2001, and AT&amp;T Broadband Group financial statements for the year ended December 31, 2000 included elsewhere herein.</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Debt attributed to AT&amp;T Broadband Group includes the third party obligations of ATTBLLC,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cash flows from operating activities and investments in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 not be limited, to the following: proceeds from the sale and monetization of shares of Cablevision Systems Corp. and Rainbow Media Group (see note 9) and any proceeds that may result from the exercise of AT&amp;T's registration rights in Time Warner Entertainment ("TWE").</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L-102</w:t>
      </w:r>
    </w:p>
    <w:p>
      <w:pPr>
        <w:sectPr>
          <w:pgSz w:w="11900" w:h="16838" w:orient="portrait"/>
          <w:cols w:equalWidth="0" w:num="1">
            <w:col w:w="10219"/>
          </w:cols>
          <w:pgMar w:left="240" w:top="518" w:right="1440" w:bottom="1440" w:gutter="0" w:footer="0" w:header="0"/>
        </w:sectPr>
      </w:pPr>
    </w:p>
    <w:bookmarkStart w:id="714" w:name="page715"/>
    <w:bookmarkEnd w:id="714"/>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As a result of the above methodology, AT&amp;T Broadband Group may advance funds to AT&amp;T. These advances will be accounted for as short-term borrowings between entities and bear interest at a market rate that is substantially equal to the rate at which AT&amp;T would be able to borrow from third parties on a short-term basis.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performs cash management functions on behalf of the AT&amp;T Broadband Group. Substantially all of the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General corporate overhead related to AT&amp;T's corporate headquarters and common support divisions has been allocated to AT&amp;T Broadband Group as it was not deemed practicable to specifically identify such common costs to AT&amp;T Broadband Group. The allocation of corporate overhead is divided into an allocation of shared services (e.g., payroll and finance)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provides for tax sharing payments based on the tax expense or tax benefits of a hypothetical affiliated group consisting of AT&amp;T Broadband Group and AT&amp;T. Based on this agreement, the consolidated tax liability before credits are allocated between the groups, based on each group's contribution to consolidated taxable income of the hypothetical group. Consolidated tax credits of the hypothetical group are allocated between groups based on each group's contribution to such tax credit.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RECLASSIFICATION ADJUSTMENT OF OTHER COMPREHENSIVE INCOME</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Broadband Group has investment holdings classified as "available-for-sale" under the scope of Statement of Financial Accounting Standards ("SFAS") No. 115, "Accounting for Certain Investments in Debt and Equity Securities." These securities are carried at fair value with any unrealized gain or loss, net of income taxes, being included within other comprehensive income as a component of combined attributed net assets. Under SFAS No. 115, when the "available-for-sale" securities are sold, the previously unrealized gain or loss shall be recognized in earnings. In addition, upon the adoption of SFAS No. 133, "Accounting for Derivative Instruments and Hedging Activities," AT&amp;T Broadband Group reclassified certain securities to "trading", resulting in the recognition in earnings of previously unrealized losses (see note 6). Following is a summary of the recognition of previously unrealized losses which impacted other comprehensive income and other income (expense) for the nine months ended September 30, 2001.</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L-103</w:t>
      </w:r>
    </w:p>
    <w:p>
      <w:pPr>
        <w:sectPr>
          <w:pgSz w:w="11900" w:h="16838" w:orient="portrait"/>
          <w:cols w:equalWidth="0" w:num="1">
            <w:col w:w="10219"/>
          </w:cols>
          <w:pgMar w:left="240" w:top="519" w:right="1440" w:bottom="1440" w:gutter="0" w:footer="0" w:header="0"/>
        </w:sectPr>
      </w:pPr>
    </w:p>
    <w:bookmarkStart w:id="715" w:name="page716"/>
    <w:bookmarkEnd w:id="715"/>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PRETAX AFTER-TAX ------ --------</w:t>
      </w:r>
    </w:p>
    <w:p>
      <w:pPr>
        <w:spacing w:after="0" w:line="9" w:lineRule="exact"/>
        <w:rPr>
          <w:sz w:val="20"/>
          <w:szCs w:val="20"/>
          <w:color w:val="auto"/>
        </w:rPr>
      </w:pPr>
    </w:p>
    <w:p>
      <w:pPr>
        <w:ind w:left="60" w:right="6819" w:hanging="3"/>
        <w:spacing w:after="0" w:line="251" w:lineRule="auto"/>
        <w:tabs>
          <w:tab w:leader="none" w:pos="269" w:val="left"/>
        </w:tabs>
        <w:numPr>
          <w:ilvl w:val="0"/>
          <w:numId w:val="7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Reclassification of securities to "trading" in conjunction with the adoption of "SFAS No. 133"</w:t>
      </w:r>
    </w:p>
    <w:tbl>
      <w:tblPr>
        <w:tblLayout w:type="fixed"/>
        <w:tblInd w:w="160" w:type="dxa"/>
        <w:tblCellMar>
          <w:top w:w="0" w:type="dxa"/>
          <w:left w:w="0" w:type="dxa"/>
          <w:bottom w:w="0" w:type="dxa"/>
          <w:right w:w="0" w:type="dxa"/>
        </w:tblCellMar>
      </w:tblPr>
      <w:tr>
        <w:trPr>
          <w:trHeight w:val="197"/>
        </w:trPr>
        <w:tc>
          <w:tcPr>
            <w:tcW w:w="246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$1,154</w:t>
            </w:r>
          </w:p>
        </w:tc>
      </w:tr>
    </w:tbl>
    <w:p>
      <w:pPr>
        <w:spacing w:after="0" w:line="4"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7"/>
          <w:szCs w:val="17"/>
          <w:color w:val="auto"/>
        </w:rPr>
        <w:t>$708 Settlement of exchangeable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notes(b).........................</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394 242 ------ ---- Total</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recognition of previously</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unrealized losses...........</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$1,548 $950 ====== ====</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hanging="413"/>
        <w:spacing w:after="0"/>
        <w:tabs>
          <w:tab w:leader="none" w:pos="420" w:val="left"/>
        </w:tabs>
        <w:numPr>
          <w:ilvl w:val="0"/>
          <w:numId w:val="7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note 6 for further discussion.</w:t>
      </w:r>
    </w:p>
    <w:p>
      <w:pPr>
        <w:spacing w:after="0" w:line="210"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7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note 5 for further discussion.</w:t>
      </w:r>
    </w:p>
    <w:p>
      <w:pPr>
        <w:spacing w:after="0" w:line="210" w:lineRule="exact"/>
        <w:rPr>
          <w:sz w:val="20"/>
          <w:szCs w:val="20"/>
          <w:color w:val="auto"/>
        </w:rPr>
      </w:pPr>
    </w:p>
    <w:p>
      <w:pPr>
        <w:ind w:left="220" w:right="3619" w:hanging="213"/>
        <w:spacing w:after="0" w:line="502" w:lineRule="auto"/>
        <w:tabs>
          <w:tab w:leader="none" w:pos="430" w:val="left"/>
        </w:tabs>
        <w:numPr>
          <w:ilvl w:val="0"/>
          <w:numId w:val="7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MERGERS, ACQUISITIONS, VENTURES, DISPOSITIONS AND EXCHANGES MERGER WITH MEDIAONE</w:t>
      </w:r>
    </w:p>
    <w:p>
      <w:pPr>
        <w:ind w:right="1839" w:firstLine="524"/>
        <w:spacing w:after="0" w:line="253" w:lineRule="auto"/>
        <w:rPr>
          <w:sz w:val="20"/>
          <w:szCs w:val="20"/>
          <w:color w:val="auto"/>
        </w:rPr>
      </w:pPr>
      <w:r>
        <w:rPr>
          <w:rFonts w:ascii="Courier New" w:cs="Courier New" w:eastAsia="Courier New" w:hAnsi="Courier New"/>
          <w:sz w:val="17"/>
          <w:szCs w:val="17"/>
          <w:color w:val="auto"/>
        </w:rPr>
        <w:t>On June 15, 2000, AT&amp;T completed a merger with MediaOne in a cash and stock transaction valued at approximately $45 billion (the "MediaOne Merger"). The AT&amp;T shares had an aggregate market value of approximately $21 billion and cash payments totaled approximately $24 billion.</w:t>
      </w:r>
    </w:p>
    <w:p>
      <w:pPr>
        <w:spacing w:after="0" w:line="195" w:lineRule="exact"/>
        <w:rPr>
          <w:sz w:val="20"/>
          <w:szCs w:val="20"/>
          <w:color w:val="auto"/>
        </w:rPr>
      </w:pPr>
    </w:p>
    <w:p>
      <w:pPr>
        <w:ind w:right="2459" w:firstLine="524"/>
        <w:spacing w:after="0" w:line="254" w:lineRule="auto"/>
        <w:rPr>
          <w:sz w:val="20"/>
          <w:szCs w:val="20"/>
          <w:color w:val="auto"/>
        </w:rPr>
      </w:pPr>
      <w:r>
        <w:rPr>
          <w:rFonts w:ascii="Courier New" w:cs="Courier New" w:eastAsia="Courier New" w:hAnsi="Courier New"/>
          <w:sz w:val="17"/>
          <w:szCs w:val="17"/>
          <w:color w:val="auto"/>
        </w:rPr>
        <w:t>The MediaOne Merger was accounted for under the purchase method of accounting. Accordingly, the results of MediaOne have been included in the accompanying combined financial statements since the date of acquisition.</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Approximately $17 billion of the $45 billion purchase price has been attributed to franchise costs and is being amortized on a straight-line basis over 40 years. Also included in the purchase price was approximately $22 billion related to nonconsolidated investments, including investments in TWE and Vodafone Group plc ("Vodafone"), approximately $5 billion related to property, plant and equipment, and approximately $5 billion related to other net assets. In addition, included was approximately $13 billion in deferred income tax liabilities, approximately $10 billion of debt and approximately $1 billion of minority interest in Centaur Funding Corporation, a subsidiary of MediaOne. AT&amp;T did not attribute $7 billion of cash acquired in the MediaOne Merger to AT&amp;T Broadband Group. The purchase resulted in goodwill of $20 billion, which is being amortized on a straight-line basis over 40 years.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 Forma Results (unaudited)</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Following is a summary of the pro forma results of AT&amp;T Broadband Group as if the MediaOne Merger had closed effective January 1, 2000:</w:t>
      </w:r>
    </w:p>
    <w:p>
      <w:pPr>
        <w:spacing w:after="0" w:line="192"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NINE MONTHS ENDED SEPTEMBER 30, 2000 ------------------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$7,091 Operating</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loss.............................................. $1,559</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loss....................................................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357</w:t>
      </w:r>
    </w:p>
    <w:p>
      <w:pPr>
        <w:spacing w:after="0" w:line="200" w:lineRule="exact"/>
        <w:rPr>
          <w:sz w:val="20"/>
          <w:szCs w:val="20"/>
          <w:color w:val="auto"/>
        </w:rPr>
      </w:pPr>
    </w:p>
    <w:p>
      <w:pPr>
        <w:spacing w:after="0" w:line="212"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Pro forma data may not be indicative of the results that would have been obtained had the events actually occurred at the beginning of the period presented, nor does it intend to be a projection of future results.</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Excite@Home</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On August 28, 2000, AT&amp;T and Excite@Home announced shareholder approval of a new board of directors and governance structure for Excite@Home. As a result of these governance changes, AT&amp;T Broadband Group began consolidating Excite@Home's results upon the closing of the transaction on</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L-104</w:t>
      </w:r>
    </w:p>
    <w:p>
      <w:pPr>
        <w:sectPr>
          <w:pgSz w:w="11900" w:h="16838" w:orient="portrait"/>
          <w:cols w:equalWidth="0" w:num="1">
            <w:col w:w="10219"/>
          </w:cols>
          <w:pgMar w:left="240" w:top="517" w:right="1440" w:bottom="458" w:gutter="0" w:footer="0" w:header="0"/>
        </w:sectPr>
      </w:pPr>
    </w:p>
    <w:bookmarkStart w:id="716" w:name="page717"/>
    <w:bookmarkEnd w:id="716"/>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right="2679"/>
        <w:spacing w:after="0" w:line="257" w:lineRule="auto"/>
        <w:rPr>
          <w:sz w:val="20"/>
          <w:szCs w:val="20"/>
          <w:color w:val="auto"/>
        </w:rPr>
      </w:pPr>
      <w:r>
        <w:rPr>
          <w:rFonts w:ascii="Courier New" w:cs="Courier New" w:eastAsia="Courier New" w:hAnsi="Courier New"/>
          <w:sz w:val="17"/>
          <w:szCs w:val="17"/>
          <w:color w:val="auto"/>
        </w:rPr>
        <w:t>September 1, 2000, at which time ATTBLLC had an approximate 24% economic interest and 74% voting interest in Excite@Home.</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September 28, 2001, Excite@Home filed for bankruptcy protection under Chapter 11 in the U.S. Bankruptcy Court, for the Northern District of California. Excite@Home's results remained consolidated in AT&amp;T Broadband Group's statements of operations and cash flows for the three and nine months ended September 30, 2001, however, as a result of the bankruptcy filing, the assets and liabilities of Excite@Home were deconsolidated from AT&amp;T Broadband Group's balance sheet as of September 30, 2001. In December 2001, AT&amp;T Broadband converted its high-speed cable Internet customers from the Excite@Home network to a new AT&amp;T-operated network.</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noncash impacts of the deconsolidation of Excite@Home primarily included a reduction to property, plant and equipment of approximately $320, to goodwill of approximately $326 and to debt of approximately $988. This deconsolidation resulted in the recording of a liability of approximately $357 as of September 30, 2001. This liability will continue to be evaluated. AT&amp;T Broadband Group also recorded a deferred tax benefit of $673 as a result of the deconsolidation of Excite@Home.</w:t>
      </w:r>
    </w:p>
    <w:p>
      <w:pPr>
        <w:spacing w:after="0" w:line="19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COX AND COMCAST AGREEMENT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May 18, 2001, AT&amp;T, Cox Communications, Inc. ("Cox") and Comcast reached an agreement on the terms of a previously announced transaction on the put options related to Excite@Home. Under the new agreement, which was no longer a tax-free exchange, Cox and Comcast retained their stakes in Excite@Home and AT&amp;T issued 75 million of AT&amp;T common shares to Cox and more than 80 million of AT&amp;T common shares to Comcast. AT&amp;T Broadband Group recorded an approximate $838 and $21 loss in other (expense) income related to the settlement and mark-to-market of the put option in 2001 and 2000, respectively. The new agreement resulted in a tax benefit to AT&amp;T Broadband Group, which essentially offset this loss.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INSIGHT COMMUNICATIONS COMPANY LP</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Effective January 1, 2001, entities attributed to AT&amp;T Broadband Group sold to Insight Communications Company LP ("Insight"), for net cash proceeds of $391, several Illinois systems serving approximately 98,400 customers. Insight contributed the customers to Insight Midwest L.P., an entity in which AT&amp;T Broadband Group, through its attributed entities, has a 50% interest. Entities attributed to AT&amp;T Broadband Group also contributed several Illinois systems serving approximately 247,500 customers to Insight Midwest, L.P. The transactions resulted in a pre tax gain of $168, which was deferred due to a debt support agreement with Insight Midwest, L.P.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KEARNS-TRIBUNE, LLC</w:t>
      </w:r>
    </w:p>
    <w:p>
      <w:pPr>
        <w:spacing w:after="0" w:line="210" w:lineRule="exact"/>
        <w:rPr>
          <w:sz w:val="20"/>
          <w:szCs w:val="20"/>
          <w:color w:val="auto"/>
        </w:rPr>
      </w:pPr>
    </w:p>
    <w:p>
      <w:pPr>
        <w:ind w:right="2679" w:firstLine="524"/>
        <w:spacing w:after="0" w:line="254" w:lineRule="auto"/>
        <w:rPr>
          <w:sz w:val="20"/>
          <w:szCs w:val="20"/>
          <w:color w:val="auto"/>
        </w:rPr>
      </w:pPr>
      <w:r>
        <w:rPr>
          <w:rFonts w:ascii="Courier New" w:cs="Courier New" w:eastAsia="Courier New" w:hAnsi="Courier New"/>
          <w:sz w:val="17"/>
          <w:szCs w:val="17"/>
          <w:color w:val="auto"/>
        </w:rPr>
        <w:t>On January 2, 2001, AT&amp;T, through ATTBLLC, completed the sale of Kearns-Tribune, LLC to MediaNews Group for $200 in cash. The transaction resulted in a pretax gain of approximately $117.</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CABLEVISION SYSTEMS CORPORATION</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January 8, 2001, a subsidiary of AT&amp;T and Cablevision Systems Corporation ("Cablevision") completed the transfer of cable systems in which AT&amp;T received cable systems serving 358,000 customers in Boston and Eastern Massachusetts. In exchange, Cablevision received cable systems serving approximately 130,000 customers in northern New York suburbs, 44 million shares of AT&amp;T common stock valued at approximately $871, and approximately $204 in cash. Cablevision recorded a gain as a</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L-105</w:t>
      </w:r>
    </w:p>
    <w:p>
      <w:pPr>
        <w:sectPr>
          <w:pgSz w:w="11900" w:h="16838" w:orient="portrait"/>
          <w:cols w:equalWidth="0" w:num="1">
            <w:col w:w="10219"/>
          </w:cols>
          <w:pgMar w:left="240" w:top="518" w:right="1440" w:bottom="1440" w:gutter="0" w:footer="0" w:header="0"/>
        </w:sectPr>
      </w:pPr>
    </w:p>
    <w:bookmarkStart w:id="717" w:name="page718"/>
    <w:bookmarkEnd w:id="717"/>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right="2039"/>
        <w:spacing w:after="0" w:line="254" w:lineRule="auto"/>
        <w:rPr>
          <w:sz w:val="20"/>
          <w:szCs w:val="20"/>
          <w:color w:val="auto"/>
        </w:rPr>
      </w:pPr>
      <w:r>
        <w:rPr>
          <w:rFonts w:ascii="Courier New" w:cs="Courier New" w:eastAsia="Courier New" w:hAnsi="Courier New"/>
          <w:sz w:val="17"/>
          <w:szCs w:val="17"/>
          <w:color w:val="auto"/>
        </w:rPr>
        <w:t>result of the transaction. Due to ATTBLLC's ownership interest in Cablevision, AT&amp;T Broadband Group recorded its $143 portion, net of tax, of Cablevision's gain in "net losses from equity investments."</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COMCAST</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April 30, 2001, a subsidiary of AT&amp;T sold to Comcast certain cable systems attributed to AT&amp;T Broadband Group serving approximately 590,000 customers in New Mexico, Maryland, New Jersey, Pennsylvania, Delaware and Tennessee in exchange for 63.9 million shares of AT&amp;T stock held by Comcast which were valued at $1,423. The transaction resulted in a pretax loss of $297.</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Effective June 30, 2001, AT&amp;T, together with certain subsidiaries attributed to AT&amp;T Broadband Group, transferred its 99.75% interest in an entity owning the Baltimore, Maryland cable systems serving approximately 115,000 customers to Comcast for approximately $510 in net cash proceeds. The transaction resulted in a pretax gain of $149.</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MEDIACOM COMMUNICATIONS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On June 29, 2001, a subsidiary of AT&amp;T sold to MediaCom Communications Corporation ("MediaCom") cable systems attributed to AT&amp;T Broadband Group serving approximately 94,000 customers in Missouri for approximately $295 in net cash proceeds. The transaction resulted in a pretax gain of $5.</w:t>
      </w:r>
    </w:p>
    <w:p>
      <w:pPr>
        <w:spacing w:after="0" w:line="195"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On July 18, 2001, subsidiaries of AT&amp;T sold to MediaCom cable systems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attributed to AT&amp;T Broadband Group serving approximately 710,000 customers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located primarily in Georgia, Iowa and Southern Illinois for approximately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$1,724 in net cash proceeds. The transaction resulted in a pretax loss of $93.</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CHARTER COMMUNICATIONS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On June 30, 2001, a subsidiary of AT&amp;T transferred to Charter Communications, Inc. ("Charter") cable systems attributed to AT&amp;T Broadband Group serving approximately 563,000 customers in Alabama, California, Illinois, Missouri and Nevada. AT&amp;T Broadband Group, through its attributed entities, received $1,497 in net proceeds, $222 in cash restricted for future acquisitions of cable systems, and a cable system in Florida serving 9,000 customers. The transaction resulted in a pretax loss of $42.</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ASSET IMPAIRMENT, RESTRUCTURING AND OTHER CHARGES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the third quarter of 2001, $399 of asset impairment, restructuring and other charges were recorded related to Excite@Home. Included in these charges were $376 of asset impairment charges and $23 of restructuring and exit costs, primarily due to continued weakness in the on-line media market and the recent bankruptcy filing of Excite@Home. These charges included the write-off of goodwill and other intangible assets, warrants granted in connection with distributing the @Home service and property, plant and equipment. Restructuring and exits costs, consisted of $4 for severance costs, $14 related to facility closings and $5 related to termination costs of contractual obligations. Since AT&amp;T Broadband Group, through ATTBLLC, consolidated Excite@Home through September 30, 2001, but only owned approximately 23% of Excite@Home, a portion of the charges recorded by Excite@Home has been eliminated in the September 30, 2001 statement of operations as a component of minority interest income (expense).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severance costs, for approximately 860 employees, primarily resulted from continued cost reduction efforts by Excite@Home. Nearly 79% of the affected employees have left their positions as of</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L-106</w:t>
      </w:r>
    </w:p>
    <w:p>
      <w:pPr>
        <w:sectPr>
          <w:pgSz w:w="11900" w:h="16838" w:orient="portrait"/>
          <w:cols w:equalWidth="0" w:num="1">
            <w:col w:w="10219"/>
          </w:cols>
          <w:pgMar w:left="240" w:top="518" w:right="1440" w:bottom="1440" w:gutter="0" w:footer="0" w:header="0"/>
        </w:sectPr>
      </w:pPr>
    </w:p>
    <w:bookmarkStart w:id="718" w:name="page719"/>
    <w:bookmarkEnd w:id="718"/>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September 30, 2001, and substantially all of the remaining employees will leave the company by the end of 2001.</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Asset impairment, restructuring and other charges for the nine months ended September 30, 2001, totaled $1,494. The charge includes $1,171 of asset impairment charges related to Excite@Home and $323 for restructuring and exit costs, which consisted of $151 for severance costs, $156 for facilities closing and $16 for termination costs of contractual obligations.</w:t>
      </w:r>
    </w:p>
    <w:p>
      <w:pPr>
        <w:spacing w:after="0" w:line="197"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The asset impairment charges recorded during the nine months ended September 30, 2001 included $1,032 due to the write down of goodwill and other intangible assets related to Excite@Home, warrants granted in connection with distributing the @Home service, and property, plant and equipment of Excite@Home. These write downs are primarily due to the continued weakness in the online media market and the recent bankruptcy filing of Excite@Home. In addition, AT&amp;T Broadband Group, through ATTBLLC, recorded a related goodwill impairment charge of $139 associated with its acquisition goodwill of Excite@Home. Since AT&amp;T Broadband Group, through ATTBLLC, consolidated Excite@Home but only owned approximately 23% of Excite@Home, a portion of the charges recorded by Excite@Home has been eliminated in the statement of operations as minority interest income (expense).</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severance costs of $151, for approximately 7,700 employees, primarily resulted from synergies created by the MediaOne Merger as well as continued cost reduction efforts by Excite@Home. Approximately 36% of the affected employees are management employees and 64% are non-management employees. Nearly 84% of the affected employees have left their positions as of September 30, 2001, and the remaining employees will leave the company by the end of 2001.</w:t>
      </w:r>
    </w:p>
    <w:p>
      <w:pPr>
        <w:spacing w:after="0" w:line="197"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following table displays the activity and balances of the restructuring reserve account from January 1, 2001 to September 30, 2001.</w:t>
      </w:r>
    </w:p>
    <w:p>
      <w:pPr>
        <w:spacing w:after="0" w:line="192"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JANUARY 1, SEPTEMBER 30, 2001 2001 TYPE</w:t>
      </w:r>
    </w:p>
    <w:p>
      <w:pPr>
        <w:spacing w:after="0" w:line="9"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7"/>
          <w:szCs w:val="17"/>
          <w:color w:val="auto"/>
        </w:rPr>
        <w:t>OF COST BALANCE ADDITIONS DEDUCTIONS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BALANCE - ------------ ---------- -------</w:t>
      </w:r>
    </w:p>
    <w:p>
      <w:pPr>
        <w:spacing w:after="0" w:line="9" w:lineRule="exact"/>
        <w:rPr>
          <w:sz w:val="20"/>
          <w:szCs w:val="20"/>
          <w:color w:val="auto"/>
        </w:rPr>
      </w:pPr>
    </w:p>
    <w:p>
      <w:pPr>
        <w:ind w:left="60" w:right="5859" w:firstLine="258"/>
        <w:spacing w:after="0" w:line="251" w:lineRule="auto"/>
        <w:tabs>
          <w:tab w:leader="none" w:pos="636" w:val="left"/>
        </w:tabs>
        <w:numPr>
          <w:ilvl w:val="0"/>
          <w:numId w:val="7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Employee separations...................... $16 151</w:t>
      </w:r>
    </w:p>
    <w:p>
      <w:pPr>
        <w:jc w:val="center"/>
        <w:ind w:left="100" w:right="5919" w:firstLine="157"/>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(136) $31 Facility closings and lease terminations............................</w:t>
      </w:r>
    </w:p>
    <w:p>
      <w:pPr>
        <w:ind w:left="1740" w:hanging="323"/>
        <w:spacing w:after="0"/>
        <w:tabs>
          <w:tab w:leader="none" w:pos="1740" w:val="left"/>
        </w:tabs>
        <w:numPr>
          <w:ilvl w:val="1"/>
          <w:numId w:val="7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156 (144) 12</w:t>
      </w:r>
    </w:p>
    <w:p>
      <w:pPr>
        <w:spacing w:after="0" w:line="210" w:lineRule="exact"/>
        <w:rPr>
          <w:sz w:val="20"/>
          <w:szCs w:val="20"/>
          <w:color w:val="auto"/>
        </w:rPr>
      </w:pPr>
    </w:p>
    <w:p>
      <w:pPr>
        <w:ind w:left="940" w:hanging="308"/>
        <w:spacing w:after="0"/>
        <w:tabs>
          <w:tab w:leader="none" w:pos="940" w:val="left"/>
        </w:tabs>
        <w:numPr>
          <w:ilvl w:val="0"/>
          <w:numId w:val="7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16 (16) -- === === ====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 $16</w:t>
      </w:r>
    </w:p>
    <w:p>
      <w:pPr>
        <w:spacing w:after="0" w:line="8" w:lineRule="exact"/>
        <w:rPr>
          <w:rFonts w:ascii="Courier New" w:cs="Courier New" w:eastAsia="Courier New" w:hAnsi="Courier New"/>
          <w:sz w:val="17"/>
          <w:szCs w:val="17"/>
          <w:color w:val="auto"/>
        </w:rPr>
      </w:pP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323 (296) $43 === === ==== ===</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Total deductions included $121 related to the deconsolidation of AT&amp;T Broadband Group's investment in Excite@Home and cash payments of $175 related to employee separations, facility closings, litigation and contractual obligations.</w:t>
      </w:r>
    </w:p>
    <w:p>
      <w:pPr>
        <w:spacing w:after="0" w:line="194"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During the third quarter of 2000, AT&amp;T Broadband Group recorded $24 of asset impairment, restructuring and other charges. The charge resulted from synergies associated with the MediaOne Merger and related to cash termination benefits associated with the involuntary separation of approximately 490 employees. Approximately one-half of the individuals were management employees and one-half were non-management employees.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During the nine months ended September 30, 2000, AT&amp;T Broadband Group recorded $40 of asset impairment, restructuring and other charges, related to restructuring and exit costs resulting from synergies created by the MediaOne Merger and cost reduction efforts. The charge for the nine months ended September 30, 2000 included cash termination benefits of $40 associated with the involuntary separation of approximately 525 employees. Approximately half of the individuals were management employees and half were non-management employees.</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L-107</w:t>
      </w:r>
    </w:p>
    <w:p>
      <w:pPr>
        <w:sectPr>
          <w:pgSz w:w="11900" w:h="16838" w:orient="portrait"/>
          <w:cols w:equalWidth="0" w:num="1">
            <w:col w:w="10219"/>
          </w:cols>
          <w:pgMar w:left="240" w:top="519" w:right="1440" w:bottom="1440" w:gutter="0" w:footer="0" w:header="0"/>
        </w:sectPr>
      </w:pPr>
    </w:p>
    <w:bookmarkStart w:id="719" w:name="page720"/>
    <w:bookmarkEnd w:id="719"/>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SETTLEMENT OF EXCHANGEABLE NOTES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third quarter of 2001, exchangeable notes that were indexed to a portion of holdings of Vodafone securities matured. Prior to the settlement, the carrying value of the notes was $1,636. These notes were settled with approximately 70 million shares of Vodafone ADR's and $252 in cash. Approximately 57 million shares of the Vodafone ADR's used in the settlement were accounted for as "trading" securities and the remaining shares were accounted for as "available-for-sale" securities under SFAS No. 115, "Accounting for Certain Investments in Debt and Equity Securities." The settlement resulted in a pretax loss of approximately $392, of which $394 was reclassified from other comprehensive income to other (expense) income in the statement of operations.</w:t>
      </w:r>
    </w:p>
    <w:p>
      <w:pPr>
        <w:spacing w:after="0" w:line="200" w:lineRule="exact"/>
        <w:rPr>
          <w:sz w:val="20"/>
          <w:szCs w:val="20"/>
          <w:color w:val="auto"/>
        </w:rPr>
      </w:pPr>
    </w:p>
    <w:p>
      <w:pPr>
        <w:spacing w:after="0" w:line="203" w:lineRule="exact"/>
        <w:rPr>
          <w:sz w:val="20"/>
          <w:szCs w:val="20"/>
          <w:color w:val="auto"/>
        </w:rPr>
      </w:pPr>
    </w:p>
    <w:p>
      <w:pPr>
        <w:ind w:left="420" w:right="2879" w:hanging="413"/>
        <w:spacing w:after="0" w:line="257" w:lineRule="auto"/>
        <w:tabs>
          <w:tab w:leader="none" w:pos="420" w:val="left"/>
        </w:tabs>
        <w:numPr>
          <w:ilvl w:val="0"/>
          <w:numId w:val="7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 OF FINANCIAL ACCOUNTING STANDARD NO. 133 "ACCOUNTING FOR DERIVATIVE INSTRUMENTS AND HEDGING ACTIVITIES"</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Effective January 1, 2001, AT&amp;T Broadband Group adopted SFAS No. 133, "Accounting for Derivative Instruments and Hedging Activities",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in other comprehensive income ("OCI") within combined attributed net assets and are recognized in the income statement when the hedged item affects earnings. Changes in fair values of derivative instruments not designated as hedging instruments and ineffective portions of hedges, if any, are recognized in earnings in the current period.</w:t>
      </w:r>
    </w:p>
    <w:p>
      <w:pPr>
        <w:spacing w:after="0" w:line="202"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The adoption of SFAS No. 133 on January 1, 2001, resulted in a pretax cumulative-effect decrease to net loss of $371 ($229 net-of-tax).</w:t>
      </w:r>
    </w:p>
    <w:p>
      <w:pPr>
        <w:spacing w:after="0" w:line="192"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Included in the after tax cumulative effect benefit of $229 was a $185 benefit for recording the indexed debt instruments at fair value and $44 benefit for recording the fair value of warrants.</w:t>
      </w:r>
    </w:p>
    <w:p>
      <w:pPr>
        <w:spacing w:after="0" w:line="194"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Upon adoption, as permitted by SFAS No. 133, AT&amp;T Broadband Group reclassified $9.3 billion of securities from "available-for-sale" to "trading". This reclassification resulted in the recognition, in the statement of operations, of losses previously recorded within accumulated OCI. A portion of the loss ($1,638 pretax; $1,005 net-of-tax) was recorded as part of the cumulative effect of adoption. This loss completely offset a gain for amounts also previously recorded within accumulated OCI on the indexed debt obligation that had been considered a hedge of Comcast, Microsoft and Vodafone "available-for-sale" securities. The reclassification of securities also resulted in a pretax charge of $1,154 ($708 net-of-tax) recorded in other (expense) income.</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COLLARS AND EQUITY SECURITIES PRICE RISK</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Option contracts are entered into to hedge exposure on debt that is collateralized by securities owned by AT&amp;T Broadband Group. From time to time, AT&amp;T Broadband Group uses options and collars to manage the risk from changes in fair values and cash flows on certain equity securities, primarily on those being used to collateralize underlying debt instruments. The securities selected for hedging are determined by market conditions, up-front costs, and other relevant factors. Once established, the hedges are not dynamically managed or traded, and are generally not removed until maturity of the option contracts.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L-108</w:t>
      </w:r>
    </w:p>
    <w:p>
      <w:pPr>
        <w:sectPr>
          <w:pgSz w:w="11900" w:h="16838" w:orient="portrait"/>
          <w:cols w:equalWidth="0" w:num="1">
            <w:col w:w="10219"/>
          </w:cols>
          <w:pgMar w:left="240" w:top="518" w:right="1440" w:bottom="1440" w:gutter="0" w:footer="0" w:header="0"/>
        </w:sectPr>
      </w:pPr>
    </w:p>
    <w:bookmarkStart w:id="720" w:name="page721"/>
    <w:bookmarkEnd w:id="720"/>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INTEREST RATE SWAP AGREEMENTS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Interest rate swaps are entered into to manage exposure to changes in interest rates and to lower overall costs of financing. Swap agreements are entered into to manage the fixed/floating mix of the debt portfolio in order to reduce aggregate risk to interest rate movements. Interest rate swaps also allow AT&amp;T Broadband Group to raise funds at floating rates and effectively swap them into fixed rates that are lower than those available to AT&amp;T Broadband Group if fixed-rate borrowings were made directly. These agreements involve the exchange of floating-rate for fixed-rate payments, fixed-rate for floating-rate payments or floating-rate for other floating-rate payments without the exchange of the underlying principal amount.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OTHER DERIVATIVES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addition, AT&amp;T Broadband Group, through ATTBLLC and MediaOne, may hold warrants to purchase securities of other companies. Warrants that can be net share settled are deemed derivative financial instruments and are generally not eligible to be designated as hedging instruments as there is no corresponding underlying exposure. This includes warrants held in both public and private companies.</w:t>
      </w:r>
    </w:p>
    <w:p>
      <w:pPr>
        <w:spacing w:after="0" w:line="19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Hedge ineffectiveness, determined in accordance with SFAS No. 133, had no impact on earnings for the three and nine months ended September 30, 2001. No fair value hedges or cash flow hedges were derecognized or discontinued for the three and nine months ended September 30, 2001.</w:t>
      </w:r>
    </w:p>
    <w:p>
      <w:pPr>
        <w:spacing w:after="0" w:line="195"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For the three and nine months ended September 30, 2001, other (expense) income included net gains of $141 and $230, respectively, relating to ongoing fair value adjustments of derivatives and "trading" securities. The fair value adjustments for these periods included net gains of $980 and $1,964, respectively, for equity based derivative instruments embedded in indexed debt instruments, net losses of $52 and $67, respectively, for changes in the fair value of warrants, and losses of $787 and $1,667, respectively, for "trading" securities.</w:t>
      </w:r>
    </w:p>
    <w:p>
      <w:pPr>
        <w:spacing w:after="0" w:line="201"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For the three and nine months ended September 30, 2001, we reclassified $19 and $60, respectively, from OCI (pretax) to interest expense representing the recognition of mark-to-market amounts on the prepaid interest rate swaps.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RELATED PARTY TRANSACTIONS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As discussed in note 1, AT&amp;T provides necessary working capital requirements through intercompany debt and capital contributions to AT&amp;T Broadband Group. These amounts are reflected in the accompanying combined balance sheets as short-term debt due to AT&amp;T or a component of combined attributed net assets. Short-term debt due to AT&amp;T and interest was assumed based upon the methodology outlined in note 1. Intercompany debt was $5,390 and $5,830 at September 30, 2001 and December 31, 2000, respectively. Intercompany interest expense was $53 and $89 for the three months ended September 30, 2001 and 2000, respectively, and $257 and $243 for the nine months ended September 30, 2001 and 2000, respectively.</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Consumer Services Group provides AT&amp;T Broadband Group with sales support and customer care services at cost based prices which approximate market prices. For the three months ended September 30, 2001 and 2000, such amounts totaled $46 and $18, respectively, and for the nine months ended September 30, 2001 and 2000, such amounts totaled $142 and $48, respectively. Such amounts are included in selling, general and administrative expenses in the accompanying combined statements of operations.</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L-109</w:t>
      </w:r>
    </w:p>
    <w:p>
      <w:pPr>
        <w:sectPr>
          <w:pgSz w:w="11900" w:h="16838" w:orient="portrait"/>
          <w:cols w:equalWidth="0" w:num="1">
            <w:col w:w="10219"/>
          </w:cols>
          <w:pgMar w:left="240" w:top="518" w:right="1440" w:bottom="1440" w:gutter="0" w:footer="0" w:header="0"/>
        </w:sectPr>
      </w:pPr>
    </w:p>
    <w:bookmarkStart w:id="721" w:name="page722"/>
    <w:bookmarkEnd w:id="721"/>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 addition, AT&amp;T Business Services Group provides AT&amp;T Broadband Group with wireline communication and other services. For the three months ended September 30, 2001 and 2000, charges for such services totaled $61 and $36, respectively, and for the nine months ended September 30, 2001 and 2000, such amounts totaled $171 and $61, respectively. Such amounts are included in costs of services in the accompanying combined statements of operations.</w:t>
      </w:r>
    </w:p>
    <w:p>
      <w:pPr>
        <w:spacing w:after="0" w:line="197" w:lineRule="exact"/>
        <w:rPr>
          <w:sz w:val="20"/>
          <w:szCs w:val="20"/>
          <w:color w:val="auto"/>
        </w:rPr>
      </w:pPr>
    </w:p>
    <w:p>
      <w:pPr>
        <w:ind w:right="2359" w:firstLine="524"/>
        <w:spacing w:after="0" w:line="253" w:lineRule="auto"/>
        <w:rPr>
          <w:sz w:val="20"/>
          <w:szCs w:val="20"/>
          <w:color w:val="auto"/>
        </w:rPr>
      </w:pPr>
      <w:r>
        <w:rPr>
          <w:rFonts w:ascii="Courier New" w:cs="Courier New" w:eastAsia="Courier New" w:hAnsi="Courier New"/>
          <w:sz w:val="17"/>
          <w:szCs w:val="17"/>
          <w:color w:val="auto"/>
        </w:rPr>
        <w:t>Included in current liabilities at September 30, 2001 and December 31, 2000, was $10 and $98, respectively, related to amounts due AT&amp;T Consumer Services Group and AT&amp;T Business Services Group for the above described services.</w:t>
      </w:r>
    </w:p>
    <w:p>
      <w:pPr>
        <w:spacing w:after="0" w:line="195" w:lineRule="exact"/>
        <w:rPr>
          <w:sz w:val="20"/>
          <w:szCs w:val="20"/>
          <w:color w:val="auto"/>
        </w:rPr>
      </w:pPr>
    </w:p>
    <w:p>
      <w:pPr>
        <w:ind w:right="2139" w:firstLine="524"/>
        <w:spacing w:after="0" w:line="251" w:lineRule="auto"/>
        <w:rPr>
          <w:sz w:val="20"/>
          <w:szCs w:val="20"/>
          <w:color w:val="auto"/>
        </w:rPr>
      </w:pPr>
      <w:r>
        <w:rPr>
          <w:rFonts w:ascii="Courier New" w:cs="Courier New" w:eastAsia="Courier New" w:hAnsi="Courier New"/>
          <w:sz w:val="17"/>
          <w:szCs w:val="17"/>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AT&amp;T Broadband Group. Charges for such services amounted to $41, $43, $127 and $123 for the three months ended September 30, 2001 and 2000, and the nine months ended September 30, 2001 and 2000, respectively. These amounts are included in selling, general and administrative expenses in the accompanying combined statements of operations and were determined based on the methodology described in note 1.</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AT&amp;T Broadband Group transferred $628 of marketable securities and equity investments and $180 of related deferred tax liabilities to AT&amp;T through combined attributed net assets during the first quarter of 2001. No gain or loss was recorded on this transaction.</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Broadband Group has various related party transactions with Liberty Media Group ("LMG"). Included in costs of services were programming expenses related to services from LMG. Those expenses amounted to $27 and $199, respectively, for the quarter-to-date and year-to-date periods through July 31, 2001, the deemed effective LMG spin-off date from AT&amp;T for accounting purposes, and $69 and $171, respectively, for the quarter and nine months ended September 30, 2000.</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COMMITMENT AND CONTINGENCIES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July 1997, ATTBLLC's predecessor, TCI, and ATTBLLC's subsidiary, Satellite Services, Inc., entered into a 25 year affiliation term sheet with Starz Encore Group (formerly Encore Media Group), a subsidiary of LMG, pursuant to which AT&amp;T Broadband Group may be obligated to make fixed monthly payments in exchange for unlimited access to Encore and Starz! programming. The commitment increases annually from $288 million in 2001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Starz Encore Group requested payment from AT&amp;T Broadband Group of amounts it contends are AT&amp;T Broadband Group's proportionate share of what Starz Encore Group reported as its excess programming costs during the first quarter of 2001 (which amount, approximately $40 million, Starz Encore Group indicated it expected to represent the bulk of what it considered AT&amp;T Broadband Group's proportionate share of excess programming costs Starz Encore Group considers to be payable for the year 2001). Excess programming costs Starz Encore Group is expected to contend to be payable by AT&amp;T Broadband Group in future years are not presently estimable, and could be significantly larger. By letter dated May 29, 2001, AT&amp;T Broadband Group disputed the enforceability of the excess programming pass through provisions of the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L-110</w:t>
      </w:r>
    </w:p>
    <w:p>
      <w:pPr>
        <w:sectPr>
          <w:pgSz w:w="11900" w:h="16838" w:orient="portrait"/>
          <w:cols w:equalWidth="0" w:num="1">
            <w:col w:w="10219"/>
          </w:cols>
          <w:pgMar w:left="240" w:top="518" w:right="1440" w:bottom="1440" w:gutter="0" w:footer="0" w:header="0"/>
        </w:sectPr>
      </w:pPr>
    </w:p>
    <w:bookmarkStart w:id="722" w:name="page723"/>
    <w:bookmarkEnd w:id="722"/>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NEW ACCOUNTING PRONOUNCEMENTS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June 2001, the Financial Accounting Standards Board ("FASB") issued SFAS No. 141, "Business Combinations," which supercedes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These requirements are effective for fiscal years beginning after December 15, 2001, which for AT&amp;T Broadband Group means January 1, 2002. AT&amp;T Broadband Group does not expect the adoption of SFAS No. 141 will have a material effect on AT&amp;T Broadband Group's results of operations, financial position or cash flow.</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Also in June 2001, the FASB issued SFAS No. 142, "Goodwill and Other Intangible Assets," which supercedes APB Opinion No. 17. Under SFAS No.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fiscal years beginning after December 15, 2001, which for AT&amp;T Broadband Group means the standard will be adopted on January 1, 2002. In connection with the adoption of this standard, AT&amp;T Broadband Group's unamortized goodwill balance will no longer be amortized, but will continue to be tested for impairment. The goodwill balance as of September 30, 2001 was $19.4 billion with related amortization expense for the nine months ended September 30, 2001 of $534. The excess basis related to AT&amp;T Broadband Group's equity method investments as of September 30, 2001 was $8.6 billion with related amortization of $120. In accordance with this statement these costs will no longer be amortized beginning January 1, 2002. In addition, AT&amp;T Broadband Group has determined that franchise costs are indefinite lived assets and therefore, as of January 1, 2002 will no longer be subject to amortization, but will continue to be tested for impairment. The franchise cost balance as of September 30, 2001 was $43.3 billion with related amortization expense for the nine months ended September 30, 2001 of $929. AT&amp;T Broadband Group is continuing to assess the adoption impairment impacts of such standard on our results of operations.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which for AT&amp;T Broadband Group means the standard will be adopted on January 1, 2003. AT&amp;T Broadband Group does not expect that the adoption of this statement will have a material impact on AT&amp;T Broadband Group's results of operations, financial position or cash flows.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In October 2001, the FASB issued SFAS No. 144, "Accounting for the Impairment or Disposal of Long-Lived Assets," which supercedes SFAS No. 121, "Accounting for the Impairment of Long-Lived Assets and for Long-Lived Assets to Be Disposed Of." SFAS No. 144 applies to all long-lived assets,</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L-111</w:t>
      </w:r>
    </w:p>
    <w:p>
      <w:pPr>
        <w:sectPr>
          <w:pgSz w:w="11900" w:h="16838" w:orient="portrait"/>
          <w:cols w:equalWidth="0" w:num="1">
            <w:col w:w="10219"/>
          </w:cols>
          <w:pgMar w:left="240" w:top="518" w:right="1440" w:bottom="1440" w:gutter="0" w:footer="0" w:header="0"/>
        </w:sectPr>
      </w:pPr>
    </w:p>
    <w:bookmarkStart w:id="723" w:name="page724"/>
    <w:bookmarkEnd w:id="723"/>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is effective for financial statements issued for fiscal years beginning after December 15, 2001, which for AT&amp;T Broadband Group means the standard will be adopted on January 1, 2002. AT&amp;T Broadband Group does not expect that the adoption of SFAS No. 144 will have a material impact on AT&amp;T Broadband Group's results of operations, financial position or cash flows.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SUBSEQUENT EVENTS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October 2001, AT&amp;T Broadband Group, through ATTBLLC, sold approximately 19.2 million shares of Cablevision NY Group Class A common stock and, through a trust, 23.4 million shares of a mandatorily exchangeable trust security that will be exchangeable into up to 23.4 million shares of Cablevision NY Group Class A common stock at maturity in three years. The offering price was $36.05 per share for both the common shares and the exchangeable securities. The offerings generated approximately $1,323 of pretax cash proceeds, net of underwriting fees. The sale resulted in a pretax loss of approximately $271. In addition, the underwriters' exercised a portion of their over-allotment options, which resulted in the sale of an additional 3.5 million shares of the exchangeable securities through the trust. AT&amp;T received additional cash proceeds of approximately $99 from this transaction.</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December 2001, AT&amp;T Broadband Group sold approximately 12.8 million shares of Cablevision's Rainbow Media Group Class A tracking stock and, through a trust, 8.5 million shares of a mandatorily exchangeable trust security that will be exchangeable into up to 8.5 million shares of Rainbow Media Group Class A tracking stock at maturity in three years. The offering price was $22.50 per share for both the tracking stock shares and the exchangeable trust securities. The offerings generated approximately $424 of pretax cash proceeds, net of underwriting fees. The sale resulted in a pretax gain of approximately $66. In addition, the underwriters' exercised their over-allotment options, which resulted in the sale of an additional 1.9 million tracking stock shares and, through the trust, 1.3 million shares of the exchangeable securities. AT&amp;T Broadband Group received additional cash proceeds of approximately $63 net of underwriting fees from this transaction.</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During the fourth quarter of 2001, AT&amp;T Broadband Group recorded an impairment charge of $450. The impairment charge primarily resulted from management's conclusion that declines in fair value were not temporary or the investment could not be held for a period of time to allow for recoverability of fair value as in the case of exchangeable notes due in late 2002 that can be settled with shares of Vodafone ADRs.</w:t>
      </w:r>
    </w:p>
    <w:p>
      <w:pPr>
        <w:spacing w:after="0" w:line="197"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In January and February 2002, AT&amp;T announced that it will redeem $1,312 of trust preferred securities in February and March of 2002. These amounts are classified as long-term debt in the accompanying combined balance sheet.</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L-112</w:t>
      </w:r>
    </w:p>
    <w:p>
      <w:pPr>
        <w:sectPr>
          <w:pgSz w:w="11900" w:h="16838" w:orient="portrait"/>
          <w:cols w:equalWidth="0" w:num="1">
            <w:col w:w="10219"/>
          </w:cols>
          <w:pgMar w:left="240" w:top="518" w:right="1440" w:bottom="1440" w:gutter="0" w:footer="0" w:header="0"/>
        </w:sectPr>
      </w:pPr>
    </w:p>
    <w:bookmarkStart w:id="724" w:name="page725"/>
    <w:bookmarkEnd w:id="724"/>
    <w:p>
      <w:pPr>
        <w:ind w:left="2420"/>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 Shareowners of AT&amp;T Corp.:</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our opinion, the accompanying combined balance sheets and the related combined statements of operations and changes in combined attributed net assets and of cash flows present fairly, in all material respects, the financial position of AT&amp;T Broadband Group at December 31, 2000 and 1999, and the results of their operations and their cash flows for the year ended December 31, 2000 and for the ten-month period ended December 31, 1999, in conformity with accounting principles generally accepted in the United States of America. These financial statements are the responsibility of AT&amp;T Broadband Group's management; our responsibility is to express our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Broadband Group relies on AT&amp;T Corp. for administrative, management and other services. The financial position, results of operations and cash flows of AT&amp;T Broadband Group could differ from those that would have resulted had AT&amp;T Broadband Group operated autonomously or as an entity independent of AT&amp;T Corp. As more fully discussed in Note 1, the combined financial statements of AT&amp;T Broadband Group should be read in conjunction with the audited consolidated financial statements of AT&amp;T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PricewaterhouseCoopers LLP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9, 2001</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L-113</w:t>
      </w:r>
    </w:p>
    <w:p>
      <w:pPr>
        <w:sectPr>
          <w:pgSz w:w="11900" w:h="16838" w:orient="portrait"/>
          <w:cols w:equalWidth="0" w:num="1">
            <w:col w:w="10219"/>
          </w:cols>
          <w:pgMar w:left="240" w:top="720" w:right="1440" w:bottom="1440" w:gutter="0" w:footer="0" w:header="0"/>
        </w:sectPr>
      </w:pPr>
    </w:p>
    <w:bookmarkStart w:id="725" w:name="page726"/>
    <w:bookmarkEnd w:id="725"/>
    <w:p>
      <w:pPr>
        <w:jc w:val="center"/>
        <w:ind w:right="181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COMBINED STATEMENTS OF OPERATIONS</w:t>
      </w:r>
    </w:p>
    <w:p>
      <w:pPr>
        <w:spacing w:after="0" w:line="210" w:lineRule="exact"/>
        <w:rPr>
          <w:sz w:val="20"/>
          <w:szCs w:val="20"/>
          <w:color w:val="auto"/>
        </w:rPr>
      </w:pPr>
    </w:p>
    <w:p>
      <w:pPr>
        <w:ind w:right="3919" w:firstLine="104"/>
        <w:spacing w:after="0" w:line="251" w:lineRule="auto"/>
        <w:rPr>
          <w:sz w:val="20"/>
          <w:szCs w:val="20"/>
          <w:color w:val="auto"/>
        </w:rPr>
      </w:pPr>
      <w:r>
        <w:rPr>
          <w:rFonts w:ascii="Courier New" w:cs="Courier New" w:eastAsia="Courier New" w:hAnsi="Courier New"/>
          <w:sz w:val="17"/>
          <w:szCs w:val="17"/>
          <w:color w:val="auto"/>
        </w:rPr>
        <w:t>TEN MONTHS YEAR ENDED ENDED DECEMBER 31, DECEMBER 31, 2000 1999 ------------ ------------ (DOLLARS IN MILLIONS) REVENUE.....................................................</w:t>
      </w:r>
    </w:p>
    <w:p>
      <w:pPr>
        <w:ind w:left="260" w:right="4199" w:firstLine="166"/>
        <w:spacing w:after="0" w:line="251" w:lineRule="auto"/>
        <w:tabs>
          <w:tab w:leader="none" w:pos="627" w:val="left"/>
        </w:tabs>
        <w:numPr>
          <w:ilvl w:val="0"/>
          <w:numId w:val="7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8,445 $5,080 Operating expenses: Costs of services (excluding depreciation of $1,291 and $663 for 2000 and 1999, respectively, included below).................................................</w:t>
      </w:r>
    </w:p>
    <w:p>
      <w:pPr>
        <w:ind w:left="1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4,600 2,686 Selling, general and</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administrative....................... 2,180 1,253</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Depreciation and other amortization.......................</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1,674 805 Amortization of goodwill, franchise costs and</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other purchased</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intangibles.................................. 2,377 869</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Asset impairment, restructuring and other charges.........</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6,270 644 ------- ------ Total operating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expenses.................................... 17,101 6,257 -</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 ------ Operating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loss.............................................. 8,656</w:t>
      </w:r>
    </w:p>
    <w:p>
      <w:pPr>
        <w:spacing w:after="0" w:line="9"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1,177 Other (expense)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(39) 50 Interest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expense.......................................... 1,323 705</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 Loss before income taxes, net losses from</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equity investments and minority</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interest..................................... 10,018 1,832</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Benefit for income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taxes.................................... 1,183 465 Net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losses from equity investments..........................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597 707 Minority interest 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(expense).......................... 4,062 (126) ------- ---</w:t>
      </w:r>
    </w:p>
    <w:p>
      <w:pPr>
        <w:spacing w:after="0" w:line="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 Net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loss.................................................... $</w:t>
      </w:r>
    </w:p>
    <w:p>
      <w:pPr>
        <w:spacing w:after="0" w:line="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5,370 $2,200 ======= ======</w:t>
      </w:r>
    </w:p>
    <w:p>
      <w:pPr>
        <w:spacing w:after="0" w:line="200" w:lineRule="exact"/>
        <w:rPr>
          <w:sz w:val="20"/>
          <w:szCs w:val="20"/>
          <w:color w:val="auto"/>
        </w:rPr>
      </w:pPr>
    </w:p>
    <w:p>
      <w:pPr>
        <w:spacing w:after="0" w:line="21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L-114</w:t>
      </w:r>
    </w:p>
    <w:p>
      <w:pPr>
        <w:sectPr>
          <w:pgSz w:w="11900" w:h="16838" w:orient="portrait"/>
          <w:cols w:equalWidth="0" w:num="1">
            <w:col w:w="10219"/>
          </w:cols>
          <w:pgMar w:left="240" w:top="718" w:right="1440" w:bottom="1440" w:gutter="0" w:footer="0" w:header="0"/>
        </w:sectPr>
      </w:pPr>
    </w:p>
    <w:bookmarkStart w:id="726" w:name="page727"/>
    <w:bookmarkEnd w:id="726"/>
    <w:p>
      <w:pPr>
        <w:jc w:val="center"/>
        <w:ind w:right="181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COMBINED BALANCE SHEETS</w:t>
      </w:r>
    </w:p>
    <w:p>
      <w:pPr>
        <w:spacing w:after="0" w:line="210"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DECEMBER 31, --------------------- 2000 1999 ---------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(DOLLARS IN MILLIONS) ASSETS Cash and cash</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equivalents................................... $ 61 $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Trade receivables, less allowances of $74 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$25........... 774 407 Deferred income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taxes....................................... -- 261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2,204 -- Other current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assets........................................ 467 432 ----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 Total current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assets................................... 3,506 1,100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Property, plant and equipment,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net.......................... 15,187 7,780 Franchise costs,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net of accumulated amortization of $1,664 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$697..................................................</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48,218 32,693 Goodwill, net of accumulated amortization of</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60" w:type="dxa"/>
            <w:vAlign w:val="bottom"/>
          </w:tcPr>
          <w:p>
            <w:pPr>
              <w:ind w:left="1780"/>
              <w:spacing w:after="0"/>
              <w:rPr>
                <w:sz w:val="20"/>
                <w:szCs w:val="20"/>
                <w:color w:val="auto"/>
              </w:rPr>
            </w:pPr>
            <w:r>
              <w:rPr>
                <w:rFonts w:ascii="Courier New" w:cs="Courier New" w:eastAsia="Courier New" w:hAnsi="Courier New"/>
                <w:sz w:val="17"/>
                <w:szCs w:val="17"/>
                <w:color w:val="auto"/>
              </w:rPr>
              <w:t>$240 and $5....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21,139 129</w:t>
            </w:r>
          </w:p>
        </w:tc>
      </w:tr>
      <w:tr>
        <w:trPr>
          <w:trHeight w:val="201"/>
        </w:trPr>
        <w:tc>
          <w:tcPr>
            <w:tcW w:w="4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3"/>
              </w:rPr>
              <w:t>Investments.................................................</w:t>
            </w:r>
          </w:p>
        </w:tc>
      </w:tr>
    </w:tbl>
    <w:p>
      <w:pPr>
        <w:spacing w:after="0" w:line="4"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25,045 13,334 Other assets, net of accumulated amortization</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of $578 and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$150......................................................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4,439 3,192 -------- ------- Total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assets........................................... $117,534</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$58,228 ======== ======= LIABILITIES AND COMBINED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ATTRIBUTED NET ASSETS Accounts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payable............................................ $ 1,250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$ 1,047 Payroll and benefit-related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liabilities..................... 570 720 Debt maturing</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within one year............................... 3,073 932</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Short-term debt due to</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AT&amp;T................................. 5,830 4,297 Deferred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income tax liability............................... 486 --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Liability under put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options................................. 2,564 -- Other</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current liabilities...................................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2,177 1,106 -------- ------- Total current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liabilities.............................. 15,950 8,102</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Long-term</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debt.............................................. 19,517</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9,671 Deferred income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taxes....................................... 28,550 18,142</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Other long-term liabilities and deferred</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credits............ 1,069 397 -------- ------- Total</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liabilities...................................... 65,086</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36,312 Minority</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interest........................................... 4,421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2,327 Company-Obligated Convertible Quarterly Income</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Preferred Securities of Subsidiary Trust Holding Solely</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Subordinated Debt Securities of</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AT&amp;T................................... 4,710 4,700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Combined attributed net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assets.............................. 43,317 14,889 --------</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 Total liabilities and combined attributed net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assets........ $117,534 $58,228 ======== =======</w:t>
      </w:r>
    </w:p>
    <w:p>
      <w:pPr>
        <w:spacing w:after="0" w:line="200" w:lineRule="exact"/>
        <w:rPr>
          <w:sz w:val="20"/>
          <w:szCs w:val="20"/>
          <w:color w:val="auto"/>
        </w:rPr>
      </w:pPr>
    </w:p>
    <w:p>
      <w:pPr>
        <w:spacing w:after="0" w:line="21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L-115</w:t>
      </w:r>
    </w:p>
    <w:p>
      <w:pPr>
        <w:sectPr>
          <w:pgSz w:w="11900" w:h="16838" w:orient="portrait"/>
          <w:cols w:equalWidth="0" w:num="1">
            <w:col w:w="10219"/>
          </w:cols>
          <w:pgMar w:left="240" w:top="719" w:right="1440" w:bottom="1440" w:gutter="0" w:footer="0" w:header="0"/>
        </w:sectPr>
      </w:pPr>
    </w:p>
    <w:bookmarkStart w:id="727" w:name="page728"/>
    <w:bookmarkEnd w:id="727"/>
    <w:p>
      <w:pPr>
        <w:jc w:val="center"/>
        <w:ind w:right="181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COMBINED STATEMENTS OF CHANGES IN COMBINED</w:t>
      </w:r>
    </w:p>
    <w:p>
      <w:pPr>
        <w:spacing w:after="0" w:line="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7"/>
          <w:szCs w:val="17"/>
          <w:color w:val="auto"/>
        </w:rPr>
        <w:t>ATTRIBUTED NET ASSETS</w:t>
      </w:r>
    </w:p>
    <w:p>
      <w:pPr>
        <w:spacing w:after="0" w:line="210"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TEN MONTHS YEAR ENDED ENDED DECEMBER 31, DECEMBER 31,</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2000 1999 ------------ ------------ (DOLLARS IN</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MILLIONS) COMBINED ATTRIBUTED NET ASSETS: Balance at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beginning of period............................</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$14,889 $14,377 Net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loss..................................................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5,370 2,200 Contributions from AT&amp;T,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net.............................. 35,101 2,128</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Issuance of common stock by</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affiliates.................... (54) 515 Net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revaluation of financial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instruments.................. (1,256) 69 Other</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comprehensive income................................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7 -- ------- ------- Balance at end of</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period.................................. $43,317</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$14,889 ======= ======= SUMMARY OF TOTAL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COMPREHENSIVE INCOME: Net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loss..................................................</w:t>
      </w:r>
    </w:p>
    <w:p>
      <w:pPr>
        <w:spacing w:after="0" w:line="9" w:lineRule="exact"/>
        <w:rPr>
          <w:sz w:val="20"/>
          <w:szCs w:val="20"/>
          <w:color w:val="auto"/>
        </w:rPr>
      </w:pPr>
    </w:p>
    <w:p>
      <w:pPr>
        <w:ind w:left="160" w:right="4719" w:firstLine="369"/>
        <w:spacing w:after="0" w:line="251" w:lineRule="auto"/>
        <w:tabs>
          <w:tab w:leader="none" w:pos="736" w:val="left"/>
        </w:tabs>
        <w:numPr>
          <w:ilvl w:val="0"/>
          <w:numId w:val="7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5,370 $ 2,200 Net revaluation of financial instruments (net of tax (provision) benefit of $711</w:t>
      </w:r>
    </w:p>
    <w:p>
      <w:pPr>
        <w:jc w:val="center"/>
        <w:ind w:right="4539"/>
        <w:spacing w:after="0" w:line="252" w:lineRule="auto"/>
        <w:rPr>
          <w:sz w:val="20"/>
          <w:szCs w:val="20"/>
          <w:color w:val="auto"/>
        </w:rPr>
      </w:pPr>
      <w:r>
        <w:rPr>
          <w:rFonts w:ascii="Courier New" w:cs="Courier New" w:eastAsia="Courier New" w:hAnsi="Courier New"/>
          <w:sz w:val="17"/>
          <w:szCs w:val="17"/>
          <w:color w:val="auto"/>
        </w:rPr>
        <w:t>and $(36))................. (1,256) 69 Other comprehensive income................................ 7 -- ------- ------- Total comprehensive loss............................... $ 6,619 $ 2,131 ======= =======</w:t>
      </w:r>
    </w:p>
    <w:p>
      <w:pPr>
        <w:spacing w:after="0" w:line="39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L-116</w:t>
      </w:r>
    </w:p>
    <w:p>
      <w:pPr>
        <w:sectPr>
          <w:pgSz w:w="11900" w:h="16838" w:orient="portrait"/>
          <w:cols w:equalWidth="0" w:num="1">
            <w:col w:w="10219"/>
          </w:cols>
          <w:pgMar w:left="240" w:top="719" w:right="1440" w:bottom="1440" w:gutter="0" w:footer="0" w:header="0"/>
        </w:sectPr>
      </w:pPr>
    </w:p>
    <w:bookmarkStart w:id="728" w:name="page729"/>
    <w:bookmarkEnd w:id="728"/>
    <w:p>
      <w:pPr>
        <w:jc w:val="center"/>
        <w:ind w:right="181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COMBINED STATEMENTS OF CASH FLOW</w:t>
      </w:r>
    </w:p>
    <w:p>
      <w:pPr>
        <w:spacing w:after="0" w:line="210"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TEN MONTHS YEAR ENDED ENDED DECEMBER 31, DECEMBER 31,</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2000 1999 ------------ ------------ (DOLLARS IN</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MILLIONS) OPERATING ACTIVITIES: Net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loss....................................................</w:t>
      </w:r>
    </w:p>
    <w:p>
      <w:pPr>
        <w:spacing w:after="0" w:line="9" w:lineRule="exact"/>
        <w:rPr>
          <w:sz w:val="20"/>
          <w:szCs w:val="20"/>
          <w:color w:val="auto"/>
        </w:rPr>
      </w:pPr>
    </w:p>
    <w:p>
      <w:pPr>
        <w:jc w:val="both"/>
        <w:ind w:left="260" w:right="4559" w:hanging="49"/>
        <w:spacing w:after="0" w:line="251" w:lineRule="auto"/>
        <w:tabs>
          <w:tab w:leader="none" w:pos="417" w:val="left"/>
        </w:tabs>
        <w:numPr>
          <w:ilvl w:val="0"/>
          <w:numId w:val="7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5,370 $ 2,200 Adjustments to reconcile net loss to net cash provided by operating activities: Gains on</w:t>
      </w:r>
    </w:p>
    <w:tbl>
      <w:tblPr>
        <w:tblLayout w:type="fixed"/>
        <w:tblInd w:w="60" w:type="dxa"/>
        <w:tblCellMar>
          <w:top w:w="0" w:type="dxa"/>
          <w:left w:w="0" w:type="dxa"/>
          <w:bottom w:w="0" w:type="dxa"/>
          <w:right w:w="0" w:type="dxa"/>
        </w:tblCellMar>
      </w:tblPr>
      <w:tr>
        <w:trPr>
          <w:trHeight w:val="197"/>
        </w:trPr>
        <w:tc>
          <w:tcPr>
            <w:tcW w:w="5180" w:type="dxa"/>
            <w:vAlign w:val="bottom"/>
          </w:tcPr>
          <w:p>
            <w:pPr>
              <w:spacing w:after="0"/>
              <w:rPr>
                <w:sz w:val="20"/>
                <w:szCs w:val="20"/>
                <w:color w:val="auto"/>
              </w:rPr>
            </w:pPr>
            <w:r>
              <w:rPr>
                <w:rFonts w:ascii="Courier New" w:cs="Courier New" w:eastAsia="Courier New" w:hAnsi="Courier New"/>
                <w:sz w:val="17"/>
                <w:szCs w:val="17"/>
                <w:color w:val="auto"/>
              </w:rPr>
              <w:t>sales of businesses and investments..............</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(616)</w:t>
            </w:r>
          </w:p>
        </w:tc>
      </w:tr>
    </w:tbl>
    <w:p>
      <w:pPr>
        <w:spacing w:after="0" w:line="4" w:lineRule="exact"/>
        <w:rPr>
          <w:sz w:val="20"/>
          <w:szCs w:val="20"/>
          <w:color w:val="auto"/>
        </w:rPr>
      </w:pPr>
    </w:p>
    <w:p>
      <w:pPr>
        <w:ind w:left="2360" w:right="4399" w:hanging="2306"/>
        <w:spacing w:after="0" w:line="251" w:lineRule="auto"/>
        <w:tabs>
          <w:tab w:leader="none" w:pos="579" w:val="left"/>
        </w:tabs>
        <w:numPr>
          <w:ilvl w:val="0"/>
          <w:numId w:val="7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Asset impairment, restructuring and other charges, net of cash</w:t>
      </w:r>
    </w:p>
    <w:p>
      <w:pPr>
        <w:ind w:left="320"/>
        <w:spacing w:after="0"/>
        <w:rPr>
          <w:sz w:val="20"/>
          <w:szCs w:val="20"/>
          <w:color w:val="auto"/>
        </w:rPr>
      </w:pPr>
      <w:r>
        <w:rPr>
          <w:rFonts w:ascii="Courier New" w:cs="Courier New" w:eastAsia="Courier New" w:hAnsi="Courier New"/>
          <w:sz w:val="17"/>
          <w:szCs w:val="17"/>
          <w:color w:val="auto"/>
        </w:rPr>
        <w:t>payments..........................................</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6,216 594 Depreciation and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amortization............................. 4,051 1,674</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Provision for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uncollectibles.............................. 154 75 Net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losses from equity investments........................</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967 1,145 Deferred income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taxes..................................... (880) (422)</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Impairment of</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investments................................. 240 --</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Market adjustment for put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option.......................... 537 -- Minority</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(4,039) 180 Increase in accounts</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receivable........................... (263) (116)</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Increase (decrease) in accounts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payable................... (90) 447 Net change in other</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operating assets and liabilities...... (298) 143 Other</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adjustments, net....................................</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193 (101) ------- ------- Net cash provided by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operating activities.............. 802 1,380 ------- --</w:t>
      </w:r>
    </w:p>
    <w:p>
      <w:pPr>
        <w:spacing w:after="0" w:line="9" w:lineRule="exact"/>
        <w:rPr>
          <w:sz w:val="20"/>
          <w:szCs w:val="20"/>
          <w:color w:val="auto"/>
        </w:rPr>
      </w:pPr>
    </w:p>
    <w:p>
      <w:pPr>
        <w:ind w:left="640" w:right="4779" w:hanging="219"/>
        <w:spacing w:after="0" w:line="251" w:lineRule="auto"/>
        <w:tabs>
          <w:tab w:leader="none" w:pos="1059" w:val="left"/>
        </w:tabs>
        <w:numPr>
          <w:ilvl w:val="0"/>
          <w:numId w:val="7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 ACTIVITIES: Capital expended for property and equipment, net of proceeds from</w:t>
      </w:r>
    </w:p>
    <w:tbl>
      <w:tblPr>
        <w:tblLayout w:type="fixed"/>
        <w:tblInd w:w="60" w:type="dxa"/>
        <w:tblCellMar>
          <w:top w:w="0" w:type="dxa"/>
          <w:left w:w="0" w:type="dxa"/>
          <w:bottom w:w="0" w:type="dxa"/>
          <w:right w:w="0" w:type="dxa"/>
        </w:tblCellMar>
      </w:tblPr>
      <w:tr>
        <w:trPr>
          <w:trHeight w:val="197"/>
        </w:trPr>
        <w:tc>
          <w:tcPr>
            <w:tcW w:w="4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disposal.................................</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(4,426)</w:t>
            </w:r>
          </w:p>
        </w:tc>
      </w:tr>
      <w:tr>
        <w:trPr>
          <w:trHeight w:val="201"/>
        </w:trPr>
        <w:tc>
          <w:tcPr>
            <w:tcW w:w="4340" w:type="dxa"/>
            <w:vAlign w:val="bottom"/>
            <w:gridSpan w:val="2"/>
          </w:tcPr>
          <w:p>
            <w:pPr>
              <w:jc w:val="center"/>
              <w:ind w:left="1316"/>
              <w:spacing w:after="0"/>
              <w:rPr>
                <w:sz w:val="20"/>
                <w:szCs w:val="20"/>
                <w:color w:val="auto"/>
              </w:rPr>
            </w:pPr>
            <w:r>
              <w:rPr>
                <w:rFonts w:ascii="Courier New" w:cs="Courier New" w:eastAsia="Courier New" w:hAnsi="Courier New"/>
                <w:sz w:val="17"/>
                <w:szCs w:val="17"/>
                <w:color w:val="auto"/>
              </w:rPr>
              <w:t>(3,161) Sales of marketable</w:t>
            </w:r>
          </w:p>
        </w:tc>
        <w:tc>
          <w:tcPr>
            <w:tcW w:w="1420" w:type="dxa"/>
            <w:vAlign w:val="bottom"/>
          </w:tcPr>
          <w:p>
            <w:pPr>
              <w:spacing w:after="0"/>
              <w:rPr>
                <w:sz w:val="17"/>
                <w:szCs w:val="17"/>
                <w:color w:val="auto"/>
              </w:rPr>
            </w:pPr>
          </w:p>
        </w:tc>
      </w:tr>
      <w:tr>
        <w:trPr>
          <w:trHeight w:val="201"/>
        </w:trPr>
        <w:tc>
          <w:tcPr>
            <w:tcW w:w="1980" w:type="dxa"/>
            <w:vAlign w:val="bottom"/>
          </w:tcPr>
          <w:p>
            <w:pPr>
              <w:jc w:val="right"/>
              <w:spacing w:after="0"/>
              <w:rPr>
                <w:sz w:val="20"/>
                <w:szCs w:val="20"/>
                <w:color w:val="auto"/>
              </w:rPr>
            </w:pPr>
            <w:r>
              <w:rPr>
                <w:rFonts w:ascii="Courier New" w:cs="Courier New" w:eastAsia="Courier New" w:hAnsi="Courier New"/>
                <w:sz w:val="12"/>
                <w:szCs w:val="12"/>
                <w:color w:val="auto"/>
                <w:w w:val="71"/>
              </w:rPr>
              <w:t>securities............................</w:t>
            </w:r>
          </w:p>
        </w:tc>
        <w:tc>
          <w:tcPr>
            <w:tcW w:w="37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96 -- Purchase</w:t>
            </w:r>
          </w:p>
        </w:tc>
      </w:tr>
      <w:tr>
        <w:trPr>
          <w:trHeight w:val="201"/>
        </w:trPr>
        <w:tc>
          <w:tcPr>
            <w:tcW w:w="43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6"/>
              </w:rPr>
              <w:t>of marketable securities.........................</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201"/>
        </w:trPr>
        <w:tc>
          <w:tcPr>
            <w:tcW w:w="57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 Equity investment distributions and</w:t>
            </w:r>
          </w:p>
        </w:tc>
      </w:tr>
      <w:tr>
        <w:trPr>
          <w:trHeight w:val="201"/>
        </w:trPr>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w w:val="87"/>
              </w:rPr>
              <w:t>sales.................</w:t>
            </w:r>
          </w:p>
        </w:tc>
        <w:tc>
          <w:tcPr>
            <w:tcW w:w="37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578 817 Equity investment</w:t>
            </w:r>
          </w:p>
        </w:tc>
      </w:tr>
      <w:tr>
        <w:trPr>
          <w:trHeight w:val="201"/>
        </w:trPr>
        <w:tc>
          <w:tcPr>
            <w:tcW w:w="43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contributions and purchases.............</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(593) (1,308)</w:t>
            </w:r>
          </w:p>
        </w:tc>
      </w:tr>
      <w:tr>
        <w:trPr>
          <w:trHeight w:val="201"/>
        </w:trPr>
        <w:tc>
          <w:tcPr>
            <w:tcW w:w="57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Net cash received (paid) for acquisitions and</w:t>
            </w:r>
          </w:p>
        </w:tc>
      </w:tr>
      <w:tr>
        <w:trPr>
          <w:trHeight w:val="201"/>
        </w:trPr>
        <w:tc>
          <w:tcPr>
            <w:tcW w:w="1980" w:type="dxa"/>
            <w:vAlign w:val="bottom"/>
          </w:tcPr>
          <w:p>
            <w:pPr>
              <w:spacing w:after="0"/>
              <w:rPr>
                <w:sz w:val="17"/>
                <w:szCs w:val="17"/>
                <w:color w:val="auto"/>
              </w:rPr>
            </w:pPr>
          </w:p>
        </w:tc>
        <w:tc>
          <w:tcPr>
            <w:tcW w:w="2360" w:type="dxa"/>
            <w:vAlign w:val="bottom"/>
          </w:tcPr>
          <w:p>
            <w:pPr>
              <w:jc w:val="center"/>
              <w:ind w:right="493"/>
              <w:spacing w:after="0"/>
              <w:rPr>
                <w:sz w:val="20"/>
                <w:szCs w:val="20"/>
                <w:color w:val="auto"/>
              </w:rPr>
            </w:pPr>
            <w:r>
              <w:rPr>
                <w:rFonts w:ascii="Courier New" w:cs="Courier New" w:eastAsia="Courier New" w:hAnsi="Courier New"/>
                <w:sz w:val="17"/>
                <w:szCs w:val="17"/>
                <w:color w:val="auto"/>
              </w:rPr>
              <w:t>dispositions of</w:t>
            </w:r>
          </w:p>
        </w:tc>
        <w:tc>
          <w:tcPr>
            <w:tcW w:w="1420" w:type="dxa"/>
            <w:vAlign w:val="bottom"/>
          </w:tcPr>
          <w:p>
            <w:pPr>
              <w:spacing w:after="0"/>
              <w:rPr>
                <w:sz w:val="17"/>
                <w:szCs w:val="17"/>
                <w:color w:val="auto"/>
              </w:rPr>
            </w:pPr>
          </w:p>
        </w:tc>
      </w:tr>
      <w:tr>
        <w:trPr>
          <w:trHeight w:val="201"/>
        </w:trPr>
        <w:tc>
          <w:tcPr>
            <w:tcW w:w="43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1"/>
              </w:rPr>
              <w:t>businesses..........................................</w:t>
            </w:r>
          </w:p>
        </w:tc>
        <w:tc>
          <w:tcPr>
            <w:tcW w:w="1420" w:type="dxa"/>
            <w:vAlign w:val="bottom"/>
          </w:tcPr>
          <w:p>
            <w:pPr>
              <w:spacing w:after="0"/>
              <w:rPr>
                <w:sz w:val="17"/>
                <w:szCs w:val="17"/>
                <w:color w:val="auto"/>
              </w:rPr>
            </w:pPr>
          </w:p>
        </w:tc>
      </w:tr>
      <w:tr>
        <w:trPr>
          <w:trHeight w:val="201"/>
        </w:trPr>
        <w:tc>
          <w:tcPr>
            <w:tcW w:w="57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(71) 740 Other investing activities,</w:t>
            </w:r>
          </w:p>
        </w:tc>
      </w:tr>
      <w:tr>
        <w:trPr>
          <w:trHeight w:val="201"/>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w w:val="72"/>
              </w:rPr>
              <w:t>net...........................</w:t>
            </w:r>
          </w:p>
        </w:tc>
        <w:tc>
          <w:tcPr>
            <w:tcW w:w="3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(81) (3) ------- -------</w:t>
            </w:r>
          </w:p>
        </w:tc>
      </w:tr>
      <w:tr>
        <w:trPr>
          <w:trHeight w:val="201"/>
        </w:trPr>
        <w:tc>
          <w:tcPr>
            <w:tcW w:w="57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Net cash used in investing activities..................</w:t>
            </w:r>
          </w:p>
        </w:tc>
      </w:tr>
      <w:tr>
        <w:trPr>
          <w:trHeight w:val="201"/>
        </w:trPr>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w w:val="83"/>
              </w:rPr>
              <w:t>(4,511) (2,915) -------</w:t>
            </w:r>
          </w:p>
        </w:tc>
        <w:tc>
          <w:tcPr>
            <w:tcW w:w="37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FINANCING ACTIVITIES:</w:t>
            </w:r>
          </w:p>
        </w:tc>
      </w:tr>
      <w:tr>
        <w:trPr>
          <w:trHeight w:val="201"/>
        </w:trPr>
        <w:tc>
          <w:tcPr>
            <w:tcW w:w="4340" w:type="dxa"/>
            <w:vAlign w:val="bottom"/>
            <w:gridSpan w:val="2"/>
          </w:tcPr>
          <w:p>
            <w:pPr>
              <w:jc w:val="center"/>
              <w:ind w:left="1316"/>
              <w:spacing w:after="0"/>
              <w:rPr>
                <w:sz w:val="20"/>
                <w:szCs w:val="20"/>
                <w:color w:val="auto"/>
              </w:rPr>
            </w:pPr>
            <w:r>
              <w:rPr>
                <w:rFonts w:ascii="Courier New" w:cs="Courier New" w:eastAsia="Courier New" w:hAnsi="Courier New"/>
                <w:sz w:val="17"/>
                <w:szCs w:val="17"/>
                <w:color w:val="auto"/>
              </w:rPr>
              <w:t>Proceeds from long-term debt</w:t>
            </w:r>
          </w:p>
        </w:tc>
        <w:tc>
          <w:tcPr>
            <w:tcW w:w="1420" w:type="dxa"/>
            <w:vAlign w:val="bottom"/>
          </w:tcPr>
          <w:p>
            <w:pPr>
              <w:spacing w:after="0"/>
              <w:rPr>
                <w:sz w:val="17"/>
                <w:szCs w:val="17"/>
                <w:color w:val="auto"/>
              </w:rPr>
            </w:pPr>
          </w:p>
        </w:tc>
      </w:tr>
      <w:tr>
        <w:trPr>
          <w:trHeight w:val="201"/>
        </w:trPr>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w w:val="70"/>
              </w:rPr>
              <w:t>issuances....................</w:t>
            </w:r>
          </w:p>
        </w:tc>
        <w:tc>
          <w:tcPr>
            <w:tcW w:w="3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3,862 -- Issuance of</w:t>
            </w:r>
          </w:p>
        </w:tc>
      </w:tr>
      <w:tr>
        <w:trPr>
          <w:trHeight w:val="201"/>
        </w:trPr>
        <w:tc>
          <w:tcPr>
            <w:tcW w:w="43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2"/>
              </w:rPr>
              <w:t>convertible securities........................</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-- 4,638</w:t>
            </w:r>
          </w:p>
        </w:tc>
      </w:tr>
      <w:tr>
        <w:trPr>
          <w:trHeight w:val="201"/>
        </w:trPr>
        <w:tc>
          <w:tcPr>
            <w:tcW w:w="4340" w:type="dxa"/>
            <w:vAlign w:val="bottom"/>
            <w:gridSpan w:val="2"/>
          </w:tcPr>
          <w:p>
            <w:pPr>
              <w:jc w:val="center"/>
              <w:ind w:left="1336"/>
              <w:spacing w:after="0"/>
              <w:rPr>
                <w:sz w:val="20"/>
                <w:szCs w:val="20"/>
                <w:color w:val="auto"/>
              </w:rPr>
            </w:pPr>
            <w:r>
              <w:rPr>
                <w:rFonts w:ascii="Courier New" w:cs="Courier New" w:eastAsia="Courier New" w:hAnsi="Courier New"/>
                <w:sz w:val="17"/>
                <w:szCs w:val="17"/>
                <w:color w:val="auto"/>
              </w:rPr>
              <w:t>Retirements of long-term</w:t>
            </w:r>
          </w:p>
        </w:tc>
        <w:tc>
          <w:tcPr>
            <w:tcW w:w="1420" w:type="dxa"/>
            <w:vAlign w:val="bottom"/>
          </w:tcPr>
          <w:p>
            <w:pPr>
              <w:spacing w:after="0"/>
              <w:rPr>
                <w:sz w:val="17"/>
                <w:szCs w:val="17"/>
                <w:color w:val="auto"/>
              </w:rPr>
            </w:pPr>
          </w:p>
        </w:tc>
      </w:tr>
      <w:tr>
        <w:trPr>
          <w:trHeight w:val="201"/>
        </w:trPr>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w w:val="70"/>
              </w:rPr>
              <w:t>debt.............................</w:t>
            </w:r>
          </w:p>
        </w:tc>
        <w:tc>
          <w:tcPr>
            <w:tcW w:w="37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(1,429) (2,031)</w:t>
            </w:r>
          </w:p>
        </w:tc>
      </w:tr>
      <w:tr>
        <w:trPr>
          <w:trHeight w:val="201"/>
        </w:trPr>
        <w:tc>
          <w:tcPr>
            <w:tcW w:w="4340" w:type="dxa"/>
            <w:vAlign w:val="bottom"/>
            <w:gridSpan w:val="2"/>
          </w:tcPr>
          <w:p>
            <w:pPr>
              <w:jc w:val="center"/>
              <w:ind w:left="1316"/>
              <w:spacing w:after="0"/>
              <w:rPr>
                <w:sz w:val="20"/>
                <w:szCs w:val="20"/>
                <w:color w:val="auto"/>
              </w:rPr>
            </w:pPr>
            <w:r>
              <w:rPr>
                <w:rFonts w:ascii="Courier New" w:cs="Courier New" w:eastAsia="Courier New" w:hAnsi="Courier New"/>
                <w:sz w:val="17"/>
                <w:szCs w:val="17"/>
                <w:color w:val="auto"/>
              </w:rPr>
              <w:t>Retirements of redeemable</w:t>
            </w:r>
          </w:p>
        </w:tc>
        <w:tc>
          <w:tcPr>
            <w:tcW w:w="1420" w:type="dxa"/>
            <w:vAlign w:val="bottom"/>
          </w:tcPr>
          <w:p>
            <w:pPr>
              <w:spacing w:after="0"/>
              <w:rPr>
                <w:sz w:val="17"/>
                <w:szCs w:val="17"/>
                <w:color w:val="auto"/>
              </w:rPr>
            </w:pPr>
          </w:p>
        </w:tc>
      </w:tr>
      <w:tr>
        <w:trPr>
          <w:trHeight w:val="201"/>
        </w:trPr>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w w:val="72"/>
              </w:rPr>
              <w:t>securities......................</w:t>
            </w:r>
          </w:p>
        </w:tc>
        <w:tc>
          <w:tcPr>
            <w:tcW w:w="37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(152) -- Dividends</w:t>
            </w:r>
          </w:p>
        </w:tc>
      </w:tr>
      <w:tr>
        <w:trPr>
          <w:trHeight w:val="201"/>
        </w:trPr>
        <w:tc>
          <w:tcPr>
            <w:tcW w:w="43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8"/>
              </w:rPr>
              <w:t>paid on preferred securities....................</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(294)</w:t>
            </w:r>
          </w:p>
        </w:tc>
      </w:tr>
      <w:tr>
        <w:trPr>
          <w:trHeight w:val="201"/>
        </w:trPr>
        <w:tc>
          <w:tcPr>
            <w:tcW w:w="57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(135) Increase in short-term debt due to</w:t>
            </w:r>
          </w:p>
        </w:tc>
      </w:tr>
      <w:tr>
        <w:trPr>
          <w:trHeight w:val="201"/>
        </w:trPr>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w w:val="83"/>
              </w:rPr>
              <w:t>AT&amp;T...................</w:t>
            </w:r>
          </w:p>
        </w:tc>
        <w:tc>
          <w:tcPr>
            <w:tcW w:w="3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1,533 4,297 Transfers from (to)</w:t>
            </w:r>
          </w:p>
        </w:tc>
      </w:tr>
      <w:tr>
        <w:trPr>
          <w:trHeight w:val="201"/>
        </w:trPr>
        <w:tc>
          <w:tcPr>
            <w:tcW w:w="43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AT&amp;T, net.............................</w:t>
            </w: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765 (5,234)</w:t>
            </w:r>
          </w:p>
        </w:tc>
      </w:tr>
      <w:tr>
        <w:trPr>
          <w:trHeight w:val="201"/>
        </w:trPr>
        <w:tc>
          <w:tcPr>
            <w:tcW w:w="4340" w:type="dxa"/>
            <w:vAlign w:val="bottom"/>
            <w:gridSpan w:val="2"/>
          </w:tcPr>
          <w:p>
            <w:pPr>
              <w:jc w:val="center"/>
              <w:ind w:left="1316"/>
              <w:spacing w:after="0"/>
              <w:rPr>
                <w:sz w:val="20"/>
                <w:szCs w:val="20"/>
                <w:color w:val="auto"/>
              </w:rPr>
            </w:pPr>
            <w:r>
              <w:rPr>
                <w:rFonts w:ascii="Courier New" w:cs="Courier New" w:eastAsia="Courier New" w:hAnsi="Courier New"/>
                <w:sz w:val="17"/>
                <w:szCs w:val="17"/>
                <w:color w:val="auto"/>
              </w:rPr>
              <w:t>Other financing activities,</w:t>
            </w:r>
          </w:p>
        </w:tc>
        <w:tc>
          <w:tcPr>
            <w:tcW w:w="1420" w:type="dxa"/>
            <w:vAlign w:val="bottom"/>
          </w:tcPr>
          <w:p>
            <w:pPr>
              <w:spacing w:after="0"/>
              <w:rPr>
                <w:sz w:val="17"/>
                <w:szCs w:val="17"/>
                <w:color w:val="auto"/>
              </w:rPr>
            </w:pPr>
          </w:p>
        </w:tc>
      </w:tr>
      <w:tr>
        <w:trPr>
          <w:trHeight w:val="201"/>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w w:val="72"/>
              </w:rPr>
              <w:t>net...........................</w:t>
            </w:r>
          </w:p>
        </w:tc>
        <w:tc>
          <w:tcPr>
            <w:tcW w:w="3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(515) -- ------- -------</w:t>
            </w:r>
          </w:p>
        </w:tc>
      </w:tr>
      <w:tr>
        <w:trPr>
          <w:trHeight w:val="201"/>
        </w:trPr>
        <w:tc>
          <w:tcPr>
            <w:tcW w:w="57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Net cash provided by financing activities..............</w:t>
            </w:r>
          </w:p>
        </w:tc>
      </w:tr>
      <w:tr>
        <w:trPr>
          <w:trHeight w:val="201"/>
        </w:trPr>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3,770 1,535 -------</w:t>
            </w:r>
          </w:p>
        </w:tc>
        <w:tc>
          <w:tcPr>
            <w:tcW w:w="3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Net change in cash and cash</w:t>
            </w:r>
          </w:p>
        </w:tc>
      </w:tr>
      <w:tr>
        <w:trPr>
          <w:trHeight w:val="201"/>
        </w:trPr>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w w:val="72"/>
              </w:rPr>
              <w:t>equivalents.....................</w:t>
            </w:r>
          </w:p>
        </w:tc>
        <w:tc>
          <w:tcPr>
            <w:tcW w:w="3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61 -- ------- -------</w:t>
            </w:r>
          </w:p>
        </w:tc>
      </w:tr>
      <w:tr>
        <w:trPr>
          <w:trHeight w:val="201"/>
        </w:trPr>
        <w:tc>
          <w:tcPr>
            <w:tcW w:w="57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Cash and cash equivalents at beginning of</w:t>
            </w:r>
          </w:p>
        </w:tc>
      </w:tr>
      <w:tr>
        <w:trPr>
          <w:trHeight w:val="201"/>
        </w:trPr>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period............</w:t>
            </w:r>
          </w:p>
        </w:tc>
        <w:tc>
          <w:tcPr>
            <w:tcW w:w="3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 ------- ------- Cash and cash</w:t>
            </w:r>
          </w:p>
        </w:tc>
      </w:tr>
      <w:tr>
        <w:trPr>
          <w:trHeight w:val="201"/>
        </w:trPr>
        <w:tc>
          <w:tcPr>
            <w:tcW w:w="43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2"/>
              </w:rPr>
              <w:t>equivalents at end of period..................</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$ 61 $ -</w:t>
            </w:r>
          </w:p>
        </w:tc>
      </w:tr>
      <w:tr>
        <w:trPr>
          <w:trHeight w:val="201"/>
        </w:trPr>
        <w:tc>
          <w:tcPr>
            <w:tcW w:w="1980" w:type="dxa"/>
            <w:vAlign w:val="bottom"/>
          </w:tcPr>
          <w:p>
            <w:pPr>
              <w:spacing w:after="0"/>
              <w:rPr>
                <w:sz w:val="17"/>
                <w:szCs w:val="17"/>
                <w:color w:val="auto"/>
              </w:rPr>
            </w:pPr>
          </w:p>
        </w:tc>
        <w:tc>
          <w:tcPr>
            <w:tcW w:w="2360" w:type="dxa"/>
            <w:vAlign w:val="bottom"/>
          </w:tcPr>
          <w:p>
            <w:pPr>
              <w:jc w:val="center"/>
              <w:ind w:right="493"/>
              <w:spacing w:after="0"/>
              <w:rPr>
                <w:sz w:val="20"/>
                <w:szCs w:val="20"/>
                <w:color w:val="auto"/>
              </w:rPr>
            </w:pPr>
            <w:r>
              <w:rPr>
                <w:rFonts w:ascii="Courier New" w:cs="Courier New" w:eastAsia="Courier New" w:hAnsi="Courier New"/>
                <w:sz w:val="17"/>
                <w:szCs w:val="17"/>
                <w:color w:val="auto"/>
              </w:rPr>
              <w:t>- ======= =======</w:t>
            </w: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L-117</w:t>
      </w:r>
    </w:p>
    <w:p>
      <w:pPr>
        <w:sectPr>
          <w:pgSz w:w="11900" w:h="16838" w:orient="portrait"/>
          <w:cols w:equalWidth="0" w:num="1">
            <w:col w:w="10219"/>
          </w:cols>
          <w:pgMar w:left="240" w:top="720" w:right="1440" w:bottom="255" w:gutter="0" w:footer="0" w:header="0"/>
        </w:sectPr>
      </w:pPr>
    </w:p>
    <w:bookmarkStart w:id="729" w:name="page730"/>
    <w:bookmarkEnd w:id="729"/>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NOTES TO COMBINED FINANCIAL STATEMENTS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(DOLLARS IN MILLIONS, EXCEPT PER SHARE AMOUNTS AND UNLESS OTHERWISE NOTED)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BASIS OF PRESENTATION</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October 25, 2000, AT&amp;T announced a restructuring plan designed to fully separate or issue separately tracked stocks intended to reflect the financial performance and economic value of each of AT&amp;T's four major operating units. Upon completion of the plan, AT&amp;T Wireless, AT&amp;T Broadband, AT&amp;T Business and AT&amp;T Consumer will all be represented by asset-based or tracking stocks. The accompanying combined financial statements reflect the business of AT&amp;T Broadband Group.</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Group is a fully integrated business unit of AT&amp;T and is not a separate legal entity. The AT&amp;T Broadband Group consists primarily of the assets, liabilities and business of AT&amp;T Broadband, LLC (formerly Tele-Communications, Inc. ("TCI")) and MediaOne Group, Inc. ("MediaOne"), and includes At Home Corporation ("Excite@Home"). AT&amp;T Broadband, LLC ("ATTBLLC") and MediaOne are both separate subsidiaries of AT&amp;T. The AT&amp;T Broadband Group is primarily engaged in the construction, acquisition, ownership and operation of cable television systems throughout the United States. AT&amp;T Broadband Group offers a variety of services through its cable broadband network, including traditional analog video and advanced services such as digital video service, high-speed cable Internet service and broadband telephony service.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March 9, 1999, AT&amp;T acquired TCI in a merger (the "TCI Merger") which was attributed to AT&amp;T Broadband Group. The results of operations, financial position, changes in combined attributed net assets and cash flows of the business of AT&amp;T Broadband, LLC which are included in AT&amp;T Broadband Group have been included since March 1, 1999, the deemed effective date of the TCI Merger for accounting purposes. The impact of the results from March 1 through March 9, 1999 were deemed immaterial to the combined results. On June 15, 2000 AT&amp;T acquired MediaOne which was attributed to AT&amp;T Broadband Group. The results of operations, financial position, changes in combined attributed net assets and cash flows of the businesses of MediaOne which are included in AT&amp;T Broadband Group have been included since June 15, 2000. See note 4.</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combined financial statements of AT&amp;T Broadband Group are prepared in accordance with generally accepted accounting principles. The combined financial statements of AT&amp;T Broadband Group reflect the assets, liabilities, revenue and expenses directly attributable to AT&amp;T Broadband Group, as well as allocations deemed reasonable by management, to present the results of operations, financial position, changes in combined attributed net assets,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Earnings per share disclosure has not been presented as AT&amp;T Broadband Group is a business unit of AT&amp;T and earnings per share data is not considered meaningful. The combined financial statements of AT&amp;T Broadband Group should be read in conjunction with AT&amp;T's Form 10-K/A for the year ended December 31, 2000.</w:t>
      </w:r>
    </w:p>
    <w:p>
      <w:pPr>
        <w:spacing w:after="0" w:line="20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L-118</w:t>
      </w:r>
    </w:p>
    <w:p>
      <w:pPr>
        <w:sectPr>
          <w:pgSz w:w="11900" w:h="16838" w:orient="portrait"/>
          <w:cols w:equalWidth="0" w:num="1">
            <w:col w:w="10219"/>
          </w:cols>
          <w:pgMar w:left="240" w:top="719" w:right="1440" w:bottom="1440" w:gutter="0" w:footer="0" w:header="0"/>
        </w:sectPr>
      </w:pPr>
    </w:p>
    <w:bookmarkStart w:id="730" w:name="page731"/>
    <w:bookmarkEnd w:id="730"/>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Debt attributed to AT&amp;T Broadband Group includes the third party obligations of AT&amp;T Broadband LLC (formerly Tele-Communications, Inc.) and MediaOne Group, Inc. and all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Increases in historical intercompany debt are based on historical cash flows. Such cash outflows include capital expenditures and investments in cable companies, offset by cash flow from operations. By the time AT&amp;T's restructuring activities are complete, the then intercompany debt balance of AT&amp;T Broadband Group will be replaced with an equal amount of external debt in a manner to be determined. The historical interest expense on the allocated intercompany debt was calculated based on a rate intended to be equivalent to the rate AT&amp;T Broadband Group would receive if it were a stand-alone entity. Due to AT&amp;T's deleveraging activities, the $28.4 billion of debt at December 31, 2000 is expected to be significantly lower in the future. AT&amp;T's expected deleveraging activities that relate to AT&amp;T Broadband Group include, but may not be limited, to the following: the announced sale of rural cable systems which is expected to result in gross cash proceeds of $3.3 billion and up to $0.5 billion of Charter Communications common stock; any proceeds that may result from the exercise of AT&amp;T's registration rights in Time Warner Entertainment; and any proceeds from the sale of shares of Cablevision Systems Corp.</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performs cash management functions on behalf of the AT&amp;T Broadband Group. Substantially all of the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General corporate overhead related to AT&amp;T's corporate headquarters and common support divisions has been allocated to AT&amp;T Broadband Group as it was not deemed practicable to specifically identify such common costs to AT&amp;T Broadband Group. The allocation of corporate overhead is divided into an allocation of shared services (e.g., payroll and finance)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essentially a stand-alone presentation. AT&amp;T and AT&amp;T Broadband Group will enter into a tax sharing agreement which, consistent with the principles described in the preceding sentence, will provide for tax sharing payments based on the tax expense or tax benefits of a hypothetical affiliated group consisting of AT&amp;T Broadband Group and AT&amp;T. Based on this agreement, the consolidated tax liability before credits is allocated between the groups, based on each group's contribution to consolidated taxable income of the hypothetical group. Consolidated tax credits of the hypothetical group are allocated between groups based on each group's contribution to such tax credit.</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L-119</w:t>
      </w:r>
    </w:p>
    <w:p>
      <w:pPr>
        <w:sectPr>
          <w:pgSz w:w="11900" w:h="16838" w:orient="portrait"/>
          <w:cols w:equalWidth="0" w:num="1">
            <w:col w:w="10219"/>
          </w:cols>
          <w:pgMar w:left="240" w:top="518" w:right="1440" w:bottom="1440" w:gutter="0" w:footer="0" w:header="0"/>
        </w:sectPr>
      </w:pPr>
    </w:p>
    <w:bookmarkStart w:id="731" w:name="page732"/>
    <w:bookmarkEnd w:id="731"/>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left="220" w:right="5499" w:hanging="213"/>
        <w:spacing w:after="0" w:line="502" w:lineRule="auto"/>
        <w:tabs>
          <w:tab w:leader="none" w:pos="325" w:val="left"/>
        </w:tabs>
        <w:numPr>
          <w:ilvl w:val="0"/>
          <w:numId w:val="7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 REVENUE RECOGNITION</w:t>
      </w:r>
    </w:p>
    <w:p>
      <w:pPr>
        <w:ind w:right="1839" w:firstLine="524"/>
        <w:spacing w:after="0" w:line="252" w:lineRule="auto"/>
        <w:rPr>
          <w:sz w:val="20"/>
          <w:szCs w:val="20"/>
          <w:color w:val="auto"/>
        </w:rPr>
      </w:pPr>
      <w:r>
        <w:rPr>
          <w:rFonts w:ascii="Courier New" w:cs="Courier New" w:eastAsia="Courier New" w:hAnsi="Courier New"/>
          <w:sz w:val="17"/>
          <w:szCs w:val="17"/>
          <w:color w:val="auto"/>
        </w:rPr>
        <w:t>Revenue for customer fees, equipment rental, advertising, and pay-per-view programming is recognized in the period the services are delivered. Installation revenue is recognized in the period the installation services are provided to the extent of direct selling costs. Any remaining amount is deferred and recognized over the estimated average period customers are expected to remain connected to the cable distribution system.</w:t>
      </w:r>
    </w:p>
    <w:p>
      <w:pPr>
        <w:spacing w:after="0" w:line="1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During 2000, AT&amp;T Broadband Group adopted Securities and Exchange Commission ("SEC") Staff Accounting Bulletin No. 101 ("SAB No. 101"), "Revenue Recognition in Financial Statements." The adoption of SAB No. 101 did not have a material impact on combined results of operations or financial condition.</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ADVERTISING AND PROMOTIONAL COSTS</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Advertising and promotional costs are expensed as incurred. Advertising and promotional expenses were $325, and $138 for the year ended December 31, 2000 and the ten months ended December 31, 1999, respectively.</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 TAXES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Broadband Group is not a separate taxable entity for federal and state income tax purposes and its results of operations are included in the consolidated federal and state income tax returns of AT&amp;T and its affiliates. The provision for income taxes is based on AT&amp;T Broadband Group's contribution to the overall income tax liability or benefit of AT&amp;T and its affiliates.</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STOCK-BASED COMPENSATION</w:t>
      </w:r>
    </w:p>
    <w:p>
      <w:pPr>
        <w:spacing w:after="0" w:line="210" w:lineRule="exact"/>
        <w:rPr>
          <w:sz w:val="20"/>
          <w:szCs w:val="20"/>
          <w:color w:val="auto"/>
        </w:rPr>
      </w:pPr>
    </w:p>
    <w:p>
      <w:pPr>
        <w:jc w:val="both"/>
        <w:ind w:right="2259" w:firstLine="524"/>
        <w:spacing w:after="0" w:line="252" w:lineRule="auto"/>
        <w:rPr>
          <w:sz w:val="20"/>
          <w:szCs w:val="20"/>
          <w:color w:val="auto"/>
        </w:rPr>
      </w:pPr>
      <w:r>
        <w:rPr>
          <w:rFonts w:ascii="Courier New" w:cs="Courier New" w:eastAsia="Courier New" w:hAnsi="Courier New"/>
          <w:sz w:val="17"/>
          <w:szCs w:val="17"/>
          <w:color w:val="auto"/>
        </w:rPr>
        <w:t>Stock-based compensation is accounted for in accordance with Accounting Principles Board Opinion No. 25, "Accounting for Stock Issued to Employees." AT&amp;T Broadband Group follows the disclosure-only provisions of Statement of Financial Accounting Standard ("SFAS") No. 123, "Accounting for Stock-Based Compensation."</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CASH EQUIVALENTS</w:t>
      </w:r>
    </w:p>
    <w:p>
      <w:pPr>
        <w:spacing w:after="0" w:line="210"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All highly liquid investments with original maturities of three months or less are considered to be cash equivalents.</w:t>
      </w:r>
    </w:p>
    <w:p>
      <w:pPr>
        <w:spacing w:after="0" w:line="19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INVESTMENTS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Investments in which AT&amp;T Broadband Group exercises significant influence, but does not control, are accounted for under the equity method of accounting. Under the equity method, investments are stated at cost and are adjusted for AT&amp;T Broadband Group's subsequent contributions and share of earnings, losses and distributions. The excess of the investment over the underlying book value of the investee's net assets is being amortized over periods ranging from 25 to 40 years. Investments in which AT&amp;T Broadband Group has no significant influence over the investee are accounted for under the cost method of accounting. Under the cost method, investments are stated at cost and earnings are recognized to the extent distributions are received from the accumulated earnings of the investee. Distributions in excess of accumulated earnings are recognized as a reduction of the investment balance.</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L-120</w:t>
      </w:r>
    </w:p>
    <w:p>
      <w:pPr>
        <w:sectPr>
          <w:pgSz w:w="11900" w:h="16838" w:orient="portrait"/>
          <w:cols w:equalWidth="0" w:num="1">
            <w:col w:w="10219"/>
          </w:cols>
          <w:pgMar w:left="240" w:top="517" w:right="1440" w:bottom="1440" w:gutter="0" w:footer="0" w:header="0"/>
        </w:sectPr>
      </w:pPr>
    </w:p>
    <w:bookmarkStart w:id="732" w:name="page733"/>
    <w:bookmarkEnd w:id="732"/>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Marketable equity securities are classified as available-for-sale and are carried at fair market value with unrealized gains and losses, net of tax, included in combined attributed net assets as a component of other comprehensive income. The fair market value of these securities is based on quoted market prices.</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PROPERTY, PLANT AND EQUIPMENT</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Property, plant and equipment is stated at cost. Construction costs, labor and applicable overhead related to installations and interest during construction are capitalized.</w:t>
      </w:r>
    </w:p>
    <w:p>
      <w:pPr>
        <w:spacing w:after="0" w:line="194" w:lineRule="exact"/>
        <w:rPr>
          <w:sz w:val="20"/>
          <w:szCs w:val="20"/>
          <w:color w:val="auto"/>
        </w:rPr>
      </w:pPr>
    </w:p>
    <w:p>
      <w:pPr>
        <w:jc w:val="both"/>
        <w:ind w:right="2139" w:firstLine="524"/>
        <w:spacing w:after="0" w:line="254" w:lineRule="auto"/>
        <w:rPr>
          <w:sz w:val="20"/>
          <w:szCs w:val="20"/>
          <w:color w:val="auto"/>
        </w:rPr>
      </w:pPr>
      <w:r>
        <w:rPr>
          <w:rFonts w:ascii="Courier New" w:cs="Courier New" w:eastAsia="Courier New" w:hAnsi="Courier New"/>
          <w:sz w:val="17"/>
          <w:szCs w:val="17"/>
          <w:color w:val="auto"/>
        </w:rPr>
        <w:t>Depreciation is computed on a straight-line basis using estimated useful lives of 3 to 15 years for distribution systems and 3 to 40 years for support equipment and buildings.</w:t>
      </w:r>
    </w:p>
    <w:p>
      <w:pPr>
        <w:spacing w:after="0" w:line="194"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Repairs and maintenance are charged to operations, and additions and replacements are capitalized. At the time of ordinary retirements, sales or other dispositions of property, the original cost and cost of removal of such property are charged to accumulated depreciation, and salvage, if any, is credited thereto. Gains or losses are only recognized in connection with the sales of properties in their entirety.</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FRANCHISE COSTS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Franchise costs include the value attributed to agreements with local authorities that allow access to homes in cable service areas acquired in connection with a business combination. Such amounts are generally amortized on a straight-line basis over 40 years. Costs incurred by the AT&amp;T Broadband Group in negotiating and renewing franchise agreements are amortized on a straight-line basis over the life of the franchise, generally 10 to 20 years.</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GOODWILL</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Goodwill is the excess of the purchase price over the fair value of net assets acquired in business combinations accounted for as purchases. Goodwill is amortized on a straight-line basis over 7 to 40 years.</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SOFTWARE CAPITALIZATION</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Certain 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VALUATION OF LONG-LIVED ASSETS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Long-lived assets such as property, plant and equipment, franchise costs, goodwill, investments and software are reviewed for impairment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 In addition, in accordance with Accounting Principles Board ("APB") Opinion No. 17, "Intangible assets," the amortization periods are evaluated to determine whether events or circumstances warrant revised amortization periods.</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L-121</w:t>
      </w:r>
    </w:p>
    <w:p>
      <w:pPr>
        <w:sectPr>
          <w:pgSz w:w="11900" w:h="16838" w:orient="portrait"/>
          <w:cols w:equalWidth="0" w:num="1">
            <w:col w:w="10219"/>
          </w:cols>
          <w:pgMar w:left="240" w:top="518" w:right="1440" w:bottom="1440" w:gutter="0" w:footer="0" w:header="0"/>
        </w:sectPr>
      </w:pPr>
    </w:p>
    <w:bookmarkStart w:id="733" w:name="page734"/>
    <w:bookmarkEnd w:id="733"/>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DERIVATIVE FINANCIAL INSTRUMENTS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Group uses various financial instruments, including derivative financial instruments, for purposes other than trading. Derivative financial instruments are not used for speculative purposes. Derivatives, used as part of the risk-management strategy, are designated at inception as a hedge and measured for effectiveness both at inception and on an ongoing basis. Interest rate differentials associated with interest rate swaps used to hedge debt obligations are recorded as an adjustment to interest payable or receivable with the offset to interest expense over the life of the swaps. If an interest rate swap agreement is terminated, the gain or loss is deferred and amortized over the remaining life of the liability. Purchased and written options ("Collars") are carried at fair value, with unrealized gains and losses, net of tax, being recorded within other comprehensive income as a component of combined attributed net assets. Cash flows from financial instruments are classified in the combined statements of cash flows under the same categories as the cash flows from the related assets, liabilities or anticipated transactions.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CASH FLOWS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For purposes of the combined statements of cash flows, all transactions between AT&amp;T Broadband Group and AT&amp;T, except for purchase business combinations and initial investments in joint ventures and partnerships which were funded by AT&amp;T and contributed by AT&amp;T to AT&amp;T Broadband Group, have been accounted for as having been settled in cash at the time the transaction was recorded by AT&amp;T Broadband Group.</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USE OF ESTIMATES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long-term contracts, allowance for doubtful accounts, depreciation and amortization, employee benefit plans, taxes, restructuring reserves, impairment and contingencies.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CONCENTRATIONS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As of December 31, 2000, except for 80% of the billing services being provided by a single vendor (see note 14), AT&amp;T Broadband Group does not have any significant concentration of business transacted with a particular customer, supplier or lender that could, if suddenly eliminated, severely impact its operations. AT&amp;T Broadband Group does not have a concentration of available sources of labor, services, or other rights that could, if suddenly eliminated, severely impact its operations.</w:t>
      </w:r>
    </w:p>
    <w:p>
      <w:pPr>
        <w:spacing w:after="0" w:line="19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ISSUANCE OF COMMON STOCK BY AFFILIATES</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Changes in the proportionate share of the underlying equity of an attributed entity or equity method investee, which result from the issuance of additional equity securities by such entity, are recognized as increases or decreases to combined attributed net assets.</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RECOGNITION OF GAINS ON ASSET DISPOSITIONS</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From time to time, AT&amp;T Broadband Group contributes cable television systems to joint ventures and partnerships in exchange for a non-controlling interest in such entity. In connection with such contributions, AT&amp;T Broadband Group may guarantee the debt of the joint venture or partnership. AT&amp;T</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L-122</w:t>
      </w:r>
    </w:p>
    <w:p>
      <w:pPr>
        <w:sectPr>
          <w:pgSz w:w="11900" w:h="16838" w:orient="portrait"/>
          <w:cols w:equalWidth="0" w:num="1">
            <w:col w:w="10219"/>
          </w:cols>
          <w:pgMar w:left="240" w:top="518" w:right="1440" w:bottom="1440" w:gutter="0" w:footer="0" w:header="0"/>
        </w:sectPr>
      </w:pPr>
    </w:p>
    <w:bookmarkStart w:id="734" w:name="page735"/>
    <w:bookmarkEnd w:id="734"/>
    <w:p>
      <w:pPr>
        <w:jc w:val="center"/>
        <w:ind w:right="181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Broadband Group defers any gain associated with such transactions until such time as AT&amp;T Broadband Group has no remaining financial obligation to the joint venture or partnership.</w:t>
      </w:r>
    </w:p>
    <w:p>
      <w:pPr>
        <w:spacing w:after="0" w:line="194" w:lineRule="exact"/>
        <w:rPr>
          <w:sz w:val="20"/>
          <w:szCs w:val="20"/>
          <w:color w:val="auto"/>
        </w:rPr>
      </w:pPr>
    </w:p>
    <w:p>
      <w:pPr>
        <w:ind w:right="5079" w:firstLine="7"/>
        <w:spacing w:after="0" w:line="502" w:lineRule="auto"/>
        <w:tabs>
          <w:tab w:leader="none" w:pos="314" w:val="left"/>
        </w:tabs>
        <w:numPr>
          <w:ilvl w:val="0"/>
          <w:numId w:val="7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FINANCIAL INFORMATION SUPPLEMENTARY STATEMENT OF OPERATIONS INFORMATION</w:t>
      </w:r>
    </w:p>
    <w:p>
      <w:pPr>
        <w:jc w:val="center"/>
        <w:ind w:right="4139"/>
        <w:spacing w:after="0"/>
        <w:rPr>
          <w:sz w:val="20"/>
          <w:szCs w:val="20"/>
          <w:color w:val="auto"/>
        </w:rPr>
      </w:pPr>
      <w:r>
        <w:rPr>
          <w:rFonts w:ascii="Courier New" w:cs="Courier New" w:eastAsia="Courier New" w:hAnsi="Courier New"/>
          <w:sz w:val="17"/>
          <w:szCs w:val="17"/>
          <w:color w:val="auto"/>
        </w:rPr>
        <w:t>TEN MONTHS YEAR ENDED ENDED DECEMBER 31, DECEMBER 31,</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2000 1999 ------------ ------------ OTHER INCOME</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(EXPENSE), NET Gains on sales of businesses and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investments.............. $ 616 $39 Impairment of</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investments................................. (240)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Interest and dividend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income.............................. 77 8 Mark to market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change on put option....................... (537)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45 3 ----- --- Other (expense)</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income................................. $ (39) $50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SUPPLEMENTARY BALANCE SHEET INFORMATION</w:t>
      </w:r>
    </w:p>
    <w:p>
      <w:pPr>
        <w:spacing w:after="0" w:line="210"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DECEMBER 31, ---------------------------- 2000</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1999 ------------ ------------ PROPERTY, PLANT</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AND EQUIPMENT Land and</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improvements.....................................</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$ 135 $ 114 Distribution</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systems......................................</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13,133 5,577 Support equipment and</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buildings........................... 2,580 1,026</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Construction in</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progress.................................. 1,417</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1,696 Accumulated</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depreciation..................................</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(2,078) (633) ------- ------ Property, plant and</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equipment, net..................... $15,187</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$7,780 ======= ======</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SUPPLEMENTARY CASH FLOW INFORMATION</w:t>
      </w:r>
    </w:p>
    <w:p>
      <w:pPr>
        <w:spacing w:after="0" w:line="210"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TEN MONTHS YEAR ENDED ENDED DECEMBER 31,</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DECEMBER 31, 2000 1999 ------------ ------------</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Interest payments, net of amounts</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capitalized............... $1,016 $488 ------ --</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Income tax</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payments.........................................</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$ 62 $ 8 ------ ----</w:t>
      </w:r>
    </w:p>
    <w:p>
      <w:pPr>
        <w:spacing w:after="0" w:line="200" w:lineRule="exact"/>
        <w:rPr>
          <w:sz w:val="20"/>
          <w:szCs w:val="20"/>
          <w:color w:val="auto"/>
        </w:rPr>
      </w:pPr>
    </w:p>
    <w:p>
      <w:pPr>
        <w:spacing w:after="0" w:line="212" w:lineRule="exact"/>
        <w:rPr>
          <w:sz w:val="20"/>
          <w:szCs w:val="20"/>
          <w:color w:val="auto"/>
        </w:rPr>
      </w:pPr>
    </w:p>
    <w:p>
      <w:pPr>
        <w:ind w:left="220" w:right="3719" w:hanging="213"/>
        <w:spacing w:after="0" w:line="502" w:lineRule="auto"/>
        <w:tabs>
          <w:tab w:leader="none" w:pos="325" w:val="left"/>
        </w:tabs>
        <w:numPr>
          <w:ilvl w:val="0"/>
          <w:numId w:val="7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MERGERS, ACQUISITIONS, VENTURES, DISPOSITIONS AND EXCHANGES MERGER WITH TELE-COMMUNICATIONS, INC.</w:t>
      </w:r>
    </w:p>
    <w:p>
      <w:pPr>
        <w:ind w:right="2039" w:firstLine="524"/>
        <w:spacing w:after="0" w:line="252" w:lineRule="auto"/>
        <w:rPr>
          <w:sz w:val="20"/>
          <w:szCs w:val="20"/>
          <w:color w:val="auto"/>
        </w:rPr>
      </w:pPr>
      <w:r>
        <w:rPr>
          <w:rFonts w:ascii="Courier New" w:cs="Courier New" w:eastAsia="Courier New" w:hAnsi="Courier New"/>
          <w:sz w:val="17"/>
          <w:szCs w:val="17"/>
          <w:color w:val="auto"/>
        </w:rPr>
        <w:t>The AT&amp;T Broadband Group was created upon the merger of TCI with a subsidiary of AT&amp;T. The TCI Merger was completed on March 9, 1999, in an all-stock transaction valued at approximately $52 billion. TCI simultaneously combined its Liberty Media Group programming business with its TCI Ventures Group technology investments business, forming Liberty Media Group ("LMG"). In connection</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L-123</w:t>
      </w:r>
    </w:p>
    <w:p>
      <w:pPr>
        <w:sectPr>
          <w:pgSz w:w="11900" w:h="16838" w:orient="portrait"/>
          <w:cols w:equalWidth="0" w:num="1">
            <w:col w:w="10219"/>
          </w:cols>
          <w:pgMar w:left="240" w:top="518" w:right="1440" w:bottom="1440" w:gutter="0" w:footer="0" w:header="0"/>
        </w:sectPr>
      </w:pPr>
    </w:p>
    <w:bookmarkStart w:id="735" w:name="page736"/>
    <w:bookmarkEnd w:id="735"/>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2039"/>
        <w:spacing w:after="0" w:line="254" w:lineRule="auto"/>
        <w:rPr>
          <w:sz w:val="20"/>
          <w:szCs w:val="20"/>
          <w:color w:val="auto"/>
        </w:rPr>
      </w:pPr>
      <w:r>
        <w:rPr>
          <w:rFonts w:ascii="Courier New" w:cs="Courier New" w:eastAsia="Courier New" w:hAnsi="Courier New"/>
          <w:sz w:val="17"/>
          <w:szCs w:val="17"/>
          <w:color w:val="auto"/>
        </w:rPr>
        <w:t>with the TCI Merger, AT&amp;T issued a separate tracking stock in exchange for the TCI Liberty Media Group and TCI Ventures Group tracking shares previously outstanding. LMG is excluded from AT&amp;T Broadband Group.</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TCI Merger was accounted for under the purchase method of accounting, accordingly, AT&amp;T recorded the assets and liabilities of TCI at their fair values and TCI results have been included since March 1, 1999, the deemed effective date of the merger. Approximately $20 billion of the purchase price of $52 billion was attributed to franchise costs and is being amortized on a straight-line basis over 40 years. Franchise costs represent the value attributable to the agreements with local franchise authorities that allow access to homes in the broadband service areas. Pursuant to SFAS No. 109, "Accounting for Income Taxes," AT&amp;T recorded an approximate $13 billion deferred tax liability in connection with this franchise intangible, which is also included in franchise costs. AT&amp;T does not expect that this deferred tax liability will ever be paid. This deferred tax liability is being amortized on a straight-line basis over 40 years and is included in the provision for income taxes. Also included in the $52 billion purchase price was approximately $11 billion related to nonconsolidated investments, approximately $5 billion related to property, plant and equipment, approximately $11 billion of long-term debt, and $7 billion related to other net liabilities. In addition, $34 billion was attributed to the investment in LMG which is excluded from the AT&amp;T Broadband Group.</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MERGER WITH MEDIAONE</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On June 15, 2000, AT&amp;T completed a merger with MediaOne in a cash and stock transaction valued at approximately $45 billion (the "MediaOne Merger"). The AT&amp;T shares had an aggregate market value of approximately $21 billion and cash payments totaled approximately $24 billion.</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MediaOne Merger was accounted for under the purchase method of accounting; accordingly the results of MediaOne have been included in the accompanying combined financial statements since the date of acquisition. Approximately $16 billion of the purchase price of $45 billion has been attributed to franchise costs and is being amortized on a straight-line basis over 40 years. Also included in the $45 billion purchase price was approximately $22 billion related to nonconsolidated investments, including investments in TWE and Vodafone Group, plc, approximately $5 billion related to property, plant and equipment, and $7 billion of other net assets. In addition, included was approximately $14 billion in deferred income tax liabilities, approximately $10 billion attributable to debt and approximately $1 billion of minority interest. AT&amp;T did not attribute $7 billion of cash acquired in the MediaOne merger to AT&amp;T Broadband Group. The purchase price resulted in preliminary goodwill of $20 billion, which is being amortized on a straight-line basis over 40 years. Refinements to the allocation of purchase price may be made in future periods as the related fair value appraisals of certain assets and liabilities are finalized.</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PRO FORMA RESULTS</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Following is a summary of the pro forma results of AT&amp;T Broadband Group as if the MediaOne Merger had closed effective March 1, 1999:</w:t>
      </w:r>
    </w:p>
    <w:p>
      <w:pPr>
        <w:spacing w:after="0" w:line="192"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7"/>
          <w:szCs w:val="17"/>
          <w:color w:val="auto"/>
        </w:rPr>
        <w:t>TEN MONTHS YEAR ENDED ENDED DECEMBER 31, 2000</w:t>
      </w:r>
    </w:p>
    <w:p>
      <w:pPr>
        <w:spacing w:after="0" w:line="9"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7"/>
          <w:szCs w:val="17"/>
          <w:color w:val="auto"/>
        </w:rPr>
        <w:t>DECEMBER 31, 1999 ----------------- --------------</w:t>
      </w:r>
    </w:p>
    <w:p>
      <w:pPr>
        <w:spacing w:after="0" w:line="9"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7"/>
          <w:szCs w:val="17"/>
          <w:color w:val="auto"/>
        </w:rPr>
        <w:t>--- (UNAUDITED)</w:t>
      </w:r>
    </w:p>
    <w:p>
      <w:pPr>
        <w:spacing w:after="0" w:line="9"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7"/>
          <w:szCs w:val="17"/>
          <w:color w:val="auto"/>
        </w:rPr>
        <w:t>$ 9,770 $7,326 Operating</w:t>
      </w:r>
    </w:p>
    <w:p>
      <w:pPr>
        <w:spacing w:after="0" w:line="9"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7"/>
          <w:szCs w:val="17"/>
          <w:color w:val="auto"/>
        </w:rPr>
        <w:t>loss..................................... $ 9,089</w:t>
      </w:r>
    </w:p>
    <w:p>
      <w:pPr>
        <w:spacing w:after="0" w:line="9"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7"/>
          <w:szCs w:val="17"/>
          <w:color w:val="auto"/>
        </w:rPr>
        <w:t>$1,832 Net income</w:t>
      </w:r>
    </w:p>
    <w:p>
      <w:pPr>
        <w:spacing w:after="0" w:line="9"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7"/>
          <w:szCs w:val="17"/>
          <w:color w:val="auto"/>
        </w:rPr>
        <w:t>(loss).................................. $(4,422)</w:t>
      </w:r>
    </w:p>
    <w:p>
      <w:pPr>
        <w:spacing w:after="0" w:line="9"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7"/>
          <w:szCs w:val="17"/>
          <w:color w:val="auto"/>
        </w:rPr>
        <w:t>$1,047</w:t>
      </w:r>
    </w:p>
    <w:p>
      <w:pPr>
        <w:spacing w:after="0" w:line="200" w:lineRule="exact"/>
        <w:rPr>
          <w:sz w:val="20"/>
          <w:szCs w:val="20"/>
          <w:color w:val="auto"/>
        </w:rPr>
      </w:pPr>
    </w:p>
    <w:p>
      <w:pPr>
        <w:spacing w:after="0" w:line="212" w:lineRule="exact"/>
        <w:rPr>
          <w:sz w:val="20"/>
          <w:szCs w:val="20"/>
          <w:color w:val="auto"/>
        </w:rPr>
      </w:pPr>
    </w:p>
    <w:p>
      <w:pPr>
        <w:jc w:val="both"/>
        <w:ind w:right="2559"/>
        <w:spacing w:after="0" w:line="254" w:lineRule="auto"/>
        <w:rPr>
          <w:sz w:val="20"/>
          <w:szCs w:val="20"/>
          <w:color w:val="auto"/>
        </w:rPr>
      </w:pPr>
      <w:r>
        <w:rPr>
          <w:rFonts w:ascii="Courier New" w:cs="Courier New" w:eastAsia="Courier New" w:hAnsi="Courier New"/>
          <w:sz w:val="17"/>
          <w:szCs w:val="17"/>
          <w:color w:val="auto"/>
        </w:rPr>
        <w:t>Pro forma data may not be indicative of the results that would have been obtained had the events actually occurred at the beginning of the periods presented, nor does it intend to be a projection of future results.</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L-124</w:t>
      </w:r>
    </w:p>
    <w:p>
      <w:pPr>
        <w:sectPr>
          <w:pgSz w:w="11900" w:h="16838" w:orient="portrait"/>
          <w:cols w:equalWidth="0" w:num="1">
            <w:col w:w="10219"/>
          </w:cols>
          <w:pgMar w:left="240" w:top="518" w:right="1440" w:bottom="658" w:gutter="0" w:footer="0" w:header="0"/>
        </w:sectPr>
      </w:pPr>
    </w:p>
    <w:bookmarkStart w:id="736" w:name="page737"/>
    <w:bookmarkEnd w:id="736"/>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Excite@Home. On August 28, 2000, AT&amp;T and Excite@Home announced shareholder approval of a new board of directors and governance structure for Excite@Home and completion of the extension of distribution contracts with AT&amp;T, Cox Communications, Inc. ("Cox") and Comcast Corporation ("Comcast"). In connection with the above described announcement, AT&amp;T was given the right to designate six of the 11 Excite@Home board members. In addition, Excite@Home converted approximately 50 million shares of Excite@Home's Series A common stock held by AT&amp;T into Series B shares, each of which has 10 votes. As a result of these governance changes, AT&amp;T gained a controlling financial interest and AT&amp;T Broadband Group, through ATTBLLC, began consolidating Excite@Home's results upon the closing of the transaction on September 1, 2000, at which time ATTBLLC had an approximate 24% economic interest and 74% voting interest. As of December 31, 2000, ATBLLC had, on a fully diluted basis, an approximate 23% economic interest and 74% voting interest in Excite@Home. Excite@Home has been attributed to AT&amp;T Broadband Group.</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exchange for Cox and Comcast relinquishing their rights under the shareholder agreement, AT&amp;T granted put options to Cox and Comcast on a combined total of 60.4 million shares of Excite@Home Series A common stock. The put options provide Cox and Comcast with the right to convert their Excite@Home shares into either AT&amp;T stock or cash at their option, at any time between January 1, 2001 and June 4, 2002, at the higher of (i) $48 per share or (ii) the 30 day average trading price at the time of exercise (beginning 15 trading days prior to the exercise date and ending 15 days after the exercise date). If the average price is above $48 per share, the number of Excite@Home shares that AT&amp;T would acquire would be reduced proportionately from the original 60.4 million shares. Accordingly, the maximum amount AT&amp;T would be required to pay in cash or stock is approximately $2,900 based on the $48 strike price. The obligation under these put options has been attributed to AT&amp;T Broadband Group and is reflected in current liabilities on the balance sheet at the fair value of the put options. Gains or losses resulting from changes in the fair value of the put options are recorded as a component of other income (expense). For 2000, changes in the fair value of the put options resulted in a pre-tax expense of $537. Subsequent to December 31, 2000, Cox and Comcast exercised their put options electing to receive AT&amp;T Common shares. See note 17.</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Also, in connection with the extension of certain distribution agreements through 2008, AT&amp;T obtained the right to purchase up to approximately 25 million Excite@Home Series A shares and 25 million Series B shares. In addition, Cox and Comcast each will receive new warrants to purchase two Series A shares for each home their respective cable systems pass. Such warrants will vest in installments every six months beginning in June 2001, and be fully vested by June 2006, if Cox and Comcast elect to continue their extended non-exclusive distribution agreements through that period.</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consolidation of Excite@Home resulted in minority interest of approximately $2,200, goodwill of approximately $2,400, short-term liabilities of approximately $2,400 (including an initial put option liability), other net assets of approximately $1,200 and the removal of the investment in Excite@Home of approximately $1,900.</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Cox Communications, Inc. On March 15, 2000, AT&amp;T Broadband Group, through ATTBLLC, received 50.3 million shares of AT&amp;T common stock held by Cox in exchange for an entity owning cable television systems serving approximately 312,000 customers and certain other net assets. The AT&amp;T common stock received in such transaction has been included in combined attributed net assets. Specifically, AT&amp;T Broadband Group exchanged $1,088 of investments, $878 of franchise costs and $503 of other net assets for stock valued at $2,658 on March 15, 2000. The transaction resulted in a pre-tax gain of $189.</w:t>
      </w:r>
    </w:p>
    <w:p>
      <w:pPr>
        <w:spacing w:after="0" w:line="201"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Lenfest Communications, Inc. On January 18, 2000, AT&amp;T Broadband Group, through ATTBLLC, sold its ownership interest in Lenfest Communications, Inc., to a subsidiary of Comcast. In connection</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L-125</w:t>
      </w:r>
    </w:p>
    <w:p>
      <w:pPr>
        <w:sectPr>
          <w:pgSz w:w="11900" w:h="16838" w:orient="portrait"/>
          <w:cols w:equalWidth="0" w:num="1">
            <w:col w:w="10219"/>
          </w:cols>
          <w:pgMar w:left="240" w:top="518" w:right="1440" w:bottom="1440" w:gutter="0" w:footer="0" w:header="0"/>
        </w:sectPr>
      </w:pPr>
    </w:p>
    <w:bookmarkStart w:id="737" w:name="page738"/>
    <w:bookmarkEnd w:id="737"/>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with the sale, AT&amp;T Broadband Group received 47.3 million shares of Comcast Class Special A common stock. The transaction resulted in a pretax gain of $224.</w:t>
      </w:r>
    </w:p>
    <w:p>
      <w:pPr>
        <w:spacing w:after="0" w:line="19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ACQUISITION-RELATED INTANGIBLE ASSETS</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As a result of an evaluation of recent changes in our industry and the views of regulatory authorities, AT&amp;T Broadband Group expects that the amortization period for all franchise costs and goodwill associated with newly acquired cable operations will not exceed 25 years.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ASSET IMPAIRMENT, RESTRUCTURING AND OTHER CHARGES</w:t>
      </w:r>
    </w:p>
    <w:p>
      <w:pPr>
        <w:spacing w:after="0" w:line="210" w:lineRule="exact"/>
        <w:rPr>
          <w:sz w:val="20"/>
          <w:szCs w:val="20"/>
          <w:color w:val="auto"/>
        </w:rPr>
      </w:pPr>
    </w:p>
    <w:p>
      <w:pPr>
        <w:ind w:right="2359" w:firstLine="524"/>
        <w:spacing w:after="0" w:line="254" w:lineRule="auto"/>
        <w:rPr>
          <w:sz w:val="20"/>
          <w:szCs w:val="20"/>
          <w:color w:val="auto"/>
        </w:rPr>
      </w:pPr>
      <w:r>
        <w:rPr>
          <w:rFonts w:ascii="Courier New" w:cs="Courier New" w:eastAsia="Courier New" w:hAnsi="Courier New"/>
          <w:sz w:val="17"/>
          <w:szCs w:val="17"/>
          <w:color w:val="auto"/>
        </w:rPr>
        <w:t>During 2000, AT&amp;T Broadband Group recorded $6,270 of asset impairment, restructuring and other charges which included $6,179 of asset impairment charges related to Excite@Home.</w:t>
      </w:r>
    </w:p>
    <w:p>
      <w:pPr>
        <w:spacing w:after="0" w:line="194"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The charges related to Excite@Home include $4,609 in asset impairment charges taken by Excite@Home associated with the goodwill impairment from various acquisitions and a related goodwill impairment of $1,570 recorded by AT&amp;T Broadband Group associated with its acquisition goodwill of Excite@Home.</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121, "Accounting for the Impairment of Long-Lived Assets and for Long-Lived Assets to be Disposed Of,"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AT&amp;T Broadband Group recorded impairment charges of $4,609 in December 2000, representing the excess of the carrying amount of the impaired assets over their fair value.</w:t>
      </w:r>
    </w:p>
    <w:p>
      <w:pPr>
        <w:spacing w:after="0" w:line="201"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The review for impairment included a review of publicly-traded Internet companies that are comparable to the companies that Excite@Home acquired. These companies experienced a substantial decline in stock price and market capitalization during the fourth quarter of 2000.</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Excite@Home also reviewed the business climate for Internet advertising and web-based infrastructure companies as of December 31, 2000, and observed the following: (1) investor and consumer enthusiasm for the Internet sector severely deteriorated during the fourth quarter of 2000; (2) many Internet companies, including those acquired by Excite@Home, experienced significant decelerations in their growth both as a result of economic conditions and due to Internet-sector specific issues such as competition and the weakening of the Internet advertising market; and (3)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Excite@Home reviewed operating and cash flow projections that existed at the time Excite@Home made the acquisitions and that were used as a basis upon which the decisions to complete acquisition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L-126</w:t>
      </w:r>
    </w:p>
    <w:p>
      <w:pPr>
        <w:sectPr>
          <w:pgSz w:w="11900" w:h="16838" w:orient="portrait"/>
          <w:cols w:equalWidth="0" w:num="1">
            <w:col w:w="10219"/>
          </w:cols>
          <w:pgMar w:left="240" w:top="519" w:right="1440" w:bottom="1440" w:gutter="0" w:footer="0" w:header="0"/>
        </w:sectPr>
      </w:pPr>
    </w:p>
    <w:bookmarkStart w:id="738" w:name="page739"/>
    <w:bookmarkEnd w:id="738"/>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As a result of these factors, Excite@Home determined that the intangible assets related to the acquisitions might not be recoverable and conducted impairment tests.</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 Acquired intangible assets were combined for those acquisitions where separately identifiable cash flows that are largely independent of the cash flows of other groups of assets could not be identified.</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Excite@Home measured the impairment loss related to impaired asset groups based on the amount by which the carrying amount of the asset group exceeded the fair value of the asset group. Measurement of fair value was based on an analysis by Excite@Home, with assistance from independent valuation experts,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Excite@Home's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Based on the foregoing, Excite@Home recorded an impairment write-down of $4,609 in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Also as a result of the foregoing, AT&amp;T Broadband Group recorded a goodwill impairment charge associated with the acquisition of ATTBLLC's investment in Excite@Home. The write-down of ATTBLLC's investment to fair value was similarly based on independent appraisals, utilizing discounted expected future cash flows.</w:t>
      </w:r>
    </w:p>
    <w:p>
      <w:pPr>
        <w:spacing w:after="0" w:line="396" w:lineRule="exact"/>
        <w:rPr>
          <w:sz w:val="20"/>
          <w:szCs w:val="20"/>
          <w:color w:val="auto"/>
        </w:rPr>
      </w:pPr>
    </w:p>
    <w:p>
      <w:pPr>
        <w:ind w:right="2259" w:firstLine="524"/>
        <w:spacing w:after="0" w:line="253" w:lineRule="auto"/>
        <w:rPr>
          <w:sz w:val="20"/>
          <w:szCs w:val="20"/>
          <w:color w:val="auto"/>
        </w:rPr>
      </w:pPr>
      <w:r>
        <w:rPr>
          <w:rFonts w:ascii="Courier New" w:cs="Courier New" w:eastAsia="Courier New" w:hAnsi="Courier New"/>
          <w:sz w:val="17"/>
          <w:szCs w:val="17"/>
          <w:color w:val="auto"/>
        </w:rPr>
        <w:t>Since AT&amp;T Broadband Group, through ATTBLLC owns approximately 23% of Excite@Home, 77% of the charge recorded by Excite@Home is not included as an increase in AT&amp;T Broadband Group's net loss, but rather is eliminated in the statement of operations as minority interest income (expense).</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2000, a $91 charge for restructuring and exit costs was recorded primarily as part of the integration of MediaOne, the centralization of certain functions, and the consolidation of call center facilities. The charge for the year ended December 31, 2000, included termination benefits of $61 associated with the involuntary separation of about 1,060 employees. Approximately 25% of the individuals were management employees and 75% were non-management employees. Approximately 74% of the affected employees have</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L-127</w:t>
      </w:r>
    </w:p>
    <w:p>
      <w:pPr>
        <w:sectPr>
          <w:pgSz w:w="11900" w:h="16838" w:orient="portrait"/>
          <w:cols w:equalWidth="0" w:num="1">
            <w:col w:w="10219"/>
          </w:cols>
          <w:pgMar w:left="240" w:top="518" w:right="1440" w:bottom="860" w:gutter="0" w:footer="0" w:header="0"/>
        </w:sectPr>
      </w:pPr>
    </w:p>
    <w:bookmarkStart w:id="739" w:name="page740"/>
    <w:bookmarkEnd w:id="739"/>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left their positions as of December 31, 2000. The $91 charge included a loss of $30 recognized on the disposition of facilities as a result of synergies created by the MediaOne Merger.</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following table displays the activity and balances of the restructuring reserve account from January 1, 2000, to December 31, 2000. There was no activity in the restructuring reserve account from March 1, 1999 to December 31, 1999.</w:t>
      </w:r>
    </w:p>
    <w:p>
      <w:pPr>
        <w:spacing w:after="0" w:line="396"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JANUARY 1, DECEMBER 31, 2000 2000</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TYPE OF COST BALANCE ADDITIONS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DEDUCTIONS BALANCE - ------------</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 Employee</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separations................... $-</w:t>
      </w:r>
    </w:p>
    <w:p>
      <w:pPr>
        <w:spacing w:after="0" w:line="9" w:lineRule="exact"/>
        <w:rPr>
          <w:sz w:val="20"/>
          <w:szCs w:val="20"/>
          <w:color w:val="auto"/>
        </w:rPr>
      </w:pPr>
    </w:p>
    <w:p>
      <w:pPr>
        <w:ind w:left="60" w:right="6699" w:firstLine="470"/>
        <w:spacing w:after="0" w:line="251" w:lineRule="auto"/>
        <w:tabs>
          <w:tab w:leader="none" w:pos="741" w:val="left"/>
        </w:tabs>
        <w:numPr>
          <w:ilvl w:val="0"/>
          <w:numId w:val="7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$61 $(45) $16 Facility closings...................... -- 30 (30) -- -- --- ---- ---</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$91 $(75) $16 == === ==== ===</w:t>
      </w:r>
    </w:p>
    <w:p>
      <w:pPr>
        <w:spacing w:after="0" w:line="200" w:lineRule="exact"/>
        <w:rPr>
          <w:sz w:val="20"/>
          <w:szCs w:val="20"/>
          <w:color w:val="auto"/>
        </w:rPr>
      </w:pPr>
    </w:p>
    <w:p>
      <w:pPr>
        <w:spacing w:after="0" w:line="212" w:lineRule="exact"/>
        <w:rPr>
          <w:sz w:val="20"/>
          <w:szCs w:val="20"/>
          <w:color w:val="auto"/>
        </w:rPr>
      </w:pPr>
    </w:p>
    <w:p>
      <w:pPr>
        <w:jc w:val="both"/>
        <w:ind w:right="2259" w:firstLine="524"/>
        <w:spacing w:after="0" w:line="254" w:lineRule="auto"/>
        <w:rPr>
          <w:sz w:val="20"/>
          <w:szCs w:val="20"/>
          <w:color w:val="auto"/>
        </w:rPr>
      </w:pPr>
      <w:r>
        <w:rPr>
          <w:rFonts w:ascii="Courier New" w:cs="Courier New" w:eastAsia="Courier New" w:hAnsi="Courier New"/>
          <w:sz w:val="17"/>
          <w:szCs w:val="17"/>
          <w:color w:val="auto"/>
        </w:rPr>
        <w:t>Deductions reflect cash payments of $45 and noncash utilization of $30. This cash outlay was funded primarily through cash from operations. Noncash utilization included the loss on the disposition of facilities.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1999, AT&amp;T Broadband Group recorded $644 of asset impairment, restructuring and other charges. Such amount included a $594 in-process research and development charge which reflected the estimated fair value of research and development projects at AT&amp;T Broadband Group, as of the date of the TCI Merger, which had not yet reached technological feasibility or that had no alternative future use. The projects identified related to TCI's efforts to offer voice over Internet protocol ("IP"), product integration efforts for advanced set-top devices that would enable AT&amp;T Broadband Group to offer next-generation digital services, and cost-savings efforts for cable telephony implementation. In addition, Excite@Home had research and development efforts underway, including projects to allow for self-provisioning of devices and the development of next-generation client software, network and back-office infrastructure to enable a variety of network devices, and improved design for the regional data center's infrastructure. We began testing IP telephony equipment in the field in the fourth quarter of 2000. We anticipate beginning field trials related to product integration efforts for set-top devices in late 2001, and have completed trials related to telephony reductions and implementation has begun in certain markets. Although there are significant technological issues to overcome to successfully complete the acquired in-process research and development, AT&amp;T Broadband Group expects successful completion. If, however, AT&amp;T Broadband Group is unable to establish technological feasibility and produce commercially viable products/services, the anticipated incremental future cash flows attributable to expected profits from such new products/services may not be realizable.</w:t>
      </w:r>
    </w:p>
    <w:p>
      <w:pPr>
        <w:spacing w:after="0" w:line="20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1999 charge also included a $50 loss related to a contribution agreement TCI entered into with Phoenixstar, Inc. that requires AT&amp;T Broadband Group to satisfy certain liabilities owed by Phoenixstar, Inc. and its subsidiaries. The remaining obligation under this contribution agreement and an agreement that MediaOne has is $57, which was fully accrued at December 31, 2000.</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INVESTMENTS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Subsidiaries of AT&amp;T have investments in various companies and partnerships accounted for under the equity method which have been attributed to AT&amp;T Broadband Group. At December 31, 2000 and 1999, equity investments of $6,350 and $13,059, respectively, had been attributed to AT&amp;T Broadband Group. The carrying value of these investments exceeded AT&amp;T Broadband Group's share of the underlying reported net assets by approximately $5,455 and $10,894 at December 31, 2000 and 1999, respectively. The excess cost is being amortized over periods ranging from 25 to 40 years. Pretax amortization of the excess cost of $485 and $476 for the year ended December 31, 2000 and for the ten</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L-128</w:t>
      </w:r>
    </w:p>
    <w:p>
      <w:pPr>
        <w:sectPr>
          <w:pgSz w:w="11900" w:h="16838" w:orient="portrait"/>
          <w:cols w:equalWidth="0" w:num="1">
            <w:col w:w="10219"/>
          </w:cols>
          <w:pgMar w:left="240" w:top="519" w:right="1440" w:bottom="658" w:gutter="0" w:footer="0" w:header="0"/>
        </w:sectPr>
      </w:pPr>
    </w:p>
    <w:bookmarkStart w:id="740" w:name="page741"/>
    <w:bookmarkEnd w:id="740"/>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months ended December 31, 1999, respectively, is reflected as a component of net losses from equity investments, net of income tax benefit in the accompanying combined statements of operations.</w:t>
      </w:r>
    </w:p>
    <w:p>
      <w:pPr>
        <w:spacing w:after="0" w:line="194" w:lineRule="exact"/>
        <w:rPr>
          <w:sz w:val="20"/>
          <w:szCs w:val="20"/>
          <w:color w:val="auto"/>
        </w:rPr>
      </w:pPr>
    </w:p>
    <w:p>
      <w:pPr>
        <w:ind w:right="2139" w:firstLine="524"/>
        <w:spacing w:after="0" w:line="257" w:lineRule="auto"/>
        <w:rPr>
          <w:sz w:val="20"/>
          <w:szCs w:val="20"/>
          <w:color w:val="auto"/>
        </w:rPr>
      </w:pPr>
      <w:r>
        <w:rPr>
          <w:rFonts w:ascii="Courier New" w:cs="Courier New" w:eastAsia="Courier New" w:hAnsi="Courier New"/>
          <w:sz w:val="17"/>
          <w:szCs w:val="17"/>
          <w:color w:val="auto"/>
        </w:rPr>
        <w:t>Ownership of significant equity investments attributed to AT&amp;T Broadband Group was as follows:</w:t>
      </w:r>
    </w:p>
    <w:p>
      <w:pPr>
        <w:spacing w:after="0" w:line="19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------------------ 2000 1999 ------</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 Cablevision Systems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Corporation............................. 27.98%(a)</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32.04%(a) Time Warner</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Texas...........................................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50.00% 50.00% Insight Midwest</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LP.......................................... 50.00%</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50.00% Century-TCI California Communications,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LP................... 25.00% 25.00% Kansas City</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Cable Partners..................................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50.00% 50.00% Parnassos Communications,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LP................................ 33.33% 33.33% US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Cable of Coastal-Texas,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LP............................... 37.06% 37.06% Mid</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Continent</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Communications................................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50.00%(b) -- At Home</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Corporation.........................................</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-- 25.00%(c) Lenfest Communications,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Inc................................. -- 50.00%(d)</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Bresnan Communications Group</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LLC............................ -- 50.00%(e)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right="1839" w:hanging="413"/>
        <w:spacing w:after="0" w:line="251" w:lineRule="auto"/>
        <w:tabs>
          <w:tab w:leader="none" w:pos="420" w:val="left"/>
        </w:tabs>
        <w:numPr>
          <w:ilvl w:val="0"/>
          <w:numId w:val="7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December 31, 2000 and 1999, AT&amp;T Broadband Group, through ATTBLLC, owned 48,942,172, shares of Cablevision Systems Corporation Class A common stock, which had a closing market price of $84.94 and $75.50 per share, respectively, on such dates. Cablevision System Corporation ("Cablevision") exercised its right to redeem all of its outstanding preferred stock and issued additional common stock. Cablevision also issued shares of its common stock for acquisitions. As a result of these transactions, ATTBLLC's ownership interest in Cablevision decreased from 32.04% to 27.98%. Due to the resulting decrease in Cablevision's equity, net of the dilution of ATTBLLC's ownership interest in Cablevision, AT&amp;T Broadband Group recorded a net decrease to "Combined attributed net assets" of $170 in 2000.</w:t>
      </w:r>
    </w:p>
    <w:p>
      <w:pPr>
        <w:spacing w:after="0" w:line="201" w:lineRule="exact"/>
        <w:rPr>
          <w:rFonts w:ascii="Courier New" w:cs="Courier New" w:eastAsia="Courier New" w:hAnsi="Courier New"/>
          <w:sz w:val="17"/>
          <w:szCs w:val="17"/>
          <w:color w:val="auto"/>
        </w:rPr>
      </w:pPr>
    </w:p>
    <w:p>
      <w:pPr>
        <w:ind w:left="420" w:right="1839" w:hanging="413"/>
        <w:spacing w:after="0" w:line="253" w:lineRule="auto"/>
        <w:tabs>
          <w:tab w:leader="none" w:pos="420" w:val="left"/>
        </w:tabs>
        <w:numPr>
          <w:ilvl w:val="0"/>
          <w:numId w:val="7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April 1, 2000, AT&amp;T Broadband Group, through ATTBLLC, contributed cable and ad sales systems to Mid Continent Communications, a newly formed partnership, in exchange for a 50% interest in the partnership. A gain of $5 is being deferred due to a keep well agreement with the partnership.</w:t>
      </w:r>
    </w:p>
    <w:p>
      <w:pPr>
        <w:spacing w:after="0" w:line="195" w:lineRule="exact"/>
        <w:rPr>
          <w:rFonts w:ascii="Courier New" w:cs="Courier New" w:eastAsia="Courier New" w:hAnsi="Courier New"/>
          <w:sz w:val="17"/>
          <w:szCs w:val="17"/>
          <w:color w:val="auto"/>
        </w:rPr>
      </w:pPr>
    </w:p>
    <w:p>
      <w:pPr>
        <w:ind w:left="420" w:right="1839" w:hanging="413"/>
        <w:spacing w:after="0" w:line="251" w:lineRule="auto"/>
        <w:tabs>
          <w:tab w:leader="none" w:pos="420" w:val="left"/>
        </w:tabs>
        <w:numPr>
          <w:ilvl w:val="0"/>
          <w:numId w:val="7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August 28, 2000, AT&amp;T and Excite@Home announced the closing of their extension contracts and governance reorganization. As a result of the governance changes, AT&amp;T gained a controlling financial interest and AT&amp;T Broadband Group, through ATTBLLC, began consolidating Excite@Home's results on September 1, 2000. As of December 31, 2000, ATTBLLC had an approximate 23% economic interest and 74% voting interest in Excite@Home. ATTBLLC owned 7,924,422 and 63,720,000 shares of Excite@Home Class A common stock at December 31, 2000 and 1999, respectively, with closing market prices of $5.53 and $42.88 per share, respectively. ATTBLLC also owned 86,595,578 and 30,800,000 shares of Excite@Home Class B common stock at December 31, 2000 and 1999, respectively, which are not publicly traded. During 2000 and 1999, Excite@Home issued shares of its common stock for various acquisitions. As a result of these transactions, ATTBLLC's economic interest in Excite@Home decreased from 25% to 23% in 2000, and from 38% to 25% in 1999, respectively. Due to the resulting increase in Excite@Home equity, net of the dilution of ATTBLLC's ownership interest in Excite@Home, AT&amp;T Broadband Group recorded an increase to "combined attributed net assets" of $116 and $527 in 2000 and 1999, respectively.</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L-129</w:t>
      </w:r>
    </w:p>
    <w:p>
      <w:pPr>
        <w:sectPr>
          <w:pgSz w:w="11900" w:h="16838" w:orient="portrait"/>
          <w:cols w:equalWidth="0" w:num="1">
            <w:col w:w="10219"/>
          </w:cols>
          <w:pgMar w:left="240" w:top="518" w:right="1440" w:bottom="860" w:gutter="0" w:footer="0" w:header="0"/>
        </w:sectPr>
      </w:pPr>
    </w:p>
    <w:bookmarkStart w:id="741" w:name="page742"/>
    <w:bookmarkEnd w:id="741"/>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left="420" w:right="2679" w:hanging="413"/>
        <w:spacing w:after="0" w:line="257" w:lineRule="auto"/>
        <w:tabs>
          <w:tab w:leader="none" w:pos="420" w:val="left"/>
        </w:tabs>
        <w:numPr>
          <w:ilvl w:val="0"/>
          <w:numId w:val="7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January 18, 2000, AT&amp;T Broadband Group, through ATTBLLC, sold its interest in Lenfest Communications, Inc. to Comcast. See note 4.</w:t>
      </w:r>
    </w:p>
    <w:p>
      <w:pPr>
        <w:spacing w:after="0" w:line="191" w:lineRule="exact"/>
        <w:rPr>
          <w:rFonts w:ascii="Courier New" w:cs="Courier New" w:eastAsia="Courier New" w:hAnsi="Courier New"/>
          <w:sz w:val="17"/>
          <w:szCs w:val="17"/>
          <w:color w:val="auto"/>
        </w:rPr>
      </w:pPr>
    </w:p>
    <w:p>
      <w:pPr>
        <w:ind w:left="420" w:right="1839" w:hanging="413"/>
        <w:spacing w:after="0" w:line="253" w:lineRule="auto"/>
        <w:tabs>
          <w:tab w:leader="none" w:pos="420" w:val="left"/>
        </w:tabs>
        <w:numPr>
          <w:ilvl w:val="0"/>
          <w:numId w:val="7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February 14, 2000, AT&amp;T Broadband Group, through ATTBLLC, sold its interest in Bresnan Communications Group LLC to Charter Communications, Inc. ("Charter") for $285 in cash and a cost investment valued at $629 in Charter Communications VIII, LLC. The transaction resulted in a pretax gain of $33.</w:t>
      </w:r>
    </w:p>
    <w:p>
      <w:pPr>
        <w:spacing w:after="0" w:line="195" w:lineRule="exact"/>
        <w:rPr>
          <w:sz w:val="20"/>
          <w:szCs w:val="20"/>
          <w:color w:val="auto"/>
        </w:rPr>
      </w:pPr>
    </w:p>
    <w:p>
      <w:pPr>
        <w:ind w:right="2679" w:firstLine="524"/>
        <w:spacing w:after="0" w:line="257" w:lineRule="auto"/>
        <w:rPr>
          <w:sz w:val="20"/>
          <w:szCs w:val="20"/>
          <w:color w:val="auto"/>
        </w:rPr>
      </w:pPr>
      <w:r>
        <w:rPr>
          <w:rFonts w:ascii="Courier New" w:cs="Courier New" w:eastAsia="Courier New" w:hAnsi="Courier New"/>
          <w:sz w:val="17"/>
          <w:szCs w:val="17"/>
          <w:color w:val="auto"/>
        </w:rPr>
        <w:t>Summarized unaudited combined financial information for investments accounted for under the equity method was as follows:</w:t>
      </w:r>
    </w:p>
    <w:p>
      <w:pPr>
        <w:spacing w:after="0" w:line="192"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FOR THE FOR THE TEN MONTHS YEAR ENDED ENDED DECEMBER 31,</w:t>
      </w:r>
    </w:p>
    <w:p>
      <w:pPr>
        <w:spacing w:after="0" w:line="9"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DECEMBER 31, 2000 1999 ------------ ------------</w:t>
      </w:r>
    </w:p>
    <w:p>
      <w:pPr>
        <w:spacing w:after="0" w:line="9"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(UNAUDITED)</w:t>
      </w:r>
    </w:p>
    <w:p>
      <w:pPr>
        <w:spacing w:after="0" w:line="9"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$ 6,578 $ 6,148 Operating</w:t>
      </w:r>
    </w:p>
    <w:p>
      <w:pPr>
        <w:spacing w:after="0" w:line="9"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loss............................................. $ 1,419</w:t>
      </w:r>
    </w:p>
    <w:p>
      <w:pPr>
        <w:spacing w:after="0" w:line="9"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$ 1,401 Net</w:t>
      </w:r>
    </w:p>
    <w:p>
      <w:pPr>
        <w:spacing w:after="0" w:line="9"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loss................................................... $</w:t>
      </w:r>
    </w:p>
    <w:p>
      <w:pPr>
        <w:spacing w:after="0" w:line="9"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2,447 $ 2,327</w:t>
      </w:r>
    </w:p>
    <w:p>
      <w:pPr>
        <w:spacing w:after="0" w:line="200" w:lineRule="exact"/>
        <w:rPr>
          <w:sz w:val="20"/>
          <w:szCs w:val="20"/>
          <w:color w:val="auto"/>
        </w:rPr>
      </w:pPr>
    </w:p>
    <w:p>
      <w:pPr>
        <w:spacing w:after="0" w:line="212"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DECEMBER 31, ------------------ 2000 1999 ------- -</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 (UNAUDITED) Current</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$ 1,092 $ 1,394 Noncurrent</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17,763 20,815 Current</w:t>
      </w:r>
    </w:p>
    <w:p>
      <w:pPr>
        <w:spacing w:after="0" w:line="9" w:lineRule="exact"/>
        <w:rPr>
          <w:sz w:val="20"/>
          <w:szCs w:val="20"/>
          <w:color w:val="auto"/>
        </w:rPr>
      </w:pPr>
    </w:p>
    <w:p>
      <w:pPr>
        <w:jc w:val="center"/>
        <w:ind w:right="4759"/>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2,796 3,248 Noncurrent</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14,910 12,441 Redeemable preferred</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stock.................................. 1,514 1,685</w:t>
      </w:r>
    </w:p>
    <w:p>
      <w:pPr>
        <w:spacing w:after="0" w:line="9"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7"/>
          <w:szCs w:val="17"/>
          <w:color w:val="auto"/>
        </w:rPr>
        <w:t>Minority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interests..........................................</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586 614</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At December 31, 2000, AT&amp;T Broadband Group, through MediaOne, had a 25.51% interest in TWE. This investment is "held-for-sale" at December 31, 2000. Accordingly, AT&amp;T Broadband Group is no longer recording equity earnings or losses on this investment.</w:t>
      </w:r>
    </w:p>
    <w:p>
      <w:pPr>
        <w:spacing w:after="0" w:line="195"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Subsidiaries of AT&amp;T also have investments accounted for under the cost method of accounting which have been attributed to AT&amp;T Broadband Group. Included in current investments is approximately $2,102 of Vodafone ADRs since they are indexed to certain maturing debt instruments. Investments at December 31, 2000 for AT&amp;T Broadband Group are as follows:</w:t>
      </w:r>
    </w:p>
    <w:p>
      <w:pPr>
        <w:spacing w:after="0" w:line="197"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7"/>
          <w:szCs w:val="17"/>
          <w:color w:val="auto"/>
        </w:rPr>
        <w:t>UNREALIZED COST GAINS ESTIMATED BASIS</w:t>
      </w:r>
    </w:p>
    <w:p>
      <w:pPr>
        <w:spacing w:after="0" w:line="9"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7"/>
          <w:szCs w:val="17"/>
          <w:color w:val="auto"/>
        </w:rPr>
        <w:t>(LOSSES) FAIR VALUE ------- ---------- ---</w:t>
      </w:r>
    </w:p>
    <w:p>
      <w:pPr>
        <w:spacing w:after="0" w:line="9"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7"/>
          <w:szCs w:val="17"/>
          <w:color w:val="auto"/>
        </w:rPr>
        <w:t>------- Common stock and</w:t>
      </w:r>
    </w:p>
    <w:p>
      <w:pPr>
        <w:spacing w:after="0" w:line="9"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7"/>
          <w:szCs w:val="17"/>
          <w:color w:val="auto"/>
        </w:rPr>
        <w:t>warrants............................</w:t>
      </w:r>
    </w:p>
    <w:p>
      <w:pPr>
        <w:spacing w:after="0" w:line="9"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7"/>
          <w:szCs w:val="17"/>
          <w:color w:val="auto"/>
        </w:rPr>
        <w:t>$12,986 $(3,606) $ 9,380 Preferred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1,467 105 1,572 Cost investments and</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1000" w:type="dxa"/>
            <w:vAlign w:val="bottom"/>
          </w:tcPr>
          <w:p>
            <w:pPr>
              <w:jc w:val="right"/>
              <w:spacing w:after="0"/>
              <w:rPr>
                <w:sz w:val="20"/>
                <w:szCs w:val="20"/>
                <w:color w:val="auto"/>
              </w:rPr>
            </w:pPr>
            <w:r>
              <w:rPr>
                <w:rFonts w:ascii="Courier New" w:cs="Courier New" w:eastAsia="Courier New" w:hAnsi="Courier New"/>
                <w:sz w:val="7"/>
                <w:szCs w:val="7"/>
                <w:color w:val="auto"/>
                <w:w w:val="72"/>
              </w:rPr>
              <w:t>other...........................</w:t>
            </w: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1,050 --</w:t>
            </w:r>
          </w:p>
        </w:tc>
      </w:tr>
      <w:tr>
        <w:trPr>
          <w:trHeight w:val="201"/>
        </w:trPr>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w w:val="73"/>
              </w:rPr>
              <w:t>1,050 -------</w:t>
            </w:r>
          </w:p>
        </w:tc>
        <w:tc>
          <w:tcPr>
            <w:tcW w:w="3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 $15,503</w:t>
            </w:r>
          </w:p>
        </w:tc>
      </w:tr>
      <w:tr>
        <w:trPr>
          <w:trHeight w:val="201"/>
        </w:trPr>
        <w:tc>
          <w:tcPr>
            <w:tcW w:w="1000" w:type="dxa"/>
            <w:vAlign w:val="bottom"/>
          </w:tcPr>
          <w:p>
            <w:pPr>
              <w:jc w:val="right"/>
              <w:ind w:right="31"/>
              <w:spacing w:after="0"/>
              <w:rPr>
                <w:sz w:val="20"/>
                <w:szCs w:val="20"/>
                <w:color w:val="auto"/>
              </w:rPr>
            </w:pPr>
            <w:r>
              <w:rPr>
                <w:rFonts w:ascii="Courier New" w:cs="Courier New" w:eastAsia="Courier New" w:hAnsi="Courier New"/>
                <w:sz w:val="17"/>
                <w:szCs w:val="17"/>
                <w:color w:val="auto"/>
              </w:rPr>
              <w:t>$(3,501)</w:t>
            </w: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$12,002 ======= ======= =======</w:t>
            </w:r>
          </w:p>
        </w:tc>
      </w:tr>
    </w:tbl>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L-130</w:t>
      </w:r>
    </w:p>
    <w:p>
      <w:pPr>
        <w:sectPr>
          <w:pgSz w:w="11900" w:h="16838" w:orient="portrait"/>
          <w:cols w:equalWidth="0" w:num="1">
            <w:col w:w="10219"/>
          </w:cols>
          <w:pgMar w:left="240" w:top="518" w:right="1440" w:bottom="1440" w:gutter="0" w:footer="0" w:header="0"/>
        </w:sectPr>
      </w:pPr>
    </w:p>
    <w:bookmarkStart w:id="742" w:name="page743"/>
    <w:bookmarkEnd w:id="742"/>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Other investments at December 31, 1999 for AT&amp;T Broadband Group are as follows:</w:t>
      </w:r>
    </w:p>
    <w:p>
      <w:pPr>
        <w:spacing w:after="0" w:line="19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COST UNREALIZED ESTIMATED BASIS GAINS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FAIR VALUE ----- ---------- ---------</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 Common stock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warrants..............................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$168 $103 $271 Cost investments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other............................. 4</w:t>
      </w:r>
    </w:p>
    <w:p>
      <w:pPr>
        <w:spacing w:after="0" w:line="9" w:lineRule="exact"/>
        <w:rPr>
          <w:sz w:val="20"/>
          <w:szCs w:val="20"/>
          <w:color w:val="auto"/>
        </w:rPr>
      </w:pPr>
    </w:p>
    <w:p>
      <w:pPr>
        <w:ind w:left="520" w:hanging="306"/>
        <w:spacing w:after="0"/>
        <w:tabs>
          <w:tab w:leader="none" w:pos="520" w:val="left"/>
        </w:tabs>
        <w:numPr>
          <w:ilvl w:val="0"/>
          <w:numId w:val="7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4 ---- ---- ---- $172 $103 $275</w:t>
      </w:r>
    </w:p>
    <w:p>
      <w:pPr>
        <w:spacing w:after="0" w:line="8" w:lineRule="exact"/>
        <w:rPr>
          <w:rFonts w:ascii="Courier New" w:cs="Courier New" w:eastAsia="Courier New" w:hAnsi="Courier New"/>
          <w:sz w:val="17"/>
          <w:szCs w:val="17"/>
          <w:color w:val="auto"/>
        </w:rPr>
      </w:pPr>
    </w:p>
    <w:p>
      <w:pPr>
        <w:ind w:left="1780" w:hanging="519"/>
        <w:spacing w:after="0"/>
        <w:tabs>
          <w:tab w:leader="none" w:pos="1780" w:val="left"/>
        </w:tabs>
        <w:numPr>
          <w:ilvl w:val="1"/>
          <w:numId w:val="7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During the fourth quarter of 2000, AT&amp;T Broadband Group recognized a loss on the marketable equity security holdings for Telewest Communications, plc, of $111 million. Management determined the loss was not temporary due to the downturn in market conditions and its inability to hold the investment as a result of requirements related to the regulatory approval of the MediaOne Merger. The fair value was based on quoted market prices.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During the fourth quarter of 2000, Excite@Home recognized a loss on investments totaling $129 which included a $107 loss on publicly held companies and $22 on privately held investments. The loss recognized on the publicly held investment was a result of Excite@Home's decision that the decline in market value of certain investments was not temporary. The loss recognized on the privately held companies was based on Excite@Home's determination that the carrying value of certain investments was not recoverable, based on indicators such as limited liquidity and poor prospects for additional funding. Since AT&amp;T Broadband Group, through ATTBLLC owns 23% of Excite@Home, 77% of the loss recorded by Excite@Home is not included as a reduction of AT&amp;T Broadband Group's net income, but rather is eliminated in the statement of operations as minority interest income (expense).</w:t>
      </w:r>
    </w:p>
    <w:p>
      <w:pPr>
        <w:spacing w:after="0" w:line="200" w:lineRule="exact"/>
        <w:rPr>
          <w:sz w:val="20"/>
          <w:szCs w:val="20"/>
          <w:color w:val="auto"/>
        </w:rPr>
      </w:pPr>
    </w:p>
    <w:p>
      <w:pPr>
        <w:spacing w:after="0" w:line="203" w:lineRule="exact"/>
        <w:rPr>
          <w:sz w:val="20"/>
          <w:szCs w:val="20"/>
          <w:color w:val="auto"/>
        </w:rPr>
      </w:pPr>
    </w:p>
    <w:p>
      <w:pPr>
        <w:ind w:right="8219" w:firstLine="7"/>
        <w:spacing w:after="0" w:line="502" w:lineRule="auto"/>
        <w:tabs>
          <w:tab w:leader="none" w:pos="314" w:val="left"/>
        </w:tabs>
        <w:numPr>
          <w:ilvl w:val="0"/>
          <w:numId w:val="7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DEBT OBLIGATIONS LONG-TERM DEBT</w:t>
      </w:r>
    </w:p>
    <w:p>
      <w:pPr>
        <w:ind w:left="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Debentures, notes and trust preferred securities(a):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w w:val="74"/>
              </w:rPr>
              <w:t>DECEMBER 31, INTEREST -----------------</w:t>
            </w:r>
          </w:p>
        </w:tc>
        <w:tc>
          <w:tcPr>
            <w:tcW w:w="4140" w:type="dxa"/>
            <w:vAlign w:val="bottom"/>
          </w:tcPr>
          <w:p>
            <w:pPr>
              <w:jc w:val="right"/>
              <w:spacing w:after="0"/>
              <w:rPr>
                <w:sz w:val="20"/>
                <w:szCs w:val="20"/>
                <w:color w:val="auto"/>
              </w:rPr>
            </w:pPr>
            <w:r>
              <w:rPr>
                <w:rFonts w:ascii="Courier New" w:cs="Courier New" w:eastAsia="Courier New" w:hAnsi="Courier New"/>
                <w:sz w:val="17"/>
                <w:szCs w:val="17"/>
                <w:color w:val="auto"/>
              </w:rPr>
              <w:t>RATES(B) MATURITIES 2000</w:t>
            </w:r>
          </w:p>
        </w:tc>
      </w:tr>
      <w:tr>
        <w:trPr>
          <w:trHeight w:val="201"/>
        </w:trPr>
        <w:tc>
          <w:tcPr>
            <w:tcW w:w="67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1999 - -------- ---------- ------- ------- 4.00%-6.00% 2001-</w:t>
            </w: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3"/>
                <w:szCs w:val="13"/>
                <w:color w:val="auto"/>
                <w:w w:val="72"/>
              </w:rPr>
              <w:t>2018..........................................</w:t>
            </w:r>
          </w:p>
        </w:tc>
        <w:tc>
          <w:tcPr>
            <w:tcW w:w="4140" w:type="dxa"/>
            <w:vAlign w:val="bottom"/>
          </w:tcPr>
          <w:p>
            <w:pPr>
              <w:jc w:val="center"/>
              <w:ind w:left="2273"/>
              <w:spacing w:after="0"/>
              <w:rPr>
                <w:sz w:val="20"/>
                <w:szCs w:val="20"/>
                <w:color w:val="auto"/>
              </w:rPr>
            </w:pPr>
            <w:r>
              <w:rPr>
                <w:rFonts w:ascii="Courier New" w:cs="Courier New" w:eastAsia="Courier New" w:hAnsi="Courier New"/>
                <w:sz w:val="17"/>
                <w:szCs w:val="17"/>
                <w:color w:val="auto"/>
              </w:rPr>
              <w:t>1,389 1</w:t>
            </w:r>
          </w:p>
        </w:tc>
      </w:tr>
      <w:tr>
        <w:trPr>
          <w:trHeight w:val="201"/>
        </w:trPr>
        <w:tc>
          <w:tcPr>
            <w:tcW w:w="67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6.25%-6.50% 2001-2008..........................................</w:t>
            </w:r>
          </w:p>
        </w:tc>
      </w:tr>
      <w:tr>
        <w:trPr>
          <w:trHeight w:val="201"/>
        </w:trPr>
        <w:tc>
          <w:tcPr>
            <w:tcW w:w="67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3,210 917 6.55%-7.49% 2001-</w:t>
            </w: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3"/>
                <w:szCs w:val="13"/>
                <w:color w:val="auto"/>
                <w:w w:val="72"/>
              </w:rPr>
              <w:t>2037..........................................</w:t>
            </w:r>
          </w:p>
        </w:tc>
        <w:tc>
          <w:tcPr>
            <w:tcW w:w="4140" w:type="dxa"/>
            <w:vAlign w:val="bottom"/>
          </w:tcPr>
          <w:p>
            <w:pPr>
              <w:jc w:val="center"/>
              <w:ind w:left="2273"/>
              <w:spacing w:after="0"/>
              <w:rPr>
                <w:sz w:val="20"/>
                <w:szCs w:val="20"/>
                <w:color w:val="auto"/>
              </w:rPr>
            </w:pPr>
            <w:r>
              <w:rPr>
                <w:rFonts w:ascii="Courier New" w:cs="Courier New" w:eastAsia="Courier New" w:hAnsi="Courier New"/>
                <w:sz w:val="17"/>
                <w:szCs w:val="17"/>
                <w:color w:val="auto"/>
              </w:rPr>
              <w:t>5,738 1,601</w:t>
            </w:r>
          </w:p>
        </w:tc>
      </w:tr>
      <w:tr>
        <w:trPr>
          <w:trHeight w:val="201"/>
        </w:trPr>
        <w:tc>
          <w:tcPr>
            <w:tcW w:w="67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7.53%-8.50% 2001-2097..........................................</w:t>
            </w:r>
          </w:p>
        </w:tc>
      </w:tr>
      <w:tr>
        <w:trPr>
          <w:trHeight w:val="201"/>
        </w:trPr>
        <w:tc>
          <w:tcPr>
            <w:tcW w:w="67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3,370 2,363 8.60%-10.75% 2001-</w:t>
            </w: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3"/>
                <w:szCs w:val="13"/>
                <w:color w:val="auto"/>
                <w:w w:val="72"/>
              </w:rPr>
              <w:t>2045..........................................</w:t>
            </w:r>
          </w:p>
        </w:tc>
        <w:tc>
          <w:tcPr>
            <w:tcW w:w="4140" w:type="dxa"/>
            <w:vAlign w:val="bottom"/>
          </w:tcPr>
          <w:p>
            <w:pPr>
              <w:jc w:val="center"/>
              <w:ind w:left="2273"/>
              <w:spacing w:after="0"/>
              <w:rPr>
                <w:sz w:val="20"/>
                <w:szCs w:val="20"/>
                <w:color w:val="auto"/>
              </w:rPr>
            </w:pPr>
            <w:r>
              <w:rPr>
                <w:rFonts w:ascii="Courier New" w:cs="Courier New" w:eastAsia="Courier New" w:hAnsi="Courier New"/>
                <w:sz w:val="17"/>
                <w:szCs w:val="17"/>
                <w:color w:val="auto"/>
              </w:rPr>
              <w:t>6,594 4,664</w:t>
            </w:r>
          </w:p>
        </w:tc>
      </w:tr>
      <w:tr>
        <w:trPr>
          <w:trHeight w:val="201"/>
        </w:trPr>
        <w:tc>
          <w:tcPr>
            <w:tcW w:w="67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Variable rate 2001-</w:t>
            </w: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3"/>
                <w:szCs w:val="13"/>
                <w:color w:val="auto"/>
                <w:w w:val="72"/>
              </w:rPr>
              <w:t>2005..........................................</w:t>
            </w:r>
          </w:p>
        </w:tc>
        <w:tc>
          <w:tcPr>
            <w:tcW w:w="4140" w:type="dxa"/>
            <w:vAlign w:val="bottom"/>
          </w:tcPr>
          <w:p>
            <w:pPr>
              <w:jc w:val="center"/>
              <w:ind w:left="2273"/>
              <w:spacing w:after="0"/>
              <w:rPr>
                <w:sz w:val="20"/>
                <w:szCs w:val="20"/>
                <w:color w:val="auto"/>
              </w:rPr>
            </w:pPr>
            <w:r>
              <w:rPr>
                <w:rFonts w:ascii="Courier New" w:cs="Courier New" w:eastAsia="Courier New" w:hAnsi="Courier New"/>
                <w:sz w:val="17"/>
                <w:szCs w:val="17"/>
                <w:color w:val="auto"/>
              </w:rPr>
              <w:t>2,019 827 -------</w:t>
            </w:r>
          </w:p>
        </w:tc>
      </w:tr>
      <w:tr>
        <w:trPr>
          <w:trHeight w:val="201"/>
        </w:trPr>
        <w:tc>
          <w:tcPr>
            <w:tcW w:w="67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 Total debentures, notes and trust preferred</w:t>
            </w: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rPr>
              <w:t>securities...........</w:t>
            </w:r>
          </w:p>
        </w:tc>
        <w:tc>
          <w:tcPr>
            <w:tcW w:w="4140" w:type="dxa"/>
            <w:vAlign w:val="bottom"/>
          </w:tcPr>
          <w:p>
            <w:pPr>
              <w:jc w:val="right"/>
              <w:ind w:right="1433"/>
              <w:spacing w:after="0"/>
              <w:rPr>
                <w:sz w:val="20"/>
                <w:szCs w:val="20"/>
                <w:color w:val="auto"/>
              </w:rPr>
            </w:pPr>
            <w:r>
              <w:rPr>
                <w:rFonts w:ascii="Courier New" w:cs="Courier New" w:eastAsia="Courier New" w:hAnsi="Courier New"/>
                <w:sz w:val="17"/>
                <w:szCs w:val="17"/>
                <w:color w:val="auto"/>
              </w:rPr>
              <w:t>22,320 10,373</w:t>
            </w:r>
          </w:p>
        </w:tc>
      </w:tr>
      <w:tr>
        <w:trPr>
          <w:trHeight w:val="201"/>
        </w:trPr>
        <w:tc>
          <w:tcPr>
            <w:tcW w:w="6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Other............................................................</w:t>
            </w: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rPr>
              <w:t>270 230 -------</w:t>
            </w:r>
          </w:p>
        </w:tc>
        <w:tc>
          <w:tcPr>
            <w:tcW w:w="414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 Total long-term</w:t>
            </w: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2"/>
                <w:szCs w:val="12"/>
                <w:color w:val="auto"/>
                <w:w w:val="73"/>
              </w:rPr>
              <w:t>debt.............................................</w:t>
            </w:r>
          </w:p>
        </w:tc>
        <w:tc>
          <w:tcPr>
            <w:tcW w:w="4140" w:type="dxa"/>
            <w:vAlign w:val="bottom"/>
          </w:tcPr>
          <w:p>
            <w:pPr>
              <w:jc w:val="right"/>
              <w:spacing w:after="0"/>
              <w:rPr>
                <w:sz w:val="20"/>
                <w:szCs w:val="20"/>
                <w:color w:val="auto"/>
              </w:rPr>
            </w:pPr>
            <w:r>
              <w:rPr>
                <w:rFonts w:ascii="Courier New" w:cs="Courier New" w:eastAsia="Courier New" w:hAnsi="Courier New"/>
                <w:sz w:val="17"/>
                <w:szCs w:val="17"/>
                <w:color w:val="auto"/>
              </w:rPr>
              <w:t>22,590 10,603</w:t>
            </w:r>
          </w:p>
        </w:tc>
      </w:tr>
      <w:tr>
        <w:trPr>
          <w:trHeight w:val="201"/>
        </w:trPr>
        <w:tc>
          <w:tcPr>
            <w:tcW w:w="67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Less currently maturing long-term</w:t>
            </w: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w w:val="82"/>
              </w:rPr>
              <w:t>debt...........................</w:t>
            </w:r>
          </w:p>
        </w:tc>
        <w:tc>
          <w:tcPr>
            <w:tcW w:w="4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3,073 932 ------- ------- Net</w:t>
            </w:r>
          </w:p>
        </w:tc>
      </w:tr>
      <w:tr>
        <w:trPr>
          <w:trHeight w:val="201"/>
        </w:trPr>
        <w:tc>
          <w:tcPr>
            <w:tcW w:w="67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long-term debt...............................................</w:t>
            </w:r>
          </w:p>
        </w:tc>
      </w:tr>
      <w:tr>
        <w:trPr>
          <w:trHeight w:val="201"/>
        </w:trPr>
        <w:tc>
          <w:tcPr>
            <w:tcW w:w="2620" w:type="dxa"/>
            <w:vAlign w:val="bottom"/>
          </w:tcPr>
          <w:p>
            <w:pPr>
              <w:jc w:val="right"/>
              <w:ind w:right="19"/>
              <w:spacing w:after="0"/>
              <w:rPr>
                <w:sz w:val="20"/>
                <w:szCs w:val="20"/>
                <w:color w:val="auto"/>
              </w:rPr>
            </w:pPr>
            <w:r>
              <w:rPr>
                <w:rFonts w:ascii="Courier New" w:cs="Courier New" w:eastAsia="Courier New" w:hAnsi="Courier New"/>
                <w:sz w:val="17"/>
                <w:szCs w:val="17"/>
                <w:color w:val="auto"/>
              </w:rPr>
              <w:t>$19,517</w:t>
            </w:r>
          </w:p>
        </w:tc>
        <w:tc>
          <w:tcPr>
            <w:tcW w:w="4140" w:type="dxa"/>
            <w:vAlign w:val="bottom"/>
          </w:tcPr>
          <w:p>
            <w:pPr>
              <w:jc w:val="right"/>
              <w:ind w:right="1633"/>
              <w:spacing w:after="0"/>
              <w:rPr>
                <w:sz w:val="20"/>
                <w:szCs w:val="20"/>
                <w:color w:val="auto"/>
              </w:rPr>
            </w:pPr>
            <w:r>
              <w:rPr>
                <w:rFonts w:ascii="Courier New" w:cs="Courier New" w:eastAsia="Courier New" w:hAnsi="Courier New"/>
                <w:sz w:val="17"/>
                <w:szCs w:val="17"/>
                <w:color w:val="auto"/>
              </w:rPr>
              <w:t>$ 9,671 ======= =======</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1939" w:hanging="413"/>
        <w:spacing w:after="0" w:line="252" w:lineRule="auto"/>
        <w:tabs>
          <w:tab w:leader="none" w:pos="420" w:val="left"/>
        </w:tabs>
        <w:numPr>
          <w:ilvl w:val="0"/>
          <w:numId w:val="7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Included in these balances was $946 and $975 representing the remaining excess of the fair value over the recorded value of debt in connection with the TCI Merger and MediaOne Merger at December 31, 2000 and 1999, respectively. The excess is being amortized over the remaining lives of the underlying debt obligations.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L-131</w:t>
      </w:r>
    </w:p>
    <w:p>
      <w:pPr>
        <w:sectPr>
          <w:pgSz w:w="11900" w:h="16838" w:orient="portrait"/>
          <w:cols w:equalWidth="0" w:num="1">
            <w:col w:w="10219"/>
          </w:cols>
          <w:pgMar w:left="240" w:top="518" w:right="1440" w:bottom="659" w:gutter="0" w:footer="0" w:header="0"/>
        </w:sectPr>
      </w:pPr>
    </w:p>
    <w:bookmarkStart w:id="743" w:name="page744"/>
    <w:bookmarkEnd w:id="743"/>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left="420" w:right="1839" w:hanging="413"/>
        <w:spacing w:after="0" w:line="254" w:lineRule="auto"/>
        <w:tabs>
          <w:tab w:leader="none" w:pos="420" w:val="left"/>
        </w:tabs>
        <w:numPr>
          <w:ilvl w:val="0"/>
          <w:numId w:val="7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actual interest paid on debt obligations may have differed from the stated amount due to entering into interest rate swap contracts to manage exposure to interest rate risk and the strategy to reduce finance costs (see Note 10).</w:t>
      </w:r>
    </w:p>
    <w:p>
      <w:pPr>
        <w:spacing w:after="0" w:line="39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EXCHANGEABLE NOTES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During 2000, AT&amp;T Broadband Group, through ATTBLLC and MediaOne, issued debt which is mandatorily redeemable at AT&amp;T's option into shares of Comcast common stock or its equivalent (the "Comcast Exchangeable Notes") and Microsoft Corporation ("Microsoft") common stock or its equivalent (the "Microsoft Exchangeable Notes").</w:t>
      </w:r>
    </w:p>
    <w:p>
      <w:pPr>
        <w:spacing w:after="0" w:line="197"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Following is a summary of the Comcast Exchangeable Notes outstanding at December 31, 2000 by year of maturity which are indexed to 25 million shares of Comcast common stock:</w:t>
      </w:r>
    </w:p>
    <w:p>
      <w:pPr>
        <w:spacing w:after="0" w:line="19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MATURITY DATE 2003 2004 2005 -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 Face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value..............................</w:t>
      </w:r>
    </w:p>
    <w:p>
      <w:pPr>
        <w:spacing w:after="0" w:line="9" w:lineRule="exact"/>
        <w:rPr>
          <w:sz w:val="20"/>
          <w:szCs w:val="20"/>
          <w:color w:val="auto"/>
        </w:rPr>
      </w:pPr>
    </w:p>
    <w:p>
      <w:pPr>
        <w:ind w:left="260" w:right="6699" w:firstLine="266"/>
        <w:spacing w:after="0" w:line="251" w:lineRule="auto"/>
        <w:tabs>
          <w:tab w:leader="none" w:pos="731" w:val="left"/>
        </w:tabs>
        <w:numPr>
          <w:ilvl w:val="0"/>
          <w:numId w:val="7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371 $ 314 $ 329 Interest rate...........................</w:t>
      </w:r>
    </w:p>
    <w:p>
      <w:pPr>
        <w:ind w:left="7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6.75% 5.50% 4.63% Put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w:t>
      </w:r>
    </w:p>
    <w:p>
      <w:pPr>
        <w:spacing w:after="0" w:line="9"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7"/>
          <w:szCs w:val="17"/>
          <w:color w:val="auto"/>
        </w:rPr>
        <w:t>$41.50 $41.06 $39.13 Call</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price..............................</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$49.80 $49.27</w:t>
            </w:r>
          </w:p>
        </w:tc>
        <w:tc>
          <w:tcPr>
            <w:tcW w:w="23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$46.96 Carrying value</w:t>
            </w:r>
          </w:p>
        </w:tc>
      </w:tr>
      <w:tr>
        <w:trPr>
          <w:trHeight w:val="201"/>
        </w:trPr>
        <w:tc>
          <w:tcPr>
            <w:tcW w:w="1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at December 31,</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2000.....</w:t>
            </w: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$ 371 $</w:t>
            </w:r>
          </w:p>
        </w:tc>
      </w:tr>
      <w:tr>
        <w:trPr>
          <w:trHeight w:val="201"/>
        </w:trPr>
        <w:tc>
          <w:tcPr>
            <w:tcW w:w="13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7"/>
              </w:rPr>
              <w:t>314</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$ 329</w:t>
            </w: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At maturity, the Comcast Exchangeable Notes will be redeemed, at AT&amp;T's option, into (i) a number of shares of Comcast common stock equal to the underlying shares multiplied by the exchange ratio, or (ii) its equivalent cash value. The exchange ratio will be calculated at maturity in the following manner:</w:t>
      </w:r>
    </w:p>
    <w:p>
      <w:pPr>
        <w:spacing w:after="0" w:line="396" w:lineRule="exact"/>
        <w:rPr>
          <w:sz w:val="20"/>
          <w:szCs w:val="20"/>
          <w:color w:val="auto"/>
        </w:rPr>
      </w:pPr>
    </w:p>
    <w:p>
      <w:pPr>
        <w:ind w:left="540" w:right="2259" w:firstLine="515"/>
        <w:spacing w:after="0" w:line="257" w:lineRule="auto"/>
        <w:tabs>
          <w:tab w:leader="none" w:pos="1483" w:val="left"/>
        </w:tabs>
        <w:numPr>
          <w:ilvl w:val="0"/>
          <w:numId w:val="7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greater than the call price, the exchange ratio will be 0.8333;</w:t>
      </w:r>
    </w:p>
    <w:p>
      <w:pPr>
        <w:spacing w:after="0" w:line="191" w:lineRule="exact"/>
        <w:rPr>
          <w:rFonts w:ascii="Courier New" w:cs="Courier New" w:eastAsia="Courier New" w:hAnsi="Courier New"/>
          <w:sz w:val="17"/>
          <w:szCs w:val="17"/>
          <w:color w:val="auto"/>
        </w:rPr>
      </w:pPr>
    </w:p>
    <w:p>
      <w:pPr>
        <w:ind w:left="540" w:right="2259" w:firstLine="515"/>
        <w:spacing w:after="0" w:line="257" w:lineRule="auto"/>
        <w:tabs>
          <w:tab w:leader="none" w:pos="1483" w:val="left"/>
        </w:tabs>
        <w:numPr>
          <w:ilvl w:val="0"/>
          <w:numId w:val="7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or equal to the put price, the exchange ratio will be 1;</w:t>
      </w:r>
    </w:p>
    <w:p>
      <w:pPr>
        <w:spacing w:after="0" w:line="191"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7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the call price but greater than the put price, the exchange ratio will be a fraction the numerator of which is equal to the put price, and the denominator of which is equal to the fair market value of one share of Comcast common stock.</w:t>
      </w:r>
    </w:p>
    <w:p>
      <w:pPr>
        <w:spacing w:after="0" w:line="197"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Following is a summary of the Comcast Exchangeable Notes outstanding at December 31, 2000, which are indexed to 22.3 million shares of Comcast common stock:</w:t>
      </w:r>
    </w:p>
    <w:p>
      <w:pPr>
        <w:spacing w:after="0" w:line="19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MATURITY DATE 2003 2004 2005 - -------------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60" w:type="dxa"/>
            <w:vAlign w:val="bottom"/>
          </w:tcPr>
          <w:p>
            <w:pPr>
              <w:jc w:val="center"/>
              <w:ind w:right="373"/>
              <w:spacing w:after="0"/>
              <w:rPr>
                <w:sz w:val="20"/>
                <w:szCs w:val="20"/>
                <w:color w:val="auto"/>
              </w:rPr>
            </w:pPr>
            <w:r>
              <w:rPr>
                <w:rFonts w:ascii="Courier New" w:cs="Courier New" w:eastAsia="Courier New" w:hAnsi="Courier New"/>
                <w:sz w:val="17"/>
                <w:szCs w:val="17"/>
                <w:color w:val="auto"/>
              </w:rPr>
              <w:t>------ ------ Face</w:t>
            </w:r>
          </w:p>
        </w:tc>
        <w:tc>
          <w:tcPr>
            <w:tcW w:w="920" w:type="dxa"/>
            <w:vAlign w:val="bottom"/>
          </w:tcPr>
          <w:p>
            <w:pPr>
              <w:spacing w:after="0"/>
              <w:rPr>
                <w:sz w:val="17"/>
                <w:szCs w:val="17"/>
                <w:color w:val="auto"/>
              </w:rPr>
            </w:pPr>
          </w:p>
        </w:tc>
      </w:tr>
      <w:tr>
        <w:trPr>
          <w:trHeight w:val="201"/>
        </w:trPr>
        <w:tc>
          <w:tcPr>
            <w:tcW w:w="14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3"/>
              </w:rPr>
              <w:t>value...............................................</w:t>
            </w:r>
          </w:p>
        </w:tc>
        <w:tc>
          <w:tcPr>
            <w:tcW w:w="30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840" w:type="dxa"/>
            <w:vAlign w:val="bottom"/>
          </w:tcPr>
          <w:p>
            <w:pPr>
              <w:spacing w:after="0"/>
              <w:rPr>
                <w:sz w:val="17"/>
                <w:szCs w:val="17"/>
                <w:color w:val="auto"/>
              </w:rPr>
            </w:pPr>
          </w:p>
        </w:tc>
        <w:tc>
          <w:tcPr>
            <w:tcW w:w="3700" w:type="dxa"/>
            <w:vAlign w:val="bottom"/>
            <w:gridSpan w:val="2"/>
          </w:tcPr>
          <w:p>
            <w:pPr>
              <w:jc w:val="center"/>
              <w:ind w:left="93"/>
              <w:spacing w:after="0"/>
              <w:rPr>
                <w:sz w:val="20"/>
                <w:szCs w:val="20"/>
                <w:color w:val="auto"/>
              </w:rPr>
            </w:pPr>
            <w:r>
              <w:rPr>
                <w:rFonts w:ascii="Courier New" w:cs="Courier New" w:eastAsia="Courier New" w:hAnsi="Courier New"/>
                <w:sz w:val="17"/>
                <w:szCs w:val="17"/>
                <w:color w:val="auto"/>
              </w:rPr>
              <w:t>$ 267 $ 267 $ 267 Interest</w:t>
            </w:r>
          </w:p>
        </w:tc>
        <w:tc>
          <w:tcPr>
            <w:tcW w:w="920" w:type="dxa"/>
            <w:vAlign w:val="bottom"/>
          </w:tcPr>
          <w:p>
            <w:pPr>
              <w:spacing w:after="0"/>
              <w:rPr>
                <w:sz w:val="17"/>
                <w:szCs w:val="17"/>
                <w:color w:val="auto"/>
              </w:rPr>
            </w:pPr>
          </w:p>
        </w:tc>
      </w:tr>
      <w:tr>
        <w:trPr>
          <w:trHeight w:val="201"/>
        </w:trPr>
        <w:tc>
          <w:tcPr>
            <w:tcW w:w="14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rate............................................</w:t>
            </w:r>
          </w:p>
        </w:tc>
        <w:tc>
          <w:tcPr>
            <w:tcW w:w="30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60" w:type="dxa"/>
            <w:vAlign w:val="bottom"/>
          </w:tcPr>
          <w:p>
            <w:pPr>
              <w:jc w:val="center"/>
              <w:ind w:right="373"/>
              <w:spacing w:after="0"/>
              <w:rPr>
                <w:sz w:val="20"/>
                <w:szCs w:val="20"/>
                <w:color w:val="auto"/>
              </w:rPr>
            </w:pPr>
            <w:r>
              <w:rPr>
                <w:rFonts w:ascii="Courier New" w:cs="Courier New" w:eastAsia="Courier New" w:hAnsi="Courier New"/>
                <w:sz w:val="17"/>
                <w:szCs w:val="17"/>
                <w:color w:val="auto"/>
              </w:rPr>
              <w:t>6.76% 6.80% 6.84% Put</w:t>
            </w:r>
          </w:p>
        </w:tc>
        <w:tc>
          <w:tcPr>
            <w:tcW w:w="920" w:type="dxa"/>
            <w:vAlign w:val="bottom"/>
          </w:tcPr>
          <w:p>
            <w:pPr>
              <w:spacing w:after="0"/>
              <w:rPr>
                <w:sz w:val="17"/>
                <w:szCs w:val="17"/>
                <w:color w:val="auto"/>
              </w:rPr>
            </w:pPr>
          </w:p>
        </w:tc>
      </w:tr>
      <w:tr>
        <w:trPr>
          <w:trHeight w:val="201"/>
        </w:trPr>
        <w:tc>
          <w:tcPr>
            <w:tcW w:w="14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price................................................</w:t>
            </w:r>
          </w:p>
        </w:tc>
        <w:tc>
          <w:tcPr>
            <w:tcW w:w="30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60" w:type="dxa"/>
            <w:vAlign w:val="bottom"/>
          </w:tcPr>
          <w:p>
            <w:pPr>
              <w:jc w:val="center"/>
              <w:ind w:right="373"/>
              <w:spacing w:after="0"/>
              <w:rPr>
                <w:sz w:val="20"/>
                <w:szCs w:val="20"/>
                <w:color w:val="auto"/>
              </w:rPr>
            </w:pPr>
            <w:r>
              <w:rPr>
                <w:rFonts w:ascii="Courier New" w:cs="Courier New" w:eastAsia="Courier New" w:hAnsi="Courier New"/>
                <w:sz w:val="17"/>
                <w:szCs w:val="17"/>
                <w:color w:val="auto"/>
              </w:rPr>
              <w:t>$35.89 $35.89 $35.89 Call</w:t>
            </w:r>
          </w:p>
        </w:tc>
        <w:tc>
          <w:tcPr>
            <w:tcW w:w="920" w:type="dxa"/>
            <w:vAlign w:val="bottom"/>
          </w:tcPr>
          <w:p>
            <w:pPr>
              <w:spacing w:after="0"/>
              <w:rPr>
                <w:sz w:val="17"/>
                <w:szCs w:val="17"/>
                <w:color w:val="auto"/>
              </w:rPr>
            </w:pPr>
          </w:p>
        </w:tc>
      </w:tr>
      <w:tr>
        <w:trPr>
          <w:trHeight w:val="201"/>
        </w:trPr>
        <w:tc>
          <w:tcPr>
            <w:tcW w:w="14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3"/>
              </w:rPr>
              <w:t>price...............................................</w:t>
            </w:r>
          </w:p>
        </w:tc>
        <w:tc>
          <w:tcPr>
            <w:tcW w:w="30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8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$50.64</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$58.39</w:t>
            </w:r>
          </w:p>
        </w:tc>
        <w:tc>
          <w:tcPr>
            <w:tcW w:w="3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$67.97 Carrying value at December 31,</w:t>
            </w:r>
          </w:p>
        </w:tc>
      </w:tr>
      <w:tr>
        <w:trPr>
          <w:trHeight w:val="201"/>
        </w:trPr>
        <w:tc>
          <w:tcPr>
            <w:tcW w:w="1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2000......................</w:t>
            </w:r>
          </w:p>
        </w:tc>
        <w:tc>
          <w:tcPr>
            <w:tcW w:w="3060" w:type="dxa"/>
            <w:vAlign w:val="bottom"/>
          </w:tcPr>
          <w:p>
            <w:pPr>
              <w:jc w:val="right"/>
              <w:spacing w:after="0"/>
              <w:rPr>
                <w:sz w:val="20"/>
                <w:szCs w:val="20"/>
                <w:color w:val="auto"/>
              </w:rPr>
            </w:pPr>
            <w:r>
              <w:rPr>
                <w:rFonts w:ascii="Courier New" w:cs="Courier New" w:eastAsia="Courier New" w:hAnsi="Courier New"/>
                <w:sz w:val="17"/>
                <w:szCs w:val="17"/>
                <w:color w:val="auto"/>
              </w:rPr>
              <w:t>$ 267 $ 267</w:t>
            </w:r>
          </w:p>
        </w:tc>
        <w:tc>
          <w:tcPr>
            <w:tcW w:w="9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$ 267</w:t>
            </w:r>
          </w:p>
        </w:tc>
      </w:tr>
      <w:tr>
        <w:trPr>
          <w:trHeight w:val="604"/>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7"/>
                <w:szCs w:val="17"/>
                <w:color w:val="auto"/>
              </w:rPr>
              <w:t>L-132</w:t>
            </w:r>
          </w:p>
        </w:tc>
        <w:tc>
          <w:tcPr>
            <w:tcW w:w="920" w:type="dxa"/>
            <w:vAlign w:val="bottom"/>
          </w:tcPr>
          <w:p>
            <w:pPr>
              <w:spacing w:after="0"/>
              <w:rPr>
                <w:sz w:val="24"/>
                <w:szCs w:val="24"/>
                <w:color w:val="auto"/>
              </w:rPr>
            </w:pPr>
          </w:p>
        </w:tc>
      </w:tr>
    </w:tbl>
    <w:p>
      <w:pPr>
        <w:sectPr>
          <w:pgSz w:w="11900" w:h="16838" w:orient="portrait"/>
          <w:cols w:equalWidth="0" w:num="1">
            <w:col w:w="10219"/>
          </w:cols>
          <w:pgMar w:left="240" w:top="519" w:right="1440" w:bottom="1440" w:gutter="0" w:footer="0" w:header="0"/>
        </w:sectPr>
      </w:pPr>
    </w:p>
    <w:bookmarkStart w:id="744" w:name="page745"/>
    <w:bookmarkEnd w:id="744"/>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At maturity, such Comcast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396" w:lineRule="exact"/>
        <w:rPr>
          <w:sz w:val="20"/>
          <w:szCs w:val="20"/>
          <w:color w:val="auto"/>
        </w:rPr>
      </w:pPr>
    </w:p>
    <w:p>
      <w:pPr>
        <w:ind w:left="540" w:right="1939" w:firstLine="515"/>
        <w:spacing w:after="0" w:line="252" w:lineRule="auto"/>
        <w:tabs>
          <w:tab w:leader="none" w:pos="1483" w:val="left"/>
        </w:tabs>
        <w:numPr>
          <w:ilvl w:val="0"/>
          <w:numId w:val="8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greater than or equal to the call price, the exchange ratio will be a fraction the numerator of which is equal to the sum of (i) the put price, plus (ii) the excess of the fair market value of one share of Comcast common stock over the call price, and the denominator of which is equal to the fair market value of one share of Comcast common stock;</w:t>
      </w:r>
    </w:p>
    <w:p>
      <w:pPr>
        <w:spacing w:after="0" w:line="196" w:lineRule="exact"/>
        <w:rPr>
          <w:rFonts w:ascii="Courier New" w:cs="Courier New" w:eastAsia="Courier New" w:hAnsi="Courier New"/>
          <w:sz w:val="17"/>
          <w:szCs w:val="17"/>
          <w:color w:val="auto"/>
        </w:rPr>
      </w:pPr>
    </w:p>
    <w:p>
      <w:pPr>
        <w:ind w:left="540" w:right="2259" w:firstLine="515"/>
        <w:spacing w:after="0" w:line="257" w:lineRule="auto"/>
        <w:tabs>
          <w:tab w:leader="none" w:pos="1483" w:val="left"/>
        </w:tabs>
        <w:numPr>
          <w:ilvl w:val="0"/>
          <w:numId w:val="8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or equal to the put price, the exchange ratio will be 1;</w:t>
      </w:r>
    </w:p>
    <w:p>
      <w:pPr>
        <w:spacing w:after="0" w:line="191" w:lineRule="exact"/>
        <w:rPr>
          <w:rFonts w:ascii="Courier New" w:cs="Courier New" w:eastAsia="Courier New" w:hAnsi="Courier New"/>
          <w:sz w:val="17"/>
          <w:szCs w:val="17"/>
          <w:color w:val="auto"/>
        </w:rPr>
      </w:pPr>
    </w:p>
    <w:p>
      <w:pPr>
        <w:ind w:left="540" w:right="1839" w:firstLine="515"/>
        <w:spacing w:after="0" w:line="252" w:lineRule="auto"/>
        <w:tabs>
          <w:tab w:leader="none" w:pos="1483" w:val="left"/>
        </w:tabs>
        <w:numPr>
          <w:ilvl w:val="0"/>
          <w:numId w:val="8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the call price but greater than the put price, the exchange ratio will be a fraction of which the numerator is equal to the put price, and the denominator of which is equal to the fair market value of one Comcast common stock.</w:t>
      </w:r>
    </w:p>
    <w:p>
      <w:pPr>
        <w:spacing w:after="0" w:line="197"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Following is a summary of the Microsoft Exchangeable Notes outstanding at December 31, 2000, which are indexed to 10 million shares of Microsoft common stock: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MATURITY DATE</w:t>
            </w:r>
          </w:p>
        </w:tc>
        <w:tc>
          <w:tcPr>
            <w:tcW w:w="3780" w:type="dxa"/>
            <w:vAlign w:val="bottom"/>
            <w:gridSpan w:val="2"/>
          </w:tcPr>
          <w:p>
            <w:pPr>
              <w:spacing w:after="0"/>
              <w:rPr>
                <w:sz w:val="20"/>
                <w:szCs w:val="20"/>
                <w:color w:val="auto"/>
              </w:rPr>
            </w:pPr>
            <w:r>
              <w:rPr>
                <w:rFonts w:ascii="Courier New" w:cs="Courier New" w:eastAsia="Courier New" w:hAnsi="Courier New"/>
                <w:sz w:val="17"/>
                <w:szCs w:val="17"/>
                <w:color w:val="auto"/>
              </w:rPr>
              <w:t>2003 2004 2005 - ------------- -----</w:t>
            </w:r>
          </w:p>
        </w:tc>
      </w:tr>
      <w:tr>
        <w:trPr>
          <w:trHeight w:val="201"/>
        </w:trPr>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Courier New" w:cs="Courier New" w:eastAsia="Courier New" w:hAnsi="Courier New"/>
                <w:sz w:val="17"/>
                <w:szCs w:val="17"/>
                <w:color w:val="auto"/>
              </w:rPr>
              <w:t>- ------- ------- Face</w:t>
            </w:r>
          </w:p>
        </w:tc>
        <w:tc>
          <w:tcPr>
            <w:tcW w:w="800" w:type="dxa"/>
            <w:vAlign w:val="bottom"/>
          </w:tcPr>
          <w:p>
            <w:pPr>
              <w:spacing w:after="0"/>
              <w:rPr>
                <w:sz w:val="17"/>
                <w:szCs w:val="17"/>
                <w:color w:val="auto"/>
              </w:rPr>
            </w:pPr>
          </w:p>
        </w:tc>
      </w:tr>
      <w:tr>
        <w:trPr>
          <w:trHeight w:val="201"/>
        </w:trPr>
        <w:tc>
          <w:tcPr>
            <w:tcW w:w="15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1"/>
              </w:rPr>
              <w:t>value.............................................</w:t>
            </w:r>
          </w:p>
        </w:tc>
        <w:tc>
          <w:tcPr>
            <w:tcW w:w="29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1"/>
        </w:trPr>
        <w:tc>
          <w:tcPr>
            <w:tcW w:w="840" w:type="dxa"/>
            <w:vAlign w:val="bottom"/>
          </w:tcPr>
          <w:p>
            <w:pPr>
              <w:spacing w:after="0"/>
              <w:rPr>
                <w:sz w:val="17"/>
                <w:szCs w:val="17"/>
                <w:color w:val="auto"/>
              </w:rPr>
            </w:pP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980" w:type="dxa"/>
            <w:vAlign w:val="bottom"/>
          </w:tcPr>
          <w:p>
            <w:pPr>
              <w:spacing w:after="0"/>
              <w:rPr>
                <w:sz w:val="20"/>
                <w:szCs w:val="20"/>
                <w:color w:val="auto"/>
              </w:rPr>
            </w:pPr>
            <w:r>
              <w:rPr>
                <w:rFonts w:ascii="Courier New" w:cs="Courier New" w:eastAsia="Courier New" w:hAnsi="Courier New"/>
                <w:sz w:val="17"/>
                <w:szCs w:val="17"/>
                <w:color w:val="auto"/>
              </w:rPr>
              <w:t>227 $ 226 $ 226 Interest</w:t>
            </w:r>
          </w:p>
        </w:tc>
        <w:tc>
          <w:tcPr>
            <w:tcW w:w="800" w:type="dxa"/>
            <w:vAlign w:val="bottom"/>
          </w:tcPr>
          <w:p>
            <w:pPr>
              <w:spacing w:after="0"/>
              <w:rPr>
                <w:sz w:val="17"/>
                <w:szCs w:val="17"/>
                <w:color w:val="auto"/>
              </w:rPr>
            </w:pPr>
          </w:p>
        </w:tc>
      </w:tr>
      <w:tr>
        <w:trPr>
          <w:trHeight w:val="201"/>
        </w:trPr>
        <w:tc>
          <w:tcPr>
            <w:tcW w:w="15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rate..........................................</w:t>
            </w:r>
          </w:p>
        </w:tc>
        <w:tc>
          <w:tcPr>
            <w:tcW w:w="29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1"/>
        </w:trPr>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80" w:type="dxa"/>
            <w:vAlign w:val="bottom"/>
          </w:tcPr>
          <w:p>
            <w:pPr>
              <w:jc w:val="center"/>
              <w:ind w:right="573"/>
              <w:spacing w:after="0"/>
              <w:rPr>
                <w:sz w:val="20"/>
                <w:szCs w:val="20"/>
                <w:color w:val="auto"/>
              </w:rPr>
            </w:pPr>
            <w:r>
              <w:rPr>
                <w:rFonts w:ascii="Courier New" w:cs="Courier New" w:eastAsia="Courier New" w:hAnsi="Courier New"/>
                <w:sz w:val="17"/>
                <w:szCs w:val="17"/>
                <w:color w:val="auto"/>
              </w:rPr>
              <w:t>6.96% 7.00% 7.04% Put</w:t>
            </w:r>
          </w:p>
        </w:tc>
        <w:tc>
          <w:tcPr>
            <w:tcW w:w="800" w:type="dxa"/>
            <w:vAlign w:val="bottom"/>
          </w:tcPr>
          <w:p>
            <w:pPr>
              <w:spacing w:after="0"/>
              <w:rPr>
                <w:sz w:val="17"/>
                <w:szCs w:val="17"/>
                <w:color w:val="auto"/>
              </w:rPr>
            </w:pPr>
          </w:p>
        </w:tc>
      </w:tr>
      <w:tr>
        <w:trPr>
          <w:trHeight w:val="201"/>
        </w:trPr>
        <w:tc>
          <w:tcPr>
            <w:tcW w:w="15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price..............................................</w:t>
            </w:r>
          </w:p>
        </w:tc>
        <w:tc>
          <w:tcPr>
            <w:tcW w:w="29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1"/>
        </w:trPr>
        <w:tc>
          <w:tcPr>
            <w:tcW w:w="840" w:type="dxa"/>
            <w:vAlign w:val="bottom"/>
          </w:tcPr>
          <w:p>
            <w:pPr>
              <w:spacing w:after="0"/>
              <w:rPr>
                <w:sz w:val="17"/>
                <w:szCs w:val="17"/>
                <w:color w:val="auto"/>
              </w:rPr>
            </w:pPr>
          </w:p>
        </w:tc>
        <w:tc>
          <w:tcPr>
            <w:tcW w:w="36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$67.87 $ 67.87 $ 67.87 Call</w:t>
            </w:r>
          </w:p>
        </w:tc>
        <w:tc>
          <w:tcPr>
            <w:tcW w:w="800" w:type="dxa"/>
            <w:vAlign w:val="bottom"/>
          </w:tcPr>
          <w:p>
            <w:pPr>
              <w:spacing w:after="0"/>
              <w:rPr>
                <w:sz w:val="17"/>
                <w:szCs w:val="17"/>
                <w:color w:val="auto"/>
              </w:rPr>
            </w:pPr>
          </w:p>
        </w:tc>
      </w:tr>
      <w:tr>
        <w:trPr>
          <w:trHeight w:val="201"/>
        </w:trPr>
        <w:tc>
          <w:tcPr>
            <w:tcW w:w="15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1"/>
              </w:rPr>
              <w:t>price.............................................</w:t>
            </w:r>
          </w:p>
        </w:tc>
        <w:tc>
          <w:tcPr>
            <w:tcW w:w="29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1"/>
        </w:trPr>
        <w:tc>
          <w:tcPr>
            <w:tcW w:w="840" w:type="dxa"/>
            <w:vAlign w:val="bottom"/>
          </w:tcPr>
          <w:p>
            <w:pPr>
              <w:jc w:val="right"/>
              <w:ind w:right="48"/>
              <w:spacing w:after="0"/>
              <w:rPr>
                <w:sz w:val="20"/>
                <w:szCs w:val="20"/>
                <w:color w:val="auto"/>
              </w:rPr>
            </w:pPr>
            <w:r>
              <w:rPr>
                <w:rFonts w:ascii="Courier New" w:cs="Courier New" w:eastAsia="Courier New" w:hAnsi="Courier New"/>
                <w:sz w:val="17"/>
                <w:szCs w:val="17"/>
                <w:color w:val="auto"/>
              </w:rPr>
              <w:t>$97.39</w:t>
            </w:r>
          </w:p>
        </w:tc>
        <w:tc>
          <w:tcPr>
            <w:tcW w:w="44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$111.64 $128.60 Carrying value at December</w:t>
            </w:r>
          </w:p>
        </w:tc>
      </w:tr>
      <w:tr>
        <w:trPr>
          <w:trHeight w:val="201"/>
        </w:trPr>
        <w:tc>
          <w:tcPr>
            <w:tcW w:w="1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31, 2000....................</w:t>
            </w:r>
          </w:p>
        </w:tc>
        <w:tc>
          <w:tcPr>
            <w:tcW w:w="2980" w:type="dxa"/>
            <w:vAlign w:val="bottom"/>
          </w:tcPr>
          <w:p>
            <w:pPr>
              <w:jc w:val="right"/>
              <w:spacing w:after="0"/>
              <w:rPr>
                <w:sz w:val="20"/>
                <w:szCs w:val="20"/>
                <w:color w:val="auto"/>
              </w:rPr>
            </w:pPr>
            <w:r>
              <w:rPr>
                <w:rFonts w:ascii="Courier New" w:cs="Courier New" w:eastAsia="Courier New" w:hAnsi="Courier New"/>
                <w:sz w:val="17"/>
                <w:szCs w:val="17"/>
                <w:color w:val="auto"/>
              </w:rPr>
              <w:t>$ 145 $ 144</w:t>
            </w:r>
          </w:p>
        </w:tc>
        <w:tc>
          <w:tcPr>
            <w:tcW w:w="8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$ 144</w:t>
            </w:r>
          </w:p>
        </w:tc>
      </w:tr>
    </w:tbl>
    <w:p>
      <w:pPr>
        <w:spacing w:after="0" w:line="200" w:lineRule="exact"/>
        <w:rPr>
          <w:sz w:val="20"/>
          <w:szCs w:val="20"/>
          <w:color w:val="auto"/>
        </w:rPr>
      </w:pPr>
    </w:p>
    <w:p>
      <w:pPr>
        <w:spacing w:after="0" w:line="20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At maturity, the Microsoft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396" w:lineRule="exact"/>
        <w:rPr>
          <w:sz w:val="20"/>
          <w:szCs w:val="20"/>
          <w:color w:val="auto"/>
        </w:rPr>
      </w:pPr>
    </w:p>
    <w:p>
      <w:pPr>
        <w:ind w:left="540" w:right="1839" w:firstLine="515"/>
        <w:spacing w:after="0" w:line="252" w:lineRule="auto"/>
        <w:tabs>
          <w:tab w:leader="none" w:pos="1483" w:val="left"/>
        </w:tabs>
        <w:numPr>
          <w:ilvl w:val="0"/>
          <w:numId w:val="8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greater than the call price, the exchange ratio will be a fraction the numerator of which is equal to the sum of (i) the put price, plus (ii) the excess of the fair market value of one share of Microsoft common stock over the call price, and the denominator of which is equal to the fair market value of one share of Microsoft common stock;</w:t>
      </w:r>
    </w:p>
    <w:p>
      <w:pPr>
        <w:spacing w:after="0" w:line="196" w:lineRule="exact"/>
        <w:rPr>
          <w:rFonts w:ascii="Courier New" w:cs="Courier New" w:eastAsia="Courier New" w:hAnsi="Courier New"/>
          <w:sz w:val="17"/>
          <w:szCs w:val="17"/>
          <w:color w:val="auto"/>
        </w:rPr>
      </w:pPr>
    </w:p>
    <w:p>
      <w:pPr>
        <w:ind w:left="540" w:right="2039" w:firstLine="515"/>
        <w:spacing w:after="0" w:line="257" w:lineRule="auto"/>
        <w:tabs>
          <w:tab w:leader="none" w:pos="1483" w:val="left"/>
        </w:tabs>
        <w:numPr>
          <w:ilvl w:val="0"/>
          <w:numId w:val="8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less than or equal to the put price, the exchange ratio will be 1;</w:t>
      </w:r>
    </w:p>
    <w:p>
      <w:pPr>
        <w:spacing w:after="0" w:line="191" w:lineRule="exact"/>
        <w:rPr>
          <w:rFonts w:ascii="Courier New" w:cs="Courier New" w:eastAsia="Courier New" w:hAnsi="Courier New"/>
          <w:sz w:val="17"/>
          <w:szCs w:val="17"/>
          <w:color w:val="auto"/>
        </w:rPr>
      </w:pPr>
    </w:p>
    <w:p>
      <w:pPr>
        <w:ind w:left="540" w:right="2039" w:firstLine="515"/>
        <w:spacing w:after="0" w:line="252" w:lineRule="auto"/>
        <w:tabs>
          <w:tab w:leader="none" w:pos="1483" w:val="left"/>
        </w:tabs>
        <w:numPr>
          <w:ilvl w:val="0"/>
          <w:numId w:val="8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less than or equal to the call price but greater than the put price, the exchange ratio will be a fraction of which the numerator is equal to the put price, and the denominator of which is equal to the fair market value of one Microsoft common stock.</w:t>
      </w:r>
    </w:p>
    <w:p>
      <w:pPr>
        <w:spacing w:after="0" w:line="19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During 1999 and 1998, MediaOne issued debt (the "Vodafone Exchangeable Notes") which is mandatorily redeemable at AT&amp;T's option into (i) Vodafone Group plc ("Vodafone") American Depository Receipts ("ADRs") held by AT&amp;T Broadband Group, through MediaOne, (ii) the cash</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L-133</w:t>
      </w:r>
    </w:p>
    <w:p>
      <w:pPr>
        <w:sectPr>
          <w:pgSz w:w="11900" w:h="16838" w:orient="portrait"/>
          <w:cols w:equalWidth="0" w:num="1">
            <w:col w:w="10219"/>
          </w:cols>
          <w:pgMar w:left="240" w:top="519" w:right="1440" w:bottom="1440" w:gutter="0" w:footer="0" w:header="0"/>
        </w:sectPr>
      </w:pPr>
    </w:p>
    <w:bookmarkStart w:id="745" w:name="page746"/>
    <w:bookmarkEnd w:id="745"/>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equivalent, or (iii) a combination of cash and Vodafone ADRs. The maturity value of the Vodafone Exchangeable Notes varies based on the fair value of a Vodafone ADR.</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Following is a summary of the Vodafone Exchangeable Notes outstanding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2000, which are indexed to Vodafone ADRs:</w:t>
      </w:r>
    </w:p>
    <w:p>
      <w:pPr>
        <w:spacing w:after="0" w:line="210"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MATURITY DATE 2001 2002 - ------------- ------ ------</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Face</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value..................................................</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$1,686 $1,129 Interest</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6.25% 7.0% Put</w:t>
      </w:r>
    </w:p>
    <w:p>
      <w:pPr>
        <w:spacing w:after="0" w:line="9"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7"/>
          <w:szCs w:val="17"/>
          <w:color w:val="auto"/>
        </w:rPr>
        <w:t>price...................................................</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$19.65 $43.44 Call</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price..................................................</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$25.10 $51.26 Carrying value at December 31,</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2000......................... $2,337 $1,012</w:t>
      </w:r>
    </w:p>
    <w:p>
      <w:pPr>
        <w:spacing w:after="0" w:line="200" w:lineRule="exact"/>
        <w:rPr>
          <w:sz w:val="20"/>
          <w:szCs w:val="20"/>
          <w:color w:val="auto"/>
        </w:rPr>
      </w:pPr>
    </w:p>
    <w:p>
      <w:pPr>
        <w:spacing w:after="0" w:line="212" w:lineRule="exact"/>
        <w:rPr>
          <w:sz w:val="20"/>
          <w:szCs w:val="20"/>
          <w:color w:val="auto"/>
        </w:rPr>
      </w:pPr>
    </w:p>
    <w:p>
      <w:pPr>
        <w:jc w:val="both"/>
        <w:ind w:right="1939" w:firstLine="524"/>
        <w:spacing w:after="0" w:line="253" w:lineRule="auto"/>
        <w:rPr>
          <w:sz w:val="20"/>
          <w:szCs w:val="20"/>
          <w:color w:val="auto"/>
        </w:rPr>
      </w:pPr>
      <w:r>
        <w:rPr>
          <w:rFonts w:ascii="Courier New" w:cs="Courier New" w:eastAsia="Courier New" w:hAnsi="Courier New"/>
          <w:sz w:val="17"/>
          <w:szCs w:val="17"/>
          <w:color w:val="auto"/>
        </w:rPr>
        <w:t>The Vodafone Exchangeable Notes that mature in 2001, which are indexed to 29 million Vodafone ADRs, will be exchanged at maturity based upon a redemption value of $9.00 in cash plus 2 1/2 times the fair market value of a Vodafone ADR ("Maturity Price"), as follows:</w:t>
      </w:r>
    </w:p>
    <w:p>
      <w:pPr>
        <w:spacing w:after="0" w:line="195" w:lineRule="exact"/>
        <w:rPr>
          <w:sz w:val="20"/>
          <w:szCs w:val="20"/>
          <w:color w:val="auto"/>
        </w:rPr>
      </w:pPr>
    </w:p>
    <w:p>
      <w:pPr>
        <w:ind w:left="540" w:right="1839" w:firstLine="515"/>
        <w:spacing w:after="0" w:line="254" w:lineRule="auto"/>
        <w:tabs>
          <w:tab w:leader="none" w:pos="1483" w:val="left"/>
        </w:tabs>
        <w:numPr>
          <w:ilvl w:val="0"/>
          <w:numId w:val="8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Maturity Price is greater than or equal to $9.00 plus 2 1/2 times the call price per share, each Vodafone Exchangeable Note is equivalent to 0.8101 of the Maturity Price;</w:t>
      </w:r>
    </w:p>
    <w:p>
      <w:pPr>
        <w:spacing w:after="0" w:line="194" w:lineRule="exact"/>
        <w:rPr>
          <w:rFonts w:ascii="Courier New" w:cs="Courier New" w:eastAsia="Courier New" w:hAnsi="Courier New"/>
          <w:sz w:val="17"/>
          <w:szCs w:val="17"/>
          <w:color w:val="auto"/>
        </w:rPr>
      </w:pPr>
    </w:p>
    <w:p>
      <w:pPr>
        <w:ind w:left="540" w:right="2139" w:firstLine="515"/>
        <w:spacing w:after="0" w:line="254" w:lineRule="auto"/>
        <w:tabs>
          <w:tab w:leader="none" w:pos="1483" w:val="left"/>
        </w:tabs>
        <w:numPr>
          <w:ilvl w:val="0"/>
          <w:numId w:val="8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Maturity Price is less than or equal to $9.00 plus 2 1/2 times the put price per share, each Vodafone Exchangeable Note is equivalent to the Maturity Price; or</w:t>
      </w:r>
    </w:p>
    <w:p>
      <w:pPr>
        <w:spacing w:after="0" w:line="194" w:lineRule="exact"/>
        <w:rPr>
          <w:rFonts w:ascii="Courier New" w:cs="Courier New" w:eastAsia="Courier New" w:hAnsi="Courier New"/>
          <w:sz w:val="17"/>
          <w:szCs w:val="17"/>
          <w:color w:val="auto"/>
        </w:rPr>
      </w:pPr>
    </w:p>
    <w:p>
      <w:pPr>
        <w:jc w:val="both"/>
        <w:ind w:left="540" w:right="2139" w:firstLine="515"/>
        <w:spacing w:after="0" w:line="254" w:lineRule="auto"/>
        <w:tabs>
          <w:tab w:leader="none" w:pos="1483" w:val="left"/>
        </w:tabs>
        <w:numPr>
          <w:ilvl w:val="0"/>
          <w:numId w:val="8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Maturity Price is less than $71.75 per share but greater than $58.125 per share, each Vodafone Exchangeable Note is equivalent to $58.125.</w:t>
      </w:r>
    </w:p>
    <w:p>
      <w:pPr>
        <w:spacing w:after="0" w:line="194"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The redemption formula for such Vodafone Exchangeable Notes that mature in 2002, which are indexed to 26 million shares of Vodafone ADRs, is as follows:</w:t>
      </w:r>
    </w:p>
    <w:p>
      <w:pPr>
        <w:spacing w:after="0" w:line="192" w:lineRule="exact"/>
        <w:rPr>
          <w:sz w:val="20"/>
          <w:szCs w:val="20"/>
          <w:color w:val="auto"/>
        </w:rPr>
      </w:pPr>
    </w:p>
    <w:p>
      <w:pPr>
        <w:ind w:left="540" w:right="2039" w:firstLine="515"/>
        <w:spacing w:after="0" w:line="254" w:lineRule="auto"/>
        <w:tabs>
          <w:tab w:leader="none" w:pos="1483" w:val="left"/>
        </w:tabs>
        <w:numPr>
          <w:ilvl w:val="0"/>
          <w:numId w:val="8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greater than or equal to the call price, each Vodafone exchangeable Note is equivalent to 0.8475 of a Vodafone ADR;</w:t>
      </w:r>
    </w:p>
    <w:p>
      <w:pPr>
        <w:spacing w:after="0" w:line="194" w:lineRule="exact"/>
        <w:rPr>
          <w:rFonts w:ascii="Courier New" w:cs="Courier New" w:eastAsia="Courier New" w:hAnsi="Courier New"/>
          <w:sz w:val="17"/>
          <w:szCs w:val="17"/>
          <w:color w:val="auto"/>
        </w:rPr>
      </w:pPr>
    </w:p>
    <w:p>
      <w:pPr>
        <w:ind w:left="540" w:right="2039" w:firstLine="515"/>
        <w:spacing w:after="0" w:line="254" w:lineRule="auto"/>
        <w:tabs>
          <w:tab w:leader="none" w:pos="1483" w:val="left"/>
        </w:tabs>
        <w:numPr>
          <w:ilvl w:val="0"/>
          <w:numId w:val="8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less than or equal to the put price, each Vodafone Exchangeable Note is equivalent to one Vodafone ADR; or</w:t>
      </w:r>
    </w:p>
    <w:p>
      <w:pPr>
        <w:spacing w:after="0" w:line="194" w:lineRule="exact"/>
        <w:rPr>
          <w:rFonts w:ascii="Courier New" w:cs="Courier New" w:eastAsia="Courier New" w:hAnsi="Courier New"/>
          <w:sz w:val="17"/>
          <w:szCs w:val="17"/>
          <w:color w:val="auto"/>
        </w:rPr>
      </w:pPr>
    </w:p>
    <w:p>
      <w:pPr>
        <w:ind w:left="540" w:right="2039" w:firstLine="515"/>
        <w:spacing w:after="0" w:line="253" w:lineRule="auto"/>
        <w:tabs>
          <w:tab w:leader="none" w:pos="1483" w:val="left"/>
        </w:tabs>
        <w:numPr>
          <w:ilvl w:val="0"/>
          <w:numId w:val="8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less than the call price but greater than the put price, each Vodafone Exchangeable Note is equivalent to a fraction of a Vodafone ADR equal to (i) the put price divided by (ii) the fair market value of one Vodafone ADR.</w:t>
      </w:r>
    </w:p>
    <w:p>
      <w:pPr>
        <w:spacing w:after="0" w:line="195"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exchangeable notes are being accounted for as indexed debt instruments since the maturity value of the debt is dependent upon the fair market value of the underlying Comcast, Microsoft and Vodafone securities. The exchangeable notes contain an embedded option that hedges the market risk of a decline in value of Comcast, Microsoft and Vodafone securities. The market risk of a decline in Comcast and Microsoft stock, and Vodafone ADRs, below the respective put prices has been eliminated. In addition, any market gains we may earn have been limited to the call prices, with the exception of certain debt indexed to Comcast stock and the debt indexed to the Vodafone ADRs, which provides for our participation in a portion of the market gains above the call price.</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Since the Comcast, Microsoft and Vodafone securities are cost method investments being accounted for as "available-for-sale" securities under SFAS No. 115, "Accounting for Certain Investments in Debt and Equity Securities," changes in the maturity value of the exchangeable notes and the underlying securities are being recorded as unrealized gains or losses, net of tax, within other comprehensive income as a component of combined attributed net assets.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L-134</w:t>
      </w:r>
    </w:p>
    <w:p>
      <w:pPr>
        <w:sectPr>
          <w:pgSz w:w="11900" w:h="16838" w:orient="portrait"/>
          <w:cols w:equalWidth="0" w:num="1">
            <w:col w:w="10219"/>
          </w:cols>
          <w:pgMar w:left="240" w:top="518" w:right="1440" w:bottom="256" w:gutter="0" w:footer="0" w:header="0"/>
        </w:sectPr>
      </w:pPr>
    </w:p>
    <w:bookmarkStart w:id="746" w:name="page747"/>
    <w:bookmarkEnd w:id="746"/>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exchangeable notes indexed to Comcast common stock and Microsoft common stock are secured by the Comcast and Microsoft investments AT&amp;T Broadband Group owns, through ATTBLLC and MediaOne. The exchangeable notes indexed to Vodafone are unsecured obligations, ranking equally in right of payment with all other unsecured and unsubordinated obligations of AT&amp;T.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EXCHANGEABLE NOTES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During 2000, AT&amp;T Broadband Group, through MediaOne, also entered into a series of purchased and written options with a number of financial institutions to monetize its holdings of 21.9 million shares of Microsoft common stock and issued floating rate debt, which is attributed to AT&amp;T Broadband Group. The carrying value of the debt outstanding at December 31, 2000 was $1,369, which pays interest at the three month London Inter-Bank Offering Rate ("LIBOR") plus 0.4%. The debt matures annually with $458 maturing in 2003 and 2004, and $453 maturing in 2005, and is repayable at AT&amp;T's option in either Microsoft common stock or cash.</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addition, two subsidiaries of MediaOne, MediaOne SPC IV and MediaOne SPC VI, entered into a series of purchased and written options on Vodafone ADRs contributed to them by MediaOne and issued floating rate debt. The carrying value of the debt outstanding at December 31, 2000 was $1,739, which pays interest at a three-month LIBOR plus 0.5%. This debt has been attributed to AT&amp;T Broadband Group and matures in equal quarterly installments beginning in 2003 and ending in 2005. The assets of MediaOne SPC IV, which are primarily 29.1 million Vodafone ADRs, are only available to pay the creditors of MediaOne SPC IV. Likewise, the assets of MediaOne SPC VI, which are primarily 18.0 million Vodafone ADRs, are only available to pay the creditors of MediaOne SPC VI.</w:t>
      </w:r>
    </w:p>
    <w:p>
      <w:pPr>
        <w:spacing w:after="0" w:line="201" w:lineRule="exact"/>
        <w:rPr>
          <w:sz w:val="20"/>
          <w:szCs w:val="20"/>
          <w:color w:val="auto"/>
        </w:rPr>
      </w:pPr>
    </w:p>
    <w:p>
      <w:pPr>
        <w:ind w:left="220" w:right="1839"/>
        <w:spacing w:after="0" w:line="257" w:lineRule="auto"/>
        <w:rPr>
          <w:sz w:val="20"/>
          <w:szCs w:val="20"/>
          <w:color w:val="auto"/>
        </w:rPr>
      </w:pPr>
      <w:r>
        <w:rPr>
          <w:rFonts w:ascii="Courier New" w:cs="Courier New" w:eastAsia="Courier New" w:hAnsi="Courier New"/>
          <w:sz w:val="17"/>
          <w:szCs w:val="17"/>
          <w:color w:val="auto"/>
        </w:rPr>
        <w:t>SUBSIDIARY-OBLIGATED MANDATORILY REDEEMABLE PREFERRED SECURITIES OF SUBSIDIARY TRUSTS HOLDING SOLELY SUBORDINATED DEBT SECURITIES</w:t>
      </w:r>
    </w:p>
    <w:p>
      <w:pPr>
        <w:spacing w:after="0" w:line="192" w:lineRule="exact"/>
        <w:rPr>
          <w:sz w:val="20"/>
          <w:szCs w:val="20"/>
          <w:color w:val="auto"/>
        </w:rPr>
      </w:pPr>
    </w:p>
    <w:p>
      <w:pPr>
        <w:jc w:val="both"/>
        <w:ind w:right="1939" w:firstLine="524"/>
        <w:spacing w:after="0" w:line="254" w:lineRule="auto"/>
        <w:rPr>
          <w:sz w:val="20"/>
          <w:szCs w:val="20"/>
          <w:color w:val="auto"/>
        </w:rPr>
      </w:pPr>
      <w:r>
        <w:rPr>
          <w:rFonts w:ascii="Courier New" w:cs="Courier New" w:eastAsia="Courier New" w:hAnsi="Courier New"/>
          <w:sz w:val="17"/>
          <w:szCs w:val="17"/>
          <w:color w:val="auto"/>
        </w:rPr>
        <w:t>Certain subsidiary trusts (the "Trusts") of AT&amp;T Broadband Group, through ATTBLLC and MediaOne, had preferred securities outstanding at December 31, 2000 and 1999 as follows:</w:t>
      </w:r>
    </w:p>
    <w:p>
      <w:pPr>
        <w:spacing w:after="0" w:line="19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CARRYING AMOUNT INTEREST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MATURITY ----------------</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SUBSIDIARY TRUST RATE DATE</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2000 1999 -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ind w:left="120" w:right="7179" w:firstLine="359"/>
        <w:spacing w:after="0" w:line="251" w:lineRule="auto"/>
        <w:tabs>
          <w:tab w:leader="none" w:pos="801" w:val="left"/>
        </w:tabs>
        <w:numPr>
          <w:ilvl w:val="1"/>
          <w:numId w:val="8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TCI Communications Financing I.................</w:t>
      </w:r>
    </w:p>
    <w:p>
      <w:pPr>
        <w:jc w:val="center"/>
        <w:ind w:left="60" w:right="7119" w:firstLine="157"/>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8.72% 2045 $ 528 $ 528 TCI Communications Financing II................ 10.00% 2045 514 521 TCI Communications Financing III............... 9.65% 2027 357 360 TCI Communications Financing IV................</w:t>
      </w: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9.72% 2036 204 217 MediaOne</w:t>
      </w:r>
    </w:p>
    <w:p>
      <w:pPr>
        <w:spacing w:after="0" w:line="8" w:lineRule="exact"/>
        <w:rPr>
          <w:rFonts w:ascii="Courier New" w:cs="Courier New" w:eastAsia="Courier New" w:hAnsi="Courier New"/>
          <w:sz w:val="17"/>
          <w:szCs w:val="17"/>
          <w:color w:val="auto"/>
        </w:rPr>
      </w:pPr>
    </w:p>
    <w:p>
      <w:pPr>
        <w:ind w:left="1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Financing</w:t>
      </w:r>
    </w:p>
    <w:p>
      <w:pPr>
        <w:spacing w:after="0" w:line="8" w:lineRule="exact"/>
        <w:rPr>
          <w:rFonts w:ascii="Courier New" w:cs="Courier New" w:eastAsia="Courier New" w:hAnsi="Courier New"/>
          <w:sz w:val="17"/>
          <w:szCs w:val="17"/>
          <w:color w:val="auto"/>
        </w:rPr>
      </w:pPr>
    </w:p>
    <w:p>
      <w:pPr>
        <w:ind w:left="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7.96% 2025 30 -- MediaOne</w:t>
      </w:r>
    </w:p>
    <w:p>
      <w:pPr>
        <w:spacing w:after="0" w:line="8" w:lineRule="exact"/>
        <w:rPr>
          <w:rFonts w:ascii="Courier New" w:cs="Courier New" w:eastAsia="Courier New" w:hAnsi="Courier New"/>
          <w:sz w:val="17"/>
          <w:szCs w:val="17"/>
          <w:color w:val="auto"/>
        </w:rPr>
      </w:pPr>
    </w:p>
    <w:p>
      <w:pPr>
        <w:ind w:left="1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Financing</w:t>
      </w:r>
    </w:p>
    <w:p>
      <w:pPr>
        <w:spacing w:after="0" w:line="8" w:lineRule="exact"/>
        <w:rPr>
          <w:rFonts w:ascii="Courier New" w:cs="Courier New" w:eastAsia="Courier New" w:hAnsi="Courier New"/>
          <w:sz w:val="17"/>
          <w:szCs w:val="17"/>
          <w:color w:val="auto"/>
        </w:rPr>
      </w:pPr>
    </w:p>
    <w:p>
      <w:pPr>
        <w:ind w:left="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II..........................</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8.25% 2036 28 -- MediaOne</w:t>
      </w:r>
    </w:p>
    <w:p>
      <w:pPr>
        <w:spacing w:after="0" w:line="8" w:lineRule="exact"/>
        <w:rPr>
          <w:rFonts w:ascii="Courier New" w:cs="Courier New" w:eastAsia="Courier New" w:hAnsi="Courier New"/>
          <w:sz w:val="17"/>
          <w:szCs w:val="17"/>
          <w:color w:val="auto"/>
        </w:rPr>
      </w:pPr>
    </w:p>
    <w:p>
      <w:pPr>
        <w:ind w:left="1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Finance</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II............................</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9.50% 2036 214 -- MediaOne</w:t>
      </w:r>
    </w:p>
    <w:p>
      <w:pPr>
        <w:spacing w:after="0" w:line="8" w:lineRule="exact"/>
        <w:rPr>
          <w:rFonts w:ascii="Courier New" w:cs="Courier New" w:eastAsia="Courier New" w:hAnsi="Courier New"/>
          <w:sz w:val="17"/>
          <w:szCs w:val="17"/>
          <w:color w:val="auto"/>
        </w:rPr>
      </w:pPr>
    </w:p>
    <w:p>
      <w:pPr>
        <w:ind w:left="1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Finance</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III...........................</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9.04% 2038 504 -- ------ ----</w:t>
      </w:r>
    </w:p>
    <w:p>
      <w:pPr>
        <w:spacing w:after="0" w:line="8" w:lineRule="exact"/>
        <w:rPr>
          <w:rFonts w:ascii="Courier New" w:cs="Courier New" w:eastAsia="Courier New" w:hAnsi="Courier New"/>
          <w:sz w:val="17"/>
          <w:szCs w:val="17"/>
          <w:color w:val="auto"/>
        </w:rPr>
      </w:pPr>
    </w:p>
    <w:p>
      <w:pPr>
        <w:ind w:left="680" w:hanging="306"/>
        <w:spacing w:after="0"/>
        <w:tabs>
          <w:tab w:leader="none" w:pos="680" w:val="left"/>
        </w:tabs>
        <w:numPr>
          <w:ilvl w:val="0"/>
          <w:numId w:val="8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$2,379 $1,626 ======</w:t>
      </w:r>
    </w:p>
    <w:p>
      <w:pPr>
        <w:spacing w:after="0" w:line="8" w:lineRule="exact"/>
        <w:rPr>
          <w:rFonts w:ascii="Courier New" w:cs="Courier New" w:eastAsia="Courier New" w:hAnsi="Courier New"/>
          <w:sz w:val="17"/>
          <w:szCs w:val="17"/>
          <w:color w:val="auto"/>
        </w:rPr>
      </w:pPr>
    </w:p>
    <w:p>
      <w:pPr>
        <w:ind w:left="1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Trusts were created for the exclusive purpose of issuing the Trust Preferred Securities and investing the proceeds thereof into Subordinated Deferrable Interest Notes (the "Subordinated Debt Securities") of TCI and MediaOne. The Subordinated Debt Securities have interest rates equal to the interest rate of the corresponding Trust Preferred Securities. The TCI Communications Financing I and II Trust Preferred Securities are callable at face value beginning January and May 2001, respectively. The TCI Communications</w:t>
      </w:r>
    </w:p>
    <w:p>
      <w:pPr>
        <w:sectPr>
          <w:pgSz w:w="11900" w:h="16838" w:orient="portrait"/>
          <w:cols w:equalWidth="0" w:num="1">
            <w:col w:w="10219"/>
          </w:cols>
          <w:pgMar w:left="240" w:top="518" w:right="1440" w:bottom="0" w:gutter="0" w:footer="0" w:header="0"/>
        </w:sectPr>
      </w:pPr>
    </w:p>
    <w:bookmarkStart w:id="747" w:name="page748"/>
    <w:bookmarkEnd w:id="747"/>
    <w:p>
      <w:pPr>
        <w:spacing w:after="0"/>
        <w:rPr>
          <w:sz w:val="20"/>
          <w:szCs w:val="20"/>
          <w:color w:val="auto"/>
        </w:rPr>
      </w:pPr>
      <w:r>
        <w:rPr>
          <w:rFonts w:ascii="Courier New" w:cs="Courier New" w:eastAsia="Courier New" w:hAnsi="Courier New"/>
          <w:sz w:val="17"/>
          <w:szCs w:val="17"/>
          <w:color w:val="auto"/>
        </w:rPr>
        <w:t>Financing III Trust Preferred Securities are callable at 104.825% of face value</w:t>
      </w:r>
    </w:p>
    <w:p>
      <w:pPr>
        <w:sectPr>
          <w:pgSz w:w="11900" w:h="16838" w:orient="portrait"/>
          <w:cols w:equalWidth="0" w:num="1">
            <w:col w:w="10219"/>
          </w:cols>
          <w:pgMar w:left="240" w:top="142" w:right="1440" w:bottom="1440" w:gutter="0" w:footer="0" w:header="0"/>
        </w:sectPr>
      </w:pP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L-135</w:t>
      </w:r>
    </w:p>
    <w:p>
      <w:pPr>
        <w:sectPr>
          <w:pgSz w:w="11900" w:h="16838" w:orient="portrait"/>
          <w:cols w:equalWidth="0" w:num="1">
            <w:col w:w="10219"/>
          </w:cols>
          <w:pgMar w:left="240" w:top="142" w:right="1440" w:bottom="1440" w:gutter="0" w:footer="0" w:header="0"/>
          <w:type w:val="continuous"/>
        </w:sectPr>
      </w:pPr>
    </w:p>
    <w:bookmarkStart w:id="748" w:name="page749"/>
    <w:bookmarkEnd w:id="748"/>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beginning in March 2007. TCI Communications Financing IV Trust Preferred Securities are callable at face value beginning in March 2002. Upon redemption of the Subordinated Debt Securities, the Trust Preferred Securities will be mandatorily redeemable. All of the MediaOne Subordinated Debt Securities are redeemable at a redemption price of $25.00 per security, plus accrued and unpaid interest. Upon redemption of the MediaOne Subordinated Debt Securities, the MediaOne Trust Preferred Securities are mandatorily redeemable at a price of $25.00 per share, plus accrued and unpaid distributions. The 7.96% MediaOne Subordinated Debt Securities became redeemable after September 11, 2000. The 9.50% and 8.25% MediaOne Subordinated Debt Securities are redeemable after October 29, 2001. The 9.04% MediaOne Subordinated Debt Securities are redeemable after October 28, 2003. The Trust Preferred Securities are recorded within long-term debt in the accompanying combined balance sheet. AT&amp;T Broadband, LLC effectively provides a free and unconditional guarantee of all the TCI Trusts' obligations under the Trust Preferred Securities. In 2000, AT&amp;T provided a full and unconditional guarantee on the outstanding securities issued by TCI Communications Financing I, II and IV. MediaOne has effectively provided a full and unconditional guarantee of the MediaOne trust obligations under the Trust Preferred Securities. In 2000, AT&amp;T provided a full and unconditional guarantee of the MediaOne Trust Preferred Securities. Dividends accrued and paid on the Trust Preferred Securities aggregated $182 and $114 for the for the year ended December 31, 2000 and the ten months ended December 31, 1999, respectively, and are included in interest expense in the accompanying combined financial statements. AT&amp;T has the right to defer interest payments up to 20 consecutive quarters; as a consequence, dividend payments on the Trust Preferred Securities can be deferred by the trusts during any such interest-payment period.</w:t>
      </w:r>
    </w:p>
    <w:p>
      <w:pPr>
        <w:spacing w:after="0" w:line="202"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Annual maturities at December 31, 2000, of the $22,590 in total long-term obligations are as follows: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Pr>
          <w:p>
            <w:pPr>
              <w:spacing w:after="0"/>
              <w:rPr>
                <w:sz w:val="20"/>
                <w:szCs w:val="20"/>
                <w:color w:val="auto"/>
              </w:rPr>
            </w:pPr>
            <w:r>
              <w:rPr>
                <w:rFonts w:ascii="Courier New" w:cs="Courier New" w:eastAsia="Courier New" w:hAnsi="Courier New"/>
                <w:sz w:val="17"/>
                <w:szCs w:val="17"/>
                <w:color w:val="auto"/>
              </w:rPr>
              <w:t>2001................................</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$3,073</w:t>
            </w:r>
          </w:p>
        </w:tc>
      </w:tr>
      <w:tr>
        <w:trPr>
          <w:trHeight w:val="201"/>
        </w:trPr>
        <w:tc>
          <w:tcPr>
            <w:tcW w:w="3880" w:type="dxa"/>
            <w:vAlign w:val="bottom"/>
          </w:tcPr>
          <w:p>
            <w:pPr>
              <w:spacing w:after="0"/>
              <w:rPr>
                <w:sz w:val="20"/>
                <w:szCs w:val="20"/>
                <w:color w:val="auto"/>
              </w:rPr>
            </w:pPr>
            <w:r>
              <w:rPr>
                <w:rFonts w:ascii="Courier New" w:cs="Courier New" w:eastAsia="Courier New" w:hAnsi="Courier New"/>
                <w:sz w:val="17"/>
                <w:szCs w:val="17"/>
                <w:color w:val="auto"/>
              </w:rPr>
              <w:t>2002................................</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1,700</w:t>
            </w:r>
          </w:p>
        </w:tc>
      </w:tr>
      <w:tr>
        <w:trPr>
          <w:trHeight w:val="201"/>
        </w:trPr>
        <w:tc>
          <w:tcPr>
            <w:tcW w:w="3880" w:type="dxa"/>
            <w:vAlign w:val="bottom"/>
          </w:tcPr>
          <w:p>
            <w:pPr>
              <w:spacing w:after="0"/>
              <w:rPr>
                <w:sz w:val="20"/>
                <w:szCs w:val="20"/>
                <w:color w:val="auto"/>
              </w:rPr>
            </w:pPr>
            <w:r>
              <w:rPr>
                <w:rFonts w:ascii="Courier New" w:cs="Courier New" w:eastAsia="Courier New" w:hAnsi="Courier New"/>
                <w:sz w:val="17"/>
                <w:szCs w:val="17"/>
                <w:color w:val="auto"/>
              </w:rPr>
              <w:t>2003................................</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3,071</w:t>
            </w:r>
          </w:p>
        </w:tc>
      </w:tr>
      <w:tr>
        <w:trPr>
          <w:trHeight w:val="201"/>
        </w:trPr>
        <w:tc>
          <w:tcPr>
            <w:tcW w:w="3880" w:type="dxa"/>
            <w:vAlign w:val="bottom"/>
          </w:tcPr>
          <w:p>
            <w:pPr>
              <w:spacing w:after="0"/>
              <w:rPr>
                <w:sz w:val="20"/>
                <w:szCs w:val="20"/>
                <w:color w:val="auto"/>
              </w:rPr>
            </w:pPr>
            <w:r>
              <w:rPr>
                <w:rFonts w:ascii="Courier New" w:cs="Courier New" w:eastAsia="Courier New" w:hAnsi="Courier New"/>
                <w:sz w:val="17"/>
                <w:szCs w:val="17"/>
                <w:color w:val="auto"/>
              </w:rPr>
              <w:t>2004................................</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1,693</w:t>
            </w:r>
          </w:p>
        </w:tc>
      </w:tr>
      <w:tr>
        <w:trPr>
          <w:trHeight w:val="201"/>
        </w:trPr>
        <w:tc>
          <w:tcPr>
            <w:tcW w:w="3880" w:type="dxa"/>
            <w:vAlign w:val="bottom"/>
          </w:tcPr>
          <w:p>
            <w:pPr>
              <w:spacing w:after="0"/>
              <w:rPr>
                <w:sz w:val="20"/>
                <w:szCs w:val="20"/>
                <w:color w:val="auto"/>
              </w:rPr>
            </w:pPr>
            <w:r>
              <w:rPr>
                <w:rFonts w:ascii="Courier New" w:cs="Courier New" w:eastAsia="Courier New" w:hAnsi="Courier New"/>
                <w:sz w:val="17"/>
                <w:szCs w:val="17"/>
                <w:color w:val="auto"/>
              </w:rPr>
              <w:t>2005................................</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3,144</w:t>
            </w:r>
          </w:p>
        </w:tc>
      </w:tr>
      <w:tr>
        <w:trPr>
          <w:trHeight w:val="201"/>
        </w:trPr>
        <w:tc>
          <w:tcPr>
            <w:tcW w:w="3880" w:type="dxa"/>
            <w:vAlign w:val="bottom"/>
          </w:tcPr>
          <w:p>
            <w:pPr>
              <w:spacing w:after="0"/>
              <w:rPr>
                <w:sz w:val="20"/>
                <w:szCs w:val="20"/>
                <w:color w:val="auto"/>
              </w:rPr>
            </w:pPr>
            <w:r>
              <w:rPr>
                <w:rFonts w:ascii="Courier New" w:cs="Courier New" w:eastAsia="Courier New" w:hAnsi="Courier New"/>
                <w:sz w:val="17"/>
                <w:szCs w:val="17"/>
                <w:color w:val="auto"/>
              </w:rPr>
              <w:t>Later years.........................</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9,909</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MINORITY INTEREST</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PREFERRED STOCK OF SUBSIDIARIES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Prior to the TCI Merger, TCI Pacific Communications Inc. ("Pacific"), an attributed entity of AT&amp;T Broadband Group, issued 5% Class A Senior Cumulative Exchangeable preferred stock, which remains outstanding. At December 31, 2000 and 1999, 6.3 million shares of such stock were authorized and outstanding. Each share is exchangeable, from and after August 1, 2001, for approximately 6.3 shares of AT&amp;T common stock, subject to certain antidilution adjustments. Additionally, Pacific may elect to make any dividend, redemption or liquidation payment in cash, shares of AT&amp;T common stock or a combination of the foregoing. The Pacific preferred stock is reflected within minority interest in the accompanying combined balance sheets and aggregated $2.1 billion at December 31, 2000 and 1999.</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Prior to the TCI Merger, TCI issued Class B 6% Cumulative Redeemable Exchangeable Junior preferred stock (the "Class B Preferred Stock"). At December 31, 1999, 1.6 million shares of Class B Preferred Stock were outstanding, net of shares held by a subsidiary, out of an authorized 1.7 million shares. The Class B Preferred Stock and accumulated dividends aggregated $152 at December 31, 1999, and were reflected within minority interest in the accompanying combined balance sheet at December 31, 1999. On February 22, 2000, all outstanding shares of Class B Preferred Stock were redeemed at $105.88 per share.</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L-136</w:t>
      </w:r>
    </w:p>
    <w:p>
      <w:pPr>
        <w:sectPr>
          <w:pgSz w:w="11900" w:h="16838" w:orient="portrait"/>
          <w:cols w:equalWidth="0" w:num="1">
            <w:col w:w="10219"/>
          </w:cols>
          <w:pgMar w:left="240" w:top="518" w:right="1440" w:bottom="1440" w:gutter="0" w:footer="0" w:header="0"/>
        </w:sectPr>
      </w:pPr>
    </w:p>
    <w:bookmarkStart w:id="749" w:name="page750"/>
    <w:bookmarkEnd w:id="749"/>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CENTAUR FUNDING CORPORATION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Prior to the MediaOne Merger, Centaur Funding Corporation ("Centaur"), a subsidiary of MediaOne, issued three series of preferred shares, the Auction Market Preference Shares, Series A ("Series A Shares"), the 9.08% Cumulative Preference Shares, Series B (the "Series B Shares"), and the Preference Shares, Series C (the "Series C Shares"). Centaur was created for the principal purpose of raising capital through the issuance of preferred shares and investing those proceeds into notes issued by MediaOne SPC II, a subsidiary of MediaOne. Principal and interest payments from the notes are expected to be Centaur's principal source of funds to make dividend and redemption payments on the preferred shares. In addition, the dividend and redemption payments on the preferred shares will be determined by reference to the dividend and redemption activity of the preferred stock of AirTouch Communications, Inc. ("ATI shares") held by MediaOne SPC II. AirTouch Communications, Inc. is a subsidiary of Vodafone. Payments on the preferred shares are neither guaranteed nor secured by MediaOne or AT&amp;T. The assets of MediaOne SPC II, which include the ATI shares, are only available to pay creditors of MediaOne SPC II. Centaur and MediaOne SPC II are attributed entities of AT&amp;T Broadband Group.</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At December 31, 2000, the following Centaur preferred securities, which have been attributed to AT&amp;T Broadband Group, were outstanding:</w:t>
      </w:r>
    </w:p>
    <w:p>
      <w:pPr>
        <w:spacing w:after="0" w:line="19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SHARES CARRYING DIVIDEND RATE</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MATURITY DATE OUTSTANDING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AMOUNT -------------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Series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Variable None 400 $ 100</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Series B</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9.08% April 21, 2020 934,500</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927 Series 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7"/>
          <w:szCs w:val="17"/>
          <w:color w:val="auto"/>
        </w:rPr>
        <w:t>None April 21, 2020 715,500</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118 ------ $1,145 ======</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Series A Shares have a liquidation value of $250 thousand per share and dividends are payable quarterly when declared by Centaur's Board of Directors out of funds legally available. The Series B Shares have a liquidation value of $1 thousand per share and dividends are payable quarterly in arrears when declared by Centaur's Board of Directors out of funds legally available. In addition, dividends may be declared and paid only to the extent dividends have been declared and paid on the ATI shares. The Series C Shares have a liquidation value of $1 thousand per share at maturity. The value of the Series C Shares will be accreted to its liquidation value upon maturity. The Series B Shares rank equally with the Series C Shares as to the redemption payments and upon liquidation, and the Series B and Series C Shares rank senior to the Series A Shares and the common stock shares of Centaur as to the redemption payments and upon liquidation. The Series B Shares rank senior to the Series A Shares and the common shares with respect to dividend payments. The preferred shares issued by Centaur are recorded within minority interest in the accompanying combined balance sheet at December 31, 2000.</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Dividends on the preferred shares were $55 for the year ended December 31, 2000 and were included within minority interest income (expense) in the combined statements of operations.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COMPANY-OBLIGATED CONVERTIBLE QUARTERLY INCOME PREFERRED SECURITIES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June 16, 1999, AT&amp;T Finance Trust I (the "AT&amp;T Trust"), a wholly owned subsidiary of AT&amp;T completed the private sale of 100 million shares of 5.0% cumulative quarterly income preferred securities ("Quarterly Preferred Securities") to Microsoft. Proceeds from the issuance were invested by the AT&amp;T Trust in junior subordinated debentures ("Debentures") issued by AT&amp;T due 2029, which represent the sole asset of the AT&amp;T Trust. The Quarterly Preferred Securities have been attributed to AT&amp;T Broadband Group.</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L-137</w:t>
      </w:r>
    </w:p>
    <w:p>
      <w:pPr>
        <w:sectPr>
          <w:pgSz w:w="11900" w:h="16838" w:orient="portrait"/>
          <w:cols w:equalWidth="0" w:num="1">
            <w:col w:w="10219"/>
          </w:cols>
          <w:pgMar w:left="240" w:top="519" w:right="1440" w:bottom="456" w:gutter="0" w:footer="0" w:header="0"/>
        </w:sectPr>
      </w:pPr>
    </w:p>
    <w:bookmarkStart w:id="750" w:name="page751"/>
    <w:bookmarkEnd w:id="750"/>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Quarterly Preferred Securities pay dividends at an annual rate of 5.0% of the liquidation preference of $50 per security, and are convertible at any time prior to maturity into 66.667 million shares of AT&amp;T common stock. The Quarterly Preferred Securities are subject to mandatory redemption upon repayment of the Debentures at maturity or their earlier redemption. The conversion feature can be terminated, under certain conditions, after three years.</w:t>
      </w:r>
    </w:p>
    <w:p>
      <w:pPr>
        <w:spacing w:after="0" w:line="398"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Debentures will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AT&amp;T may not, among other things, pay any dividends on AT&amp;T common stock until all interest in arrears is paid to the AT&amp;T Trust.</w:t>
      </w:r>
    </w:p>
    <w:p>
      <w:pPr>
        <w:spacing w:after="0" w:line="39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Dividends on the Quarterly Preferred Securities were $250 and $135 for the year ended December 31, 2000 and the ten months ended December 31, 1999, respectively, and are reported within minority interest income (expense) in the accompanying combined statements of operations.</w:t>
      </w:r>
    </w:p>
    <w:p>
      <w:pPr>
        <w:spacing w:after="0" w:line="195"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On June 16, 1999, AT&amp;T also issued to Microsoft 40 million warrants, each to purchase one share of AT&amp;T common stock at a price of $75 per share at the end of three years. Alternatively, the warrants are exercisable on a cashless basis. If the warrants are not exercised on the three-year anniversary of the closing date, the warrants expire.</w:t>
      </w:r>
    </w:p>
    <w:p>
      <w:pPr>
        <w:spacing w:after="0" w:line="19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A discount on the Quarterly Preferred Securities equal to the value of the warrants of $306 was recognized and is being amortized over the 30-year life of the Quarterly Preferred Securities as a component of minority interest income (expense) in the accompanying combined statements of operations.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FINANCIAL INSTRUMENTS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normal course of business, AT&amp;T Broadband Group uses various financial instruments, including derivative financial instruments, for purposes other than trading. AT&amp;T Broadband Group does not use derivative financial instruments for speculative purposes. Financial instruments used by AT&amp;T Broadband Group include guarantees of debt, letters of credit, option contracts and interest rate swap agreements. Option contracts are used to mitigate exposure to the fluctuations of stock prices of securities that collateralize certain debt instruments. Interest rate swap agreements are used to mitigate interest rate exposures. Collateral is generally not required for these types of instruments.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By their nature, all such instruments involve risk, including the credit risk of nonperformance by counterparties. The maximum potential loss associated with such risk may exceed the amount recognized in the balance sheet. However, at December 31, 2000 and 1999, in management's opinion there was no significant risk of loss in the event of nonperformance of the counterparties to these financial instruments. AT&amp;T Broadband Group controls its exposure to credit risk through credit approvals, credit limits and monitoring procedures. AT&amp;T Broadband Group does not have any significant exposure to any individual customer or counterparty, or any major concentration of credit risk related to any financial instruments.</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OPTION CONTRACTS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Prior to the MediaOne Merger two subsidiaries of MediaOne, MediaOne SPC IV and MediaOne SPC VI, entered into a series of purchased and written options (the "Vodafone Collars") on Vodafone ADRs contributed to them by MediaOne and issued floating rate debt. Such subsidiaries of MediaOne have been attributed to AT&amp;T Broadband Group. The Vodafone Collars have been designated and are effective as a hedge of the market risk associated with the investment in Vodafone ADRs. The Vodafone Collars are therefore carried at fair value, with unrealized gains and losses, net of tax, being recorded</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L-138</w:t>
      </w:r>
    </w:p>
    <w:p>
      <w:pPr>
        <w:sectPr>
          <w:pgSz w:w="11900" w:h="16838" w:orient="portrait"/>
          <w:cols w:equalWidth="0" w:num="1">
            <w:col w:w="10219"/>
          </w:cols>
          <w:pgMar w:left="240" w:top="517" w:right="1440" w:bottom="861" w:gutter="0" w:footer="0" w:header="0"/>
        </w:sectPr>
      </w:pPr>
    </w:p>
    <w:bookmarkStart w:id="751" w:name="page752"/>
    <w:bookmarkEnd w:id="751"/>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jc w:val="both"/>
        <w:ind w:right="2259"/>
        <w:spacing w:after="0" w:line="254" w:lineRule="auto"/>
        <w:rPr>
          <w:sz w:val="20"/>
          <w:szCs w:val="20"/>
          <w:color w:val="auto"/>
        </w:rPr>
      </w:pPr>
      <w:r>
        <w:rPr>
          <w:rFonts w:ascii="Courier New" w:cs="Courier New" w:eastAsia="Courier New" w:hAnsi="Courier New"/>
          <w:sz w:val="17"/>
          <w:szCs w:val="17"/>
          <w:color w:val="auto"/>
        </w:rPr>
        <w:t>within other comprehensive income as a component of combined attributed net assets, together with any change in the fair value of the Vodafone ADRs. The carrying value of the Vodafone Collars at December 31, 2000, was $453.</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the expiration of the MediaOne SPC IV collar, AT&amp;T Broadband Group will receive cash if the market value of a Vodafone ADR is less than approximately $34.00 per share, which effectively eliminates the downside risk if the stock price falls below $34.00 per share. Conversely, if the value of a Vodafone ADR is greater than approximately $49.00 per share, AT&amp;T Broadband Group will be required to pay cash, which effectively offsets the corresponding increase in the value of a Vodafone ADR. This Vodafone Collar expires quarterly beginning in 2003 and ending in 2005.</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 the expiration of the MediaOne SPC VI collar, AT&amp;T Broadband Group will receive cash if the market value of a Vodafone ADR is less than approximately $40.00 per share, which effectively eliminates the downside risk if the stock price falls below $40.00 per share. Conversely, if the market value of a Vodafone ADR is greater than approximately $58.00 per share, AT&amp;T Broadband Group will be required to pay cash, which effectively offsets the corresponding increase in the value of a Vodafone ADR. This Vodafone Collar expires quarterly beginning in 2003 and ending in 2005.</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During 2000, AT&amp;T also entered into a series of purchased and written options related to a portion of AT&amp;T's holdings in Microsoft stock (the "Microsoft Collar"), which is indexed to floating rate debt. AT&amp;T's holdings in Microsoft stock and the Microsoft Collar have been attributed to AT&amp;T Broadband Group. The Microsoft Collar has been designated and is effective as a hedge of the market risk associated with AT&amp;T's investment in Microsoft stock. The Microsoft Collar is carried at fair value, with unrealized gains or losses, net of tax, being recorded within other comprehensive income as a component of combined attributed net assets, together with any change in the fair value of the securities. The carrying value of the Microsoft Collar was $419 at December 31, 2000.</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the expiration of the Microsoft Collar, if the price of a Microsoft share is equal to or less than the put price of $62.48, AT&amp;T would exercise the put option and deliver all underlying shares of Microsoft common stock and receive cash equal in value to (i) the put price, multiplied by (ii) the underlying share amount. Alternatively, at AT&amp;T's option, AT&amp;T can elect not to deliver the underlying shares and instead settle the put option by receiving cash equal in value to the (i) difference between the put price minus the fair value of one Microsoft share, multiplied by (ii) the underlying share amount. If the price of a Microsoft share is greater than the call price, which ranges from $86.26 to $118.36, then the call option would be exercised and AT&amp;T would deliver all underlying shares and receive cash equal in value to (i) the call price, multiplied by (ii) the underlying share amount. At AT&amp;T's option, AT&amp;T can elect not to deliver the underlying shares and instead settle the call option by delivering cash equal in value to the (i) difference between the call price minus the fair value of one Microsoft share, multiplied by (ii) the underlying share amount. Any such amount received from the exercise or settlement of either put or call option will be used to retire the floating rate debt. AT&amp;T Broadband Group would retain cash in excess of the call price from a call option exercise. If the price of a Microsoft share is between the put price and the call price, the collar will expire without value.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INTEREST RATE SWAP AGREEMENTS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Interest rate swaps are entered into to manage exposure to changes in interest rates and to lower overall costs of financing. AT&amp;T enters into swap agreements to manage the fixed/floating mix of the debt portfolio in order to reduce aggregate risk to interest rate movements. Interest rate swaps also allow funds to be raised at floating rates and effectively swap them into fixed rates that are lower than those available if fixed-rate borrowings were made directly. These agreements involve the exchange of fixed-rate for</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L-139</w:t>
      </w:r>
    </w:p>
    <w:p>
      <w:pPr>
        <w:sectPr>
          <w:pgSz w:w="11900" w:h="16838" w:orient="portrait"/>
          <w:cols w:equalWidth="0" w:num="1">
            <w:col w:w="10219"/>
          </w:cols>
          <w:pgMar w:left="240" w:top="518" w:right="1440" w:bottom="1440" w:gutter="0" w:footer="0" w:header="0"/>
        </w:sectPr>
      </w:pPr>
    </w:p>
    <w:bookmarkStart w:id="752" w:name="page753"/>
    <w:bookmarkEnd w:id="752"/>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floating-rate payments or floating-rate for other floating-rate payments without the exchange of the underlying principal amount. Floating-rate payments are based on rates tied to the LIBOR.</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following table indicates the types of swaps in use at December 31,</w:t>
      </w:r>
    </w:p>
    <w:p>
      <w:pPr>
        <w:spacing w:after="0" w:line="9"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2000 and 1999, which have been attributed to AT&amp;T Broadband Group, and their weighted-average interest rates. Average variable rates are those in effect at the reporting date and may change significantly over the lives of the contracts.</w:t>
      </w:r>
    </w:p>
    <w:p>
      <w:pPr>
        <w:spacing w:after="0" w:line="19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2000 1999 ----- ------ Fixed to variable</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swaps -- notional amount.................. $</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500 $1,550 Average receive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9.68% 7.18% Average pay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8.92% 6.77% Variable to variable swaps --</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notional amount............... $ -- $ 495</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Average receive</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rate...................................... --</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6.63% Average pay</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rate..........................................</w:t>
      </w:r>
    </w:p>
    <w:p>
      <w:pPr>
        <w:spacing w:after="0" w:line="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7"/>
          <w:szCs w:val="17"/>
          <w:color w:val="auto"/>
        </w:rPr>
        <w:t>-- 6.53%</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weighted-average remaining terms of the swap contracts were 30 years at December 31, 2000.</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notional amounts represent agreed-upon amounts on which calculations of dollars to be exchanged are based. They do not represent amounts exchanged by the parties and, therefore, are not a measure of AT&amp;T Broadband Group's exposure. Exposure is limited to the fair value of the contracts with a positive fair value plus interest receivable, if any, at the reporting date.</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GUARANTEES OF DEBT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From time to time, AT&amp;T Broadband, LLC and MediaOne may guarantee the debt of their subsidiaries and certain unconsolidated joint ventures. AT&amp;T Broadband, LLC has taken certain steps to support debt compliance with respect to obligations aggregating $1,461 and $1,720 at December 31, 2000 and 1999, respectively, of certain cable television partnerships in which AT&amp;T Broadband, LLC has a non-controlling ownership interest and which have been attributed to AT&amp;T Broadband Group. All guarantees of AT&amp;T Broadband Group, through ATTBLLC, totaled $1,486 and $1,760 at December 31, 2000 and 1999, respectively. Although there can be no assurance, management believes that it will not be required to meet its obligations under such guarantees.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LETTERS OF CREDIT</w:t>
      </w:r>
    </w:p>
    <w:p>
      <w:pPr>
        <w:spacing w:after="0" w:line="210" w:lineRule="exact"/>
        <w:rPr>
          <w:sz w:val="20"/>
          <w:szCs w:val="20"/>
          <w:color w:val="auto"/>
        </w:rPr>
      </w:pPr>
    </w:p>
    <w:p>
      <w:pPr>
        <w:ind w:right="2359" w:firstLine="524"/>
        <w:spacing w:after="0" w:line="253" w:lineRule="auto"/>
        <w:rPr>
          <w:sz w:val="20"/>
          <w:szCs w:val="20"/>
          <w:color w:val="auto"/>
        </w:rPr>
      </w:pPr>
      <w:r>
        <w:rPr>
          <w:rFonts w:ascii="Courier New" w:cs="Courier New" w:eastAsia="Courier New" w:hAnsi="Courier New"/>
          <w:sz w:val="17"/>
          <w:szCs w:val="17"/>
          <w:color w:val="auto"/>
        </w:rPr>
        <w:t>Letters of credit are purchased guarantees that ensure performance or payment to third parties in accordance with specified terms and conditions. Letters of credit do not create additional risk to AT&amp;T Broadband Group. Outstanding letters of credit at December 31, 2000 were $263.</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EQUITY HEDGES</w:t>
      </w:r>
    </w:p>
    <w:p>
      <w:pPr>
        <w:spacing w:after="0" w:line="210" w:lineRule="exact"/>
        <w:rPr>
          <w:sz w:val="20"/>
          <w:szCs w:val="20"/>
          <w:color w:val="auto"/>
        </w:rPr>
      </w:pPr>
    </w:p>
    <w:p>
      <w:pPr>
        <w:ind w:right="2459" w:firstLine="524"/>
        <w:spacing w:after="0" w:line="257" w:lineRule="auto"/>
        <w:rPr>
          <w:sz w:val="20"/>
          <w:szCs w:val="20"/>
          <w:color w:val="auto"/>
        </w:rPr>
      </w:pPr>
      <w:r>
        <w:rPr>
          <w:rFonts w:ascii="Courier New" w:cs="Courier New" w:eastAsia="Courier New" w:hAnsi="Courier New"/>
          <w:sz w:val="17"/>
          <w:szCs w:val="17"/>
          <w:color w:val="auto"/>
        </w:rPr>
        <w:t>Equity hedges are used to manage exposure to changes in equity prices associated with stock appreciation rights of affiliated companies.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L-140</w:t>
      </w:r>
    </w:p>
    <w:p>
      <w:pPr>
        <w:sectPr>
          <w:pgSz w:w="11900" w:h="16838" w:orient="portrait"/>
          <w:cols w:equalWidth="0" w:num="1">
            <w:col w:w="10219"/>
          </w:cols>
          <w:pgMar w:left="240" w:top="518" w:right="1440" w:bottom="1440" w:gutter="0" w:footer="0" w:header="0"/>
        </w:sectPr>
      </w:pPr>
    </w:p>
    <w:bookmarkStart w:id="753" w:name="page754"/>
    <w:bookmarkEnd w:id="753"/>
    <w:p>
      <w:pPr>
        <w:jc w:val="center"/>
        <w:ind w:right="181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2979" w:firstLine="209"/>
        <w:spacing w:after="0" w:line="257" w:lineRule="auto"/>
        <w:rPr>
          <w:sz w:val="20"/>
          <w:szCs w:val="20"/>
          <w:color w:val="auto"/>
        </w:rPr>
      </w:pPr>
      <w:r>
        <w:rPr>
          <w:rFonts w:ascii="Courier New" w:cs="Courier New" w:eastAsia="Courier New" w:hAnsi="Courier New"/>
          <w:sz w:val="17"/>
          <w:szCs w:val="17"/>
          <w:color w:val="auto"/>
        </w:rPr>
        <w:t>FAIR VALUES OF FINANCIAL INSTRUMENTS INCLUDING DERIVATIVE FINANCIAL INSTRUMENTS</w:t>
      </w:r>
    </w:p>
    <w:p>
      <w:pPr>
        <w:spacing w:after="0" w:line="192"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The following tables show the valuation methods, the carrying amounts and estimated fair values of material financial instruments.</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FINANCIAL</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INSTRUMENT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VALUATION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METHOD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00" w:right="9179" w:firstLine="7"/>
        <w:spacing w:after="0" w:line="251" w:lineRule="auto"/>
        <w:tabs>
          <w:tab w:leader="none" w:pos="624" w:val="left"/>
        </w:tabs>
        <w:numPr>
          <w:ilvl w:val="1"/>
          <w:numId w:val="8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Debt excluding capital</w:t>
      </w:r>
    </w:p>
    <w:p>
      <w:pPr>
        <w:jc w:val="center"/>
        <w:ind w:right="9059" w:firstLine="256"/>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leases Market quotes or rates available for debt with similar terms and maturities Guarantees of debt There are no quoted market prices for similar agreements available Letters of Credit Fees paid to obtain obligations Option contracts Market quotes obtained from dealers Interest rate swap agreements Market quotes obtained from dealers Equity hedges Market quotes Preferred securities Market quotes*</w:t>
      </w:r>
    </w:p>
    <w:p>
      <w:pPr>
        <w:spacing w:after="0" w:line="200" w:lineRule="exact"/>
        <w:rPr>
          <w:rFonts w:ascii="Courier New" w:cs="Courier New" w:eastAsia="Courier New" w:hAnsi="Courier New"/>
          <w:sz w:val="17"/>
          <w:szCs w:val="17"/>
          <w:color w:val="auto"/>
        </w:rPr>
      </w:pPr>
    </w:p>
    <w:p>
      <w:pPr>
        <w:spacing w:after="0" w:line="203"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8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20" w:right="2139" w:hanging="213"/>
        <w:spacing w:after="0" w:line="253" w:lineRule="auto"/>
        <w:tabs>
          <w:tab w:leader="none" w:pos="220" w:val="left"/>
        </w:tabs>
        <w:numPr>
          <w:ilvl w:val="0"/>
          <w:numId w:val="8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not practicable to estimate the fair value of the $4,700 Quarterly Preferred Securities that aggregated $4,710 and $4,700 at December 31, 2000 and 1999, respectively. There are no current market quotes on this private placement.</w:t>
      </w:r>
    </w:p>
    <w:p>
      <w:pPr>
        <w:spacing w:after="0" w:line="19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1999 ----------------</w:t>
      </w:r>
    </w:p>
    <w:p>
      <w:pPr>
        <w:spacing w:after="0" w:line="9" w:lineRule="exact"/>
        <w:rPr>
          <w:sz w:val="20"/>
          <w:szCs w:val="20"/>
          <w:color w:val="auto"/>
        </w:rPr>
      </w:pPr>
    </w:p>
    <w:p>
      <w:pPr>
        <w:ind w:left="680" w:hanging="415"/>
        <w:spacing w:after="0"/>
        <w:tabs>
          <w:tab w:leader="none" w:pos="680" w:val="left"/>
        </w:tabs>
        <w:numPr>
          <w:ilvl w:val="0"/>
          <w:numId w:val="8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CARRYING FAIR CARRYING</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FAIR AMOUNT VALUE AMOUNT</w:t>
      </w:r>
    </w:p>
    <w:p>
      <w:pPr>
        <w:sectPr>
          <w:pgSz w:w="11900" w:h="16838" w:orient="portrait"/>
          <w:cols w:equalWidth="0" w:num="1">
            <w:col w:w="10219"/>
          </w:cols>
          <w:pgMar w:left="240" w:top="519" w:right="1440" w:bottom="0" w:gutter="0" w:footer="0" w:header="0"/>
        </w:sectPr>
      </w:pPr>
    </w:p>
    <w:bookmarkStart w:id="754" w:name="page755"/>
    <w:bookmarkEnd w:id="754"/>
    <w:p>
      <w:pPr>
        <w:ind w:left="60"/>
        <w:spacing w:after="0"/>
        <w:rPr>
          <w:sz w:val="20"/>
          <w:szCs w:val="20"/>
          <w:color w:val="auto"/>
        </w:rPr>
      </w:pPr>
      <w:r>
        <w:rPr>
          <w:rFonts w:ascii="Courier New" w:cs="Courier New" w:eastAsia="Courier New" w:hAnsi="Courier New"/>
          <w:sz w:val="17"/>
          <w:szCs w:val="17"/>
          <w:color w:val="auto"/>
        </w:rPr>
        <w:t>VALUE -------- ------- ---</w:t>
      </w:r>
    </w:p>
    <w:p>
      <w:pPr>
        <w:spacing w:after="0" w:line="9" w:lineRule="exact"/>
        <w:rPr>
          <w:sz w:val="20"/>
          <w:szCs w:val="20"/>
          <w:color w:val="auto"/>
        </w:rPr>
      </w:pPr>
    </w:p>
    <w:p>
      <w:pPr>
        <w:jc w:val="both"/>
        <w:ind w:left="520" w:right="7919" w:firstLine="7"/>
        <w:spacing w:after="0" w:line="251" w:lineRule="auto"/>
        <w:tabs>
          <w:tab w:leader="none" w:pos="1149" w:val="left"/>
        </w:tabs>
        <w:numPr>
          <w:ilvl w:val="0"/>
          <w:numId w:val="8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Debt excluding capital</w:t>
      </w:r>
    </w:p>
    <w:p>
      <w:pPr>
        <w:ind w:left="260"/>
        <w:spacing w:after="0"/>
        <w:rPr>
          <w:sz w:val="20"/>
          <w:szCs w:val="20"/>
          <w:color w:val="auto"/>
        </w:rPr>
      </w:pPr>
      <w:r>
        <w:rPr>
          <w:rFonts w:ascii="Courier New" w:cs="Courier New" w:eastAsia="Courier New" w:hAnsi="Courier New"/>
          <w:sz w:val="17"/>
          <w:szCs w:val="17"/>
          <w:color w:val="auto"/>
        </w:rPr>
        <w:t>leases................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$22,182 $20,275 $10,314</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$9,676 Pacific preferred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ind w:left="1100" w:right="7699" w:hanging="782"/>
        <w:spacing w:after="0" w:line="257" w:lineRule="auto"/>
        <w:tabs>
          <w:tab w:leader="none" w:pos="524" w:val="left"/>
        </w:tabs>
        <w:numPr>
          <w:ilvl w:val="0"/>
          <w:numId w:val="8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2,121 $ 595 $ 2,121 $1,929</w:t>
      </w:r>
    </w:p>
    <w:p>
      <w:pPr>
        <w:spacing w:after="0" w:line="39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1999 ---------------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CARRYING FAIR CARRYING</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FAIR AMOUNT VALUE AMOUNT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VALUE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 ASSET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LIAB. ASSET LIAB. ASSET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LIAB. ASSET LIAB. ------</w:t>
      </w:r>
    </w:p>
    <w:p>
      <w:pPr>
        <w:spacing w:after="0" w:line="9" w:lineRule="exact"/>
        <w:rPr>
          <w:sz w:val="20"/>
          <w:szCs w:val="20"/>
          <w:color w:val="auto"/>
        </w:rPr>
      </w:pPr>
    </w:p>
    <w:p>
      <w:pPr>
        <w:ind w:left="680" w:hanging="626"/>
        <w:spacing w:after="0"/>
        <w:tabs>
          <w:tab w:leader="none" w:pos="680" w:val="left"/>
        </w:tabs>
        <w:numPr>
          <w:ilvl w:val="0"/>
          <w:numId w:val="8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1040" w:hanging="619"/>
        <w:spacing w:after="0"/>
        <w:tabs>
          <w:tab w:leader="none" w:pos="1040" w:val="left"/>
        </w:tabs>
        <w:numPr>
          <w:ilvl w:val="1"/>
          <w:numId w:val="8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rate swap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agreements................</w:t>
      </w:r>
    </w:p>
    <w:p>
      <w:pPr>
        <w:spacing w:after="0" w:line="9"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7"/>
          <w:szCs w:val="17"/>
          <w:color w:val="auto"/>
        </w:rPr>
        <w:t>$ -- -- -- -- 22 23 2 19</w:t>
      </w:r>
    </w:p>
    <w:p>
      <w:pPr>
        <w:spacing w:after="0" w:line="9"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7"/>
          <w:szCs w:val="17"/>
          <w:color w:val="auto"/>
        </w:rPr>
        <w:t>Equity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hedges............... $ -</w:t>
      </w:r>
    </w:p>
    <w:p>
      <w:pPr>
        <w:spacing w:after="0" w:line="9" w:lineRule="exact"/>
        <w:rPr>
          <w:sz w:val="20"/>
          <w:szCs w:val="20"/>
          <w:color w:val="auto"/>
        </w:rPr>
      </w:pPr>
    </w:p>
    <w:p>
      <w:pPr>
        <w:ind w:left="320" w:hanging="213"/>
        <w:spacing w:after="0"/>
        <w:tabs>
          <w:tab w:leader="none" w:pos="320" w:val="left"/>
        </w:tabs>
        <w:numPr>
          <w:ilvl w:val="0"/>
          <w:numId w:val="8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87 -- 87 281 -- 281 --</w:t>
      </w:r>
    </w:p>
    <w:p>
      <w:pPr>
        <w:spacing w:after="0" w:line="8" w:lineRule="exact"/>
        <w:rPr>
          <w:rFonts w:ascii="Courier New" w:cs="Courier New" w:eastAsia="Courier New" w:hAnsi="Courier New"/>
          <w:sz w:val="17"/>
          <w:szCs w:val="17"/>
          <w:color w:val="auto"/>
        </w:rPr>
      </w:pPr>
    </w:p>
    <w:p>
      <w:pPr>
        <w:ind w:left="780" w:hanging="621"/>
        <w:spacing w:after="0"/>
        <w:tabs>
          <w:tab w:leader="none" w:pos="780" w:val="left"/>
        </w:tabs>
        <w:numPr>
          <w:ilvl w:val="1"/>
          <w:numId w:val="8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780" w:hanging="621"/>
        <w:spacing w:after="0"/>
        <w:tabs>
          <w:tab w:leader="none" w:pos="780" w:val="left"/>
        </w:tabs>
        <w:numPr>
          <w:ilvl w:val="1"/>
          <w:numId w:val="8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PENSION, POSTRETIREMENT AND OTHER EMPLOYEE BENEFIT PLANS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As a result of the MediaOne Merger, AT&amp;T sponsors a pension plan covering substantially all of the former MediaOne employees. Pension benefits are principally based on pay and service. In addition, AT&amp;T sponsors retiree benefit plans for certain former MediaOne employees. These plans have been included in AT&amp;T Broadband Group.</w:t>
      </w:r>
    </w:p>
    <w:p>
      <w:pPr>
        <w:spacing w:after="0" w:line="197"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The following table shows the components of the net periodic benefit costs included in the combined statements of income for the year ended December 31, 2000:</w:t>
      </w:r>
    </w:p>
    <w:p>
      <w:pPr>
        <w:spacing w:after="0" w:line="19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PENSION POSTRETIREMENT BENEFITS</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BENEFITS -------- --------------</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Service cost-benefits earned during</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the period.............. $ 9 $ 1</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Interest cost on benefit</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obligations........................ 8</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1 Credit for expected return on plan</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assets................... (9) -- ----</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 Net periodic benefit</w:t>
      </w:r>
    </w:p>
    <w:p>
      <w:pPr>
        <w:spacing w:after="0" w:line="9"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cost...................................</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$ 8 $ 2 ==== ====</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L-141</w:t>
      </w:r>
    </w:p>
    <w:p>
      <w:pPr>
        <w:sectPr>
          <w:pgSz w:w="11900" w:h="16838" w:orient="portrait"/>
          <w:cols w:equalWidth="0" w:num="1">
            <w:col w:w="10219"/>
          </w:cols>
          <w:pgMar w:left="240" w:top="141" w:right="1440" w:bottom="1440" w:gutter="0" w:footer="0" w:header="0"/>
        </w:sectPr>
      </w:pPr>
    </w:p>
    <w:bookmarkStart w:id="755" w:name="page756"/>
    <w:bookmarkEnd w:id="755"/>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The following tables provide a reconciliation of the changes in the plans' benefit obligations and fair value of assets for the year ending December 31, 2000, and a statement of the funded status at December 31, 2000:</w:t>
      </w:r>
    </w:p>
    <w:p>
      <w:pPr>
        <w:spacing w:after="0" w:line="194"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PENSION POSTRETIREMENT BENEFITS BENEFITS -------- ----</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 CHANGE IN BENEFIT OBLIGATIONS: Benefit</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obligation, beginning of year....................... $</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 $ -- Acquisition of</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MediaOne..................................... 204 38</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Service</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cost................................................ 9</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1 Interest</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cost............................................... 8</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1 Plan</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amendments.............................................</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(5) -- Actuarial losses</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(gains).................................... 17 (5)</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Benefit</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payments............................................</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(68) -- ---- ---- Benefit obligations, end of</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year............................ $165 $ 35 ==== ====</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CHANGE IN FAIR VALUE OF PLAN ASSETS: Fair value of</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plan assets, beginning of year................ $ -- $</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 Acquisition of</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MediaOne..................................... 205 5</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Actual return on plan</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assets................................ (12) --</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Employer</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contributions...................................... 23</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 Benefit</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payments............................................</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(68) -- ---- ---- Fair value of plan assets, end of</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year...................... $148 $ 5 ==== ==== Unfunded</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benefit obligation.................................</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$(17) $(30) Unrecognized net loss</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(gain)................................ 38 (5)</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Unrecognized prior service</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cost............................. (5) -- ---- ---- Net</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amount</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recorded......................................... $ 16</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$(35) ==== ====</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following table provides the amounts recorded in AT&amp;T Broadband Group's combined balance sheet at December 31, 2000:</w:t>
      </w:r>
    </w:p>
    <w:p>
      <w:pPr>
        <w:spacing w:after="0" w:line="19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PENSION POSTRETIREMENT BENEFITS BENEFITS -------</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 Prepaid pension</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cost........................................ $</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36 $ -- Benefit related</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(21) (35) Accumulated other comprehensive</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income...................... 1 -- ---- ---- Net</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amount</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recorded.........................................</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$ 16 $(35) ==== ====</w:t>
      </w:r>
    </w:p>
    <w:p>
      <w:pPr>
        <w:spacing w:after="0" w:line="200" w:lineRule="exact"/>
        <w:rPr>
          <w:sz w:val="20"/>
          <w:szCs w:val="20"/>
          <w:color w:val="auto"/>
        </w:rPr>
      </w:pPr>
    </w:p>
    <w:p>
      <w:pPr>
        <w:spacing w:after="0" w:line="212" w:lineRule="exact"/>
        <w:rPr>
          <w:sz w:val="20"/>
          <w:szCs w:val="20"/>
          <w:color w:val="auto"/>
        </w:rPr>
      </w:pPr>
    </w:p>
    <w:p>
      <w:pPr>
        <w:ind w:right="2879" w:firstLine="524"/>
        <w:spacing w:after="0" w:line="257" w:lineRule="auto"/>
        <w:rPr>
          <w:sz w:val="20"/>
          <w:szCs w:val="20"/>
          <w:color w:val="auto"/>
        </w:rPr>
      </w:pPr>
      <w:r>
        <w:rPr>
          <w:rFonts w:ascii="Courier New" w:cs="Courier New" w:eastAsia="Courier New" w:hAnsi="Courier New"/>
          <w:sz w:val="17"/>
          <w:szCs w:val="17"/>
          <w:color w:val="auto"/>
        </w:rPr>
        <w:t>The nonqualified pension plan had an unfunded accumulated benefit obligation of $21 at December 31, 2000.</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L-142</w:t>
      </w:r>
    </w:p>
    <w:p>
      <w:pPr>
        <w:sectPr>
          <w:pgSz w:w="11900" w:h="16838" w:orient="portrait"/>
          <w:cols w:equalWidth="0" w:num="1">
            <w:col w:w="10219"/>
          </w:cols>
          <w:pgMar w:left="240" w:top="518" w:right="1440" w:bottom="1440" w:gutter="0" w:footer="0" w:header="0"/>
        </w:sectPr>
      </w:pPr>
    </w:p>
    <w:bookmarkStart w:id="756" w:name="page757"/>
    <w:bookmarkEnd w:id="756"/>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weighted-average assumptions used in the measurement of the pension and postretirement benefit obligations at December 31, 2000 are:</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00" w:type="dxa"/>
            <w:vAlign w:val="bottom"/>
          </w:tcPr>
          <w:p>
            <w:pPr>
              <w:spacing w:after="0"/>
              <w:rPr>
                <w:sz w:val="20"/>
                <w:szCs w:val="20"/>
                <w:color w:val="auto"/>
              </w:rPr>
            </w:pPr>
            <w:r>
              <w:rPr>
                <w:rFonts w:ascii="Courier New" w:cs="Courier New" w:eastAsia="Courier New" w:hAnsi="Courier New"/>
                <w:sz w:val="17"/>
                <w:szCs w:val="17"/>
                <w:color w:val="auto"/>
              </w:rPr>
              <w:t>Discount rate...............................................</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r>
      <w:tr>
        <w:trPr>
          <w:trHeight w:val="201"/>
        </w:trPr>
        <w:tc>
          <w:tcPr>
            <w:tcW w:w="6400" w:type="dxa"/>
            <w:vAlign w:val="bottom"/>
          </w:tcPr>
          <w:p>
            <w:pPr>
              <w:spacing w:after="0"/>
              <w:rPr>
                <w:sz w:val="20"/>
                <w:szCs w:val="20"/>
                <w:color w:val="auto"/>
              </w:rPr>
            </w:pPr>
            <w:r>
              <w:rPr>
                <w:rFonts w:ascii="Courier New" w:cs="Courier New" w:eastAsia="Courier New" w:hAnsi="Courier New"/>
                <w:sz w:val="17"/>
                <w:szCs w:val="17"/>
                <w:color w:val="auto"/>
              </w:rPr>
              <w:t>Expected return on plan assets..............................</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9.5%</w:t>
            </w:r>
          </w:p>
        </w:tc>
      </w:tr>
      <w:tr>
        <w:trPr>
          <w:trHeight w:val="201"/>
        </w:trPr>
        <w:tc>
          <w:tcPr>
            <w:tcW w:w="6400" w:type="dxa"/>
            <w:vAlign w:val="bottom"/>
          </w:tcPr>
          <w:p>
            <w:pPr>
              <w:spacing w:after="0"/>
              <w:rPr>
                <w:sz w:val="20"/>
                <w:szCs w:val="20"/>
                <w:color w:val="auto"/>
              </w:rPr>
            </w:pPr>
            <w:r>
              <w:rPr>
                <w:rFonts w:ascii="Courier New" w:cs="Courier New" w:eastAsia="Courier New" w:hAnsi="Courier New"/>
                <w:sz w:val="17"/>
                <w:szCs w:val="17"/>
                <w:color w:val="auto"/>
              </w:rPr>
              <w:t>Rate of compensation increase...............................</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r>
    </w:tbl>
    <w:p>
      <w:pPr>
        <w:spacing w:after="0" w:line="200" w:lineRule="exact"/>
        <w:rPr>
          <w:sz w:val="20"/>
          <w:szCs w:val="20"/>
          <w:color w:val="auto"/>
        </w:rPr>
      </w:pPr>
    </w:p>
    <w:p>
      <w:pPr>
        <w:spacing w:after="0" w:line="20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 rate of increase in the per capita cost of covered healthcare benefits (the healthcare cost trend rate) of 7% was assumed. This rate was assumed to gradually decline after 2000 to 5% by the year 2011 and then remain level. Assumed healthcare cost trend rates have a significant effect on the amounts reported for the healthcare plans. A one percentage point increase or decrease in the assumed healthcare cost trend rate would increase or decrease the healthcare component of the accumulated postretirement benefit obligation by $4 and $3, respectively. The impact on the service and interest-cost components of net periodic postretirement healthcare benefit cost would not have been material.</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also sponsors savings plans for the majority of its employees. The plans allow employees to contribute a portion of their pre-tax and/or after-tax income in accordance with specified guidelines. Employee contributions are matched up to certain limits. AT&amp;T Broadband Group contributions amounted to $70 and $38 for the year ended December 31, 2000 and the ten months ended December 31, 1999.</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STOCK-BASED COMPENSATION PLANS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Under AT&amp;T's 1997 Long-term Incentive Program (the "Program"), AT&amp;T grants stock options, performance shares, restricted stock and other awards on AT&amp;T common stock. The exercise price of any stock option is equal to the stock price when the option is granted. Generally, the options vest over three or four years and are exercisable up to 10 years from the date of grant.</w:t>
      </w:r>
    </w:p>
    <w:p>
      <w:pPr>
        <w:spacing w:after="0" w:line="19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Under the Program, performance share units are awarded to key employees in the form of either common stock or cash at the end of a three-year period, based on AT&amp;T's total shareholder return and/or certain financial-performance targets.</w:t>
      </w:r>
    </w:p>
    <w:p>
      <w:pPr>
        <w:spacing w:after="0" w:line="194"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Under the AT&amp;T 1996 Employee Stock Purchase Plan (the "Plan"), which was effective July 1, 1996, AT&amp;T is authorized to sell up to 75 million shares of AT&amp;T common stock to its eligible employees.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506 thousand and 102 thousand shares to AT&amp;T Broadband Group employees in 2000 and 1999, respectively.</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Broadband Group applies Accounting Principles Board Opinion No. 25, "Accounting for Stock Issued to Employees," and related interpretations in accounting for its plans. Accordingly, no compensation expense has been recognized for stock-based compensation plans other than for performance-based and restricted stock awards and stock appreciation rights ("SARs"). Stock based compensation income (expense) for AT&amp;T Broadband Group was $268 and $(366) for the year ended December 31, 2000 and the ten months ended December 31, 1999, respectively. These amounts included income (expense) of $269 and $(382) for the year ended December 31, 2000 and the ten months ended December 31, 1999, respectively, related to grants of SARs of affiliated companies held by certain employees subsequent to the TCI Merger. AT&amp;T entered into an equity hedge in 1999 to offset potential future compensation costs associated with such SARs. (Expense)</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L-143</w:t>
      </w:r>
    </w:p>
    <w:p>
      <w:pPr>
        <w:sectPr>
          <w:pgSz w:w="11900" w:h="16838" w:orient="portrait"/>
          <w:cols w:equalWidth="0" w:num="1">
            <w:col w:w="10219"/>
          </w:cols>
          <w:pgMar w:left="240" w:top="517" w:right="1440" w:bottom="1440" w:gutter="0" w:footer="0" w:header="0"/>
        </w:sectPr>
      </w:pPr>
    </w:p>
    <w:bookmarkStart w:id="757" w:name="page758"/>
    <w:bookmarkEnd w:id="757"/>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income related to this hedge was $(297) and $247 for the year ended December 31, 2000 and the ten months ended December 31, 1999, respectively.</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Broadband Group has adopted the disclosure-only provisions of SFAS No. 123, "Accounting for Stock-Based Compensation." If AT&amp;T Broadband Group had elected to recognize compensation costs based on the fair value at the date of grant for AT&amp;T awards granted to AT&amp;T Broadband Group employees in 2000 and 1999, consistent with the provisions of SFAS No. 123, AT&amp;T Broadband Group's net loss would have been adjusted to reflect additional compensation expense resulting in the following pro forma amounts:</w:t>
      </w:r>
    </w:p>
    <w:p>
      <w:pPr>
        <w:spacing w:after="0" w:line="196"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YEAR TEN MONTHS ENDED ENDED DECEMBER 31,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2000 1999 ------------</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 Net</w:t>
            </w:r>
          </w:p>
        </w:tc>
      </w:tr>
      <w:tr>
        <w:trPr>
          <w:trHeight w:val="201"/>
        </w:trPr>
        <w:tc>
          <w:tcPr>
            <w:tcW w:w="49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7"/>
              </w:rPr>
              <w:t>loss...................................................</w:t>
            </w:r>
          </w:p>
        </w:tc>
      </w:tr>
      <w:tr>
        <w:trPr>
          <w:trHeight w:val="201"/>
        </w:trPr>
        <w:tc>
          <w:tcPr>
            <w:tcW w:w="2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$(5,390)</w:t>
            </w:r>
          </w:p>
        </w:tc>
        <w:tc>
          <w:tcPr>
            <w:tcW w:w="198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$(2,203)</w:t>
            </w: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granted approximately 13.4 million and 1.0 million stock options to AT&amp;T Broadband Group employees during 2000 and 1999, respectively. At the date of grant, the weighted average exercise price for AT&amp;T options granted to AT&amp;T Broadband Group employees during 2000 and 1999 were $34.17 and $56.56, respectively. The weighted-average fair values at date of grant for AT&amp;T options granted to AT&amp;T Broadband Group employees during 2000 and 1999 were $10.28 and $17.45, respectively, and were estimated using the Black-Scholes option-pricing model. The following weighted-average assumptions were applied for 2000 and 1999, respectively: (i) expected dividend yields of 1.7% and 1.7% (ii) expected volatility rates of 33.9% and 28.6%, and (iii) risk-free interest rates of 6.24% and 5.26% and (iv) expected lives of 3.7 years and 5.7 years.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INCOME TAXES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AT&amp;T Broadband Group is not a separate taxable entity for federal and state income tax purposes and its results of operations are included in the consolidated federal and state income tax returns of AT&amp;T and its affiliates, as described in note 1.</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L-144</w:t>
      </w:r>
    </w:p>
    <w:p>
      <w:pPr>
        <w:sectPr>
          <w:pgSz w:w="11900" w:h="16838" w:orient="portrait"/>
          <w:cols w:equalWidth="0" w:num="1">
            <w:col w:w="10219"/>
          </w:cols>
          <w:pgMar w:left="240" w:top="519" w:right="1440" w:bottom="1440" w:gutter="0" w:footer="0" w:header="0"/>
        </w:sectPr>
      </w:pPr>
    </w:p>
    <w:bookmarkStart w:id="758" w:name="page759"/>
    <w:bookmarkEnd w:id="758"/>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components of the provision (benefit) for income taxes follow:</w:t>
      </w:r>
    </w:p>
    <w:p>
      <w:pPr>
        <w:spacing w:after="0" w:line="210"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YEAR TEN MONTHS ENDED ENDED DECEMBER 31, DECEMBER 31,</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2000 1999 ------------ ------------ FEDERAL:</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Current..................................................</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 (786) $(469)</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Deferred.................................................</w:t>
      </w:r>
    </w:p>
    <w:p>
      <w:pPr>
        <w:spacing w:after="0" w:line="9" w:lineRule="exact"/>
        <w:rPr>
          <w:sz w:val="20"/>
          <w:szCs w:val="20"/>
          <w:color w:val="auto"/>
        </w:rPr>
      </w:pPr>
    </w:p>
    <w:p>
      <w:pPr>
        <w:ind w:right="4239" w:firstLine="213"/>
        <w:spacing w:after="0" w:line="251" w:lineRule="auto"/>
        <w:tabs>
          <w:tab w:leader="none" w:pos="834" w:val="left"/>
        </w:tabs>
        <w:numPr>
          <w:ilvl w:val="0"/>
          <w:numId w:val="8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64 ------- ----- (1,001) (405) STATE AND LOCAL: Current..................................................</w:t>
      </w:r>
    </w:p>
    <w:tbl>
      <w:tblPr>
        <w:tblLayout w:type="fixed"/>
        <w:tblInd w:w="0" w:type="dxa"/>
        <w:tblCellMar>
          <w:top w:w="0" w:type="dxa"/>
          <w:left w:w="0" w:type="dxa"/>
          <w:bottom w:w="0" w:type="dxa"/>
          <w:right w:w="0" w:type="dxa"/>
        </w:tblCellMar>
      </w:tblPr>
      <w:tr>
        <w:trPr>
          <w:trHeight w:val="197"/>
        </w:trPr>
        <w:tc>
          <w:tcPr>
            <w:tcW w:w="1940" w:type="dxa"/>
            <w:vAlign w:val="bottom"/>
          </w:tcPr>
          <w:p>
            <w:pPr>
              <w:spacing w:after="0"/>
              <w:rPr>
                <w:sz w:val="17"/>
                <w:szCs w:val="17"/>
                <w:color w:val="auto"/>
              </w:rPr>
            </w:pPr>
          </w:p>
        </w:tc>
        <w:tc>
          <w:tcPr>
            <w:tcW w:w="1260" w:type="dxa"/>
            <w:vAlign w:val="bottom"/>
          </w:tcPr>
          <w:p>
            <w:pPr>
              <w:ind w:left="420"/>
              <w:spacing w:after="0"/>
              <w:rPr>
                <w:sz w:val="20"/>
                <w:szCs w:val="20"/>
                <w:color w:val="auto"/>
              </w:rPr>
            </w:pPr>
            <w:r>
              <w:rPr>
                <w:rFonts w:ascii="Courier New" w:cs="Courier New" w:eastAsia="Courier New" w:hAnsi="Courier New"/>
                <w:sz w:val="17"/>
                <w:szCs w:val="17"/>
                <w:color w:val="auto"/>
              </w:rPr>
              <w:t>$ (136)</w:t>
            </w:r>
          </w:p>
        </w:tc>
        <w:tc>
          <w:tcPr>
            <w:tcW w:w="1720" w:type="dxa"/>
            <w:vAlign w:val="bottom"/>
          </w:tcPr>
          <w:p>
            <w:pPr>
              <w:jc w:val="right"/>
              <w:ind w:right="1213"/>
              <w:spacing w:after="0"/>
              <w:rPr>
                <w:sz w:val="20"/>
                <w:szCs w:val="20"/>
                <w:color w:val="auto"/>
              </w:rPr>
            </w:pPr>
            <w:r>
              <w:rPr>
                <w:rFonts w:ascii="Courier New" w:cs="Courier New" w:eastAsia="Courier New" w:hAnsi="Courier New"/>
                <w:sz w:val="17"/>
                <w:szCs w:val="17"/>
                <w:color w:val="auto"/>
                <w:w w:val="97"/>
              </w:rPr>
              <w:t>$ 22</w:t>
            </w:r>
          </w:p>
        </w:tc>
        <w:tc>
          <w:tcPr>
            <w:tcW w:w="1000" w:type="dxa"/>
            <w:vAlign w:val="bottom"/>
          </w:tcPr>
          <w:p>
            <w:pPr>
              <w:spacing w:after="0"/>
              <w:rPr>
                <w:sz w:val="17"/>
                <w:szCs w:val="17"/>
                <w:color w:val="auto"/>
              </w:rPr>
            </w:pPr>
          </w:p>
        </w:tc>
      </w:tr>
      <w:tr>
        <w:trPr>
          <w:trHeight w:val="201"/>
        </w:trPr>
        <w:tc>
          <w:tcPr>
            <w:tcW w:w="32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Deferred.................................................</w:t>
            </w:r>
          </w:p>
        </w:tc>
        <w:tc>
          <w:tcPr>
            <w:tcW w:w="17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(47) (82) -------</w:t>
            </w:r>
          </w:p>
        </w:tc>
        <w:tc>
          <w:tcPr>
            <w:tcW w:w="298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 (183) (60) -------</w:t>
            </w: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1"/>
        </w:trPr>
        <w:tc>
          <w:tcPr>
            <w:tcW w:w="1940" w:type="dxa"/>
            <w:vAlign w:val="bottom"/>
          </w:tcPr>
          <w:p>
            <w:pPr>
              <w:spacing w:after="0"/>
              <w:rPr>
                <w:sz w:val="17"/>
                <w:szCs w:val="17"/>
                <w:color w:val="auto"/>
              </w:rPr>
            </w:pPr>
          </w:p>
        </w:tc>
        <w:tc>
          <w:tcPr>
            <w:tcW w:w="2980" w:type="dxa"/>
            <w:vAlign w:val="bottom"/>
            <w:gridSpan w:val="2"/>
          </w:tcPr>
          <w:p>
            <w:pPr>
              <w:jc w:val="center"/>
              <w:ind w:right="813"/>
              <w:spacing w:after="0"/>
              <w:rPr>
                <w:sz w:val="20"/>
                <w:szCs w:val="20"/>
                <w:color w:val="auto"/>
              </w:rPr>
            </w:pPr>
            <w:r>
              <w:rPr>
                <w:rFonts w:ascii="Courier New" w:cs="Courier New" w:eastAsia="Courier New" w:hAnsi="Courier New"/>
                <w:sz w:val="17"/>
                <w:szCs w:val="17"/>
                <w:color w:val="auto"/>
              </w:rPr>
              <w:t>FOREIGN:</w:t>
            </w:r>
          </w:p>
        </w:tc>
        <w:tc>
          <w:tcPr>
            <w:tcW w:w="1000" w:type="dxa"/>
            <w:vAlign w:val="bottom"/>
          </w:tcPr>
          <w:p>
            <w:pPr>
              <w:spacing w:after="0"/>
              <w:rPr>
                <w:sz w:val="17"/>
                <w:szCs w:val="17"/>
                <w:color w:val="auto"/>
              </w:rPr>
            </w:pPr>
          </w:p>
        </w:tc>
      </w:tr>
      <w:tr>
        <w:trPr>
          <w:trHeight w:val="201"/>
        </w:trPr>
        <w:tc>
          <w:tcPr>
            <w:tcW w:w="32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Current..................................................</w:t>
            </w:r>
          </w:p>
        </w:tc>
        <w:tc>
          <w:tcPr>
            <w:tcW w:w="17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592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$ 1 $ -- ------- ----- 1 -- ------- ----- Benefit for</w:t>
            </w:r>
          </w:p>
        </w:tc>
      </w:tr>
      <w:tr>
        <w:trPr>
          <w:trHeight w:val="201"/>
        </w:trPr>
        <w:tc>
          <w:tcPr>
            <w:tcW w:w="32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income taxes...................................</w:t>
            </w:r>
          </w:p>
        </w:tc>
        <w:tc>
          <w:tcPr>
            <w:tcW w:w="17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$(1,183)</w:t>
            </w:r>
          </w:p>
        </w:tc>
      </w:tr>
      <w:tr>
        <w:trPr>
          <w:trHeight w:val="201"/>
        </w:trPr>
        <w:tc>
          <w:tcPr>
            <w:tcW w:w="19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w w:val="86"/>
              </w:rPr>
              <w:t>$(465) -------</w:t>
            </w:r>
          </w:p>
        </w:tc>
        <w:tc>
          <w:tcPr>
            <w:tcW w:w="172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In addition, AT&amp;T Broadband Group also recorded current and deferred income tax benefits related to minority interest and net equity losses on other equity investments in the amounts of $100 and $370 for the year ended December 31, 2000 and $54 and $438 for the ten months ended December 31, 1999, respectively.</w:t>
      </w:r>
    </w:p>
    <w:p>
      <w:pPr>
        <w:spacing w:after="0" w:line="195"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following table shows the principal reasons for the difference between the effective income tax rate and the United States federal statutory income tax rate:</w:t>
      </w:r>
    </w:p>
    <w:p>
      <w:pPr>
        <w:spacing w:after="0" w:line="194"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YEAR TEN MONTHS ENDED ENDED DECEMBER 31, DECEMBER 31, 2000</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1999 ------------ ------------ U.S. federal statutory</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income tax rate..................... 35% 35% Federal</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income tax benefit at statutory rate............... $3,507</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$ 642 Operating losses and charges relating to</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Excite@Home....... (2,758) -- Investment dispositions,</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acquisitions and legal entity</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restructuring............................................</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374 -- In-process research and development write-</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off.............. -- (208) State and local income taxes,</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net of federal income tax</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benefit..................................................</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119 39 Amortization of</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intangibles................................ (81) (12)</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22 4 ------ ------ Benefit for income</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taxes................................... $1,183 $ 465</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Effective income tax</w:t>
      </w:r>
    </w:p>
    <w:p>
      <w:pPr>
        <w:spacing w:after="0" w:line="9"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rate.................................. 11.8% 25.3%</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L-145</w:t>
      </w:r>
    </w:p>
    <w:p>
      <w:pPr>
        <w:sectPr>
          <w:pgSz w:w="11900" w:h="16838" w:orient="portrait"/>
          <w:cols w:equalWidth="0" w:num="1">
            <w:col w:w="10219"/>
          </w:cols>
          <w:pgMar w:left="240" w:top="518" w:right="1440" w:bottom="1440" w:gutter="0" w:footer="0" w:header="0"/>
        </w:sectPr>
      </w:pPr>
    </w:p>
    <w:bookmarkStart w:id="759" w:name="page760"/>
    <w:bookmarkEnd w:id="759"/>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Deferred income tax liabilities are taxes AT&amp;T Broadband Group expects to pay in future periods. Similarly, deferred income tax assets are recorded for expected reductions in taxes payable in future periods. Deferred income taxes arise because of differences in the book and tax basis of certain assets and liabilities. Deferred income tax liabilities and assets consist of the following:</w:t>
      </w:r>
    </w:p>
    <w:p>
      <w:pPr>
        <w:spacing w:after="0" w:line="19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DECEMBER 31, ---------------------- 2000 1999 --------- ---</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 (AMOUNTS IN MILLIONS) LONG-TERM DEFERRED INCOME TAX</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LIABILITIES Property, plant and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equipment............................... $ 1,319 $ 896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9,148 6,161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Franchises..................................................</w:t>
      </w:r>
    </w:p>
    <w:p>
      <w:pPr>
        <w:spacing w:after="0" w:line="9"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18,571 11,998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2,087 147 ------- ------- Total long-term deferred income</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tax liabilities............. 31,125 19,202 LONG-TERM</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DEFERRED INCOME TAX ASSETS Business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restructuring...................................... 3 Net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operating loss/credit carryforwards.....................</w:t>
      </w:r>
    </w:p>
    <w:p>
      <w:pPr>
        <w:spacing w:after="0" w:line="9"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509 465 Employee pensions and other benefits,</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net................... 520 Reserves and</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allowances..................................... 65 10</w:t>
      </w:r>
    </w:p>
    <w:p>
      <w:pPr>
        <w:spacing w:after="0" w:line="9"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Valuation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allowances........................................ (726)</w:t>
      </w:r>
    </w:p>
    <w:p>
      <w:pPr>
        <w:spacing w:after="0" w:line="9"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(124)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2,204 709 ------- ------- Total long-term deferred 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tax assets.................. $ 2,575 $ 1,060 ------- ------</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 Net long-term deferred income tax</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liabilities............... $28,550 $18,142 -------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Current deferred income tax liabilities:</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670 --</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6 12 ------- ------- Total current deferred income tax</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liabilities............... 676 12 ------- ------- CURRENT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DEFERRED INCOME TAX ASSETS Employee pensions and other</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benefits........................ 22 235 Reserves and</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allowances..................................... 10 10</w:t>
      </w:r>
    </w:p>
    <w:p>
      <w:pPr>
        <w:spacing w:after="0" w:line="9"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Valuation</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allowances........................................ (39)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197 28 ------- ------- Total current deferred income tax</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 190 273 ------- ------- Net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current deferred income tax (liabilities) assets........</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(486) 261 ------- ------- Total deferred income tax</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liabilities....................... $29,036 $17,881 =======</w:t>
      </w:r>
    </w:p>
    <w:p>
      <w:pPr>
        <w:spacing w:after="0" w:line="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valuation allowance for deferred tax assets as of December 31, 2000 and 1999 was $765 and $124, respectively. The realization of AT&amp;T Broadband Group's deferred tax assets is not dependent upon the consolidated tax group of AT&amp;T. On a stand alone basis, AT&amp;T Broadband Group has sufficient reversing taxable temporary differences to warrant recognition of its deferred tax assets without the need for any additional valuation allowance.</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L-146</w:t>
      </w:r>
    </w:p>
    <w:p>
      <w:pPr>
        <w:sectPr>
          <w:pgSz w:w="11900" w:h="16838" w:orient="portrait"/>
          <w:cols w:equalWidth="0" w:num="1">
            <w:col w:w="10219"/>
          </w:cols>
          <w:pgMar w:left="240" w:top="518" w:right="1440" w:bottom="1440" w:gutter="0" w:footer="0" w:header="0"/>
        </w:sectPr>
      </w:pPr>
    </w:p>
    <w:bookmarkStart w:id="760" w:name="page761"/>
    <w:bookmarkEnd w:id="760"/>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At December 31, 2000, AT&amp;T Broadband Group, excluding Excite@Home, had federal net operating loss carryforwards of $64, expiring through 2013. AT&amp;T Broadband Group also has federal tax credit carryforwards of $82, expiring through 2004. In connection with the TCI Merger, certain federal and state net operating loss carryforwards were subject to a valuation allowance of $59. If, in the future, the realization of these acquired deferred tax assets becomes more likely than not, any reduction of the associated valuation allowance will be allocated to reduce franchise costs and other purchased intangibles.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December 31, 2000, Excite@Home had net operating loss carryforwards (tax effected) for federal and state income tax purposes of $281 expiring through 2020 and $9 expiring through 2010, respectively. Utilization of Excite@Home's net operating loss carryforwards may be subject to a minor annual limitation due to the ownership change limitations provided by the Internal Revenue Code of 1986, as amended, and similar state provisions. The annual limitation may result in the expiration of a portion of Excite@Home's net operating loss and tax credit carryforwards before utilization. The realization of Excite@Home's net deferred tax asset is dependent upon Excite@Home's future earnings, if any, the timing and amount of which are uncertain. In addition, Excite@Home is a separate taxpayer and is not a member of the AT&amp;T consolidated tax group. Accordingly, Excite@Home provided a valuation allowance in an amount equal to its net deferred tax assets of $702 as of December 31, 2000. Approximately $142 of Excite@Home's valuation allowance at December 31, 2000, is attributable to stock option deductions, the benefit of which will be credited to paid in capital when realized. Approximately $269 of Excite@Home's valuation allowance at December 31, 2000, is attributable to deferred tax assets that if realized will be allocated to first reduce goodwill, then other purchased intangibles, and then income tax expense.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COMMITMENTS AND CONTINGENCIES</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entities attributed to the AT&amp;T Broadband Group believe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normal course of business AT&amp;T Broadband Group is subject to proceedings, lawsuits and other claims, including proceedings under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2000. These matters could affect the operating results of any one quarter when resolved in future periods. However, management believes after final disposition, any monetary liability or financial impact to AT&amp;T Broadband Group beyond that provided for at year-end would not be material to AT&amp;T Broadband Group's annual combined financial statements.</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AT&amp;T Broadband Group leases land, buildings and equipment through contracts that expire in various years through 2029. Rental expense under operating leases was $122 for the year ended December 31, 2000, and $68 for the ten months ended December 31, 1999. The following table shows the</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L-147</w:t>
      </w:r>
    </w:p>
    <w:p>
      <w:pPr>
        <w:sectPr>
          <w:pgSz w:w="11900" w:h="16838" w:orient="portrait"/>
          <w:cols w:equalWidth="0" w:num="1">
            <w:col w:w="10219"/>
          </w:cols>
          <w:pgMar w:left="240" w:top="517" w:right="1440" w:bottom="1440" w:gutter="0" w:footer="0" w:header="0"/>
        </w:sectPr>
      </w:pPr>
    </w:p>
    <w:bookmarkStart w:id="761" w:name="page762"/>
    <w:bookmarkEnd w:id="761"/>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2359"/>
        <w:spacing w:after="0" w:line="257" w:lineRule="auto"/>
        <w:rPr>
          <w:sz w:val="20"/>
          <w:szCs w:val="20"/>
          <w:color w:val="auto"/>
        </w:rPr>
      </w:pPr>
      <w:r>
        <w:rPr>
          <w:rFonts w:ascii="Courier New" w:cs="Courier New" w:eastAsia="Courier New" w:hAnsi="Courier New"/>
          <w:sz w:val="17"/>
          <w:szCs w:val="17"/>
          <w:color w:val="auto"/>
        </w:rPr>
        <w:t>future minimum lease payments due under noncancelable operating and capital leases at December 31, 2000: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gridSpan w:val="3"/>
          </w:tcPr>
          <w:p>
            <w:pPr>
              <w:ind w:left="580"/>
              <w:spacing w:after="0"/>
              <w:rPr>
                <w:sz w:val="20"/>
                <w:szCs w:val="20"/>
                <w:color w:val="auto"/>
              </w:rPr>
            </w:pPr>
            <w:r>
              <w:rPr>
                <w:rFonts w:ascii="Courier New" w:cs="Courier New" w:eastAsia="Courier New" w:hAnsi="Courier New"/>
                <w:sz w:val="17"/>
                <w:szCs w:val="17"/>
                <w:color w:val="auto"/>
              </w:rPr>
              <w:t>OPERATING CAPITAL LEASES LEASES</w:t>
            </w:r>
          </w:p>
        </w:tc>
        <w:tc>
          <w:tcPr>
            <w:tcW w:w="22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 -------</w:t>
            </w:r>
          </w:p>
        </w:tc>
      </w:tr>
      <w:tr>
        <w:trPr>
          <w:trHeight w:val="201"/>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2001........................................................</w:t>
            </w:r>
          </w:p>
        </w:tc>
        <w:tc>
          <w:tcPr>
            <w:tcW w:w="8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1"/>
        </w:trPr>
        <w:tc>
          <w:tcPr>
            <w:tcW w:w="19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$ 133</w:t>
            </w:r>
          </w:p>
        </w:tc>
        <w:tc>
          <w:tcPr>
            <w:tcW w:w="800" w:type="dxa"/>
            <w:vAlign w:val="bottom"/>
          </w:tcPr>
          <w:p>
            <w:pPr>
              <w:ind w:left="60"/>
              <w:spacing w:after="0"/>
              <w:rPr>
                <w:sz w:val="20"/>
                <w:szCs w:val="20"/>
                <w:color w:val="auto"/>
              </w:rPr>
            </w:pPr>
            <w:r>
              <w:rPr>
                <w:rFonts w:ascii="Courier New" w:cs="Courier New" w:eastAsia="Courier New" w:hAnsi="Courier New"/>
                <w:sz w:val="17"/>
                <w:szCs w:val="17"/>
                <w:color w:val="auto"/>
              </w:rPr>
              <w:t>$ 140</w:t>
            </w:r>
          </w:p>
        </w:tc>
        <w:tc>
          <w:tcPr>
            <w:tcW w:w="2240" w:type="dxa"/>
            <w:vAlign w:val="bottom"/>
          </w:tcPr>
          <w:p>
            <w:pPr>
              <w:spacing w:after="0"/>
              <w:rPr>
                <w:sz w:val="17"/>
                <w:szCs w:val="17"/>
                <w:color w:val="auto"/>
              </w:rPr>
            </w:pPr>
          </w:p>
        </w:tc>
      </w:tr>
      <w:tr>
        <w:trPr>
          <w:trHeight w:val="201"/>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2002........................................................</w:t>
            </w:r>
          </w:p>
        </w:tc>
        <w:tc>
          <w:tcPr>
            <w:tcW w:w="8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1"/>
        </w:trPr>
        <w:tc>
          <w:tcPr>
            <w:tcW w:w="19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130</w:t>
            </w:r>
          </w:p>
        </w:tc>
        <w:tc>
          <w:tcPr>
            <w:tcW w:w="800" w:type="dxa"/>
            <w:vAlign w:val="bottom"/>
          </w:tcPr>
          <w:p>
            <w:pPr>
              <w:ind w:left="60"/>
              <w:spacing w:after="0"/>
              <w:rPr>
                <w:sz w:val="20"/>
                <w:szCs w:val="20"/>
                <w:color w:val="auto"/>
              </w:rPr>
            </w:pPr>
            <w:r>
              <w:rPr>
                <w:rFonts w:ascii="Courier New" w:cs="Courier New" w:eastAsia="Courier New" w:hAnsi="Courier New"/>
                <w:sz w:val="17"/>
                <w:szCs w:val="17"/>
                <w:color w:val="auto"/>
              </w:rPr>
              <w:t>129</w:t>
            </w:r>
          </w:p>
        </w:tc>
        <w:tc>
          <w:tcPr>
            <w:tcW w:w="2240" w:type="dxa"/>
            <w:vAlign w:val="bottom"/>
          </w:tcPr>
          <w:p>
            <w:pPr>
              <w:spacing w:after="0"/>
              <w:rPr>
                <w:sz w:val="17"/>
                <w:szCs w:val="17"/>
                <w:color w:val="auto"/>
              </w:rPr>
            </w:pPr>
          </w:p>
        </w:tc>
      </w:tr>
      <w:tr>
        <w:trPr>
          <w:trHeight w:val="201"/>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2003........................................................</w:t>
            </w:r>
          </w:p>
        </w:tc>
        <w:tc>
          <w:tcPr>
            <w:tcW w:w="8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1"/>
        </w:trPr>
        <w:tc>
          <w:tcPr>
            <w:tcW w:w="1900" w:type="dxa"/>
            <w:vAlign w:val="bottom"/>
          </w:tcPr>
          <w:p>
            <w:pPr>
              <w:spacing w:after="0"/>
              <w:rPr>
                <w:sz w:val="17"/>
                <w:szCs w:val="17"/>
                <w:color w:val="auto"/>
              </w:rPr>
            </w:pPr>
          </w:p>
        </w:tc>
        <w:tc>
          <w:tcPr>
            <w:tcW w:w="2040" w:type="dxa"/>
            <w:vAlign w:val="bottom"/>
            <w:gridSpan w:val="2"/>
          </w:tcPr>
          <w:p>
            <w:pPr>
              <w:jc w:val="center"/>
              <w:ind w:left="373"/>
              <w:spacing w:after="0"/>
              <w:rPr>
                <w:sz w:val="20"/>
                <w:szCs w:val="20"/>
                <w:color w:val="auto"/>
              </w:rPr>
            </w:pPr>
            <w:r>
              <w:rPr>
                <w:rFonts w:ascii="Courier New" w:cs="Courier New" w:eastAsia="Courier New" w:hAnsi="Courier New"/>
                <w:sz w:val="17"/>
                <w:szCs w:val="17"/>
                <w:color w:val="auto"/>
              </w:rPr>
              <w:t>123 80</w:t>
            </w:r>
          </w:p>
        </w:tc>
        <w:tc>
          <w:tcPr>
            <w:tcW w:w="2240" w:type="dxa"/>
            <w:vAlign w:val="bottom"/>
          </w:tcPr>
          <w:p>
            <w:pPr>
              <w:spacing w:after="0"/>
              <w:rPr>
                <w:sz w:val="17"/>
                <w:szCs w:val="17"/>
                <w:color w:val="auto"/>
              </w:rPr>
            </w:pPr>
          </w:p>
        </w:tc>
      </w:tr>
      <w:tr>
        <w:trPr>
          <w:trHeight w:val="201"/>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2004........................................................</w:t>
            </w:r>
          </w:p>
        </w:tc>
        <w:tc>
          <w:tcPr>
            <w:tcW w:w="8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1"/>
        </w:trPr>
        <w:tc>
          <w:tcPr>
            <w:tcW w:w="1900" w:type="dxa"/>
            <w:vAlign w:val="bottom"/>
          </w:tcPr>
          <w:p>
            <w:pPr>
              <w:spacing w:after="0"/>
              <w:rPr>
                <w:sz w:val="17"/>
                <w:szCs w:val="17"/>
                <w:color w:val="auto"/>
              </w:rPr>
            </w:pPr>
          </w:p>
        </w:tc>
        <w:tc>
          <w:tcPr>
            <w:tcW w:w="2040" w:type="dxa"/>
            <w:vAlign w:val="bottom"/>
            <w:gridSpan w:val="2"/>
          </w:tcPr>
          <w:p>
            <w:pPr>
              <w:jc w:val="center"/>
              <w:ind w:left="373"/>
              <w:spacing w:after="0"/>
              <w:rPr>
                <w:sz w:val="20"/>
                <w:szCs w:val="20"/>
                <w:color w:val="auto"/>
              </w:rPr>
            </w:pPr>
            <w:r>
              <w:rPr>
                <w:rFonts w:ascii="Courier New" w:cs="Courier New" w:eastAsia="Courier New" w:hAnsi="Courier New"/>
                <w:sz w:val="17"/>
                <w:szCs w:val="17"/>
                <w:color w:val="auto"/>
              </w:rPr>
              <w:t>116 59</w:t>
            </w:r>
          </w:p>
        </w:tc>
        <w:tc>
          <w:tcPr>
            <w:tcW w:w="2240" w:type="dxa"/>
            <w:vAlign w:val="bottom"/>
          </w:tcPr>
          <w:p>
            <w:pPr>
              <w:spacing w:after="0"/>
              <w:rPr>
                <w:sz w:val="17"/>
                <w:szCs w:val="17"/>
                <w:color w:val="auto"/>
              </w:rPr>
            </w:pPr>
          </w:p>
        </w:tc>
      </w:tr>
      <w:tr>
        <w:trPr>
          <w:trHeight w:val="201"/>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2005........................................................</w:t>
            </w:r>
          </w:p>
        </w:tc>
        <w:tc>
          <w:tcPr>
            <w:tcW w:w="8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1"/>
        </w:trPr>
        <w:tc>
          <w:tcPr>
            <w:tcW w:w="1900" w:type="dxa"/>
            <w:vAlign w:val="bottom"/>
          </w:tcPr>
          <w:p>
            <w:pPr>
              <w:spacing w:after="0"/>
              <w:rPr>
                <w:sz w:val="17"/>
                <w:szCs w:val="17"/>
                <w:color w:val="auto"/>
              </w:rPr>
            </w:pPr>
          </w:p>
        </w:tc>
        <w:tc>
          <w:tcPr>
            <w:tcW w:w="204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117 55 Later</w:t>
            </w:r>
          </w:p>
        </w:tc>
        <w:tc>
          <w:tcPr>
            <w:tcW w:w="2240" w:type="dxa"/>
            <w:vAlign w:val="bottom"/>
          </w:tcPr>
          <w:p>
            <w:pPr>
              <w:spacing w:after="0"/>
              <w:rPr>
                <w:sz w:val="17"/>
                <w:szCs w:val="17"/>
                <w:color w:val="auto"/>
              </w:rPr>
            </w:pPr>
          </w:p>
        </w:tc>
      </w:tr>
      <w:tr>
        <w:trPr>
          <w:trHeight w:val="201"/>
        </w:trPr>
        <w:tc>
          <w:tcPr>
            <w:tcW w:w="31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years.................................................</w:t>
            </w:r>
          </w:p>
        </w:tc>
        <w:tc>
          <w:tcPr>
            <w:tcW w:w="8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7"/>
                <w:szCs w:val="17"/>
                <w:color w:val="auto"/>
              </w:rPr>
              <w:t>462</w:t>
            </w:r>
          </w:p>
        </w:tc>
      </w:tr>
      <w:tr>
        <w:trPr>
          <w:trHeight w:val="201"/>
        </w:trPr>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86 ------</w:t>
            </w:r>
          </w:p>
        </w:tc>
        <w:tc>
          <w:tcPr>
            <w:tcW w:w="4280" w:type="dxa"/>
            <w:vAlign w:val="bottom"/>
            <w:gridSpan w:val="3"/>
          </w:tcPr>
          <w:p>
            <w:pPr>
              <w:jc w:val="right"/>
              <w:ind w:right="1113"/>
              <w:spacing w:after="0"/>
              <w:rPr>
                <w:sz w:val="20"/>
                <w:szCs w:val="20"/>
                <w:color w:val="auto"/>
              </w:rPr>
            </w:pPr>
            <w:r>
              <w:rPr>
                <w:rFonts w:ascii="Courier New" w:cs="Courier New" w:eastAsia="Courier New" w:hAnsi="Courier New"/>
                <w:sz w:val="17"/>
                <w:szCs w:val="17"/>
                <w:color w:val="auto"/>
              </w:rPr>
              <w:t>----- Total minimum lease</w:t>
            </w:r>
          </w:p>
        </w:tc>
      </w:tr>
      <w:tr>
        <w:trPr>
          <w:trHeight w:val="201"/>
        </w:trPr>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6"/>
              </w:rPr>
              <w:t>payments................................</w:t>
            </w:r>
          </w:p>
        </w:tc>
        <w:tc>
          <w:tcPr>
            <w:tcW w:w="8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7"/>
                <w:szCs w:val="17"/>
                <w:color w:val="auto"/>
              </w:rPr>
              <w:t>$1,081 549 ======</w:t>
            </w:r>
          </w:p>
        </w:tc>
      </w:tr>
      <w:tr>
        <w:trPr>
          <w:trHeight w:val="201"/>
        </w:trPr>
        <w:tc>
          <w:tcPr>
            <w:tcW w:w="1900" w:type="dxa"/>
            <w:vAlign w:val="bottom"/>
          </w:tcPr>
          <w:p>
            <w:pPr>
              <w:spacing w:after="0"/>
              <w:rPr>
                <w:sz w:val="17"/>
                <w:szCs w:val="17"/>
                <w:color w:val="auto"/>
              </w:rPr>
            </w:pPr>
          </w:p>
        </w:tc>
        <w:tc>
          <w:tcPr>
            <w:tcW w:w="4280" w:type="dxa"/>
            <w:vAlign w:val="bottom"/>
            <w:gridSpan w:val="3"/>
          </w:tcPr>
          <w:p>
            <w:pPr>
              <w:jc w:val="right"/>
              <w:ind w:right="1693"/>
              <w:spacing w:after="0"/>
              <w:rPr>
                <w:sz w:val="20"/>
                <w:szCs w:val="20"/>
                <w:color w:val="auto"/>
              </w:rPr>
            </w:pPr>
            <w:r>
              <w:rPr>
                <w:rFonts w:ascii="Courier New" w:cs="Courier New" w:eastAsia="Courier New" w:hAnsi="Courier New"/>
                <w:sz w:val="17"/>
                <w:szCs w:val="17"/>
                <w:color w:val="auto"/>
              </w:rPr>
              <w:t>Less amount representing</w:t>
            </w:r>
          </w:p>
        </w:tc>
      </w:tr>
      <w:tr>
        <w:trPr>
          <w:trHeight w:val="201"/>
        </w:trPr>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7"/>
              </w:rPr>
              <w:t>interest...........................</w:t>
            </w:r>
          </w:p>
        </w:tc>
        <w:tc>
          <w:tcPr>
            <w:tcW w:w="800" w:type="dxa"/>
            <w:vAlign w:val="bottom"/>
          </w:tcPr>
          <w:p>
            <w:pPr>
              <w:spacing w:after="0"/>
              <w:rPr>
                <w:sz w:val="17"/>
                <w:szCs w:val="17"/>
                <w:color w:val="auto"/>
              </w:rPr>
            </w:pPr>
          </w:p>
        </w:tc>
        <w:tc>
          <w:tcPr>
            <w:tcW w:w="22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(141) ----- Present</w:t>
            </w:r>
          </w:p>
        </w:tc>
      </w:tr>
      <w:tr>
        <w:trPr>
          <w:trHeight w:val="201"/>
        </w:trPr>
        <w:tc>
          <w:tcPr>
            <w:tcW w:w="3940" w:type="dxa"/>
            <w:vAlign w:val="bottom"/>
            <w:gridSpan w:val="3"/>
          </w:tcPr>
          <w:p>
            <w:pPr>
              <w:ind w:left="120"/>
              <w:spacing w:after="0"/>
              <w:rPr>
                <w:sz w:val="20"/>
                <w:szCs w:val="20"/>
                <w:color w:val="auto"/>
              </w:rPr>
            </w:pPr>
            <w:r>
              <w:rPr>
                <w:rFonts w:ascii="Courier New" w:cs="Courier New" w:eastAsia="Courier New" w:hAnsi="Courier New"/>
                <w:sz w:val="17"/>
                <w:szCs w:val="17"/>
                <w:color w:val="auto"/>
                <w:w w:val="71"/>
              </w:rPr>
              <w:t>value of net minimum lease payments.................</w:t>
            </w:r>
          </w:p>
        </w:tc>
        <w:tc>
          <w:tcPr>
            <w:tcW w:w="2240" w:type="dxa"/>
            <w:vAlign w:val="bottom"/>
          </w:tcPr>
          <w:p>
            <w:pPr>
              <w:jc w:val="right"/>
              <w:spacing w:after="0"/>
              <w:rPr>
                <w:sz w:val="20"/>
                <w:szCs w:val="20"/>
                <w:color w:val="auto"/>
              </w:rPr>
            </w:pPr>
            <w:r>
              <w:rPr>
                <w:rFonts w:ascii="Courier New" w:cs="Courier New" w:eastAsia="Courier New" w:hAnsi="Courier New"/>
                <w:sz w:val="17"/>
                <w:szCs w:val="17"/>
                <w:color w:val="auto"/>
              </w:rPr>
              <w:t>$ 408</w:t>
            </w:r>
          </w:p>
        </w:tc>
      </w:tr>
      <w:tr>
        <w:trPr>
          <w:trHeight w:val="201"/>
        </w:trPr>
        <w:tc>
          <w:tcPr>
            <w:tcW w:w="1900" w:type="dxa"/>
            <w:vAlign w:val="bottom"/>
          </w:tcPr>
          <w:p>
            <w:pPr>
              <w:spacing w:after="0"/>
              <w:rPr>
                <w:sz w:val="17"/>
                <w:szCs w:val="17"/>
                <w:color w:val="auto"/>
              </w:rPr>
            </w:pPr>
          </w:p>
        </w:tc>
        <w:tc>
          <w:tcPr>
            <w:tcW w:w="2040" w:type="dxa"/>
            <w:vAlign w:val="bottom"/>
            <w:gridSpan w:val="2"/>
          </w:tcPr>
          <w:p>
            <w:pPr>
              <w:jc w:val="center"/>
              <w:ind w:left="373"/>
              <w:spacing w:after="0"/>
              <w:rPr>
                <w:sz w:val="20"/>
                <w:szCs w:val="20"/>
                <w:color w:val="auto"/>
              </w:rPr>
            </w:pPr>
            <w:r>
              <w:rPr>
                <w:rFonts w:ascii="Courier New" w:cs="Courier New" w:eastAsia="Courier New" w:hAnsi="Courier New"/>
                <w:sz w:val="17"/>
                <w:szCs w:val="17"/>
                <w:color w:val="auto"/>
              </w:rPr>
              <w:t>=====</w:t>
            </w:r>
          </w:p>
        </w:tc>
        <w:tc>
          <w:tcPr>
            <w:tcW w:w="224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At December 31, 2000, an entity attributed to AT&amp;T Broadband Group has an agreement with Motorola, Inc. to purchase a minimum of 1.25 million digital set-top devices at an average price of $248 per unit in 2001.</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Broadband Group is party to an agreement under which it purchases certain billing services from an unaffiliated third party. Unless terminated by either party pursuant to terms of the agreement, the agreement expires on December 31, 2012. The agreement calls for monthly payments. Such payments are subject to adjustments and conditions pursuant to the terms of the underlying agreements.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 RELATED PARTY TRANSACTIONS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As discussed in Note 1, AT&amp;T provides necessary working capital requirements through intercompany debt and capital contributions to AT&amp;T Broadband Group. These amounts are reflected in the accompanying combined balance sheets as short-term debt due to AT&amp;T or a component of combined attributed net assets. Short-term debt due to AT&amp;T and interest was assumed based upon the methodology outlined in Note 1. Intercompany debt was $5,830 and $4,297 at December 31, 2000 and 1999, respectively. Intercompany interest expense was $323 and $91 for the year ended December 31, 2000 and for the ten months ended December 31, 1999, respectively.</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Pursuant to an agreement with a subsidiary of LMG, entities attributed to AT&amp;T Broadband Group purchase programming and other services from such LMG subsidiary. Amounts included in costs of services for programming purchased from such LMG subsidiary were $239 and $184 for the year ended December 31, 2000 and for the ten months ended December 31, 1999, respectively. Pursuant to such agreement, certain entities attributed to AT&amp;T Broadband Group are required to make minimum payments for such programming and other services through 2022. The commitments increase annually from $288 in 2001 to $315 in 2003, and will thereafter increase annually through 2022 with inflation. In the event that programming costs of such LMG subsidiary increase by more than ten percent of an amount specified in the contract, AT&amp;T Broadband Group's commitment will be increased by 66 percent of the increase above the amount specified in the contract. Other factors such as acquisitions and divestitures also affect the commitment amounts.</w:t>
      </w:r>
    </w:p>
    <w:p>
      <w:pPr>
        <w:spacing w:after="0" w:line="202" w:lineRule="exact"/>
        <w:rPr>
          <w:sz w:val="20"/>
          <w:szCs w:val="20"/>
          <w:color w:val="auto"/>
        </w:rPr>
      </w:pPr>
    </w:p>
    <w:p>
      <w:pPr>
        <w:ind w:right="2359" w:firstLine="524"/>
        <w:spacing w:after="0" w:line="254" w:lineRule="auto"/>
        <w:rPr>
          <w:sz w:val="20"/>
          <w:szCs w:val="20"/>
          <w:color w:val="auto"/>
        </w:rPr>
      </w:pPr>
      <w:r>
        <w:rPr>
          <w:rFonts w:ascii="Courier New" w:cs="Courier New" w:eastAsia="Courier New" w:hAnsi="Courier New"/>
          <w:sz w:val="17"/>
          <w:szCs w:val="17"/>
          <w:color w:val="auto"/>
        </w:rPr>
        <w:t>AT&amp;T Consumer Services Group provides AT&amp;T Broadband Group with sales support and customer care services at cost based prices. For the year ended December 31, 2000 and the ten months ended</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L-148</w:t>
      </w:r>
    </w:p>
    <w:p>
      <w:pPr>
        <w:sectPr>
          <w:pgSz w:w="11900" w:h="16838" w:orient="portrait"/>
          <w:cols w:equalWidth="0" w:num="1">
            <w:col w:w="10219"/>
          </w:cols>
          <w:pgMar w:left="240" w:top="518" w:right="1440" w:bottom="1440" w:gutter="0" w:footer="0" w:header="0"/>
        </w:sectPr>
      </w:pPr>
    </w:p>
    <w:bookmarkStart w:id="762" w:name="page763"/>
    <w:bookmarkEnd w:id="762"/>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jc w:val="both"/>
        <w:ind w:right="2259"/>
        <w:spacing w:after="0" w:line="254" w:lineRule="auto"/>
        <w:rPr>
          <w:sz w:val="20"/>
          <w:szCs w:val="20"/>
          <w:color w:val="auto"/>
        </w:rPr>
      </w:pPr>
      <w:r>
        <w:rPr>
          <w:rFonts w:ascii="Courier New" w:cs="Courier New" w:eastAsia="Courier New" w:hAnsi="Courier New"/>
          <w:sz w:val="17"/>
          <w:szCs w:val="17"/>
          <w:color w:val="auto"/>
        </w:rPr>
        <w:t>December 31, 1999, such amounts totaled $89 and $121, respectively, and are included in selling, general and administrative expenses in the accompanying combined statements of operations.</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addition, AT&amp;T Consumer Services Group and AT&amp;T Business Services Group provide AT&amp;T Broadband Group with wireline communication and other services. For the year ended December 31, 2000 and the ten months ended December 31, 1999, charges for such services totaled $104 and $31, respectively, and are included in costs of services in the accompanying combined statements of operations.</w:t>
      </w:r>
    </w:p>
    <w:p>
      <w:pPr>
        <w:spacing w:after="0" w:line="19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Included in current liabilities at December 31, 2000 and 1999, was $98 and $213, respectively, related to amounts due AT&amp;T Consumer Services Group and AT&amp;T Business Services Group for the above described services.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the AT&amp;T Broadband Group. Charges for such services amounted to $159 and $120 for the year ended December 31, 2000 and for the ten months ended December 31, 1999, respectively. These amounts are included in selling, general and administrative expenses in the accompanying combined statements of operations and were determined based on the methodology described in note 1.</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October 2, 2000, AT&amp;T Broadband Group, through MediaOne, completed the sale of several equity interests in international ventures acquired as a result of the MediaOne Merger to the AT&amp;T Wireless Group. Such interests were sold for approximately $1 billion, which was based upon a third party valuation. AT&amp;T Broadband Group received 120,335,081 of AT&amp;T common shares for sale of such equity interests. The AT&amp;T common stock received in such transaction has been included in combined attributed net assets. In connection with such sale, $196 of related deferred tax liabilities were transferred to AT&amp;T Wireless Group. No gain or loss was recognized on the sale of such equity interests.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 NEW ACCOUNTING PRONOUNCEMENTS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June 1998, the Financial Accounting Standards Board ("FASB") issued SFAS No. 133, "Accounting for Derivative Instruments and Hedging Activities." Among other provisions, it requires entities recognize all derivatives as either assets or liabilities in the statement of financial position and measure those instruments at fair value. Gains and losses resulting from changes in the fair values of those derivatives would be accounted for depending on the use of the derivative and whether it qualifies for hedge accounting. The effective date of this standard was delayed via the issuance of SFAS No. 137. The effective date for SFAS No. 133 is now for fiscal years beginning after June 15, 2000, though earlier adoption is encouraged and retroactive application is prohibited. For AT&amp;T Broadband Group, this means the standard must be adopted no later than January 1, 2001. In June 2000, the FASB issued SFAS No. 138, "Accounting for Certain Derivative Instruments and Certain Hedging Activities" as an amendment to SFAS No. 133. This statement provides clarification with regard to certain implementation issues under SFAS No. 133 on specific types of hedges.</w:t>
      </w:r>
    </w:p>
    <w:p>
      <w:pPr>
        <w:spacing w:after="0" w:line="202"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January 1, 2001, AT&amp;T Broadband Group adopted SFAS No. 133. AT&amp;T Broadband Group recorded a cumulative effect of an accounting change, net of applicable taxes, of approximately $1,209 of income, primarily attributable to fair value adjustments of debt instruments, including those acquired in conjunction with the MediaOne Merger, as well as to the warrant portfolio. In addition, in connection with the adoption of SFAS No. 133, AT&amp;T Broadband Group reclassified certain investment securities, which support debt that is indexed to such securities, from "available-for-sale" to "trading." This reclassification resulted in the recognition of a charge of $1,724, net of applicable taxes, which was recorded as a</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L-149</w:t>
      </w:r>
    </w:p>
    <w:p>
      <w:pPr>
        <w:sectPr>
          <w:pgSz w:w="11900" w:h="16838" w:orient="portrait"/>
          <w:cols w:equalWidth="0" w:num="1">
            <w:col w:w="10219"/>
          </w:cols>
          <w:pgMar w:left="240" w:top="518" w:right="1440" w:bottom="1440" w:gutter="0" w:footer="0" w:header="0"/>
        </w:sectPr>
      </w:pPr>
    </w:p>
    <w:bookmarkStart w:id="763" w:name="page764"/>
    <w:bookmarkEnd w:id="763"/>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reduction of other income. As available-for-sale securities, changes in fair value were previously included within other comprehensive income as a component of combined attributed net assets.</w:t>
      </w:r>
    </w:p>
    <w:p>
      <w:pPr>
        <w:spacing w:after="0" w:line="194" w:lineRule="exact"/>
        <w:rPr>
          <w:sz w:val="20"/>
          <w:szCs w:val="20"/>
          <w:color w:val="auto"/>
        </w:rPr>
      </w:pPr>
    </w:p>
    <w:p>
      <w:pPr>
        <w:jc w:val="both"/>
        <w:ind w:right="1939" w:firstLine="524"/>
        <w:spacing w:after="0" w:line="253" w:lineRule="auto"/>
        <w:rPr>
          <w:sz w:val="20"/>
          <w:szCs w:val="20"/>
          <w:color w:val="auto"/>
        </w:rPr>
      </w:pPr>
      <w:r>
        <w:rPr>
          <w:rFonts w:ascii="Courier New" w:cs="Courier New" w:eastAsia="Courier New" w:hAnsi="Courier New"/>
          <w:sz w:val="17"/>
          <w:szCs w:val="17"/>
          <w:color w:val="auto"/>
        </w:rPr>
        <w:t>The impact of the adoption of SFAS No. 133, as amended by SFAS No. 138, on AT&amp;T Broadband Group's future results of operations is dependent upon the fair values of the derivatives and related financial instruments and could result in pronounced quarterly fluctuations in other income in future periods.</w:t>
      </w:r>
    </w:p>
    <w:p>
      <w:pPr>
        <w:spacing w:after="0" w:line="195"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In December 1999, the SEC issued SAB No. 101, "Revenue Recognition in Financial Statements." Registrants were required to apply the accounting and disclosures described in SAB No. 101 no later than the fourth quarter of 2000. AT&amp;T Broadband Group is currently in compliance with the provisions of SAB No. 101.</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September 2000, the FASB issued SFAS No. 140, "Accounting for Transfers and Servicing of Financial Assets and Extinguishments of Liabilities -- a Replacement of FASB No. 125." This statement provides accounting and reporting standards for transfers and servicing of financial assets and extinguishments of liabilities. Under these standards, after a transfer of financial assets, an entity recognizes the financial and servicing assets it controls and the liabilities it has incurred, derecognizes financial assets when control has been surrendered, and derecognizes liabilities when extinguished. This statement provides consistent standards for distinguishing transfers of financial assets that are sales from transfers that are secured borrowings. This statement is effective for transfers and servicing of financial assets and extinguishments of liabilities occurring after March 31, 2001. AT&amp;T Broadband Group does not expect that the adoption of SFAS No. 140 will have a material impact on AT&amp;T Broadband Group's results of operations, financial position or cash flows.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17. SUBSEQUENT EVENTS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Effective January 1, 2001, entities attributed to AT&amp;T Broadband Group sold to Insight Communications Company LP ("Insight"), for $392, several Illinois systems serving approximately 98,400 customers. Insight contributed the customers to Insight Midwest, L.P. in which AT&amp;T Broadband Group, through its attributed entities, has a 50% interest. The $62 gain is being deferred due to a keep well agreement with Insight Midwest, L.P. Entities attributed to AT&amp;T Broadband Group also contributed several Illinois systems serving approximately 247,500 customers to Insight Midwest, L.P. while Insight contributed systems serving approximately 177,000 customers. The $117 gain is being deferred due to a keep well agreement with Insight Midwest, L.P.</w:t>
      </w:r>
    </w:p>
    <w:p>
      <w:pPr>
        <w:spacing w:after="0" w:line="201" w:lineRule="exact"/>
        <w:rPr>
          <w:sz w:val="20"/>
          <w:szCs w:val="20"/>
          <w:color w:val="auto"/>
        </w:rPr>
      </w:pPr>
    </w:p>
    <w:p>
      <w:pPr>
        <w:ind w:right="2559" w:firstLine="524"/>
        <w:spacing w:after="0" w:line="254" w:lineRule="auto"/>
        <w:rPr>
          <w:sz w:val="20"/>
          <w:szCs w:val="20"/>
          <w:color w:val="auto"/>
        </w:rPr>
      </w:pPr>
      <w:r>
        <w:rPr>
          <w:rFonts w:ascii="Courier New" w:cs="Courier New" w:eastAsia="Courier New" w:hAnsi="Courier New"/>
          <w:sz w:val="17"/>
          <w:szCs w:val="17"/>
          <w:color w:val="auto"/>
        </w:rPr>
        <w:t>On January 2, 2001, AT&amp;T through ATTBLLC, completed the sale of Kearns-Tribune, LLC, to MediaNews Group for $200 in cash. The transaction resulted in a pretax gain of approximately $107.</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January 8, 2001, a subsidiary of AT&amp;T and Cablevision Systems Corporation completed agreements for the transfer of cable-systems. AT&amp;T received cable-systems serving 358,000 customers in Boston and Eastern Massachusetts. In exchange, Cablevision received cable-systems serving approximately 130,000 customers in northern New York suburbs, and 44 million shares of AT&amp;T common stock valued at approximately $871, and approximately $204 in cash. Cablevision recorded a gain as a result of the transaction. Due to the ownership interest in Cablevision, AT&amp;T Broadband Group recorded its portion of the gain, of $234 in "net losses from equity investments."</w:t>
      </w:r>
    </w:p>
    <w:p>
      <w:pPr>
        <w:spacing w:after="0" w:line="201"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On April 30, 2001, a subsidiary of AT&amp;T received 63.9 million shares of AT&amp;T stock valued at $1,423 held by Comcast in exchange for an entity owning cable systems serving approximately 590,000 customers in Delaware, New Mexico, Maryland, New Jersey, Pennsylvania and Tennessee.</w:t>
      </w:r>
    </w:p>
    <w:p>
      <w:pPr>
        <w:ind w:left="3980"/>
        <w:spacing w:after="0"/>
        <w:rPr>
          <w:sz w:val="20"/>
          <w:szCs w:val="20"/>
          <w:color w:val="auto"/>
        </w:rPr>
      </w:pPr>
      <w:r>
        <w:rPr>
          <w:rFonts w:ascii="Courier New" w:cs="Courier New" w:eastAsia="Courier New" w:hAnsi="Courier New"/>
          <w:sz w:val="17"/>
          <w:szCs w:val="17"/>
          <w:color w:val="auto"/>
        </w:rPr>
        <w:t>L-150</w:t>
      </w:r>
    </w:p>
    <w:p>
      <w:pPr>
        <w:sectPr>
          <w:pgSz w:w="11900" w:h="16838" w:orient="portrait"/>
          <w:cols w:equalWidth="0" w:num="1">
            <w:col w:w="10219"/>
          </w:cols>
          <w:pgMar w:left="240" w:top="519" w:right="1440" w:bottom="1440" w:gutter="0" w:footer="0" w:header="0"/>
        </w:sectPr>
      </w:pPr>
    </w:p>
    <w:bookmarkStart w:id="764" w:name="page765"/>
    <w:bookmarkEnd w:id="764"/>
    <w:p>
      <w:pPr>
        <w:jc w:val="center"/>
        <w:ind w:right="183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February 2001, a subsidiary of AT&amp;T and Charter signed a definitive agreement involving several strategic cable system transactions. In accordance with such agreement, Charter will receive cable systems which are attributed to AT&amp;T Broadband Group serving approximately 574,000 customers in Missouri, Illinois, Alabama, Nevada and California. AT&amp;T Broadband Group, through its attributed entities, will receive $1,790, subject to adjustments, composed of cable systems serving approximately 62,000 customers in Florida, up to $502 in Charter common stock, and the balance in cash. Pending certain closing conditions and regulatory approvals, the transactions are expected to close in the second and third quarters of 2001.</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February 2001, a subsidiary of AT&amp;T and MediaCom Communications Corporation ("MediaCom") signed a definitive agreement in which certain cable systems attributed to AT&amp;T Broadband Group serving approximately 837,000 customers in Georgia, Iowa, Illinois and Missouri will be sold to MediaCom. AT&amp;T Broadband Group will receive cash of approximately $2,215, subject to adjustments. Pending certain closing conditions and regulatory approvals, the transaction is expected to close in the second quarter of 2001.</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April 2001, a subsidiary of AT&amp;T and Adelphia Communications Corporation ("Adelphia") signed a definitive agreement in which certain cable systems attributed to AT&amp;T Broadband Group serving approximately 128,000 customers in central Pennsylvania and Ohio will be sold to Adelphia. AT&amp;T Broadband Group will receive cash of approximately $318, subject to adjustments. Pending certain closing conditions and regulatory approvals, the transaction is expected to close in the third quarter of 2001.</w:t>
      </w:r>
    </w:p>
    <w:p>
      <w:pPr>
        <w:spacing w:after="0" w:line="196"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May 2001, AT&amp;T, together with certain subsidiaries attributed to the AT&amp;T Broadband Group, agreed to sell the 99.75% interest they own in the entity holding the Baltimore, Maryland cable television system, serving approximately 110,000 customers, to Comcast for approximately $516. Pending certain closing conditions and certain regulatory conditions, this transaction is expected to close at the end of the second quarter or beginning of the third quarter of 2001.</w:t>
      </w:r>
    </w:p>
    <w:p>
      <w:pPr>
        <w:spacing w:after="0" w:line="398"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January 11, 2001, Cox and Comcast exercised their rights to sell a combined total of approximately 60 million shares of Excite@Home Series A common stock to AT&amp;T as part of the March 2000 agreement to reorganize Excite@Home's governance. If this transaction were completed as originally contemplated, AT&amp;T Broadband Group would hold, on a fully diluted basis, approximately 38% of the economic interest in Excite@Home and approximately 79% of the voting interest. However, AT&amp;T currently is in discussions to renegotiate the structure or terms of the exercise of these sale rights, which negotiations may change the number of shares or the percentage interests in Excite@Home that AT&amp;T Broadband Group will hold and may result in Comcast and/or Cox retaining all of their Excite@Home shares.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first quarter of 2001, AT&amp;T Broadband Group recorded a charge of $56 for restructuring and exit costs as part of an initiative to reduce costs. The restructuring and exit plans primarily focus on the maximization of synergies through head count reductions, including the consolidation of customer-care and call centers and the reduction in the construction efforts on cable plant upgrade and rebuild activity. Included in exit costs was $53 of cash termination benefits associated with the separation of approximately 2,100 employees as part of involuntary termination plans. Approximately 11 percent of the separations were management employees and 89 percent were non-management employees. The charge also included approximately $3 recognized on the disposition of facilities as a result of the headcount reductions.</w:t>
      </w:r>
    </w:p>
    <w:p>
      <w:pPr>
        <w:spacing w:after="0" w:line="201"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In the first quarter of 2001, AT&amp;T signed a non-binding letter of agreement under which AT&amp;T may provide Excite@Home with $75 to $85 in connection with the restructuring of the backbone fiber agreement between the companies and with a joint initiative to maintain and improve current network</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L-151</w:t>
      </w:r>
    </w:p>
    <w:p>
      <w:pPr>
        <w:sectPr>
          <w:pgSz w:w="11900" w:h="16838" w:orient="portrait"/>
          <w:cols w:equalWidth="0" w:num="1">
            <w:col w:w="10219"/>
          </w:cols>
          <w:pgMar w:left="240" w:top="517" w:right="1440" w:bottom="1440" w:gutter="0" w:footer="0" w:header="0"/>
        </w:sectPr>
      </w:pPr>
    </w:p>
    <w:bookmarkStart w:id="765" w:name="page766"/>
    <w:bookmarkEnd w:id="765"/>
    <w:p>
      <w:pPr>
        <w:jc w:val="center"/>
        <w:ind w:right="1819"/>
        <w:spacing w:after="0"/>
        <w:rPr>
          <w:sz w:val="20"/>
          <w:szCs w:val="20"/>
          <w:color w:val="auto"/>
        </w:rPr>
      </w:pPr>
      <w:r>
        <w:rPr>
          <w:rFonts w:ascii="Courier New" w:cs="Courier New" w:eastAsia="Courier New" w:hAnsi="Courier New"/>
          <w:sz w:val="17"/>
          <w:szCs w:val="17"/>
          <w:color w:val="auto"/>
        </w:rPr>
        <w:t>AT&amp;T BROADBAND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performance levels. In addition, AT&amp;T Broadband Group recorded $752 of asset impairment and restructuring charges related to Excite@Home. The impairment charges relate to $600 in asset impairment charges taken by Excite@Home and a related goodwill impairment of $139 taken by AT&amp;T Broadband Group associated with its acquisition goodwill of Excite@Home. The asset impairment and restructuring charge included $13 of restructuring charges for headcount reductions and consolidation of facilities.</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L-152</w:t>
      </w:r>
    </w:p>
    <w:p>
      <w:pPr>
        <w:sectPr>
          <w:pgSz w:w="11900" w:h="16838" w:orient="portrait"/>
          <w:cols w:equalWidth="0" w:num="1">
            <w:col w:w="10219"/>
          </w:cols>
          <w:pgMar w:left="240" w:top="518" w:right="1440" w:bottom="1440" w:gutter="0" w:footer="0" w:header="0"/>
        </w:sectPr>
      </w:pPr>
    </w:p>
    <w:bookmarkStart w:id="766" w:name="page767"/>
    <w:bookmarkEnd w:id="766"/>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FINANCIAL STATEMENTS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is an integrated business of AT&amp;T Corp. (AT&amp;T) and is not a stand-alone entity. The combined financial statements included herein reflect the results of the proposed AT&amp;T Consumer Services Group tracking stock. Separate financial statements are not required to be filed for tracking stocks. However, we have provided the financial statements as an exhibit to this document to provide additional disclosures to investors to allow them to assess the financial performance of AT&amp;T Consumer Services Group. Presenting separate financial statements for AT&amp;T Consumer Services Group does not indicate that we have changed title to any assets or responsibility for any liabilities, and does not purport to affect the rights of any of AT&amp;T's creditors. Holders of AT&amp;T Consumer Services Group tracking stock do not have claims against the assets of AT&amp;T Consumer Services Group. Instead, AT&amp;T Consumer Services Group shareholders own a separate class of AT&amp;T common stock that is intended to reflect the financial performance and economic value of AT&amp;T's consumer services' businesses.</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L-153</w:t>
      </w:r>
    </w:p>
    <w:p>
      <w:pPr>
        <w:sectPr>
          <w:pgSz w:w="11900" w:h="16838" w:orient="portrait"/>
          <w:cols w:equalWidth="0" w:num="1">
            <w:col w:w="10219"/>
          </w:cols>
          <w:pgMar w:left="240" w:top="719" w:right="1440" w:bottom="1440" w:gutter="0" w:footer="0" w:header="0"/>
        </w:sectPr>
      </w:pPr>
    </w:p>
    <w:bookmarkStart w:id="767" w:name="page768"/>
    <w:bookmarkEnd w:id="767"/>
    <w:p>
      <w:pPr>
        <w:jc w:val="center"/>
        <w:ind w:right="181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COMBINED STATEMENTS OF INCOME</w:t>
      </w:r>
    </w:p>
    <w:p>
      <w:pPr>
        <w:spacing w:after="0" w:line="210"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FOR THE THREE FOR THE NINE MONTHS ENDED MONTHS ENDED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SEPTEMBER 30, SEPTEMBER 30, ---------------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60" w:type="dxa"/>
            <w:vAlign w:val="bottom"/>
          </w:tcPr>
          <w:p>
            <w:pPr>
              <w:jc w:val="center"/>
              <w:spacing w:after="0"/>
              <w:rPr>
                <w:sz w:val="20"/>
                <w:szCs w:val="20"/>
                <w:color w:val="auto"/>
              </w:rPr>
            </w:pPr>
            <w:r>
              <w:rPr>
                <w:rFonts w:ascii="Courier New" w:cs="Courier New" w:eastAsia="Courier New" w:hAnsi="Courier New"/>
                <w:sz w:val="17"/>
                <w:szCs w:val="17"/>
                <w:color w:val="auto"/>
              </w:rPr>
              <w:t>----- 2001 2000 2001 2000 ------</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 ------- -------</w:t>
            </w:r>
          </w:p>
        </w:tc>
      </w:tr>
      <w:tr>
        <w:trPr>
          <w:trHeight w:val="201"/>
        </w:trPr>
        <w:tc>
          <w:tcPr>
            <w:tcW w:w="59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(DOLLARS IN MILLIONS) (UNAUDITED)</w:t>
            </w:r>
          </w:p>
        </w:tc>
      </w:tr>
      <w:tr>
        <w:trPr>
          <w:trHeight w:val="201"/>
        </w:trPr>
        <w:tc>
          <w:tcPr>
            <w:tcW w:w="59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Revenue..................................................</w:t>
            </w:r>
          </w:p>
        </w:tc>
      </w:tr>
      <w:tr>
        <w:trPr>
          <w:trHeight w:val="201"/>
        </w:trPr>
        <w:tc>
          <w:tcPr>
            <w:tcW w:w="59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$3,822 $4,651 $11,614 $14,651 Operating Expenses Access</w:t>
            </w:r>
          </w:p>
        </w:tc>
      </w:tr>
      <w:tr>
        <w:trPr>
          <w:trHeight w:val="201"/>
        </w:trPr>
        <w:tc>
          <w:tcPr>
            <w:tcW w:w="3560" w:type="dxa"/>
            <w:vAlign w:val="bottom"/>
          </w:tcPr>
          <w:p>
            <w:pPr>
              <w:jc w:val="center"/>
              <w:spacing w:after="0"/>
              <w:rPr>
                <w:sz w:val="20"/>
                <w:szCs w:val="20"/>
                <w:color w:val="auto"/>
              </w:rPr>
            </w:pPr>
            <w:r>
              <w:rPr>
                <w:rFonts w:ascii="Courier New" w:cs="Courier New" w:eastAsia="Courier New" w:hAnsi="Courier New"/>
                <w:sz w:val="16"/>
                <w:szCs w:val="16"/>
                <w:color w:val="auto"/>
                <w:w w:val="72"/>
              </w:rPr>
              <w:t>and other connection..............................</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1,014</w:t>
            </w:r>
          </w:p>
        </w:tc>
      </w:tr>
      <w:tr>
        <w:trPr>
          <w:trHeight w:val="201"/>
        </w:trPr>
        <w:tc>
          <w:tcPr>
            <w:tcW w:w="59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1,185 3,112 4,126 Selling, general and</w:t>
            </w:r>
          </w:p>
        </w:tc>
      </w:tr>
      <w:tr>
        <w:trPr>
          <w:trHeight w:val="201"/>
        </w:trPr>
        <w:tc>
          <w:tcPr>
            <w:tcW w:w="3560" w:type="dxa"/>
            <w:vAlign w:val="bottom"/>
          </w:tcPr>
          <w:p>
            <w:pPr>
              <w:jc w:val="center"/>
              <w:spacing w:after="0"/>
              <w:rPr>
                <w:sz w:val="20"/>
                <w:szCs w:val="20"/>
                <w:color w:val="auto"/>
              </w:rPr>
            </w:pPr>
            <w:r>
              <w:rPr>
                <w:rFonts w:ascii="Courier New" w:cs="Courier New" w:eastAsia="Courier New" w:hAnsi="Courier New"/>
                <w:sz w:val="17"/>
                <w:szCs w:val="17"/>
                <w:color w:val="auto"/>
                <w:w w:val="95"/>
              </w:rPr>
              <w:t>administrative......................</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913 979 2,855 3,195</w:t>
            </w:r>
          </w:p>
        </w:tc>
      </w:tr>
    </w:tbl>
    <w:p>
      <w:pPr>
        <w:spacing w:after="0" w:line="4"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Costs of services and products (excluding depreciation</w:t>
      </w:r>
    </w:p>
    <w:p>
      <w:pPr>
        <w:spacing w:after="0" w:line="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of $40, $35, $119 and $100 included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400" w:type="dxa"/>
            <w:vAlign w:val="bottom"/>
          </w:tcPr>
          <w:p>
            <w:pPr>
              <w:jc w:val="right"/>
              <w:spacing w:after="0"/>
              <w:rPr>
                <w:sz w:val="20"/>
                <w:szCs w:val="20"/>
                <w:color w:val="auto"/>
              </w:rPr>
            </w:pPr>
            <w:r>
              <w:rPr>
                <w:rFonts w:ascii="Courier New" w:cs="Courier New" w:eastAsia="Courier New" w:hAnsi="Courier New"/>
                <w:sz w:val="17"/>
                <w:szCs w:val="17"/>
                <w:color w:val="auto"/>
              </w:rPr>
              <w:t>below)................</w:t>
            </w:r>
          </w:p>
        </w:tc>
        <w:tc>
          <w:tcPr>
            <w:tcW w:w="3460" w:type="dxa"/>
            <w:vAlign w:val="bottom"/>
          </w:tcPr>
          <w:p>
            <w:pPr>
              <w:jc w:val="right"/>
              <w:spacing w:after="0"/>
              <w:rPr>
                <w:sz w:val="20"/>
                <w:szCs w:val="20"/>
                <w:color w:val="auto"/>
              </w:rPr>
            </w:pPr>
            <w:r>
              <w:rPr>
                <w:rFonts w:ascii="Courier New" w:cs="Courier New" w:eastAsia="Courier New" w:hAnsi="Courier New"/>
                <w:sz w:val="17"/>
                <w:szCs w:val="17"/>
                <w:color w:val="auto"/>
              </w:rPr>
              <w:t>590 661 1,758 1,957 Depreciation</w:t>
            </w:r>
          </w:p>
        </w:tc>
      </w:tr>
      <w:tr>
        <w:trPr>
          <w:trHeight w:val="201"/>
        </w:trPr>
        <w:tc>
          <w:tcPr>
            <w:tcW w:w="2400" w:type="dxa"/>
            <w:vAlign w:val="bottom"/>
          </w:tcPr>
          <w:p>
            <w:pPr>
              <w:jc w:val="right"/>
              <w:spacing w:after="0"/>
              <w:rPr>
                <w:sz w:val="20"/>
                <w:szCs w:val="20"/>
                <w:color w:val="auto"/>
              </w:rPr>
            </w:pPr>
            <w:r>
              <w:rPr>
                <w:rFonts w:ascii="Courier New" w:cs="Courier New" w:eastAsia="Courier New" w:hAnsi="Courier New"/>
                <w:sz w:val="17"/>
                <w:szCs w:val="17"/>
                <w:color w:val="auto"/>
              </w:rPr>
              <w:t>and other amortization</w:t>
            </w:r>
          </w:p>
        </w:tc>
        <w:tc>
          <w:tcPr>
            <w:tcW w:w="3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49 43 145</w:t>
            </w:r>
          </w:p>
        </w:tc>
      </w:tr>
      <w:tr>
        <w:trPr>
          <w:trHeight w:val="201"/>
        </w:trPr>
        <w:tc>
          <w:tcPr>
            <w:tcW w:w="58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123 Net restructuring and other</w:t>
            </w:r>
          </w:p>
        </w:tc>
      </w:tr>
      <w:tr>
        <w:trPr>
          <w:trHeight w:val="201"/>
        </w:trPr>
        <w:tc>
          <w:tcPr>
            <w:tcW w:w="2400" w:type="dxa"/>
            <w:vAlign w:val="bottom"/>
          </w:tcPr>
          <w:p>
            <w:pPr>
              <w:jc w:val="right"/>
              <w:spacing w:after="0"/>
              <w:rPr>
                <w:sz w:val="20"/>
                <w:szCs w:val="20"/>
                <w:color w:val="auto"/>
              </w:rPr>
            </w:pPr>
            <w:r>
              <w:rPr>
                <w:rFonts w:ascii="Courier New" w:cs="Courier New" w:eastAsia="Courier New" w:hAnsi="Courier New"/>
                <w:sz w:val="17"/>
                <w:szCs w:val="17"/>
                <w:color w:val="auto"/>
                <w:w w:val="80"/>
              </w:rPr>
              <w:t>charges......................</w:t>
            </w:r>
          </w:p>
        </w:tc>
        <w:tc>
          <w:tcPr>
            <w:tcW w:w="34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 -- -- 97 Total</w:t>
            </w:r>
          </w:p>
        </w:tc>
      </w:tr>
      <w:tr>
        <w:trPr>
          <w:trHeight w:val="201"/>
        </w:trPr>
        <w:tc>
          <w:tcPr>
            <w:tcW w:w="58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operating expenses.................................</w:t>
            </w:r>
          </w:p>
        </w:tc>
      </w:tr>
      <w:tr>
        <w:trPr>
          <w:trHeight w:val="201"/>
        </w:trPr>
        <w:tc>
          <w:tcPr>
            <w:tcW w:w="58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2,566 2,868 7,870 9,498 Operating</w:t>
            </w:r>
          </w:p>
        </w:tc>
      </w:tr>
      <w:tr>
        <w:trPr>
          <w:trHeight w:val="201"/>
        </w:trPr>
        <w:tc>
          <w:tcPr>
            <w:tcW w:w="2400" w:type="dxa"/>
            <w:vAlign w:val="bottom"/>
          </w:tcPr>
          <w:p>
            <w:pPr>
              <w:jc w:val="right"/>
              <w:spacing w:after="0"/>
              <w:rPr>
                <w:sz w:val="20"/>
                <w:szCs w:val="20"/>
                <w:color w:val="auto"/>
              </w:rPr>
            </w:pPr>
            <w:r>
              <w:rPr>
                <w:rFonts w:ascii="Courier New" w:cs="Courier New" w:eastAsia="Courier New" w:hAnsi="Courier New"/>
                <w:sz w:val="12"/>
                <w:szCs w:val="12"/>
                <w:color w:val="auto"/>
                <w:w w:val="70"/>
              </w:rPr>
              <w:t>income.........................................</w:t>
            </w:r>
          </w:p>
        </w:tc>
        <w:tc>
          <w:tcPr>
            <w:tcW w:w="3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1,256</w:t>
            </w:r>
          </w:p>
        </w:tc>
      </w:tr>
      <w:tr>
        <w:trPr>
          <w:trHeight w:val="201"/>
        </w:trPr>
        <w:tc>
          <w:tcPr>
            <w:tcW w:w="58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1,783 3,744 5,153 Other income,</w:t>
            </w:r>
          </w:p>
        </w:tc>
      </w:tr>
      <w:tr>
        <w:trPr>
          <w:trHeight w:val="201"/>
        </w:trPr>
        <w:tc>
          <w:tcPr>
            <w:tcW w:w="2400" w:type="dxa"/>
            <w:vAlign w:val="bottom"/>
          </w:tcPr>
          <w:p>
            <w:pPr>
              <w:jc w:val="right"/>
              <w:spacing w:after="0"/>
              <w:rPr>
                <w:sz w:val="20"/>
                <w:szCs w:val="20"/>
                <w:color w:val="auto"/>
              </w:rPr>
            </w:pPr>
            <w:r>
              <w:rPr>
                <w:rFonts w:ascii="Courier New" w:cs="Courier New" w:eastAsia="Courier New" w:hAnsi="Courier New"/>
                <w:sz w:val="13"/>
                <w:szCs w:val="13"/>
                <w:color w:val="auto"/>
                <w:w w:val="70"/>
              </w:rPr>
              <w:t>net........................................</w:t>
            </w:r>
          </w:p>
        </w:tc>
        <w:tc>
          <w:tcPr>
            <w:tcW w:w="3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8 6 22 63</w:t>
            </w:r>
          </w:p>
        </w:tc>
      </w:tr>
      <w:tr>
        <w:trPr>
          <w:trHeight w:val="201"/>
        </w:trPr>
        <w:tc>
          <w:tcPr>
            <w:tcW w:w="2400" w:type="dxa"/>
            <w:vAlign w:val="bottom"/>
          </w:tcPr>
          <w:p>
            <w:pPr>
              <w:spacing w:after="0"/>
              <w:rPr>
                <w:sz w:val="17"/>
                <w:szCs w:val="17"/>
                <w:color w:val="auto"/>
              </w:rPr>
            </w:pPr>
          </w:p>
        </w:tc>
        <w:tc>
          <w:tcPr>
            <w:tcW w:w="3460" w:type="dxa"/>
            <w:vAlign w:val="bottom"/>
          </w:tcPr>
          <w:p>
            <w:pPr>
              <w:jc w:val="center"/>
              <w:ind w:right="2333"/>
              <w:spacing w:after="0"/>
              <w:rPr>
                <w:sz w:val="20"/>
                <w:szCs w:val="20"/>
                <w:color w:val="auto"/>
              </w:rPr>
            </w:pPr>
            <w:r>
              <w:rPr>
                <w:rFonts w:ascii="Courier New" w:cs="Courier New" w:eastAsia="Courier New" w:hAnsi="Courier New"/>
                <w:sz w:val="17"/>
                <w:szCs w:val="17"/>
                <w:color w:val="auto"/>
              </w:rPr>
              <w:t>Interest</w:t>
            </w:r>
          </w:p>
        </w:tc>
      </w:tr>
      <w:tr>
        <w:trPr>
          <w:trHeight w:val="201"/>
        </w:trPr>
        <w:tc>
          <w:tcPr>
            <w:tcW w:w="2400" w:type="dxa"/>
            <w:vAlign w:val="bottom"/>
          </w:tcPr>
          <w:p>
            <w:pPr>
              <w:jc w:val="right"/>
              <w:spacing w:after="0"/>
              <w:rPr>
                <w:sz w:val="20"/>
                <w:szCs w:val="20"/>
                <w:color w:val="auto"/>
              </w:rPr>
            </w:pPr>
            <w:r>
              <w:rPr>
                <w:rFonts w:ascii="Courier New" w:cs="Courier New" w:eastAsia="Courier New" w:hAnsi="Courier New"/>
                <w:sz w:val="11"/>
                <w:szCs w:val="11"/>
                <w:color w:val="auto"/>
                <w:w w:val="75"/>
              </w:rPr>
              <w:t>expense.........................................</w:t>
            </w:r>
          </w:p>
        </w:tc>
        <w:tc>
          <w:tcPr>
            <w:tcW w:w="3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28 76</w:t>
            </w:r>
          </w:p>
        </w:tc>
      </w:tr>
      <w:tr>
        <w:trPr>
          <w:trHeight w:val="201"/>
        </w:trPr>
        <w:tc>
          <w:tcPr>
            <w:tcW w:w="58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134 98 Income before income</w:t>
            </w:r>
          </w:p>
        </w:tc>
      </w:tr>
      <w:tr>
        <w:trPr>
          <w:trHeight w:val="201"/>
        </w:trPr>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w w:val="73"/>
              </w:rPr>
              <w:t>taxes...............................</w:t>
            </w:r>
          </w:p>
        </w:tc>
        <w:tc>
          <w:tcPr>
            <w:tcW w:w="3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1,236 1,713 3,632</w:t>
            </w:r>
          </w:p>
        </w:tc>
      </w:tr>
      <w:tr>
        <w:trPr>
          <w:trHeight w:val="201"/>
        </w:trPr>
        <w:tc>
          <w:tcPr>
            <w:tcW w:w="58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5,118 Provision for income</w:t>
            </w:r>
          </w:p>
        </w:tc>
      </w:tr>
      <w:tr>
        <w:trPr>
          <w:trHeight w:val="201"/>
        </w:trPr>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w w:val="73"/>
              </w:rPr>
              <w:t>taxes...............................</w:t>
            </w:r>
          </w:p>
        </w:tc>
        <w:tc>
          <w:tcPr>
            <w:tcW w:w="3460" w:type="dxa"/>
            <w:vAlign w:val="bottom"/>
          </w:tcPr>
          <w:p>
            <w:pPr>
              <w:jc w:val="right"/>
              <w:spacing w:after="0"/>
              <w:rPr>
                <w:sz w:val="20"/>
                <w:szCs w:val="20"/>
                <w:color w:val="auto"/>
              </w:rPr>
            </w:pPr>
            <w:r>
              <w:rPr>
                <w:rFonts w:ascii="Courier New" w:cs="Courier New" w:eastAsia="Courier New" w:hAnsi="Courier New"/>
                <w:sz w:val="17"/>
                <w:szCs w:val="17"/>
                <w:color w:val="auto"/>
              </w:rPr>
              <w:t>473 655 1,389 1,957</w:t>
            </w:r>
          </w:p>
        </w:tc>
      </w:tr>
      <w:tr>
        <w:trPr>
          <w:trHeight w:val="201"/>
        </w:trPr>
        <w:tc>
          <w:tcPr>
            <w:tcW w:w="2400" w:type="dxa"/>
            <w:vAlign w:val="bottom"/>
          </w:tcPr>
          <w:p>
            <w:pPr>
              <w:spacing w:after="0"/>
              <w:rPr>
                <w:sz w:val="17"/>
                <w:szCs w:val="17"/>
                <w:color w:val="auto"/>
              </w:rPr>
            </w:pPr>
          </w:p>
        </w:tc>
        <w:tc>
          <w:tcPr>
            <w:tcW w:w="3460" w:type="dxa"/>
            <w:vAlign w:val="bottom"/>
          </w:tcPr>
          <w:p>
            <w:pPr>
              <w:jc w:val="center"/>
              <w:ind w:right="2313"/>
              <w:spacing w:after="0"/>
              <w:rPr>
                <w:sz w:val="20"/>
                <w:szCs w:val="20"/>
                <w:color w:val="auto"/>
              </w:rPr>
            </w:pPr>
            <w:r>
              <w:rPr>
                <w:rFonts w:ascii="Courier New" w:cs="Courier New" w:eastAsia="Courier New" w:hAnsi="Courier New"/>
                <w:sz w:val="17"/>
                <w:szCs w:val="17"/>
                <w:color w:val="auto"/>
                <w:w w:val="97"/>
              </w:rPr>
              <w:t>Net</w:t>
            </w:r>
          </w:p>
        </w:tc>
      </w:tr>
      <w:tr>
        <w:trPr>
          <w:trHeight w:val="201"/>
        </w:trPr>
        <w:tc>
          <w:tcPr>
            <w:tcW w:w="2400" w:type="dxa"/>
            <w:vAlign w:val="bottom"/>
          </w:tcPr>
          <w:p>
            <w:pPr>
              <w:jc w:val="right"/>
              <w:spacing w:after="0"/>
              <w:rPr>
                <w:sz w:val="20"/>
                <w:szCs w:val="20"/>
                <w:color w:val="auto"/>
              </w:rPr>
            </w:pPr>
            <w:r>
              <w:rPr>
                <w:rFonts w:ascii="Courier New" w:cs="Courier New" w:eastAsia="Courier New" w:hAnsi="Courier New"/>
                <w:sz w:val="10"/>
                <w:szCs w:val="10"/>
                <w:color w:val="auto"/>
                <w:w w:val="74"/>
              </w:rPr>
              <w:t>income...............................................</w:t>
            </w:r>
          </w:p>
        </w:tc>
        <w:tc>
          <w:tcPr>
            <w:tcW w:w="3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763 $1,058 $ 2,243 $ 3,161</w:t>
      </w:r>
    </w:p>
    <w:p>
      <w:pPr>
        <w:spacing w:after="0" w:line="200" w:lineRule="exact"/>
        <w:rPr>
          <w:sz w:val="20"/>
          <w:szCs w:val="20"/>
          <w:color w:val="auto"/>
        </w:rPr>
      </w:pPr>
    </w:p>
    <w:p>
      <w:pPr>
        <w:spacing w:after="0" w:line="21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L-154</w:t>
      </w:r>
    </w:p>
    <w:p>
      <w:pPr>
        <w:sectPr>
          <w:pgSz w:w="11900" w:h="16838" w:orient="portrait"/>
          <w:cols w:equalWidth="0" w:num="1">
            <w:col w:w="10219"/>
          </w:cols>
          <w:pgMar w:left="240" w:top="720" w:right="1440" w:bottom="1440" w:gutter="0" w:footer="0" w:header="0"/>
        </w:sectPr>
      </w:pPr>
    </w:p>
    <w:bookmarkStart w:id="768" w:name="page769"/>
    <w:bookmarkEnd w:id="768"/>
    <w:p>
      <w:pPr>
        <w:jc w:val="center"/>
        <w:ind w:right="181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COMBINED BALANCE SHEETS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AT SEPTEMBER 30, DECEMBER 31, 2001 2000 ----------</w:t>
      </w:r>
    </w:p>
    <w:p>
      <w:pPr>
        <w:spacing w:after="0" w:line="9" w:lineRule="exact"/>
        <w:rPr>
          <w:sz w:val="20"/>
          <w:szCs w:val="20"/>
          <w:color w:val="auto"/>
        </w:rPr>
      </w:pPr>
    </w:p>
    <w:p>
      <w:pPr>
        <w:ind w:left="1780" w:right="4759" w:hanging="1565"/>
        <w:spacing w:after="0" w:line="251" w:lineRule="auto"/>
        <w:tabs>
          <w:tab w:leader="none" w:pos="628" w:val="left"/>
        </w:tabs>
        <w:numPr>
          <w:ilvl w:val="0"/>
          <w:numId w:val="8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(UNAUDITED) ASSETS Cash and cash</w:t>
      </w:r>
    </w:p>
    <w:p>
      <w:pPr>
        <w:ind w:left="120"/>
        <w:spacing w:after="0"/>
        <w:rPr>
          <w:sz w:val="20"/>
          <w:szCs w:val="20"/>
          <w:color w:val="auto"/>
        </w:rPr>
      </w:pPr>
      <w:r>
        <w:rPr>
          <w:rFonts w:ascii="Courier New" w:cs="Courier New" w:eastAsia="Courier New" w:hAnsi="Courier New"/>
          <w:sz w:val="17"/>
          <w:szCs w:val="17"/>
          <w:color w:val="auto"/>
        </w:rPr>
        <w:t>equivalents................................... $ 1 $</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 Accounts receivable, less allowances of $344 and</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$410....... 2,054 2,681 Deferred income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taxes....................................... 261 314</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Other current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assets........................................ 82 68</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Total Current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Assets................................... 2,398 3,063</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Property, plant and equipment, net of accumulated</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depreciation of $536 and</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$468............................. 125 170 Other</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310 310 Total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$2,833 $3,543 LIABILITIES Accounts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payable............................................ $</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840 $1,133 Payroll and benefit-related</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liabilities..................... 144 149 Debt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maturing within one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year............................... -- 13 Income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taxes payable........................................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508 -- Other current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liabilities................................... 347</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475 Total Current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Liabilities.............................. 1,839 1,770</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Long-term debt due to</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AT&amp;T.................................. 1,514 4,000</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Deferred income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taxes....................................... 31 29</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Other long-term liabilities and deferred</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credits............ 275 285 Total</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3,659 6,084 Combined attributed net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liabilities......................... (826) (2,541)</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Total Liabilities and Combined Attributed Net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$2,833 $3,543</w:t>
      </w:r>
    </w:p>
    <w:p>
      <w:pPr>
        <w:spacing w:after="0" w:line="200" w:lineRule="exact"/>
        <w:rPr>
          <w:sz w:val="20"/>
          <w:szCs w:val="20"/>
          <w:color w:val="auto"/>
        </w:rPr>
      </w:pPr>
    </w:p>
    <w:p>
      <w:pPr>
        <w:spacing w:after="0" w:line="21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L-155</w:t>
      </w:r>
    </w:p>
    <w:p>
      <w:pPr>
        <w:sectPr>
          <w:pgSz w:w="11900" w:h="16838" w:orient="portrait"/>
          <w:cols w:equalWidth="0" w:num="1">
            <w:col w:w="10219"/>
          </w:cols>
          <w:pgMar w:left="240" w:top="719" w:right="1440" w:bottom="1440" w:gutter="0" w:footer="0" w:header="0"/>
        </w:sectPr>
      </w:pPr>
    </w:p>
    <w:bookmarkStart w:id="769" w:name="page770"/>
    <w:bookmarkEnd w:id="769"/>
    <w:p>
      <w:pPr>
        <w:jc w:val="center"/>
        <w:ind w:right="181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COMBINED STATEMENTS OF CHANGES IN COMBINED</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ATTRIBUTED NET (LIABILITIES) ASSETS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NINE MONTHS ENDED SEPTEMBER 30, -------------</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-------- 2001 2000 --------- --------- (DOLLARS IN</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MILLIONS) (UNAUDITED) Combined Attributed Net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(Liabilities) Assets Balance at beginning of</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year................................ $(2,541) $ 1,070</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2,243 3,161 Dividends declared to</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AT&amp;T................................ (272) (1,563)</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Contributions to AT&amp;T,</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net................................ (256) (5,598)</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Balance at end of</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period.................................... $ (826)</w:t>
      </w:r>
    </w:p>
    <w:p>
      <w:pPr>
        <w:spacing w:after="0" w:line="9"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$(2,930)</w:t>
      </w:r>
    </w:p>
    <w:p>
      <w:pPr>
        <w:spacing w:after="0" w:line="200" w:lineRule="exact"/>
        <w:rPr>
          <w:sz w:val="20"/>
          <w:szCs w:val="20"/>
          <w:color w:val="auto"/>
        </w:rPr>
      </w:pPr>
    </w:p>
    <w:p>
      <w:pPr>
        <w:spacing w:after="0" w:line="21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L-156</w:t>
      </w:r>
    </w:p>
    <w:p>
      <w:pPr>
        <w:sectPr>
          <w:pgSz w:w="11900" w:h="16838" w:orient="portrait"/>
          <w:cols w:equalWidth="0" w:num="1">
            <w:col w:w="10219"/>
          </w:cols>
          <w:pgMar w:left="240" w:top="719" w:right="1440" w:bottom="1440" w:gutter="0" w:footer="0" w:header="0"/>
        </w:sectPr>
      </w:pPr>
    </w:p>
    <w:bookmarkStart w:id="770" w:name="page771"/>
    <w:bookmarkEnd w:id="770"/>
    <w:p>
      <w:pPr>
        <w:jc w:val="center"/>
        <w:ind w:right="181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COMBINED STATEMENTS OF CASH FLOWS</w:t>
      </w:r>
    </w:p>
    <w:p>
      <w:pPr>
        <w:spacing w:after="0" w:line="210"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FOR THE NINE MONTHS ENDED SEPTEMBER 30, ---------------</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------ 2001 2000 --------- --------- (DOLLARS IN</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MILLIONS) (UNAUDITED) OPERATING ACTIVITIES Net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ind w:left="520" w:right="4459" w:hanging="414"/>
        <w:spacing w:after="0" w:line="251" w:lineRule="auto"/>
        <w:tabs>
          <w:tab w:leader="none" w:pos="311" w:val="left"/>
        </w:tabs>
        <w:numPr>
          <w:ilvl w:val="0"/>
          <w:numId w:val="8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2,243 $ 3,161 Adjustments to reconcile net income to net cash provided by operating activities: Net</w:t>
      </w:r>
    </w:p>
    <w:p>
      <w:pPr>
        <w:ind w:left="100"/>
        <w:spacing w:after="0"/>
        <w:rPr>
          <w:sz w:val="20"/>
          <w:szCs w:val="20"/>
          <w:color w:val="auto"/>
        </w:rPr>
      </w:pPr>
      <w:r>
        <w:rPr>
          <w:rFonts w:ascii="Courier New" w:cs="Courier New" w:eastAsia="Courier New" w:hAnsi="Courier New"/>
          <w:sz w:val="17"/>
          <w:szCs w:val="17"/>
          <w:color w:val="auto"/>
        </w:rPr>
        <w:t>restructuring and other charges.......................</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-- 58 Depreciation and</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amortization............................. 145 123</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Provision for uncollectible</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receivables................... 463 448 Decrease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(increase) in receivables........................ 164</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(102) (Decrease) increase in accounts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payable................... (293) 131 Increase in income</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taxes payable.......................... 508 -- Net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change in other operating assets and liabilities......</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(131) (183) Net cash provided by operating</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activities................... 3,099 3,636 INVESTING</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7"/>
          <w:szCs w:val="17"/>
          <w:color w:val="auto"/>
        </w:rPr>
        <w:t>ACTIVITIES Capital expenditures and other</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additions.................... (96) (104) Net cash used</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 investing activities....................... (96)</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(104) FINANCING ACTIVITIES (Decrease) increase in long-</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term debt due to AT&amp;T........... (2,486) 3,673</w:t>
      </w:r>
    </w:p>
    <w:p>
      <w:pPr>
        <w:spacing w:after="0" w:line="9"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Dividends paid to</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AT&amp;T...................................... (277)</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(1,481) Contributions to AT&amp;T,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net.................................. (226) (5,707)</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Decrease in short-term borrowings,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net...................... (13) (22) Net cash used in</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financing activities....................... (3,002)</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(3,537) Net increase (decrease) in cash and 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equivalents........ 1 (5) Cash and cash equivalents at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beginning of year.............. -- 6 Cash and 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equivalents at end of period.................. $ 1 $ 1</w:t>
      </w:r>
    </w:p>
    <w:p>
      <w:pPr>
        <w:spacing w:after="0" w:line="200" w:lineRule="exact"/>
        <w:rPr>
          <w:sz w:val="20"/>
          <w:szCs w:val="20"/>
          <w:color w:val="auto"/>
        </w:rPr>
      </w:pPr>
    </w:p>
    <w:p>
      <w:pPr>
        <w:spacing w:after="0" w:line="21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L-157</w:t>
      </w:r>
    </w:p>
    <w:p>
      <w:pPr>
        <w:sectPr>
          <w:pgSz w:w="11900" w:h="16838" w:orient="portrait"/>
          <w:cols w:equalWidth="0" w:num="1">
            <w:col w:w="10219"/>
          </w:cols>
          <w:pgMar w:left="240" w:top="718" w:right="1440" w:bottom="1440" w:gutter="0" w:footer="0" w:header="0"/>
        </w:sectPr>
      </w:pPr>
    </w:p>
    <w:bookmarkStart w:id="771" w:name="page772"/>
    <w:bookmarkEnd w:id="771"/>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NOTES TO COMBINED FINANCIAL STATEMENTS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(DOLLARS IN MILLIONS UNLESS OTHERWISE NOTED)</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BASIS OF PRESENTATION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October 25, 2000 AT&amp;T announced a restructuring plan designed to fully separate or issue separately tracked stocks intended to reflect the financial performance and economic value of each of AT&amp;T's four major operating units. On December 19, 2001, AT&amp;T reaffirmed its commitment to creating a tracking stock designed to reflect the financial performance and economic value of AT&amp;T Consumer Services Group. If the Consumer Services charter amendment is approved by the AT&amp;T shareholders, AT&amp;T expects to distribute some or all of the tracking stock to AT&amp;T shareholders in 2002. However, our board of directors reserves the right to change the timing of the distribution. In addition, our board of directors reserves the right to not create or distribute shares of AT&amp;T Consumer Services Group tracking stock, or to distribute less than all of these shares, even if shareholders approve the Consumer Services charter amendment proposal.</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combined financial statements have been prepared by AT&amp;T Consumer Services Group pursuant to the rules and regulations of the Securities and Exchange Commission (SEC) and, in the opinion of management, include all adjustments necessary for a fair presentation of the combined results of operations, financial position and cash flows for each period presented. The combined results for interim periods are not necessarily indicative of results for the full year. These financial results should be read in conjunction with AT&amp;T's Form 8-K filed on September 24, 2001, restating AT&amp;T's consolidated financial results for the year ended December 31, 2000, to reflect AT&amp;T Wireless Services as a discontinued operation, AT&amp;T's Form 10-K/A for the year ended December 31, 2000, AT&amp;T's Form 10-Q for the quarter ended September 30, 2001 and AT&amp;T Consumer Services Group's combined financial statements for the year ended December 31, 2000 included elsewhere in this document.</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Consumer Services Group provides a variety of communications services to residential customers including long distance, local toll (intrastate calls outside the immediate local area) and Internet access. In addition, AT&amp;T Consumer Services Group provides calling card, operator-handled calling services and, in certain areas, local phone services.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is an integrated business of AT&amp;T and is not a separate legal entity. These combined financial statements reflect the results of operations, financial position, changes in combined attributed net (liabilities) assets and cash flows of AT&amp;T Consumer Services Group as if it were a separate entity for all periods presented. The combined financial statements of AT&amp;T Consumer Services Group were prepared in accordance with Generally Accepted Accounting Principles. The financial information included herein may not necessarily reflect the combined results of operations, financial position, changes in combined attributed net (liabilities) assets and cash flows of AT&amp;T Consumer Services Group had it been a separate, stand-alone entity during the periods presented.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combined financial statements of AT&amp;T Consumer Services Group reflect the assets, liabilities, revenue and expenses directly attributable to AT&amp;T Consumer Services Group, as well as allocations deemed reasonable by management, to present the results of operations, financial position and cash flows of AT&amp;T Consumer Services Group on a stand-alone basis. The allocation methodologies have been described within the notes to the combined financial statements where appropriate. All significant intercompany accounts and transactions within AT&amp;T Consumer Services Group have been eliminated. Earnings per share disclosure has not been presented as AT&amp;T Consumer Services Group is a business unit of AT&amp;T and earnings per share data is not considered meaningful.</w:t>
      </w:r>
    </w:p>
    <w:p>
      <w:pPr>
        <w:spacing w:after="0" w:line="201"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combined financial statements of AT&amp;T Consumer Services Group primarily include the results of the following legal entities: AT&amp;T Communications of the Southern States Inc., AT&amp;T</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L-158</w:t>
      </w:r>
    </w:p>
    <w:p>
      <w:pPr>
        <w:sectPr>
          <w:pgSz w:w="11900" w:h="16838" w:orient="portrait"/>
          <w:cols w:equalWidth="0" w:num="1">
            <w:col w:w="10219"/>
          </w:cols>
          <w:pgMar w:left="240" w:top="720" w:right="1440" w:bottom="1440" w:gutter="0" w:footer="0" w:header="0"/>
        </w:sectPr>
      </w:pPr>
    </w:p>
    <w:bookmarkStart w:id="772" w:name="page773"/>
    <w:bookmarkEnd w:id="772"/>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2139"/>
        <w:spacing w:after="0" w:line="254" w:lineRule="auto"/>
        <w:rPr>
          <w:sz w:val="20"/>
          <w:szCs w:val="20"/>
          <w:color w:val="auto"/>
        </w:rPr>
      </w:pPr>
      <w:r>
        <w:rPr>
          <w:rFonts w:ascii="Courier New" w:cs="Courier New" w:eastAsia="Courier New" w:hAnsi="Courier New"/>
          <w:sz w:val="17"/>
          <w:szCs w:val="17"/>
          <w:color w:val="auto"/>
        </w:rPr>
        <w:t>Communications of the Southwest, Inc., AT&amp;T Puerto Rico, AT&amp;T Virgin Islands, AT&amp;T Communications companies in other jurisdictions and certain attributed assets of AT&amp;T Corp.</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Debt has been allocated to AT&amp;T Consumer Services Group based on our future view of AT&amp;T's debt position after taking into account the significant deleveraging activities of AT&amp;T Corp. This allocation took into account the following factors: prospective financing requirements, working capital and capital expenditure requirements, equity issuance and comparable company profiles. Increases in historical debt levels are based, in general, on historical cash flows generated by this entity in relation to total AT&amp;T. Such cash outflows include acquisitions, dividend payments and capital expenditures, partially offset by cash flow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TCI merger and the MediaOne acquisition. The interest expense on the allocated debt was calculated based on a rate intended to be equivalent to the rate AT&amp;T Consumer Services Group would have received if it were a stand-alone entity. Due to the expected positive operating cash flow of AT&amp;T Consumer Services Group, the level of debt of AT&amp;T Consumer Services Group in the future is expected to be significantly lower than the level at September 30, 2001.</w:t>
      </w:r>
    </w:p>
    <w:p>
      <w:pPr>
        <w:spacing w:after="0" w:line="202" w:lineRule="exact"/>
        <w:rPr>
          <w:sz w:val="20"/>
          <w:szCs w:val="20"/>
          <w:color w:val="auto"/>
        </w:rPr>
      </w:pPr>
    </w:p>
    <w:p>
      <w:pPr>
        <w:ind w:right="2139" w:firstLine="524"/>
        <w:spacing w:after="0" w:line="252" w:lineRule="auto"/>
        <w:rPr>
          <w:sz w:val="20"/>
          <w:szCs w:val="20"/>
          <w:color w:val="auto"/>
        </w:rPr>
      </w:pPr>
      <w:r>
        <w:rPr>
          <w:rFonts w:ascii="Courier New" w:cs="Courier New" w:eastAsia="Courier New" w:hAnsi="Courier New"/>
          <w:sz w:val="17"/>
          <w:szCs w:val="17"/>
          <w:color w:val="auto"/>
        </w:rPr>
        <w:t>As a result of the above methodology, AT&amp;T Consumer Services Group may advance funds to AT&amp;T Corp. These advances are accounted for as borrowings between the entities and bear interest at a market rate that is substantially equal to the rate at which AT&amp;T would be able to borrow from third parties on debt with similar maturities.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General corporate overhead related to AT&amp;T's Corporate headquarters and common support divisions has been allocated to AT&amp;T Consumer Services Group as it was not deemed practicable to specifically identify such common costs to AT&amp;T Consumer Services Group. The allocation of corporate overhead is divided into an allocation of shared services (e.g., payroll and accounts payable) and other corporate overhead. Costs of shared services are allocated to AT&amp;T Consumer Services Group based on transaction based prices. Other corporate overhead is allocated to AT&amp;T Consumer Services Group based on the ratio of AT&amp;T Consumer Services Group's external costs and expenses adjusted for any functions that AT&amp;T Consumer Services Group performs on its own. The costs of these services charged to AT&amp;T Consumer Services Group are not necessarily indicative of the costs that would have been incurred by AT&amp;T Consumer Services Group had they performed these functions entirely as a stand alone entity, nor are they indicative of costs that will be charged or incurred in the future. However, management believes that such allocations are reasonable.</w:t>
      </w:r>
    </w:p>
    <w:p>
      <w:pPr>
        <w:spacing w:after="0" w:line="202"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AT&amp;T Consumer Services Group purchases network related services from AT&amp;T at cost-based prices, which approximate market prices.</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performs cash management functions on behalf of AT&amp;T Consumer Services Group. Substantially all of AT&amp;T Consumer Services Group's cash balances are swept to AT&amp;T on a daily basis, where they are managed and invested by AT&amp;T. Transfers of cash to and from AT&amp;T are reflected as a component of combined attributed net assets, after giving effect to the allocation of debt described above.</w:t>
      </w:r>
    </w:p>
    <w:p>
      <w:pPr>
        <w:spacing w:after="0" w:line="399"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Changes in combined attributed net (liabilities) assets primarily represent net transfers to or from AT&amp;T, after giving effect to the net income or loss of AT&amp;T Consumer Services Group during the period, and were primarily assumed to be settled in cash.</w:t>
      </w:r>
    </w:p>
    <w:p>
      <w:pPr>
        <w:spacing w:after="0" w:line="195" w:lineRule="exact"/>
        <w:rPr>
          <w:sz w:val="20"/>
          <w:szCs w:val="20"/>
          <w:color w:val="auto"/>
        </w:rPr>
      </w:pPr>
    </w:p>
    <w:p>
      <w:pPr>
        <w:ind w:right="2259" w:firstLine="524"/>
        <w:spacing w:after="0" w:line="252" w:lineRule="auto"/>
        <w:rPr>
          <w:sz w:val="20"/>
          <w:szCs w:val="20"/>
          <w:color w:val="auto"/>
        </w:rPr>
      </w:pPr>
      <w:r>
        <w:rPr>
          <w:rFonts w:ascii="Courier New" w:cs="Courier New" w:eastAsia="Courier New" w:hAnsi="Courier New"/>
          <w:sz w:val="17"/>
          <w:szCs w:val="17"/>
          <w:color w:val="auto"/>
        </w:rPr>
        <w:t>Consolidated income tax provision, related tax payments or refunds, and deferred tax balances of AT&amp;T have been allocated to AT&amp;T Consumer Services Group based principally on the taxable income and tax credits directly attributable to AT&amp;T Consumer Services Group, essentially a stand alone presentation. AT&amp;T Business Services Group and AT&amp;T Consumer Services Group will, prior to the</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L-159</w:t>
      </w:r>
    </w:p>
    <w:p>
      <w:pPr>
        <w:sectPr>
          <w:pgSz w:w="11900" w:h="16838" w:orient="portrait"/>
          <w:cols w:equalWidth="0" w:num="1">
            <w:col w:w="10219"/>
          </w:cols>
          <w:pgMar w:left="240" w:top="518" w:right="1440" w:bottom="1062" w:gutter="0" w:footer="0" w:header="0"/>
        </w:sectPr>
      </w:pPr>
    </w:p>
    <w:bookmarkStart w:id="773" w:name="page774"/>
    <w:bookmarkEnd w:id="773"/>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issuance of any shares of AT&amp;T Consumer Services Group tracking stock, enter into a tax sharing agreement which, consistent with the principles described in the preceding sentence, will provide for tax sharing payments based on the tax expense or tax benefit of a hypothetical affiliated group consisting of AT&amp;T Business Services Group and AT&amp;T Consumer Services Group. Based on this agreement, the consolidated tax liability before credits is allocated between the groups, based on each group's contribution to consolidated taxable income of the hypothetical group. Consolidated tax credits of the hypothetical group are allocated between groups based on each group's contribution to each tax credit.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NET RESTRUCTURING AND OTHER CHARGES</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following table displays the activity and balances of the restructuring reserve account from January 1, 2001, to September 30, 2001:</w:t>
      </w:r>
    </w:p>
    <w:p>
      <w:pPr>
        <w:spacing w:after="0" w:line="192"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EMPLOYEE SEPARATIONS ----------- Balance at January 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2001.................................. $41</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Additions...................................................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Deductions..................................................</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10 Balance at September 30,</w:t>
      </w:r>
    </w:p>
    <w:p>
      <w:pPr>
        <w:spacing w:after="0" w:line="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7"/>
          <w:szCs w:val="17"/>
          <w:color w:val="auto"/>
        </w:rPr>
        <w:t>2001............................... $31</w:t>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Deductions reflect cash payments of $10 related to employee separations.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cash outlay was primarily funded through cash from operations.</w:t>
      </w:r>
    </w:p>
    <w:p>
      <w:pPr>
        <w:spacing w:after="0" w:line="210" w:lineRule="exact"/>
        <w:rPr>
          <w:sz w:val="20"/>
          <w:szCs w:val="20"/>
          <w:color w:val="auto"/>
        </w:rPr>
      </w:pPr>
    </w:p>
    <w:p>
      <w:pPr>
        <w:jc w:val="both"/>
        <w:ind w:right="1839" w:firstLine="524"/>
        <w:spacing w:after="0" w:line="254" w:lineRule="auto"/>
        <w:rPr>
          <w:sz w:val="20"/>
          <w:szCs w:val="20"/>
          <w:color w:val="auto"/>
        </w:rPr>
      </w:pPr>
      <w:r>
        <w:rPr>
          <w:rFonts w:ascii="Courier New" w:cs="Courier New" w:eastAsia="Courier New" w:hAnsi="Courier New"/>
          <w:sz w:val="17"/>
          <w:szCs w:val="17"/>
          <w:color w:val="auto"/>
        </w:rPr>
        <w:t>During the first quarter of 2000, AT&amp;T Consumer Services Group recorded $97 of net restructuring and other charges, which included $79 for restructuring and exit costs associated with AT&amp;T's initiative to reduce costs by the end of 2000.</w:t>
      </w:r>
    </w:p>
    <w:p>
      <w:pPr>
        <w:spacing w:after="0" w:line="194"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Also included in restructuring and other charges was an asset impairment charge of $18 related to the write-down of unrecoverable assets in certain businesses in which the carrying value was no longer supported by future cash flows.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SECURITIZATION OF RECEIVABLES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June 20, 2001, AT&amp;T amended an existing accounts receivable securitization program for a new 364-day term providing for up to $0.5 billion of funding. Under the program, AT&amp;T Consumer Services Group accounts receivable were sold on a discounted, revolving basis, to a special purpose, wholly-owned subsidiary, which assigns interests in such receivables to unrelated third-party financing entities. The securitization proceeds of $0.5 billion were recorded as debt by AT&amp;T. At September 30, 2001, the borrowing was collateralized by $1.0 billion of accounts receivable. In January of 2002, approximately $0.3 billion of the $0.5 billion proceeds were repaid.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RELATED PARTY TRANSACTIONS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Consumer Services Group purchases network related services from AT&amp;T at cost-based prices, which approximate market prices. For the three and nine months ended September 30, 2001, these amounts totaled $153 and $447, respectively, and for the three and nine months ended September 30, 2000, these amounts totaled $217 and $651, respectively, and are reflected within costs of services and products in the combined statements of income. There are no inter-entity payables for these services as amounts are deemed to be settled in cash.</w:t>
      </w:r>
    </w:p>
    <w:p>
      <w:pPr>
        <w:spacing w:after="0" w:line="39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AT&amp;T Consumer Services Group purchases sales and sales support, customer care, billing, and research and development services from AT&amp;T Business Services at cost-based prices, which approximate</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L-160</w:t>
      </w:r>
    </w:p>
    <w:p>
      <w:pPr>
        <w:sectPr>
          <w:pgSz w:w="11900" w:h="16838" w:orient="portrait"/>
          <w:cols w:equalWidth="0" w:num="1">
            <w:col w:w="10219"/>
          </w:cols>
          <w:pgMar w:left="240" w:top="518" w:right="1440" w:bottom="1440" w:gutter="0" w:footer="0" w:header="0"/>
        </w:sectPr>
      </w:pPr>
    </w:p>
    <w:bookmarkStart w:id="774" w:name="page775"/>
    <w:bookmarkEnd w:id="774"/>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market prices. For the three and nine months ended September 30, 2001, these amounts totaled $115 and $352, respectively, and for the three and nine months ended September 30, 2000, these amounts totaled $121 and $326, respectively, and are reflected within selling, general and administrative (SG&amp;A) expenses in the combined statements of income. There are no inter-entity payables for these services as amounts are deemed to be settled in cash.</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has allocated general corporate overhead expenses related to AT&amp;T's corporate headquarters and common support division to AT&amp;T Consumer Services Group. For the three and nine months ended September 30, 2001, these amounts totaled $62 and $187, respectively, and for the three and nine months ended September 30, 2000, these amounts totaled $61 and $190, respectively, and are reflected within SG&amp;A. There are no inter-entity payables for these services as amounts are deemed to be settled in cash.</w:t>
      </w:r>
    </w:p>
    <w:p>
      <w:pPr>
        <w:spacing w:after="0" w:line="196"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AT&amp;T Consumer Services Group purchases receivables from AT&amp;T Wireless Services and provides customer care and billing services to AT&amp;T Wireless Services at cost-based prices, through the split-off date, which approximate market prices. For the period January 1 through July 9, 2001 (the date AT&amp;T completed the split-off of AT&amp;T Wireless as a separate, independently-traded company), these customer care and billing services totaled $32, and for the three and nine months ended September 30, 2000, these amounts totaled $21 and $66, respectively, and are reflected as a reduction of SG&amp;A expenses in the combined statements of income. Included within accounts payable at December 31, 2000 was $79.</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provides AT&amp;T Broadband Group with sales support and customer care services at cost-based prices, which approximate market prices. For the three and nine months ended September 30, 2001, these amounts totaled $45 and $142, respectively, and for the three and nine months ended September 30, 2000, these amounts totaled $18 and $48, respectively, and are reflected as a reduction of SG&amp;A expenses in the combined statements of income. There were no inter-entity receivables from AT&amp;T Broadband Group at September 30, 2001; included in accounts receivable at December 31, 2000, amounts due were $130. AT&amp;T Consumer Services Group provides billing and collections services on behalf of AT&amp;T Broadband Group. Included within accounts payable at September 30, 2001 and December 31, 2000 was $1 and $48, respectively.</w:t>
      </w:r>
    </w:p>
    <w:p>
      <w:pPr>
        <w:spacing w:after="0" w:line="200" w:lineRule="exact"/>
        <w:rPr>
          <w:sz w:val="20"/>
          <w:szCs w:val="20"/>
          <w:color w:val="auto"/>
        </w:rPr>
      </w:pPr>
    </w:p>
    <w:p>
      <w:pPr>
        <w:spacing w:after="0" w:line="203"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AT&amp;T invests excess cash of AT&amp;T Puerto Rico and AT&amp;T Virgin Islands on their behalf. Notes receivable related to this cash, included within accounts receivable, were $278 at September 30, 2001 and $262 at December 31, 2000.</w:t>
      </w:r>
    </w:p>
    <w:p>
      <w:pPr>
        <w:spacing w:after="0" w:line="194" w:lineRule="exact"/>
        <w:rPr>
          <w:sz w:val="20"/>
          <w:szCs w:val="20"/>
          <w:color w:val="auto"/>
        </w:rPr>
      </w:pPr>
    </w:p>
    <w:p>
      <w:pPr>
        <w:ind w:left="420" w:right="2879" w:hanging="413"/>
        <w:spacing w:after="0" w:line="257" w:lineRule="auto"/>
        <w:tabs>
          <w:tab w:leader="none" w:pos="420" w:val="left"/>
        </w:tabs>
        <w:numPr>
          <w:ilvl w:val="0"/>
          <w:numId w:val="8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 OF FINANCIAL ACCOUNTING STANDARD NO. 133 "ACCOUNTING FOR DERIVATIVES INSTRUMENTS AND HEDGING ACTIVITIES"</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Effective January 1, 2001, AT&amp;T Consumer Services Group adopted Statement of Financial Accounting Standards ("SFAS") No. 133, "Accounting for Derivative Instruments and Hedging Activities", and its corresponding amendments under SFAS No. 138. SFAS No.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in other comprehensive income within combined attributed net liabilities and are recognized in the income statement when the hedged item affects earnings. Changes in fair values of derivative instruments not designated as hedging instruments and ineffective portions of hedges, if any, are recognized in earnings in the current period.</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L-161</w:t>
      </w:r>
    </w:p>
    <w:p>
      <w:pPr>
        <w:sectPr>
          <w:pgSz w:w="11900" w:h="16838" w:orient="portrait"/>
          <w:cols w:equalWidth="0" w:num="1">
            <w:col w:w="10219"/>
          </w:cols>
          <w:pgMar w:left="240" w:top="518" w:right="1440" w:bottom="1440" w:gutter="0" w:footer="0" w:header="0"/>
        </w:sectPr>
      </w:pPr>
    </w:p>
    <w:bookmarkStart w:id="775" w:name="page776"/>
    <w:bookmarkEnd w:id="775"/>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The adoption of SFAS No. 133 on January 1, 2001 did not have an impact on AT&amp;T Consumer Services Group's financial statements.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 NEW ACCOUNTING PRONOUNCEMENTS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July 2001, the Financial Accounting Standards Board (FASB) issued SFAS No. 141, "Business Combinations," which supercedes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These requirements are effective for fiscal years beginning after December 15, 2001, which for AT&amp;T Consumer Services Group means January 1, 2002. AT&amp;T Consumer Services Group does not expect that the adoption of SFAS No. 141 will have a material effect on AT&amp;T Consumer Services Group's results of operations, financial position or cash flows.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Also in July 2001, the FASB issued SFAS No. 142, "Goodwill and Other Intangible Assets," which supercedes APB Opinion No. 17. Under SFAS No.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fiscal years beginning after December 15, 2001, which for AT&amp;T Consumer Services Group means the standard will be adopted on January 1, 2002. In connection with the adoption of this standard, AT&amp;T Consumer Services Group's unamortized goodwill balance will no longer be amortized, but will continue to be tested for impairment. AT&amp;T Consumer Services Group does not expect that the adoption of SFAS No. 142 will have a material effect on AT&amp;T Consumer Services Group's results of operations, financial position or cash flows.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which for AT&amp;T Consumer Services Group means the standard will be adopted on January 1, 2003. AT&amp;T Consumer Services Group does not expect that the adoption of this statement will have a material impact on AT&amp;T Consumer Services Group's results of operations, financial position or cash flows.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October 2001, the FASB issued SFAS No. 144, "Accounting for the Impairment or Disposal of Long-Lived Assets," which supercedes SFAS No. 121, "Accounting for the Impairment of Long-Lived Assets and for Long-Lived Assets to Be Disposed Of." SFAS No. 144 applies to all long-lived assets, including discontinued operations, and consequently amends APB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is effective for financial statements issued for fiscal years</w:t>
      </w: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L-162</w:t>
      </w:r>
    </w:p>
    <w:p>
      <w:pPr>
        <w:sectPr>
          <w:pgSz w:w="11900" w:h="16838" w:orient="portrait"/>
          <w:cols w:equalWidth="0" w:num="1">
            <w:col w:w="10219"/>
          </w:cols>
          <w:pgMar w:left="240" w:top="518" w:right="1440" w:bottom="1440" w:gutter="0" w:footer="0" w:header="0"/>
        </w:sectPr>
      </w:pPr>
    </w:p>
    <w:bookmarkStart w:id="776" w:name="page777"/>
    <w:bookmarkEnd w:id="776"/>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beginning after December 15, 2001, which for AT&amp;T Consumer Services Group means the standard will be adopted on January 1, 2002. AT&amp;T Consumer Services Group does not expect that the adoption of SFAS No. 144 will have a material impact on AT&amp;T Consumer Services Group's results of operations, financial position or cash flows.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 SUBSEQUENT EVENTS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On October 16, 2001, AT&amp;T announced a decision to unwind Concert, its global venture with British Telecommunications plc. Currently, Concert incurs most of our international settlements and bills AT&amp;T Consumer Services a net expense composed of international settlement (interconnection) expense and foreign-billed revenue to settle calls completed outside of the United States. In conjunction with the unwinding of Concert, AT&amp;T Consumer Services will record both foreign-billed revenue and interconnection expense for these transactions.</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January 2002, AT&amp;T Corp. entered into a $2.6 billion five-year agreement with Accenture Ltd. for Accenture to provide management, new technology and training for AT&amp;T Consumer Services Group. Under the terms of the agreement, Accenture will be responsible for providing new technology development and ongoing management direction to improve AT&amp;T Consumer Services Group's customer care operations, with goals of reducing costs, raising productivity, and improving sales and customer service. AT&amp;T Consumer Services Group will continue to develop and implement its overall business and marketing strategies and new product offerings.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L-163</w:t>
      </w:r>
    </w:p>
    <w:p>
      <w:pPr>
        <w:sectPr>
          <w:pgSz w:w="11900" w:h="16838" w:orient="portrait"/>
          <w:cols w:equalWidth="0" w:num="1">
            <w:col w:w="10219"/>
          </w:cols>
          <w:pgMar w:left="240" w:top="519" w:right="1440" w:bottom="1440" w:gutter="0" w:footer="0" w:header="0"/>
        </w:sectPr>
      </w:pPr>
    </w:p>
    <w:bookmarkStart w:id="777" w:name="page778"/>
    <w:bookmarkEnd w:id="777"/>
    <w:p>
      <w:pPr>
        <w:ind w:left="2420"/>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Shareowners of AT&amp;T Corp.:</w:t>
      </w:r>
    </w:p>
    <w:p>
      <w:pPr>
        <w:spacing w:after="0" w:line="210"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In our opinion, the accompanying combined balance sheets and the related combined statements of income and changes in combined attributed net assets and of cash flows present fairly, in all material respects, the financial position of AT&amp;T Consumer Services Group at December 31, 2000 and 1999, and the results of their operations and their cash flows for each of the three years in the period ended December 31, 2000, in conformity with accounting principles generally accepted in the United States of America. These financial statements are the responsibility of AT&amp;T Consumer Services Group's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3"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AT&amp;T Consumer Services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Consumer Services Group relies on AT&amp;T Corp. for administrative, management and other services. The financial position, results of operations and cash flows of AT&amp;T Consumer Services Group could differ from those that would have resulted had AT&amp;T Consumer Services Group operated autonomously or as an entity independent of AT&amp;T Corp. As more fully discussed in Note 1, the combined financial statements of AT&amp;T Consumer Services Group should be read in conjunction with the audited consolidated financial statements of AT&amp;T Corp.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PricewaterhouseCoopers LLP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9, 2001</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L-164</w:t>
      </w:r>
    </w:p>
    <w:p>
      <w:pPr>
        <w:sectPr>
          <w:pgSz w:w="11900" w:h="16838" w:orient="portrait"/>
          <w:cols w:equalWidth="0" w:num="1">
            <w:col w:w="10219"/>
          </w:cols>
          <w:pgMar w:left="240" w:top="720" w:right="1440" w:bottom="1440" w:gutter="0" w:footer="0" w:header="0"/>
        </w:sectPr>
      </w:pPr>
    </w:p>
    <w:bookmarkStart w:id="778" w:name="page779"/>
    <w:bookmarkEnd w:id="778"/>
    <w:p>
      <w:pPr>
        <w:jc w:val="center"/>
        <w:ind w:right="187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COMBINED STATEMENTS OF INCOME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60" w:right="3919" w:firstLine="217"/>
        <w:spacing w:after="0" w:line="251" w:lineRule="auto"/>
        <w:tabs>
          <w:tab w:leader="none" w:pos="568" w:val="left"/>
        </w:tabs>
        <w:numPr>
          <w:ilvl w:val="0"/>
          <w:numId w:val="8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2000 1999 1998 ------- ------- ------- (IN MILLIONS) Revenue.....................................................</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$18,894 $21,753 $22,763 Operating Expenses Access and other</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1620" w:type="dxa"/>
            <w:vAlign w:val="bottom"/>
          </w:tcPr>
          <w:p>
            <w:pPr>
              <w:jc w:val="right"/>
              <w:spacing w:after="0"/>
              <w:rPr>
                <w:sz w:val="20"/>
                <w:szCs w:val="20"/>
                <w:color w:val="auto"/>
              </w:rPr>
            </w:pPr>
            <w:r>
              <w:rPr>
                <w:rFonts w:ascii="Courier New" w:cs="Courier New" w:eastAsia="Courier New" w:hAnsi="Courier New"/>
                <w:sz w:val="8"/>
                <w:szCs w:val="8"/>
                <w:color w:val="auto"/>
                <w:w w:val="77"/>
              </w:rPr>
              <w:t>connection.................................</w:t>
            </w:r>
          </w:p>
        </w:tc>
        <w:tc>
          <w:tcPr>
            <w:tcW w:w="43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5,204 6,223</w:t>
            </w:r>
          </w:p>
        </w:tc>
      </w:tr>
      <w:tr>
        <w:trPr>
          <w:trHeight w:val="201"/>
        </w:trPr>
        <w:tc>
          <w:tcPr>
            <w:tcW w:w="1620" w:type="dxa"/>
            <w:vAlign w:val="bottom"/>
          </w:tcPr>
          <w:p>
            <w:pPr>
              <w:spacing w:after="0"/>
              <w:rPr>
                <w:sz w:val="17"/>
                <w:szCs w:val="17"/>
                <w:color w:val="auto"/>
              </w:rPr>
            </w:pPr>
          </w:p>
        </w:tc>
        <w:tc>
          <w:tcPr>
            <w:tcW w:w="4360" w:type="dxa"/>
            <w:vAlign w:val="bottom"/>
          </w:tcPr>
          <w:p>
            <w:pPr>
              <w:jc w:val="right"/>
              <w:ind w:right="1533"/>
              <w:spacing w:after="0"/>
              <w:rPr>
                <w:sz w:val="20"/>
                <w:szCs w:val="20"/>
                <w:color w:val="auto"/>
              </w:rPr>
            </w:pPr>
            <w:r>
              <w:rPr>
                <w:rFonts w:ascii="Courier New" w:cs="Courier New" w:eastAsia="Courier New" w:hAnsi="Courier New"/>
                <w:sz w:val="17"/>
                <w:szCs w:val="17"/>
                <w:color w:val="auto"/>
              </w:rPr>
              <w:t>7,453 Selling, general and</w:t>
            </w:r>
          </w:p>
        </w:tc>
      </w:tr>
      <w:tr>
        <w:trPr>
          <w:trHeight w:val="201"/>
        </w:trPr>
        <w:tc>
          <w:tcPr>
            <w:tcW w:w="1620" w:type="dxa"/>
            <w:vAlign w:val="bottom"/>
          </w:tcPr>
          <w:p>
            <w:pPr>
              <w:jc w:val="right"/>
              <w:spacing w:after="0"/>
              <w:rPr>
                <w:sz w:val="20"/>
                <w:szCs w:val="20"/>
                <w:color w:val="auto"/>
              </w:rPr>
            </w:pPr>
            <w:r>
              <w:rPr>
                <w:rFonts w:ascii="Courier New" w:cs="Courier New" w:eastAsia="Courier New" w:hAnsi="Courier New"/>
                <w:sz w:val="9"/>
                <w:szCs w:val="9"/>
                <w:color w:val="auto"/>
                <w:w w:val="75"/>
              </w:rPr>
              <w:t>administrative.........................</w:t>
            </w:r>
          </w:p>
        </w:tc>
        <w:tc>
          <w:tcPr>
            <w:tcW w:w="4360" w:type="dxa"/>
            <w:vAlign w:val="bottom"/>
          </w:tcPr>
          <w:p>
            <w:pPr>
              <w:jc w:val="right"/>
              <w:spacing w:after="0"/>
              <w:rPr>
                <w:sz w:val="20"/>
                <w:szCs w:val="20"/>
                <w:color w:val="auto"/>
              </w:rPr>
            </w:pPr>
            <w:r>
              <w:rPr>
                <w:rFonts w:ascii="Courier New" w:cs="Courier New" w:eastAsia="Courier New" w:hAnsi="Courier New"/>
                <w:sz w:val="17"/>
                <w:szCs w:val="17"/>
                <w:color w:val="auto"/>
              </w:rPr>
              <w:t>4,128 4,688 5,453</w:t>
            </w:r>
          </w:p>
        </w:tc>
      </w:tr>
    </w:tbl>
    <w:p>
      <w:pPr>
        <w:spacing w:after="0" w:line="4" w:lineRule="exact"/>
        <w:rPr>
          <w:sz w:val="20"/>
          <w:szCs w:val="20"/>
          <w:color w:val="auto"/>
        </w:rPr>
      </w:pPr>
    </w:p>
    <w:p>
      <w:pPr>
        <w:jc w:val="center"/>
        <w:ind w:right="3979"/>
        <w:spacing w:after="0" w:line="251" w:lineRule="auto"/>
        <w:rPr>
          <w:sz w:val="20"/>
          <w:szCs w:val="20"/>
          <w:color w:val="auto"/>
        </w:rPr>
      </w:pPr>
      <w:r>
        <w:rPr>
          <w:rFonts w:ascii="Courier New" w:cs="Courier New" w:eastAsia="Courier New" w:hAnsi="Courier New"/>
          <w:sz w:val="17"/>
          <w:szCs w:val="17"/>
          <w:color w:val="auto"/>
        </w:rPr>
        <w:t>Costs of services and products (excluding depreciation of $137, $168 and $116 included below)....................... 2,557 3,316 3,656 Depreciation and</w:t>
      </w:r>
    </w:p>
    <w:tbl>
      <w:tblPr>
        <w:tblLayout w:type="fixed"/>
        <w:tblInd w:w="0" w:type="dxa"/>
        <w:tblCellMar>
          <w:top w:w="0" w:type="dxa"/>
          <w:left w:w="0" w:type="dxa"/>
          <w:bottom w:w="0" w:type="dxa"/>
          <w:right w:w="0" w:type="dxa"/>
        </w:tblCellMar>
      </w:tblPr>
      <w:tr>
        <w:trPr>
          <w:trHeight w:val="197"/>
        </w:trPr>
        <w:tc>
          <w:tcPr>
            <w:tcW w:w="3460" w:type="dxa"/>
            <w:vAlign w:val="bottom"/>
          </w:tcPr>
          <w:p>
            <w:pPr>
              <w:jc w:val="right"/>
              <w:spacing w:after="0"/>
              <w:rPr>
                <w:sz w:val="20"/>
                <w:szCs w:val="20"/>
                <w:color w:val="auto"/>
              </w:rPr>
            </w:pPr>
            <w:r>
              <w:rPr>
                <w:rFonts w:ascii="Courier New" w:cs="Courier New" w:eastAsia="Courier New" w:hAnsi="Courier New"/>
                <w:sz w:val="17"/>
                <w:szCs w:val="17"/>
                <w:color w:val="auto"/>
                <w:w w:val="78"/>
              </w:rPr>
              <w:t>amortization...............................</w:t>
            </w: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167 184 116 Net</w:t>
            </w:r>
          </w:p>
        </w:tc>
      </w:tr>
      <w:tr>
        <w:trPr>
          <w:trHeight w:val="201"/>
        </w:trPr>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w w:val="73"/>
              </w:rPr>
              <w:t>restructuring and other charges.........................</w:t>
            </w: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97</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7 (19) Total operating</w:t>
            </w:r>
          </w:p>
        </w:tc>
      </w:tr>
      <w:tr>
        <w:trPr>
          <w:trHeight w:val="201"/>
        </w:trPr>
        <w:tc>
          <w:tcPr>
            <w:tcW w:w="3460" w:type="dxa"/>
            <w:vAlign w:val="bottom"/>
          </w:tcPr>
          <w:p>
            <w:pPr>
              <w:jc w:val="right"/>
              <w:spacing w:after="0"/>
              <w:rPr>
                <w:sz w:val="20"/>
                <w:szCs w:val="20"/>
                <w:color w:val="auto"/>
              </w:rPr>
            </w:pPr>
            <w:r>
              <w:rPr>
                <w:rFonts w:ascii="Courier New" w:cs="Courier New" w:eastAsia="Courier New" w:hAnsi="Courier New"/>
                <w:sz w:val="17"/>
                <w:szCs w:val="17"/>
                <w:color w:val="auto"/>
                <w:w w:val="76"/>
              </w:rPr>
              <w:t>expenses....................................</w:t>
            </w: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12,153 14,418</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16,659 Operating</w:t>
            </w:r>
          </w:p>
        </w:tc>
      </w:tr>
      <w:tr>
        <w:trPr>
          <w:trHeight w:val="201"/>
        </w:trPr>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w w:val="71"/>
              </w:rPr>
              <w:t>income............................................</w:t>
            </w:r>
          </w:p>
        </w:tc>
        <w:tc>
          <w:tcPr>
            <w:tcW w:w="2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6,741</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7,335 6,104 Other income,</w:t>
            </w:r>
          </w:p>
        </w:tc>
      </w:tr>
      <w:tr>
        <w:trPr>
          <w:trHeight w:val="201"/>
        </w:trPr>
        <w:tc>
          <w:tcPr>
            <w:tcW w:w="3460" w:type="dxa"/>
            <w:vAlign w:val="bottom"/>
          </w:tcPr>
          <w:p>
            <w:pPr>
              <w:jc w:val="right"/>
              <w:spacing w:after="0"/>
              <w:rPr>
                <w:sz w:val="20"/>
                <w:szCs w:val="20"/>
                <w:color w:val="auto"/>
              </w:rPr>
            </w:pPr>
            <w:r>
              <w:rPr>
                <w:rFonts w:ascii="Courier New" w:cs="Courier New" w:eastAsia="Courier New" w:hAnsi="Courier New"/>
                <w:sz w:val="17"/>
                <w:szCs w:val="17"/>
                <w:color w:val="auto"/>
                <w:w w:val="73"/>
              </w:rPr>
              <w:t>net...........................................</w:t>
            </w:r>
          </w:p>
        </w:tc>
        <w:tc>
          <w:tcPr>
            <w:tcW w:w="2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81 208 86</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Interest</w:t>
            </w:r>
          </w:p>
        </w:tc>
      </w:tr>
      <w:tr>
        <w:trPr>
          <w:trHeight w:val="201"/>
        </w:trPr>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w w:val="70"/>
              </w:rPr>
              <w:t>expense............................................</w:t>
            </w: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164 41</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27 Income before income</w:t>
            </w:r>
          </w:p>
        </w:tc>
      </w:tr>
      <w:tr>
        <w:trPr>
          <w:trHeight w:val="201"/>
        </w:trPr>
        <w:tc>
          <w:tcPr>
            <w:tcW w:w="3460" w:type="dxa"/>
            <w:vAlign w:val="bottom"/>
          </w:tcPr>
          <w:p>
            <w:pPr>
              <w:jc w:val="right"/>
              <w:spacing w:after="0"/>
              <w:rPr>
                <w:sz w:val="20"/>
                <w:szCs w:val="20"/>
                <w:color w:val="auto"/>
              </w:rPr>
            </w:pPr>
            <w:r>
              <w:rPr>
                <w:rFonts w:ascii="Courier New" w:cs="Courier New" w:eastAsia="Courier New" w:hAnsi="Courier New"/>
                <w:sz w:val="17"/>
                <w:szCs w:val="17"/>
                <w:color w:val="auto"/>
                <w:w w:val="86"/>
              </w:rPr>
              <w:t>taxes..................................</w:t>
            </w:r>
          </w:p>
        </w:tc>
        <w:tc>
          <w:tcPr>
            <w:tcW w:w="2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6,658 7,502 6,163</w:t>
            </w:r>
          </w:p>
        </w:tc>
      </w:tr>
      <w:tr>
        <w:trPr>
          <w:trHeight w:val="201"/>
        </w:trPr>
        <w:tc>
          <w:tcPr>
            <w:tcW w:w="61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Provision for income</w:t>
            </w:r>
          </w:p>
        </w:tc>
      </w:tr>
      <w:tr>
        <w:trPr>
          <w:trHeight w:val="201"/>
        </w:trPr>
        <w:tc>
          <w:tcPr>
            <w:tcW w:w="3460" w:type="dxa"/>
            <w:vAlign w:val="bottom"/>
          </w:tcPr>
          <w:p>
            <w:pPr>
              <w:jc w:val="right"/>
              <w:spacing w:after="0"/>
              <w:rPr>
                <w:sz w:val="20"/>
                <w:szCs w:val="20"/>
                <w:color w:val="auto"/>
              </w:rPr>
            </w:pPr>
            <w:r>
              <w:rPr>
                <w:rFonts w:ascii="Courier New" w:cs="Courier New" w:eastAsia="Courier New" w:hAnsi="Courier New"/>
                <w:sz w:val="17"/>
                <w:szCs w:val="17"/>
                <w:color w:val="auto"/>
                <w:w w:val="86"/>
              </w:rPr>
              <w:t>taxes..................................</w:t>
            </w:r>
          </w:p>
        </w:tc>
        <w:tc>
          <w:tcPr>
            <w:tcW w:w="2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2,546 2,869 2,356</w:t>
            </w:r>
          </w:p>
        </w:tc>
      </w:tr>
      <w:tr>
        <w:trPr>
          <w:trHeight w:val="201"/>
        </w:trPr>
        <w:tc>
          <w:tcPr>
            <w:tcW w:w="3460" w:type="dxa"/>
            <w:vAlign w:val="bottom"/>
          </w:tcPr>
          <w:p>
            <w:pPr>
              <w:jc w:val="center"/>
              <w:ind w:left="2635"/>
              <w:spacing w:after="0"/>
              <w:rPr>
                <w:sz w:val="20"/>
                <w:szCs w:val="20"/>
                <w:color w:val="auto"/>
              </w:rPr>
            </w:pPr>
            <w:r>
              <w:rPr>
                <w:rFonts w:ascii="Courier New" w:cs="Courier New" w:eastAsia="Courier New" w:hAnsi="Courier New"/>
                <w:sz w:val="17"/>
                <w:szCs w:val="17"/>
                <w:color w:val="auto"/>
                <w:w w:val="97"/>
              </w:rPr>
              <w:t>Net</w:t>
            </w:r>
          </w:p>
        </w:tc>
        <w:tc>
          <w:tcPr>
            <w:tcW w:w="2720" w:type="dxa"/>
            <w:vAlign w:val="bottom"/>
          </w:tcPr>
          <w:p>
            <w:pPr>
              <w:spacing w:after="0"/>
              <w:rPr>
                <w:sz w:val="17"/>
                <w:szCs w:val="17"/>
                <w:color w:val="auto"/>
              </w:rPr>
            </w:pPr>
          </w:p>
        </w:tc>
      </w:tr>
      <w:tr>
        <w:trPr>
          <w:trHeight w:val="201"/>
        </w:trPr>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w w:val="73"/>
              </w:rPr>
              <w:t>income..................................................</w:t>
            </w: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4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4,112 $ 4,633</w:t>
            </w:r>
          </w:p>
        </w:tc>
        <w:tc>
          <w:tcPr>
            <w:tcW w:w="2720" w:type="dxa"/>
            <w:vAlign w:val="bottom"/>
          </w:tcPr>
          <w:p>
            <w:pPr>
              <w:jc w:val="right"/>
              <w:ind w:right="1913"/>
              <w:spacing w:after="0"/>
              <w:rPr>
                <w:sz w:val="20"/>
                <w:szCs w:val="20"/>
                <w:color w:val="auto"/>
              </w:rPr>
            </w:pPr>
            <w:r>
              <w:rPr>
                <w:rFonts w:ascii="Courier New" w:cs="Courier New" w:eastAsia="Courier New" w:hAnsi="Courier New"/>
                <w:sz w:val="17"/>
                <w:szCs w:val="17"/>
                <w:color w:val="auto"/>
                <w:w w:val="97"/>
              </w:rPr>
              <w:t>$ 3,807</w:t>
            </w:r>
          </w:p>
        </w:tc>
      </w:tr>
    </w:tbl>
    <w:p>
      <w:pPr>
        <w:spacing w:after="0" w:line="200" w:lineRule="exact"/>
        <w:rPr>
          <w:sz w:val="20"/>
          <w:szCs w:val="20"/>
          <w:color w:val="auto"/>
        </w:rPr>
      </w:pPr>
    </w:p>
    <w:p>
      <w:pPr>
        <w:spacing w:after="0" w:line="207"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200" w:lineRule="exact"/>
        <w:rPr>
          <w:sz w:val="20"/>
          <w:szCs w:val="20"/>
          <w:color w:val="auto"/>
        </w:rPr>
      </w:pPr>
    </w:p>
    <w:p>
      <w:pPr>
        <w:spacing w:after="0" w:line="21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L-165</w:t>
      </w:r>
    </w:p>
    <w:p>
      <w:pPr>
        <w:sectPr>
          <w:pgSz w:w="11900" w:h="16838" w:orient="portrait"/>
          <w:cols w:equalWidth="0" w:num="1">
            <w:col w:w="10159"/>
          </w:cols>
          <w:pgMar w:left="300" w:top="720" w:right="1440" w:bottom="1440" w:gutter="0" w:footer="0" w:header="0"/>
        </w:sectPr>
      </w:pPr>
    </w:p>
    <w:bookmarkStart w:id="779" w:name="page780"/>
    <w:bookmarkEnd w:id="779"/>
    <w:p>
      <w:pPr>
        <w:jc w:val="center"/>
        <w:ind w:right="181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COMBINED BALANCE SHEETS</w:t>
            </w:r>
          </w:p>
        </w:tc>
      </w:tr>
      <w:tr>
        <w:trPr>
          <w:trHeight w:val="403"/>
        </w:trPr>
        <w:tc>
          <w:tcPr>
            <w:tcW w:w="5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AT DECEMBER 31, ---------------- 2000 1999 ------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w:t>
            </w:r>
          </w:p>
        </w:tc>
      </w:tr>
      <w:tr>
        <w:trPr>
          <w:trHeight w:val="201"/>
        </w:trPr>
        <w:tc>
          <w:tcPr>
            <w:tcW w:w="5300" w:type="dxa"/>
            <w:vAlign w:val="bottom"/>
            <w:gridSpan w:val="3"/>
          </w:tcPr>
          <w:p>
            <w:pPr>
              <w:jc w:val="center"/>
              <w:ind w:left="291"/>
              <w:spacing w:after="0"/>
              <w:rPr>
                <w:sz w:val="20"/>
                <w:szCs w:val="20"/>
                <w:color w:val="auto"/>
              </w:rPr>
            </w:pPr>
            <w:r>
              <w:rPr>
                <w:rFonts w:ascii="Courier New" w:cs="Courier New" w:eastAsia="Courier New" w:hAnsi="Courier New"/>
                <w:sz w:val="17"/>
                <w:szCs w:val="17"/>
                <w:color w:val="auto"/>
              </w:rPr>
              <w:t>--- (IN MILLIONS) ASSETS Cash and cash</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equivalents...................................</w:t>
            </w:r>
          </w:p>
        </w:tc>
        <w:tc>
          <w:tcPr>
            <w:tcW w:w="3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 $</w:t>
            </w:r>
          </w:p>
        </w:tc>
      </w:tr>
      <w:tr>
        <w:trPr>
          <w:trHeight w:val="201"/>
        </w:trPr>
        <w:tc>
          <w:tcPr>
            <w:tcW w:w="5300" w:type="dxa"/>
            <w:vAlign w:val="bottom"/>
            <w:gridSpan w:val="3"/>
          </w:tcPr>
          <w:p>
            <w:pPr>
              <w:jc w:val="center"/>
              <w:ind w:left="311"/>
              <w:spacing w:after="0"/>
              <w:rPr>
                <w:sz w:val="20"/>
                <w:szCs w:val="20"/>
                <w:color w:val="auto"/>
              </w:rPr>
            </w:pPr>
            <w:r>
              <w:rPr>
                <w:rFonts w:ascii="Courier New" w:cs="Courier New" w:eastAsia="Courier New" w:hAnsi="Courier New"/>
                <w:sz w:val="17"/>
                <w:szCs w:val="17"/>
                <w:color w:val="auto"/>
              </w:rPr>
              <w:t>6 Receivables, less allowances of $410 and</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$414...............</w:t>
            </w: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2,681 3,115 Deferred income</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taxes.......................................</w:t>
            </w:r>
          </w:p>
        </w:tc>
        <w:tc>
          <w:tcPr>
            <w:tcW w:w="3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314 372</w:t>
            </w:r>
          </w:p>
        </w:tc>
      </w:tr>
      <w:tr>
        <w:trPr>
          <w:trHeight w:val="201"/>
        </w:trPr>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tcPr>
          <w:p>
            <w:pPr>
              <w:jc w:val="center"/>
              <w:ind w:right="1533"/>
              <w:spacing w:after="0"/>
              <w:rPr>
                <w:sz w:val="20"/>
                <w:szCs w:val="20"/>
                <w:color w:val="auto"/>
              </w:rPr>
            </w:pPr>
            <w:r>
              <w:rPr>
                <w:rFonts w:ascii="Courier New" w:cs="Courier New" w:eastAsia="Courier New" w:hAnsi="Courier New"/>
                <w:sz w:val="17"/>
                <w:szCs w:val="17"/>
                <w:color w:val="auto"/>
              </w:rPr>
              <w:t>Other current</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assets........................................</w:t>
            </w:r>
          </w:p>
        </w:tc>
        <w:tc>
          <w:tcPr>
            <w:tcW w:w="3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68 81</w:t>
            </w:r>
          </w:p>
        </w:tc>
      </w:tr>
      <w:tr>
        <w:trPr>
          <w:trHeight w:val="201"/>
        </w:trPr>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tcPr>
          <w:p>
            <w:pPr>
              <w:jc w:val="center"/>
              <w:ind w:right="1533"/>
              <w:spacing w:after="0"/>
              <w:rPr>
                <w:sz w:val="20"/>
                <w:szCs w:val="20"/>
                <w:color w:val="auto"/>
              </w:rPr>
            </w:pPr>
            <w:r>
              <w:rPr>
                <w:rFonts w:ascii="Courier New" w:cs="Courier New" w:eastAsia="Courier New" w:hAnsi="Courier New"/>
                <w:sz w:val="17"/>
                <w:szCs w:val="17"/>
                <w:color w:val="auto"/>
              </w:rPr>
              <w:t>Total current</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assets...................................</w:t>
            </w:r>
          </w:p>
        </w:tc>
        <w:tc>
          <w:tcPr>
            <w:tcW w:w="3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3,063 3,574</w:t>
            </w:r>
          </w:p>
        </w:tc>
      </w:tr>
      <w:tr>
        <w:trPr>
          <w:trHeight w:val="201"/>
        </w:trPr>
        <w:tc>
          <w:tcPr>
            <w:tcW w:w="560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Property, plant and equipment, net of accumulated</w:t>
            </w:r>
          </w:p>
        </w:tc>
      </w:tr>
      <w:tr>
        <w:trPr>
          <w:trHeight w:val="201"/>
        </w:trPr>
        <w:tc>
          <w:tcPr>
            <w:tcW w:w="5300" w:type="dxa"/>
            <w:vAlign w:val="bottom"/>
            <w:gridSpan w:val="3"/>
          </w:tcPr>
          <w:p>
            <w:pPr>
              <w:jc w:val="center"/>
              <w:ind w:left="311"/>
              <w:spacing w:after="0"/>
              <w:rPr>
                <w:sz w:val="20"/>
                <w:szCs w:val="20"/>
                <w:color w:val="auto"/>
              </w:rPr>
            </w:pPr>
            <w:r>
              <w:rPr>
                <w:rFonts w:ascii="Courier New" w:cs="Courier New" w:eastAsia="Courier New" w:hAnsi="Courier New"/>
                <w:sz w:val="17"/>
                <w:szCs w:val="17"/>
                <w:color w:val="auto"/>
              </w:rPr>
              <w:t>depreciation of $468 and</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$485.............................</w:t>
            </w: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170 132 Other</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assets................................................</w:t>
            </w:r>
          </w:p>
        </w:tc>
        <w:tc>
          <w:tcPr>
            <w:tcW w:w="33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tcPr>
          <w:p>
            <w:pPr>
              <w:jc w:val="center"/>
              <w:ind w:right="1533"/>
              <w:spacing w:after="0"/>
              <w:rPr>
                <w:sz w:val="20"/>
                <w:szCs w:val="20"/>
                <w:color w:val="auto"/>
              </w:rPr>
            </w:pPr>
            <w:r>
              <w:rPr>
                <w:rFonts w:ascii="Courier New" w:cs="Courier New" w:eastAsia="Courier New" w:hAnsi="Courier New"/>
                <w:sz w:val="17"/>
                <w:szCs w:val="17"/>
                <w:color w:val="auto"/>
              </w:rPr>
              <w:t>310 366 Total</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assets...........................................</w:t>
            </w:r>
          </w:p>
        </w:tc>
        <w:tc>
          <w:tcPr>
            <w:tcW w:w="33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$3,543</w:t>
            </w:r>
          </w:p>
        </w:tc>
        <w:tc>
          <w:tcPr>
            <w:tcW w:w="356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$4,072 LIABILITIES Accounts</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payable............................................</w:t>
            </w:r>
          </w:p>
        </w:tc>
        <w:tc>
          <w:tcPr>
            <w:tcW w:w="33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5300" w:type="dxa"/>
            <w:vAlign w:val="bottom"/>
            <w:gridSpan w:val="3"/>
          </w:tcPr>
          <w:p>
            <w:pPr>
              <w:jc w:val="center"/>
              <w:ind w:left="291"/>
              <w:spacing w:after="0"/>
              <w:rPr>
                <w:sz w:val="20"/>
                <w:szCs w:val="20"/>
                <w:color w:val="auto"/>
              </w:rPr>
            </w:pPr>
            <w:r>
              <w:rPr>
                <w:rFonts w:ascii="Courier New" w:cs="Courier New" w:eastAsia="Courier New" w:hAnsi="Courier New"/>
                <w:sz w:val="17"/>
                <w:szCs w:val="17"/>
                <w:color w:val="auto"/>
              </w:rPr>
              <w:t>$1,133 $ 884 Payroll and benefit-related</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liabilities.....................</w:t>
            </w:r>
          </w:p>
        </w:tc>
        <w:tc>
          <w:tcPr>
            <w:tcW w:w="3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149 246 Debt</w:t>
            </w:r>
          </w:p>
        </w:tc>
        <w:tc>
          <w:tcPr>
            <w:tcW w:w="30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3560" w:type="dxa"/>
            <w:vAlign w:val="bottom"/>
            <w:gridSpan w:val="2"/>
          </w:tcPr>
          <w:p>
            <w:pPr>
              <w:jc w:val="center"/>
              <w:ind w:right="1293"/>
              <w:spacing w:after="0"/>
              <w:rPr>
                <w:sz w:val="20"/>
                <w:szCs w:val="20"/>
                <w:color w:val="auto"/>
              </w:rPr>
            </w:pPr>
            <w:r>
              <w:rPr>
                <w:rFonts w:ascii="Courier New" w:cs="Courier New" w:eastAsia="Courier New" w:hAnsi="Courier New"/>
                <w:sz w:val="17"/>
                <w:szCs w:val="17"/>
                <w:color w:val="auto"/>
              </w:rPr>
              <w:t>maturing within one</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year...............................</w:t>
            </w: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13 36 Other</w:t>
            </w:r>
          </w:p>
        </w:tc>
        <w:tc>
          <w:tcPr>
            <w:tcW w:w="30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tcPr>
          <w:p>
            <w:pPr>
              <w:jc w:val="center"/>
              <w:ind w:right="1553"/>
              <w:spacing w:after="0"/>
              <w:rPr>
                <w:sz w:val="20"/>
                <w:szCs w:val="20"/>
                <w:color w:val="auto"/>
              </w:rPr>
            </w:pPr>
            <w:r>
              <w:rPr>
                <w:rFonts w:ascii="Courier New" w:cs="Courier New" w:eastAsia="Courier New" w:hAnsi="Courier New"/>
                <w:sz w:val="17"/>
                <w:szCs w:val="17"/>
                <w:color w:val="auto"/>
              </w:rPr>
              <w:t>current</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liabilities...................................</w:t>
            </w:r>
          </w:p>
        </w:tc>
        <w:tc>
          <w:tcPr>
            <w:tcW w:w="360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475</w:t>
            </w:r>
          </w:p>
        </w:tc>
      </w:tr>
      <w:tr>
        <w:trPr>
          <w:trHeight w:val="201"/>
        </w:trPr>
        <w:tc>
          <w:tcPr>
            <w:tcW w:w="1740" w:type="dxa"/>
            <w:vAlign w:val="bottom"/>
          </w:tcPr>
          <w:p>
            <w:pPr>
              <w:spacing w:after="0"/>
              <w:rPr>
                <w:sz w:val="17"/>
                <w:szCs w:val="17"/>
                <w:color w:val="auto"/>
              </w:rPr>
            </w:pPr>
          </w:p>
        </w:tc>
        <w:tc>
          <w:tcPr>
            <w:tcW w:w="3560" w:type="dxa"/>
            <w:vAlign w:val="bottom"/>
            <w:gridSpan w:val="2"/>
          </w:tcPr>
          <w:p>
            <w:pPr>
              <w:jc w:val="center"/>
              <w:ind w:right="1293"/>
              <w:spacing w:after="0"/>
              <w:rPr>
                <w:sz w:val="20"/>
                <w:szCs w:val="20"/>
                <w:color w:val="auto"/>
              </w:rPr>
            </w:pPr>
            <w:r>
              <w:rPr>
                <w:rFonts w:ascii="Courier New" w:cs="Courier New" w:eastAsia="Courier New" w:hAnsi="Courier New"/>
                <w:sz w:val="17"/>
                <w:szCs w:val="17"/>
                <w:color w:val="auto"/>
              </w:rPr>
              <w:t>600 Total current</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liabilities..............................</w:t>
            </w:r>
          </w:p>
        </w:tc>
        <w:tc>
          <w:tcPr>
            <w:tcW w:w="3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1,770 1,766</w:t>
            </w:r>
          </w:p>
        </w:tc>
      </w:tr>
      <w:tr>
        <w:trPr>
          <w:trHeight w:val="201"/>
        </w:trPr>
        <w:tc>
          <w:tcPr>
            <w:tcW w:w="1740" w:type="dxa"/>
            <w:vAlign w:val="bottom"/>
          </w:tcPr>
          <w:p>
            <w:pPr>
              <w:spacing w:after="0"/>
              <w:rPr>
                <w:sz w:val="17"/>
                <w:szCs w:val="17"/>
                <w:color w:val="auto"/>
              </w:rPr>
            </w:pPr>
          </w:p>
        </w:tc>
        <w:tc>
          <w:tcPr>
            <w:tcW w:w="3560" w:type="dxa"/>
            <w:vAlign w:val="bottom"/>
            <w:gridSpan w:val="2"/>
          </w:tcPr>
          <w:p>
            <w:pPr>
              <w:jc w:val="center"/>
              <w:ind w:right="1273"/>
              <w:spacing w:after="0"/>
              <w:rPr>
                <w:sz w:val="20"/>
                <w:szCs w:val="20"/>
                <w:color w:val="auto"/>
              </w:rPr>
            </w:pPr>
            <w:r>
              <w:rPr>
                <w:rFonts w:ascii="Courier New" w:cs="Courier New" w:eastAsia="Courier New" w:hAnsi="Courier New"/>
                <w:sz w:val="17"/>
                <w:szCs w:val="17"/>
                <w:color w:val="auto"/>
              </w:rPr>
              <w:t>Long-term debt due to</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AT&amp;T..................................</w:t>
            </w:r>
          </w:p>
        </w:tc>
        <w:tc>
          <w:tcPr>
            <w:tcW w:w="36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4,000 900</w:t>
            </w:r>
          </w:p>
        </w:tc>
      </w:tr>
      <w:tr>
        <w:trPr>
          <w:trHeight w:val="201"/>
        </w:trPr>
        <w:tc>
          <w:tcPr>
            <w:tcW w:w="5300" w:type="dxa"/>
            <w:vAlign w:val="bottom"/>
            <w:gridSpan w:val="3"/>
          </w:tcPr>
          <w:p>
            <w:pPr>
              <w:jc w:val="center"/>
              <w:ind w:left="311"/>
              <w:spacing w:after="0"/>
              <w:rPr>
                <w:sz w:val="20"/>
                <w:szCs w:val="20"/>
                <w:color w:val="auto"/>
              </w:rPr>
            </w:pPr>
            <w:r>
              <w:rPr>
                <w:rFonts w:ascii="Courier New" w:cs="Courier New" w:eastAsia="Courier New" w:hAnsi="Courier New"/>
                <w:sz w:val="17"/>
                <w:szCs w:val="17"/>
                <w:color w:val="auto"/>
              </w:rPr>
              <w:t>Long-term liabilities and deferred</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7"/>
              </w:rPr>
              <w:t>credits..................</w:t>
            </w:r>
          </w:p>
        </w:tc>
        <w:tc>
          <w:tcPr>
            <w:tcW w:w="36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285 295 Deferred income</w:t>
            </w: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taxes.......................................</w:t>
            </w:r>
          </w:p>
        </w:tc>
        <w:tc>
          <w:tcPr>
            <w:tcW w:w="360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29 41</w:t>
            </w:r>
          </w:p>
        </w:tc>
      </w:tr>
      <w:tr>
        <w:trPr>
          <w:trHeight w:val="201"/>
        </w:trPr>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tcPr>
          <w:p>
            <w:pPr>
              <w:jc w:val="center"/>
              <w:ind w:right="1533"/>
              <w:spacing w:after="0"/>
              <w:rPr>
                <w:sz w:val="20"/>
                <w:szCs w:val="20"/>
                <w:color w:val="auto"/>
              </w:rPr>
            </w:pPr>
            <w:r>
              <w:rPr>
                <w:rFonts w:ascii="Courier New" w:cs="Courier New" w:eastAsia="Courier New" w:hAnsi="Courier New"/>
                <w:sz w:val="17"/>
                <w:szCs w:val="17"/>
                <w:color w:val="auto"/>
              </w:rPr>
              <w:t>Total</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liabilities......................................</w:t>
            </w:r>
          </w:p>
        </w:tc>
        <w:tc>
          <w:tcPr>
            <w:tcW w:w="33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560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6,084 3,002 Combined attributed net (liabilities)</w:t>
            </w: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8"/>
              </w:rPr>
              <w:t>assets................</w:t>
            </w:r>
          </w:p>
        </w:tc>
        <w:tc>
          <w:tcPr>
            <w:tcW w:w="3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(2,541) 1,070 Total</w:t>
            </w:r>
          </w:p>
        </w:tc>
        <w:tc>
          <w:tcPr>
            <w:tcW w:w="300" w:type="dxa"/>
            <w:vAlign w:val="bottom"/>
          </w:tcPr>
          <w:p>
            <w:pPr>
              <w:spacing w:after="0"/>
              <w:rPr>
                <w:sz w:val="17"/>
                <w:szCs w:val="17"/>
                <w:color w:val="auto"/>
              </w:rPr>
            </w:pPr>
          </w:p>
        </w:tc>
      </w:tr>
      <w:tr>
        <w:trPr>
          <w:trHeight w:val="201"/>
        </w:trPr>
        <w:tc>
          <w:tcPr>
            <w:tcW w:w="5300" w:type="dxa"/>
            <w:vAlign w:val="bottom"/>
            <w:gridSpan w:val="3"/>
          </w:tcPr>
          <w:p>
            <w:pPr>
              <w:jc w:val="center"/>
              <w:ind w:left="311"/>
              <w:spacing w:after="0"/>
              <w:rPr>
                <w:sz w:val="20"/>
                <w:szCs w:val="20"/>
                <w:color w:val="auto"/>
              </w:rPr>
            </w:pPr>
            <w:r>
              <w:rPr>
                <w:rFonts w:ascii="Courier New" w:cs="Courier New" w:eastAsia="Courier New" w:hAnsi="Courier New"/>
                <w:sz w:val="17"/>
                <w:szCs w:val="17"/>
                <w:color w:val="auto"/>
              </w:rPr>
              <w:t>liabilities and combined attributed net</w:t>
            </w:r>
          </w:p>
        </w:tc>
        <w:tc>
          <w:tcPr>
            <w:tcW w:w="300" w:type="dxa"/>
            <w:vAlign w:val="bottom"/>
          </w:tcPr>
          <w:p>
            <w:pPr>
              <w:spacing w:after="0"/>
              <w:rPr>
                <w:sz w:val="17"/>
                <w:szCs w:val="17"/>
                <w:color w:val="auto"/>
              </w:rPr>
            </w:pPr>
          </w:p>
        </w:tc>
      </w:tr>
      <w:tr>
        <w:trPr>
          <w:trHeight w:val="201"/>
        </w:trPr>
        <w:tc>
          <w:tcPr>
            <w:tcW w:w="2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assets</w:t>
            </w:r>
          </w:p>
        </w:tc>
        <w:tc>
          <w:tcPr>
            <w:tcW w:w="330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 $3,543 $4,072</w:t>
            </w:r>
          </w:p>
        </w:tc>
        <w:tc>
          <w:tcPr>
            <w:tcW w:w="30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L-166</w:t>
      </w:r>
    </w:p>
    <w:p>
      <w:pPr>
        <w:sectPr>
          <w:pgSz w:w="11900" w:h="16838" w:orient="portrait"/>
          <w:cols w:equalWidth="0" w:num="1">
            <w:col w:w="10219"/>
          </w:cols>
          <w:pgMar w:left="240" w:top="719" w:right="1440" w:bottom="1440" w:gutter="0" w:footer="0" w:header="0"/>
        </w:sectPr>
      </w:pPr>
    </w:p>
    <w:bookmarkStart w:id="780" w:name="page781"/>
    <w:bookmarkEnd w:id="780"/>
    <w:p>
      <w:pPr>
        <w:jc w:val="center"/>
        <w:ind w:right="181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COMBINED STATEMENTS OF CHANGES IN COMBINED</w:t>
      </w:r>
    </w:p>
    <w:p>
      <w:pPr>
        <w:spacing w:after="0" w:line="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7"/>
          <w:szCs w:val="17"/>
          <w:color w:val="auto"/>
        </w:rPr>
        <w:t>ATTRIBUTED NET ASSETS</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------------ 2000 1999 1998 ------- ------- ------</w:t>
      </w:r>
    </w:p>
    <w:p>
      <w:pPr>
        <w:spacing w:after="0" w:line="9" w:lineRule="exact"/>
        <w:rPr>
          <w:sz w:val="20"/>
          <w:szCs w:val="20"/>
          <w:color w:val="auto"/>
        </w:rPr>
      </w:pPr>
    </w:p>
    <w:p>
      <w:pPr>
        <w:ind w:left="360" w:right="5239" w:firstLine="270"/>
        <w:spacing w:after="0" w:line="251" w:lineRule="auto"/>
        <w:tabs>
          <w:tab w:leader="none" w:pos="831" w:val="left"/>
        </w:tabs>
        <w:numPr>
          <w:ilvl w:val="0"/>
          <w:numId w:val="8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MILLIONS) COMBINED ATTRIBUTED NET (LIABILITIES) ASSETS Balance at beginning of</w:t>
      </w:r>
    </w:p>
    <w:tbl>
      <w:tblPr>
        <w:tblLayout w:type="fixed"/>
        <w:tblInd w:w="0" w:type="dxa"/>
        <w:tblCellMar>
          <w:top w:w="0" w:type="dxa"/>
          <w:left w:w="0" w:type="dxa"/>
          <w:bottom w:w="0" w:type="dxa"/>
          <w:right w:w="0" w:type="dxa"/>
        </w:tblCellMar>
      </w:tblPr>
      <w:tr>
        <w:trPr>
          <w:trHeight w:val="197"/>
        </w:trPr>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w w:val="77"/>
              </w:rPr>
              <w:t>year..............................</w:t>
            </w:r>
          </w:p>
        </w:tc>
        <w:tc>
          <w:tcPr>
            <w:tcW w:w="2580" w:type="dxa"/>
            <w:vAlign w:val="bottom"/>
          </w:tcPr>
          <w:p>
            <w:pPr>
              <w:jc w:val="right"/>
              <w:spacing w:after="0"/>
              <w:rPr>
                <w:sz w:val="20"/>
                <w:szCs w:val="20"/>
                <w:color w:val="auto"/>
              </w:rPr>
            </w:pPr>
            <w:r>
              <w:rPr>
                <w:rFonts w:ascii="Courier New" w:cs="Courier New" w:eastAsia="Courier New" w:hAnsi="Courier New"/>
                <w:sz w:val="17"/>
                <w:szCs w:val="17"/>
                <w:color w:val="auto"/>
              </w:rPr>
              <w:t>$ 1,070 $ 3,266</w:t>
            </w:r>
          </w:p>
        </w:tc>
      </w:tr>
      <w:tr>
        <w:trPr>
          <w:trHeight w:val="201"/>
        </w:trPr>
        <w:tc>
          <w:tcPr>
            <w:tcW w:w="53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$ 821 Net</w:t>
            </w:r>
          </w:p>
        </w:tc>
      </w:tr>
      <w:tr>
        <w:trPr>
          <w:trHeight w:val="201"/>
        </w:trPr>
        <w:tc>
          <w:tcPr>
            <w:tcW w:w="53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income.............................................</w:t>
            </w:r>
          </w:p>
        </w:tc>
      </w:tr>
      <w:tr>
        <w:trPr>
          <w:trHeight w:val="201"/>
        </w:trPr>
        <w:tc>
          <w:tcPr>
            <w:tcW w:w="53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4,112 4,633 3,807 Dividends declared to</w:t>
            </w:r>
          </w:p>
        </w:tc>
      </w:tr>
      <w:tr>
        <w:trPr>
          <w:trHeight w:val="201"/>
        </w:trPr>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w w:val="80"/>
              </w:rPr>
              <w:t>AT&amp;T.............................</w:t>
            </w:r>
          </w:p>
        </w:tc>
        <w:tc>
          <w:tcPr>
            <w:tcW w:w="2580" w:type="dxa"/>
            <w:vAlign w:val="bottom"/>
          </w:tcPr>
          <w:p>
            <w:pPr>
              <w:jc w:val="right"/>
              <w:spacing w:after="0"/>
              <w:rPr>
                <w:sz w:val="20"/>
                <w:szCs w:val="20"/>
                <w:color w:val="auto"/>
              </w:rPr>
            </w:pPr>
            <w:r>
              <w:rPr>
                <w:rFonts w:ascii="Courier New" w:cs="Courier New" w:eastAsia="Courier New" w:hAnsi="Courier New"/>
                <w:sz w:val="17"/>
                <w:szCs w:val="17"/>
                <w:color w:val="auto"/>
              </w:rPr>
              <w:t>(1,657) (1,871)</w:t>
            </w:r>
          </w:p>
        </w:tc>
      </w:tr>
      <w:tr>
        <w:trPr>
          <w:trHeight w:val="201"/>
        </w:trPr>
        <w:tc>
          <w:tcPr>
            <w:tcW w:w="53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(1,487) Contributions (to) from AT&amp;T,</w:t>
            </w:r>
          </w:p>
        </w:tc>
      </w:tr>
      <w:tr>
        <w:trPr>
          <w:trHeight w:val="201"/>
        </w:trPr>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net......................</w:t>
            </w:r>
          </w:p>
        </w:tc>
        <w:tc>
          <w:tcPr>
            <w:tcW w:w="258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(6,066) (4,958) 125</w:t>
            </w:r>
          </w:p>
        </w:tc>
      </w:tr>
      <w:tr>
        <w:trPr>
          <w:trHeight w:val="201"/>
        </w:trPr>
        <w:tc>
          <w:tcPr>
            <w:tcW w:w="53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Balance at end of</w:t>
            </w:r>
          </w:p>
        </w:tc>
      </w:tr>
      <w:tr>
        <w:trPr>
          <w:trHeight w:val="201"/>
        </w:trPr>
        <w:tc>
          <w:tcPr>
            <w:tcW w:w="2720" w:type="dxa"/>
            <w:vAlign w:val="bottom"/>
          </w:tcPr>
          <w:p>
            <w:pPr>
              <w:jc w:val="right"/>
              <w:spacing w:after="0"/>
              <w:rPr>
                <w:sz w:val="20"/>
                <w:szCs w:val="20"/>
                <w:color w:val="auto"/>
              </w:rPr>
            </w:pPr>
            <w:r>
              <w:rPr>
                <w:rFonts w:ascii="Courier New" w:cs="Courier New" w:eastAsia="Courier New" w:hAnsi="Courier New"/>
                <w:sz w:val="16"/>
                <w:szCs w:val="16"/>
                <w:color w:val="auto"/>
                <w:w w:val="70"/>
              </w:rPr>
              <w:t>year....................................</w:t>
            </w:r>
          </w:p>
        </w:tc>
        <w:tc>
          <w:tcPr>
            <w:tcW w:w="2580" w:type="dxa"/>
            <w:vAlign w:val="bottom"/>
          </w:tcPr>
          <w:p>
            <w:pPr>
              <w:jc w:val="right"/>
              <w:spacing w:after="0"/>
              <w:rPr>
                <w:sz w:val="20"/>
                <w:szCs w:val="20"/>
                <w:color w:val="auto"/>
              </w:rPr>
            </w:pPr>
            <w:r>
              <w:rPr>
                <w:rFonts w:ascii="Courier New" w:cs="Courier New" w:eastAsia="Courier New" w:hAnsi="Courier New"/>
                <w:sz w:val="17"/>
                <w:szCs w:val="17"/>
                <w:color w:val="auto"/>
              </w:rPr>
              <w:t>$(2,541)</w:t>
            </w:r>
          </w:p>
        </w:tc>
      </w:tr>
      <w:tr>
        <w:trPr>
          <w:trHeight w:val="201"/>
        </w:trPr>
        <w:tc>
          <w:tcPr>
            <w:tcW w:w="2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$ 1,070</w:t>
            </w:r>
          </w:p>
        </w:tc>
        <w:tc>
          <w:tcPr>
            <w:tcW w:w="2580" w:type="dxa"/>
            <w:vAlign w:val="bottom"/>
          </w:tcPr>
          <w:p>
            <w:pPr>
              <w:jc w:val="right"/>
              <w:ind w:right="1753"/>
              <w:spacing w:after="0"/>
              <w:rPr>
                <w:sz w:val="20"/>
                <w:szCs w:val="20"/>
                <w:color w:val="auto"/>
              </w:rPr>
            </w:pPr>
            <w:r>
              <w:rPr>
                <w:rFonts w:ascii="Courier New" w:cs="Courier New" w:eastAsia="Courier New" w:hAnsi="Courier New"/>
                <w:sz w:val="17"/>
                <w:szCs w:val="17"/>
                <w:color w:val="auto"/>
              </w:rPr>
              <w:t>$ 3,266</w:t>
            </w:r>
          </w:p>
        </w:tc>
      </w:tr>
    </w:tbl>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L-167</w:t>
      </w:r>
    </w:p>
    <w:p>
      <w:pPr>
        <w:sectPr>
          <w:pgSz w:w="11900" w:h="16838" w:orient="portrait"/>
          <w:cols w:equalWidth="0" w:num="1">
            <w:col w:w="10219"/>
          </w:cols>
          <w:pgMar w:left="240" w:top="720" w:right="1440" w:bottom="1440" w:gutter="0" w:footer="0" w:header="0"/>
        </w:sectPr>
      </w:pPr>
    </w:p>
    <w:bookmarkStart w:id="781" w:name="page782"/>
    <w:bookmarkEnd w:id="781"/>
    <w:p>
      <w:pPr>
        <w:jc w:val="center"/>
        <w:ind w:right="181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COMBINED STATEMENTS OF CASH FLOWS</w:t>
      </w:r>
    </w:p>
    <w:p>
      <w:pPr>
        <w:spacing w:after="0" w:line="210"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------- 2000 1999 1998 ------- ------- ------- (IN</w:t>
      </w:r>
    </w:p>
    <w:p>
      <w:pPr>
        <w:spacing w:after="0" w:line="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MILLIONS) OPERATING ACTIVITIES Net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jc w:val="both"/>
        <w:ind w:left="220" w:right="4559" w:hanging="9"/>
        <w:spacing w:after="0" w:line="251" w:lineRule="auto"/>
        <w:tabs>
          <w:tab w:leader="none" w:pos="429" w:val="left"/>
        </w:tabs>
        <w:numPr>
          <w:ilvl w:val="0"/>
          <w:numId w:val="8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4,112 $ 4,633 $ 3,807 Adjustments to reconcile net income to net cash provided by operating activities:</w:t>
      </w:r>
    </w:p>
    <w:p>
      <w:pPr>
        <w:ind w:left="1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Gains on sales of businesses and</w:t>
      </w:r>
    </w:p>
    <w:p>
      <w:pPr>
        <w:spacing w:after="0" w:line="9" w:lineRule="exact"/>
        <w:rPr>
          <w:sz w:val="20"/>
          <w:szCs w:val="20"/>
          <w:color w:val="auto"/>
        </w:rPr>
      </w:pPr>
    </w:p>
    <w:p>
      <w:pPr>
        <w:ind w:left="680"/>
        <w:spacing w:after="0"/>
        <w:tabs>
          <w:tab w:leader="dot" w:pos="3380" w:val="left"/>
        </w:tabs>
        <w:rPr>
          <w:sz w:val="20"/>
          <w:szCs w:val="20"/>
          <w:color w:val="auto"/>
        </w:rPr>
      </w:pPr>
      <w:r>
        <w:rPr>
          <w:rFonts w:ascii="Courier New" w:cs="Courier New" w:eastAsia="Courier New" w:hAnsi="Courier New"/>
          <w:sz w:val="17"/>
          <w:szCs w:val="17"/>
          <w:color w:val="auto"/>
        </w:rPr>
        <w:t>investments</w:t>
      </w:r>
      <w:r>
        <w:rPr>
          <w:sz w:val="20"/>
          <w:szCs w:val="20"/>
          <w:color w:val="auto"/>
        </w:rPr>
        <w:tab/>
      </w:r>
      <w:r>
        <w:rPr>
          <w:rFonts w:ascii="Courier New" w:cs="Courier New" w:eastAsia="Courier New" w:hAnsi="Courier New"/>
          <w:sz w:val="17"/>
          <w:szCs w:val="17"/>
          <w:color w:val="auto"/>
        </w:rPr>
        <w:t>(56) (162) -- Net</w:t>
      </w:r>
    </w:p>
    <w:p>
      <w:pPr>
        <w:spacing w:after="0" w:line="9" w:lineRule="exact"/>
        <w:rPr>
          <w:sz w:val="20"/>
          <w:szCs w:val="20"/>
          <w:color w:val="auto"/>
        </w:rPr>
      </w:pPr>
    </w:p>
    <w:p>
      <w:pPr>
        <w:ind w:left="100"/>
        <w:spacing w:after="0"/>
        <w:tabs>
          <w:tab w:leader="none" w:pos="3340" w:val="left"/>
        </w:tabs>
        <w:rPr>
          <w:sz w:val="20"/>
          <w:szCs w:val="20"/>
          <w:color w:val="auto"/>
        </w:rPr>
      </w:pPr>
      <w:r>
        <w:rPr>
          <w:rFonts w:ascii="Courier New" w:cs="Courier New" w:eastAsia="Courier New" w:hAnsi="Courier New"/>
          <w:sz w:val="17"/>
          <w:szCs w:val="17"/>
          <w:color w:val="auto"/>
        </w:rPr>
        <w:t>restructuring and other charges</w:t>
        <w:tab/>
        <w:t>.......................</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55 6 (19) Depreciation and</w:t>
      </w:r>
    </w:p>
    <w:p>
      <w:pPr>
        <w:spacing w:after="0" w:line="9" w:lineRule="exact"/>
        <w:rPr>
          <w:sz w:val="20"/>
          <w:szCs w:val="20"/>
          <w:color w:val="auto"/>
        </w:rPr>
      </w:pPr>
    </w:p>
    <w:p>
      <w:pPr>
        <w:ind w:left="160"/>
        <w:spacing w:after="0"/>
        <w:tabs>
          <w:tab w:leader="dot" w:pos="4540" w:val="left"/>
        </w:tabs>
        <w:rPr>
          <w:sz w:val="20"/>
          <w:szCs w:val="20"/>
          <w:color w:val="auto"/>
        </w:rPr>
      </w:pPr>
      <w:r>
        <w:rPr>
          <w:rFonts w:ascii="Courier New" w:cs="Courier New" w:eastAsia="Courier New" w:hAnsi="Courier New"/>
          <w:sz w:val="17"/>
          <w:szCs w:val="17"/>
          <w:color w:val="auto"/>
        </w:rPr>
        <w:t>amortization</w:t>
      </w:r>
      <w:r>
        <w:rPr>
          <w:sz w:val="20"/>
          <w:szCs w:val="20"/>
          <w:color w:val="auto"/>
        </w:rPr>
        <w:tab/>
      </w:r>
      <w:r>
        <w:rPr>
          <w:rFonts w:ascii="Courier New" w:cs="Courier New" w:eastAsia="Courier New" w:hAnsi="Courier New"/>
          <w:sz w:val="17"/>
          <w:szCs w:val="17"/>
          <w:color w:val="auto"/>
        </w:rPr>
        <w:t>167 184 116</w:t>
      </w:r>
    </w:p>
    <w:p>
      <w:pPr>
        <w:spacing w:after="0" w:line="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Provision for</w:t>
      </w:r>
    </w:p>
    <w:p>
      <w:pPr>
        <w:spacing w:after="0" w:line="9" w:lineRule="exact"/>
        <w:rPr>
          <w:sz w:val="20"/>
          <w:szCs w:val="20"/>
          <w:color w:val="auto"/>
        </w:rPr>
      </w:pPr>
    </w:p>
    <w:p>
      <w:pPr>
        <w:ind w:left="220"/>
        <w:spacing w:after="0"/>
        <w:tabs>
          <w:tab w:leader="dot" w:pos="4900" w:val="left"/>
        </w:tabs>
        <w:rPr>
          <w:sz w:val="20"/>
          <w:szCs w:val="20"/>
          <w:color w:val="auto"/>
        </w:rPr>
      </w:pPr>
      <w:r>
        <w:rPr>
          <w:rFonts w:ascii="Courier New" w:cs="Courier New" w:eastAsia="Courier New" w:hAnsi="Courier New"/>
          <w:sz w:val="17"/>
          <w:szCs w:val="17"/>
          <w:color w:val="auto"/>
        </w:rPr>
        <w:t>uncollectibles</w:t>
      </w:r>
      <w:r>
        <w:rPr>
          <w:sz w:val="20"/>
          <w:szCs w:val="20"/>
          <w:color w:val="auto"/>
        </w:rPr>
        <w:tab/>
      </w:r>
      <w:r>
        <w:rPr>
          <w:rFonts w:ascii="Courier New" w:cs="Courier New" w:eastAsia="Courier New" w:hAnsi="Courier New"/>
          <w:sz w:val="17"/>
          <w:szCs w:val="17"/>
          <w:color w:val="auto"/>
        </w:rPr>
        <w:t>595 749</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886 Increase in accounts</w:t>
      </w:r>
    </w:p>
    <w:p>
      <w:pPr>
        <w:spacing w:after="0" w:line="9" w:lineRule="exact"/>
        <w:rPr>
          <w:sz w:val="20"/>
          <w:szCs w:val="20"/>
          <w:color w:val="auto"/>
        </w:rPr>
      </w:pPr>
    </w:p>
    <w:p>
      <w:pPr>
        <w:ind w:left="60"/>
        <w:spacing w:after="0"/>
        <w:tabs>
          <w:tab w:leader="dot" w:pos="4020" w:val="left"/>
        </w:tabs>
        <w:rPr>
          <w:sz w:val="20"/>
          <w:szCs w:val="20"/>
          <w:color w:val="auto"/>
        </w:rPr>
      </w:pPr>
      <w:r>
        <w:rPr>
          <w:rFonts w:ascii="Courier New" w:cs="Courier New" w:eastAsia="Courier New" w:hAnsi="Courier New"/>
          <w:sz w:val="17"/>
          <w:szCs w:val="17"/>
          <w:color w:val="auto"/>
        </w:rPr>
        <w:t>receivable</w:t>
      </w:r>
      <w:r>
        <w:rPr>
          <w:sz w:val="20"/>
          <w:szCs w:val="20"/>
          <w:color w:val="auto"/>
        </w:rPr>
        <w:tab/>
      </w:r>
      <w:r>
        <w:rPr>
          <w:rFonts w:ascii="Courier New" w:cs="Courier New" w:eastAsia="Courier New" w:hAnsi="Courier New"/>
          <w:sz w:val="17"/>
          <w:szCs w:val="17"/>
          <w:color w:val="auto"/>
        </w:rPr>
        <w:t>(161) (954) (426)</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Increase (decrease) in accounts</w:t>
      </w:r>
    </w:p>
    <w:p>
      <w:pPr>
        <w:spacing w:after="0" w:line="9" w:lineRule="exact"/>
        <w:rPr>
          <w:sz w:val="20"/>
          <w:szCs w:val="20"/>
          <w:color w:val="auto"/>
        </w:rPr>
      </w:pPr>
    </w:p>
    <w:p>
      <w:pPr>
        <w:ind w:left="100"/>
        <w:spacing w:after="0"/>
        <w:tabs>
          <w:tab w:leader="dot" w:pos="2920" w:val="left"/>
        </w:tabs>
        <w:rPr>
          <w:sz w:val="20"/>
          <w:szCs w:val="20"/>
          <w:color w:val="auto"/>
        </w:rPr>
      </w:pPr>
      <w:r>
        <w:rPr>
          <w:rFonts w:ascii="Courier New" w:cs="Courier New" w:eastAsia="Courier New" w:hAnsi="Courier New"/>
          <w:sz w:val="17"/>
          <w:szCs w:val="17"/>
          <w:color w:val="auto"/>
        </w:rPr>
        <w:t>payable</w:t>
      </w:r>
      <w:r>
        <w:rPr>
          <w:sz w:val="20"/>
          <w:szCs w:val="20"/>
          <w:color w:val="auto"/>
        </w:rPr>
        <w:tab/>
      </w:r>
      <w:r>
        <w:rPr>
          <w:rFonts w:ascii="Courier New" w:cs="Courier New" w:eastAsia="Courier New" w:hAnsi="Courier New"/>
          <w:sz w:val="17"/>
          <w:szCs w:val="17"/>
          <w:color w:val="auto"/>
        </w:rPr>
        <w:t>249 (55) (10) Net change in</w:t>
      </w:r>
    </w:p>
    <w:p>
      <w:pPr>
        <w:spacing w:after="0" w:line="9" w:lineRule="exact"/>
        <w:rPr>
          <w:sz w:val="20"/>
          <w:szCs w:val="20"/>
          <w:color w:val="auto"/>
        </w:rPr>
      </w:pPr>
    </w:p>
    <w:p>
      <w:pPr>
        <w:ind w:left="60"/>
        <w:spacing w:after="0"/>
        <w:tabs>
          <w:tab w:leader="dot" w:pos="4740" w:val="left"/>
        </w:tabs>
        <w:rPr>
          <w:sz w:val="20"/>
          <w:szCs w:val="20"/>
          <w:color w:val="auto"/>
        </w:rPr>
      </w:pPr>
      <w:r>
        <w:rPr>
          <w:rFonts w:ascii="Courier New" w:cs="Courier New" w:eastAsia="Courier New" w:hAnsi="Courier New"/>
          <w:sz w:val="17"/>
          <w:szCs w:val="17"/>
          <w:color w:val="auto"/>
        </w:rPr>
        <w:t>other operating assets and liabilities</w:t>
      </w:r>
      <w:r>
        <w:rPr>
          <w:sz w:val="20"/>
          <w:szCs w:val="20"/>
          <w:color w:val="auto"/>
        </w:rPr>
        <w:tab/>
      </w:r>
      <w:r>
        <w:rPr>
          <w:rFonts w:ascii="Courier New" w:cs="Courier New" w:eastAsia="Courier New" w:hAnsi="Courier New"/>
          <w:sz w:val="17"/>
          <w:szCs w:val="17"/>
          <w:color w:val="auto"/>
        </w:rPr>
        <w:t>(174) (51)</w:t>
      </w:r>
    </w:p>
    <w:p>
      <w:pPr>
        <w:spacing w:after="0" w:line="9"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(213) Net cash provided by operating</w:t>
      </w:r>
    </w:p>
    <w:p>
      <w:pPr>
        <w:spacing w:after="0" w:line="9" w:lineRule="exact"/>
        <w:rPr>
          <w:sz w:val="20"/>
          <w:szCs w:val="20"/>
          <w:color w:val="auto"/>
        </w:rPr>
      </w:pPr>
    </w:p>
    <w:p>
      <w:pPr>
        <w:ind w:left="220"/>
        <w:spacing w:after="0"/>
        <w:tabs>
          <w:tab w:leader="dot" w:pos="2800" w:val="left"/>
        </w:tabs>
        <w:rPr>
          <w:sz w:val="20"/>
          <w:szCs w:val="20"/>
          <w:color w:val="auto"/>
        </w:rPr>
      </w:pPr>
      <w:r>
        <w:rPr>
          <w:rFonts w:ascii="Courier New" w:cs="Courier New" w:eastAsia="Courier New" w:hAnsi="Courier New"/>
          <w:sz w:val="17"/>
          <w:szCs w:val="17"/>
          <w:color w:val="auto"/>
        </w:rPr>
        <w:t>activities</w:t>
      </w:r>
      <w:r>
        <w:rPr>
          <w:sz w:val="20"/>
          <w:szCs w:val="20"/>
          <w:color w:val="auto"/>
        </w:rPr>
        <w:tab/>
      </w:r>
      <w:r>
        <w:rPr>
          <w:rFonts w:ascii="Courier New" w:cs="Courier New" w:eastAsia="Courier New" w:hAnsi="Courier New"/>
          <w:sz w:val="17"/>
          <w:szCs w:val="17"/>
          <w:color w:val="auto"/>
        </w:rPr>
        <w:t>4,787 4,350 4,141 INVESTING</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7"/>
          <w:szCs w:val="17"/>
          <w:color w:val="auto"/>
        </w:rPr>
        <w:t>ACTIVITIES Capital expenditures and other</w:t>
      </w:r>
    </w:p>
    <w:p>
      <w:pPr>
        <w:spacing w:after="0" w:line="9" w:lineRule="exact"/>
        <w:rPr>
          <w:sz w:val="20"/>
          <w:szCs w:val="20"/>
          <w:color w:val="auto"/>
        </w:rPr>
      </w:pPr>
    </w:p>
    <w:p>
      <w:pPr>
        <w:ind w:left="220"/>
        <w:spacing w:after="0"/>
        <w:tabs>
          <w:tab w:leader="dot" w:pos="3120" w:val="left"/>
        </w:tabs>
        <w:rPr>
          <w:sz w:val="20"/>
          <w:szCs w:val="20"/>
          <w:color w:val="auto"/>
        </w:rPr>
      </w:pPr>
      <w:r>
        <w:rPr>
          <w:rFonts w:ascii="Courier New" w:cs="Courier New" w:eastAsia="Courier New" w:hAnsi="Courier New"/>
          <w:sz w:val="17"/>
          <w:szCs w:val="17"/>
          <w:color w:val="auto"/>
        </w:rPr>
        <w:t>additions</w:t>
      </w:r>
      <w:r>
        <w:rPr>
          <w:sz w:val="20"/>
          <w:szCs w:val="20"/>
          <w:color w:val="auto"/>
        </w:rPr>
        <w:tab/>
      </w:r>
      <w:r>
        <w:rPr>
          <w:rFonts w:ascii="Courier New" w:cs="Courier New" w:eastAsia="Courier New" w:hAnsi="Courier New"/>
          <w:sz w:val="17"/>
          <w:szCs w:val="17"/>
          <w:color w:val="auto"/>
        </w:rPr>
        <w:t>(148) (300) (98) Loan to</w:t>
      </w:r>
    </w:p>
    <w:p>
      <w:pPr>
        <w:spacing w:after="0" w:line="9" w:lineRule="exact"/>
        <w:rPr>
          <w:sz w:val="20"/>
          <w:szCs w:val="20"/>
          <w:color w:val="auto"/>
        </w:rPr>
      </w:pPr>
    </w:p>
    <w:p>
      <w:pPr>
        <w:ind w:left="160"/>
        <w:spacing w:after="0"/>
        <w:tabs>
          <w:tab w:leader="dot" w:pos="5480" w:val="left"/>
        </w:tabs>
        <w:rPr>
          <w:sz w:val="20"/>
          <w:szCs w:val="20"/>
          <w:color w:val="auto"/>
        </w:rPr>
      </w:pPr>
      <w:r>
        <w:rPr>
          <w:rFonts w:ascii="Courier New" w:cs="Courier New" w:eastAsia="Courier New" w:hAnsi="Courier New"/>
          <w:sz w:val="17"/>
          <w:szCs w:val="17"/>
          <w:color w:val="auto"/>
        </w:rPr>
        <w:t>AT&amp;T</w:t>
      </w:r>
      <w:r>
        <w:rPr>
          <w:sz w:val="20"/>
          <w:szCs w:val="20"/>
          <w:color w:val="auto"/>
        </w:rPr>
        <w:tab/>
      </w:r>
      <w:r>
        <w:rPr>
          <w:rFonts w:ascii="Courier New" w:cs="Courier New" w:eastAsia="Courier New" w:hAnsi="Courier New"/>
          <w:sz w:val="17"/>
          <w:szCs w:val="17"/>
          <w:color w:val="auto"/>
        </w:rPr>
        <w:t>--</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1,580 (1,580) Net dispositions of</w:t>
      </w:r>
    </w:p>
    <w:p>
      <w:pPr>
        <w:spacing w:after="0" w:line="9" w:lineRule="exact"/>
        <w:rPr>
          <w:sz w:val="20"/>
          <w:szCs w:val="20"/>
          <w:color w:val="auto"/>
        </w:rPr>
      </w:pPr>
    </w:p>
    <w:p>
      <w:pPr>
        <w:ind w:left="100"/>
        <w:spacing w:after="0"/>
        <w:tabs>
          <w:tab w:leader="dot" w:pos="4180" w:val="left"/>
        </w:tabs>
        <w:rPr>
          <w:sz w:val="20"/>
          <w:szCs w:val="20"/>
          <w:color w:val="auto"/>
        </w:rPr>
      </w:pPr>
      <w:r>
        <w:rPr>
          <w:rFonts w:ascii="Courier New" w:cs="Courier New" w:eastAsia="Courier New" w:hAnsi="Courier New"/>
          <w:sz w:val="17"/>
          <w:szCs w:val="17"/>
          <w:color w:val="auto"/>
        </w:rPr>
        <w:t>businesses</w:t>
      </w:r>
      <w:r>
        <w:rPr>
          <w:sz w:val="20"/>
          <w:szCs w:val="20"/>
          <w:color w:val="auto"/>
        </w:rPr>
        <w:tab/>
      </w:r>
      <w:r>
        <w:rPr>
          <w:rFonts w:ascii="Courier New" w:cs="Courier New" w:eastAsia="Courier New" w:hAnsi="Courier New"/>
          <w:sz w:val="17"/>
          <w:szCs w:val="17"/>
          <w:color w:val="auto"/>
        </w:rPr>
        <w:t>15 125 -- Other</w:t>
      </w:r>
    </w:p>
    <w:p>
      <w:pPr>
        <w:spacing w:after="0" w:line="9" w:lineRule="exact"/>
        <w:rPr>
          <w:sz w:val="20"/>
          <w:szCs w:val="20"/>
          <w:color w:val="auto"/>
        </w:rPr>
      </w:pPr>
    </w:p>
    <w:p>
      <w:pPr>
        <w:ind w:left="100"/>
        <w:spacing w:after="0"/>
        <w:tabs>
          <w:tab w:leader="dot" w:pos="5640" w:val="left"/>
        </w:tabs>
        <w:rPr>
          <w:sz w:val="20"/>
          <w:szCs w:val="20"/>
          <w:color w:val="auto"/>
        </w:rPr>
      </w:pPr>
      <w:r>
        <w:rPr>
          <w:rFonts w:ascii="Courier New" w:cs="Courier New" w:eastAsia="Courier New" w:hAnsi="Courier New"/>
          <w:sz w:val="17"/>
          <w:szCs w:val="17"/>
          <w:color w:val="auto"/>
        </w:rPr>
        <w:t>investing activities, net</w:t>
      </w:r>
      <w:r>
        <w:rPr>
          <w:sz w:val="20"/>
          <w:szCs w:val="20"/>
          <w:color w:val="auto"/>
        </w:rPr>
        <w:tab/>
      </w:r>
      <w:r>
        <w:rPr>
          <w:rFonts w:ascii="Courier New" w:cs="Courier New" w:eastAsia="Courier New" w:hAnsi="Courier New"/>
          <w:sz w:val="16"/>
          <w:szCs w:val="16"/>
          <w:color w:val="auto"/>
        </w:rPr>
        <w:t>1</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(7) 37 Net cash (used in) provided by investing</w:t>
      </w:r>
    </w:p>
    <w:p>
      <w:pPr>
        <w:spacing w:after="0" w:line="9" w:lineRule="exact"/>
        <w:rPr>
          <w:sz w:val="20"/>
          <w:szCs w:val="20"/>
          <w:color w:val="auto"/>
        </w:rPr>
      </w:pPr>
    </w:p>
    <w:p>
      <w:pPr>
        <w:ind w:left="60"/>
        <w:spacing w:after="0"/>
        <w:tabs>
          <w:tab w:leader="dot" w:pos="1600" w:val="left"/>
        </w:tabs>
        <w:rPr>
          <w:sz w:val="20"/>
          <w:szCs w:val="20"/>
          <w:color w:val="auto"/>
        </w:rPr>
      </w:pPr>
      <w:r>
        <w:rPr>
          <w:rFonts w:ascii="Courier New" w:cs="Courier New" w:eastAsia="Courier New" w:hAnsi="Courier New"/>
          <w:sz w:val="17"/>
          <w:szCs w:val="17"/>
          <w:color w:val="auto"/>
        </w:rPr>
        <w:t>activities</w:t>
      </w:r>
      <w:r>
        <w:rPr>
          <w:sz w:val="20"/>
          <w:szCs w:val="20"/>
          <w:color w:val="auto"/>
        </w:rPr>
        <w:tab/>
      </w:r>
      <w:r>
        <w:rPr>
          <w:rFonts w:ascii="Courier New" w:cs="Courier New" w:eastAsia="Courier New" w:hAnsi="Courier New"/>
          <w:sz w:val="17"/>
          <w:szCs w:val="17"/>
          <w:color w:val="auto"/>
        </w:rPr>
        <w:t>(132) 1,398 (1,641) FINANCING ACTIVITIES</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Decrease in long-term debt due to</w:t>
      </w:r>
    </w:p>
    <w:p>
      <w:pPr>
        <w:spacing w:after="0" w:line="9" w:lineRule="exact"/>
        <w:rPr>
          <w:sz w:val="20"/>
          <w:szCs w:val="20"/>
          <w:color w:val="auto"/>
        </w:rPr>
      </w:pPr>
    </w:p>
    <w:p>
      <w:pPr>
        <w:ind w:left="320"/>
        <w:spacing w:after="0"/>
        <w:tabs>
          <w:tab w:leader="dot" w:pos="2920" w:val="left"/>
        </w:tabs>
        <w:rPr>
          <w:sz w:val="20"/>
          <w:szCs w:val="20"/>
          <w:color w:val="auto"/>
        </w:rPr>
      </w:pPr>
      <w:r>
        <w:rPr>
          <w:rFonts w:ascii="Courier New" w:cs="Courier New" w:eastAsia="Courier New" w:hAnsi="Courier New"/>
          <w:sz w:val="17"/>
          <w:szCs w:val="17"/>
          <w:color w:val="auto"/>
        </w:rPr>
        <w:t>AT&amp;T</w:t>
      </w:r>
      <w:r>
        <w:rPr>
          <w:sz w:val="20"/>
          <w:szCs w:val="20"/>
          <w:color w:val="auto"/>
        </w:rPr>
        <w:tab/>
      </w:r>
      <w:r>
        <w:rPr>
          <w:rFonts w:ascii="Courier New" w:cs="Courier New" w:eastAsia="Courier New" w:hAnsi="Courier New"/>
          <w:sz w:val="17"/>
          <w:szCs w:val="17"/>
          <w:color w:val="auto"/>
        </w:rPr>
        <w:t>-- -- (1,122) Increase in</w:t>
      </w:r>
    </w:p>
    <w:p>
      <w:pPr>
        <w:spacing w:after="0" w:line="9" w:lineRule="exact"/>
        <w:rPr>
          <w:sz w:val="20"/>
          <w:szCs w:val="20"/>
          <w:color w:val="auto"/>
        </w:rPr>
      </w:pPr>
    </w:p>
    <w:p>
      <w:pPr>
        <w:ind w:left="220"/>
        <w:spacing w:after="0"/>
        <w:tabs>
          <w:tab w:leader="dot" w:pos="5120" w:val="left"/>
        </w:tabs>
        <w:rPr>
          <w:sz w:val="20"/>
          <w:szCs w:val="20"/>
          <w:color w:val="auto"/>
        </w:rPr>
      </w:pPr>
      <w:r>
        <w:rPr>
          <w:rFonts w:ascii="Courier New" w:cs="Courier New" w:eastAsia="Courier New" w:hAnsi="Courier New"/>
          <w:sz w:val="17"/>
          <w:szCs w:val="17"/>
          <w:color w:val="auto"/>
        </w:rPr>
        <w:t>long-term debt due to AT&amp;T</w:t>
      </w:r>
      <w:r>
        <w:rPr>
          <w:sz w:val="20"/>
          <w:szCs w:val="20"/>
          <w:color w:val="auto"/>
        </w:rPr>
        <w:tab/>
      </w:r>
      <w:r>
        <w:rPr>
          <w:rFonts w:ascii="Courier New" w:cs="Courier New" w:eastAsia="Courier New" w:hAnsi="Courier New"/>
          <w:sz w:val="17"/>
          <w:szCs w:val="17"/>
          <w:color w:val="auto"/>
        </w:rPr>
        <w:t>3,100</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900 -- Dividends paid to</w:t>
      </w:r>
    </w:p>
    <w:p>
      <w:pPr>
        <w:spacing w:after="0" w:line="9" w:lineRule="exact"/>
        <w:rPr>
          <w:sz w:val="20"/>
          <w:szCs w:val="20"/>
          <w:color w:val="auto"/>
        </w:rPr>
      </w:pPr>
    </w:p>
    <w:p>
      <w:pPr>
        <w:ind w:left="420"/>
        <w:spacing w:after="0"/>
        <w:tabs>
          <w:tab w:leader="dot" w:pos="4700" w:val="left"/>
        </w:tabs>
        <w:rPr>
          <w:sz w:val="20"/>
          <w:szCs w:val="20"/>
          <w:color w:val="auto"/>
        </w:rPr>
      </w:pPr>
      <w:r>
        <w:rPr>
          <w:rFonts w:ascii="Courier New" w:cs="Courier New" w:eastAsia="Courier New" w:hAnsi="Courier New"/>
          <w:sz w:val="17"/>
          <w:szCs w:val="17"/>
          <w:color w:val="auto"/>
        </w:rPr>
        <w:t>AT&amp;T</w:t>
      </w:r>
      <w:r>
        <w:rPr>
          <w:sz w:val="20"/>
          <w:szCs w:val="20"/>
          <w:color w:val="auto"/>
        </w:rPr>
        <w:tab/>
      </w:r>
      <w:r>
        <w:rPr>
          <w:rFonts w:ascii="Courier New" w:cs="Courier New" w:eastAsia="Courier New" w:hAnsi="Courier New"/>
          <w:sz w:val="17"/>
          <w:szCs w:val="17"/>
          <w:color w:val="auto"/>
        </w:rPr>
        <w:t>(2,031)</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(1,808) (1,458) Contributions (to) from AT&amp;T,</w:t>
      </w:r>
    </w:p>
    <w:p>
      <w:pPr>
        <w:spacing w:after="0" w:line="9" w:lineRule="exact"/>
        <w:rPr>
          <w:sz w:val="20"/>
          <w:szCs w:val="20"/>
          <w:color w:val="auto"/>
        </w:rPr>
      </w:pPr>
    </w:p>
    <w:p>
      <w:pPr>
        <w:ind w:left="480"/>
        <w:spacing w:after="0"/>
        <w:tabs>
          <w:tab w:leader="dot" w:pos="3500" w:val="left"/>
        </w:tabs>
        <w:rPr>
          <w:sz w:val="20"/>
          <w:szCs w:val="20"/>
          <w:color w:val="auto"/>
        </w:rPr>
      </w:pPr>
      <w:r>
        <w:rPr>
          <w:rFonts w:ascii="Courier New" w:cs="Courier New" w:eastAsia="Courier New" w:hAnsi="Courier New"/>
          <w:sz w:val="17"/>
          <w:szCs w:val="17"/>
          <w:color w:val="auto"/>
        </w:rPr>
        <w:t>net</w:t>
      </w:r>
      <w:r>
        <w:rPr>
          <w:sz w:val="20"/>
          <w:szCs w:val="20"/>
          <w:color w:val="auto"/>
        </w:rPr>
        <w:tab/>
      </w:r>
      <w:r>
        <w:rPr>
          <w:rFonts w:ascii="Courier New" w:cs="Courier New" w:eastAsia="Courier New" w:hAnsi="Courier New"/>
          <w:sz w:val="17"/>
          <w:szCs w:val="17"/>
          <w:color w:val="auto"/>
        </w:rPr>
        <w:t>(5,707) (4,829) 80</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Decrease in short-term borrowings,</w:t>
      </w:r>
    </w:p>
    <w:p>
      <w:pPr>
        <w:spacing w:after="0" w:line="9" w:lineRule="exact"/>
        <w:rPr>
          <w:sz w:val="20"/>
          <w:szCs w:val="20"/>
          <w:color w:val="auto"/>
        </w:rPr>
      </w:pPr>
    </w:p>
    <w:p>
      <w:pPr>
        <w:ind w:left="220"/>
        <w:spacing w:after="0"/>
        <w:tabs>
          <w:tab w:leader="dot" w:pos="2700" w:val="left"/>
        </w:tabs>
        <w:rPr>
          <w:sz w:val="20"/>
          <w:szCs w:val="20"/>
          <w:color w:val="auto"/>
        </w:rPr>
      </w:pPr>
      <w:r>
        <w:rPr>
          <w:rFonts w:ascii="Courier New" w:cs="Courier New" w:eastAsia="Courier New" w:hAnsi="Courier New"/>
          <w:sz w:val="17"/>
          <w:szCs w:val="17"/>
          <w:color w:val="auto"/>
        </w:rPr>
        <w:t>net</w:t>
      </w:r>
      <w:r>
        <w:rPr>
          <w:sz w:val="20"/>
          <w:szCs w:val="20"/>
          <w:color w:val="auto"/>
        </w:rPr>
        <w:tab/>
      </w:r>
      <w:r>
        <w:rPr>
          <w:rFonts w:ascii="Courier New" w:cs="Courier New" w:eastAsia="Courier New" w:hAnsi="Courier New"/>
          <w:sz w:val="17"/>
          <w:szCs w:val="17"/>
          <w:color w:val="auto"/>
        </w:rPr>
        <w:t>(23) (5) -- Net cash used in</w:t>
      </w:r>
    </w:p>
    <w:p>
      <w:pPr>
        <w:spacing w:after="0" w:line="9" w:lineRule="exact"/>
        <w:rPr>
          <w:sz w:val="20"/>
          <w:szCs w:val="20"/>
          <w:color w:val="auto"/>
        </w:rPr>
      </w:pPr>
    </w:p>
    <w:p>
      <w:pPr>
        <w:ind w:left="100"/>
        <w:spacing w:after="0"/>
        <w:tabs>
          <w:tab w:leader="dot" w:pos="4180" w:val="left"/>
        </w:tabs>
        <w:rPr>
          <w:sz w:val="20"/>
          <w:szCs w:val="20"/>
          <w:color w:val="auto"/>
        </w:rPr>
      </w:pPr>
      <w:r>
        <w:rPr>
          <w:rFonts w:ascii="Courier New" w:cs="Courier New" w:eastAsia="Courier New" w:hAnsi="Courier New"/>
          <w:sz w:val="17"/>
          <w:szCs w:val="17"/>
          <w:color w:val="auto"/>
        </w:rPr>
        <w:t>financing activities</w:t>
      </w:r>
      <w:r>
        <w:rPr>
          <w:sz w:val="20"/>
          <w:szCs w:val="20"/>
          <w:color w:val="auto"/>
        </w:rPr>
        <w:tab/>
      </w:r>
      <w:r>
        <w:rPr>
          <w:rFonts w:ascii="Courier New" w:cs="Courier New" w:eastAsia="Courier New" w:hAnsi="Courier New"/>
          <w:sz w:val="17"/>
          <w:szCs w:val="17"/>
          <w:color w:val="auto"/>
        </w:rPr>
        <w:t>(4,661) (5,742)</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(2,500) Net increase (decrease) in cash and cash</w:t>
      </w:r>
    </w:p>
    <w:p>
      <w:pPr>
        <w:spacing w:after="0" w:line="9" w:lineRule="exact"/>
        <w:rPr>
          <w:sz w:val="20"/>
          <w:szCs w:val="20"/>
          <w:color w:val="auto"/>
        </w:rPr>
      </w:pPr>
    </w:p>
    <w:p>
      <w:pPr>
        <w:ind w:left="60"/>
        <w:spacing w:after="0"/>
        <w:tabs>
          <w:tab w:leader="dot" w:pos="2120" w:val="left"/>
        </w:tabs>
        <w:rPr>
          <w:sz w:val="20"/>
          <w:szCs w:val="20"/>
          <w:color w:val="auto"/>
        </w:rPr>
      </w:pPr>
      <w:r>
        <w:rPr>
          <w:rFonts w:ascii="Courier New" w:cs="Courier New" w:eastAsia="Courier New" w:hAnsi="Courier New"/>
          <w:sz w:val="17"/>
          <w:szCs w:val="17"/>
          <w:color w:val="auto"/>
        </w:rPr>
        <w:t>equivalents</w:t>
      </w:r>
      <w:r>
        <w:rPr>
          <w:sz w:val="20"/>
          <w:szCs w:val="20"/>
          <w:color w:val="auto"/>
        </w:rPr>
        <w:tab/>
      </w:r>
      <w:r>
        <w:rPr>
          <w:rFonts w:ascii="Courier New" w:cs="Courier New" w:eastAsia="Courier New" w:hAnsi="Courier New"/>
          <w:sz w:val="17"/>
          <w:szCs w:val="17"/>
          <w:color w:val="auto"/>
        </w:rPr>
        <w:t>(6) 6 -- Cash and cash equivalents,</w:t>
      </w:r>
    </w:p>
    <w:p>
      <w:pPr>
        <w:spacing w:after="0" w:line="9" w:lineRule="exact"/>
        <w:rPr>
          <w:sz w:val="20"/>
          <w:szCs w:val="20"/>
          <w:color w:val="auto"/>
        </w:rPr>
      </w:pPr>
    </w:p>
    <w:p>
      <w:pPr>
        <w:ind w:left="60"/>
        <w:spacing w:after="0"/>
        <w:tabs>
          <w:tab w:leader="dot" w:pos="3600" w:val="left"/>
        </w:tabs>
        <w:rPr>
          <w:sz w:val="20"/>
          <w:szCs w:val="20"/>
          <w:color w:val="auto"/>
        </w:rPr>
      </w:pPr>
      <w:r>
        <w:rPr>
          <w:rFonts w:ascii="Courier New" w:cs="Courier New" w:eastAsia="Courier New" w:hAnsi="Courier New"/>
          <w:sz w:val="17"/>
          <w:szCs w:val="17"/>
          <w:color w:val="auto"/>
        </w:rPr>
        <w:t>beginning of year</w:t>
      </w:r>
      <w:r>
        <w:rPr>
          <w:sz w:val="20"/>
          <w:szCs w:val="20"/>
          <w:color w:val="auto"/>
        </w:rPr>
        <w:tab/>
      </w:r>
      <w:r>
        <w:rPr>
          <w:rFonts w:ascii="Courier New" w:cs="Courier New" w:eastAsia="Courier New" w:hAnsi="Courier New"/>
          <w:sz w:val="17"/>
          <w:szCs w:val="17"/>
          <w:color w:val="auto"/>
        </w:rPr>
        <w:t>6 -- -- Cash and cash</w:t>
      </w:r>
    </w:p>
    <w:p>
      <w:pPr>
        <w:spacing w:after="0" w:line="9" w:lineRule="exact"/>
        <w:rPr>
          <w:sz w:val="20"/>
          <w:szCs w:val="20"/>
          <w:color w:val="auto"/>
        </w:rPr>
      </w:pPr>
    </w:p>
    <w:p>
      <w:pPr>
        <w:ind w:left="100"/>
        <w:spacing w:after="0"/>
        <w:tabs>
          <w:tab w:leader="dot" w:pos="5000" w:val="left"/>
        </w:tabs>
        <w:rPr>
          <w:sz w:val="20"/>
          <w:szCs w:val="20"/>
          <w:color w:val="auto"/>
        </w:rPr>
      </w:pPr>
      <w:r>
        <w:rPr>
          <w:rFonts w:ascii="Courier New" w:cs="Courier New" w:eastAsia="Courier New" w:hAnsi="Courier New"/>
          <w:sz w:val="17"/>
          <w:szCs w:val="17"/>
          <w:color w:val="auto"/>
        </w:rPr>
        <w:t>equivalents, end of year</w:t>
      </w:r>
      <w:r>
        <w:rPr>
          <w:sz w:val="20"/>
          <w:szCs w:val="20"/>
          <w:color w:val="auto"/>
        </w:rPr>
        <w:tab/>
      </w:r>
      <w:r>
        <w:rPr>
          <w:rFonts w:ascii="Courier New" w:cs="Courier New" w:eastAsia="Courier New" w:hAnsi="Courier New"/>
          <w:sz w:val="17"/>
          <w:szCs w:val="17"/>
          <w:color w:val="auto"/>
        </w:rPr>
        <w:t>-- 6 --</w:t>
      </w:r>
    </w:p>
    <w:p>
      <w:pPr>
        <w:spacing w:after="0" w:line="200" w:lineRule="exact"/>
        <w:rPr>
          <w:sz w:val="20"/>
          <w:szCs w:val="20"/>
          <w:color w:val="auto"/>
        </w:rPr>
      </w:pPr>
    </w:p>
    <w:p>
      <w:pPr>
        <w:spacing w:after="0" w:line="21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notes are an integral part of the combined financial statements.</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L-168</w:t>
      </w:r>
    </w:p>
    <w:p>
      <w:pPr>
        <w:sectPr>
          <w:pgSz w:w="11900" w:h="16838" w:orient="portrait"/>
          <w:cols w:equalWidth="0" w:num="1">
            <w:col w:w="10219"/>
          </w:cols>
          <w:pgMar w:left="240" w:top="719" w:right="1440" w:bottom="1440" w:gutter="0" w:footer="0" w:header="0"/>
        </w:sectPr>
      </w:pPr>
    </w:p>
    <w:bookmarkStart w:id="782" w:name="page783"/>
    <w:bookmarkEnd w:id="782"/>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NOTES TO COMBINED FINANCIAL STATEMENTS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(DOLLARS IN MILLIONS UNLESS OTHERWISE NOTED)</w:t>
      </w:r>
    </w:p>
    <w:p>
      <w:pPr>
        <w:spacing w:after="0" w:line="210" w:lineRule="exact"/>
        <w:rPr>
          <w:sz w:val="20"/>
          <w:szCs w:val="20"/>
          <w:color w:val="auto"/>
        </w:rPr>
      </w:pPr>
    </w:p>
    <w:p>
      <w:pPr>
        <w:ind w:left="220" w:right="6119" w:hanging="213"/>
        <w:spacing w:after="0" w:line="502" w:lineRule="auto"/>
        <w:tabs>
          <w:tab w:leader="none" w:pos="325" w:val="left"/>
        </w:tabs>
        <w:numPr>
          <w:ilvl w:val="0"/>
          <w:numId w:val="8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BACKGROUND AND BASIS OF PRESENTATION BACKGROUND</w:t>
      </w:r>
    </w:p>
    <w:p>
      <w:pPr>
        <w:ind w:right="1839" w:firstLine="524"/>
        <w:spacing w:after="0" w:line="252" w:lineRule="auto"/>
        <w:rPr>
          <w:sz w:val="20"/>
          <w:szCs w:val="20"/>
          <w:color w:val="auto"/>
        </w:rPr>
      </w:pPr>
      <w:r>
        <w:rPr>
          <w:rFonts w:ascii="Courier New" w:cs="Courier New" w:eastAsia="Courier New" w:hAnsi="Courier New"/>
          <w:sz w:val="17"/>
          <w:szCs w:val="17"/>
          <w:color w:val="auto"/>
        </w:rPr>
        <w:t>On October 25, 2000 AT&amp;T announced a restructuring plan designed to fully separate or issue separately tracked stocks intended to reflect the financial performance and economic value of each of AT&amp;T's four major operating units. Under this plan AT&amp;T will create a new class of stock to track the financial performance and economic value of AT&amp;T Consumer Services Group. If the Consumer Services charter amendment proposal is approved, AT&amp;T expects to distribute some or all of the tracking stock to AT&amp;T shareholders later this year.</w:t>
      </w:r>
    </w:p>
    <w:p>
      <w:pPr>
        <w:spacing w:after="0" w:line="19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BASIS OF PRESENTATION</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Consumer Services Group provides to residential customers a variety of any-distance communications services including long distance, local toll (intrastate calls outside the immediate local area) and Internet access. In addition, AT&amp;T Consumer Services Group provides calling card, operator-handled calling services, and in certain areas, local phone services.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is an integrated business of AT&amp;T and is not a separate legal entity. These combined financial statements reflect the results of operations, financial position, changes in combined attributed net assets and cash flows of AT&amp;T Consumer Services Group as if it were a separate entity for all periods presented. The combined financial statements of AT&amp;T Consumer Services Group were prepared in accordance with generally accepted accounting principles. The financial information included herein may not necessarily reflect the combined results of operations, financial position, changes in combined attributed net assets and cash flows of AT&amp;T Consumer Services Group had it been a separate, stand-alone entity during the periods presented. These financial statements should be read in conjunction with AT&amp;T's Form 10-K/A for the year ended December 31, 2000.</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combined financial statements of AT&amp;T Consumer Services Group reflect the assets, liabilities, revenue and expenses directly attributable to AT&amp;T Consumer Services Group, as well as allocations deemed reasonable by management, to present the results of operations, financial position and cash flows of AT&amp;T Consumer Services Group on a stand-alone basis. The allocation methodologies have been described within the notes to the combined financial statements where appropriate. All significant intercompany accounts and transactions within AT&amp;T Consumer Services Group have been eliminated. Earnings per share disclosure has not been presented as AT&amp;T Consumer Services Group is a business unit of AT&amp;T and earnings per share data is not considered meaningful.</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combined financial statements of AT&amp;T Consumer Services Group primarily include the results of the following legal entities: AT&amp;T Communications of the Southern States Inc., AT&amp;T Communications of the Southwest, Inc., AT&amp;T Communications companies in other jurisdictions and certain attributed assets of AT&amp;T Corp.</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Debt has been allocated to AT&amp;T Consumer Services Group based on our future view of AT&amp;T's debt position after taking into account the significant deleveraging activities of AT&amp;T Corp. This allocation took into account the following factors: prospective financing requirements, working capital and capital expenditure requirements and comparable company profiles. Increases in historical debt levels are based, in general, on historical cash flows generated by this entity in relation to total AT&amp;T. Such cash outflows include acquisitions, dividend payments and capital expenditures, partially offset by cash flow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acquisitions of TCI</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L-169</w:t>
      </w:r>
    </w:p>
    <w:p>
      <w:pPr>
        <w:sectPr>
          <w:pgSz w:w="11900" w:h="16838" w:orient="portrait"/>
          <w:cols w:equalWidth="0" w:num="1">
            <w:col w:w="10219"/>
          </w:cols>
          <w:pgMar w:left="240" w:top="720" w:right="1440" w:bottom="1440" w:gutter="0" w:footer="0" w:header="0"/>
        </w:sectPr>
      </w:pPr>
    </w:p>
    <w:bookmarkStart w:id="783" w:name="page784"/>
    <w:bookmarkEnd w:id="783"/>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merger and MediaOne acquisition. Since AT&amp;T Consumer Services Group will be a tracking stock of AT&amp;T Communications Services, Inc., the intercompany debt allocated to them will be payable to AT&amp;T Communications Services, Inc. The interest expense on the allocated debt was calculated based on a rate intended to be equivalent to the rate AT&amp;T Consumer Services Group would have received if it were a stand-alone entity. Due to the expected positive operating cash flow of AT&amp;T Consumer Services Group, the level of debt of AT&amp;T Consumer Services Group in the future is expected to be significantly lower than the level at December 31, 2000.</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As a result of the above methodology, AT&amp;T Consumer Services Group advanced funds to AT&amp;T. These advances are accounted for as short-term borrowings between the entities and bear interest at a market rate that is substantially equal to the rate at which AT&amp;T would be able to borrow from third parties on a short-term basis.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General corporate overhead related to AT&amp;T's corporate headquarters and common support divisions has been allocated to AT&amp;T Consumer Services Group as it was not deemed practicable to specifically identify such common costs to AT&amp;T Consumer Services Group. The allocation of corporate overhead is divided into an allocation of shared services (e.g., payroll and accounts payable) and other corporate overhead. Costs of shared services are allocated to AT&amp;T Consumer Services Group based on transaction based prices costs of specific service/program provided. Other corporate overhead is allocated to AT&amp;T Consumer Services Group based on the ratio of AT&amp;T Consumer Services Group's external costs and expenses adjusted for any functions that AT&amp;T Consumer Services Group performs on its own. The costs of these services charged to AT&amp;T Consumer Services Group are not necessarily indicative of the costs that would have been incurred in AT&amp;T Consumer Services Group had they performed these functions entirely as a stand alone entity, nor are they indicative of costs that will be charged or incurred in the future. However, management believes that such allocations are reasonable.</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performs cash management functions on behalf of AT&amp;T Consumer Services Group. Substantially all of AT&amp;T Consumer Service's Group's cash balances are swept to AT&amp;T on a daily basis, where they are managed and invested by AT&amp;T. Transfers of cash to and from AT&amp;T are reflected as a component of combined attributed net assets, after giving effect to the allocation of debt described above.</w:t>
      </w:r>
    </w:p>
    <w:p>
      <w:pPr>
        <w:spacing w:after="0" w:line="197" w:lineRule="exact"/>
        <w:rPr>
          <w:sz w:val="20"/>
          <w:szCs w:val="20"/>
          <w:color w:val="auto"/>
        </w:rPr>
      </w:pPr>
    </w:p>
    <w:p>
      <w:pPr>
        <w:ind w:right="2259" w:firstLine="524"/>
        <w:spacing w:after="0" w:line="253" w:lineRule="auto"/>
        <w:rPr>
          <w:sz w:val="20"/>
          <w:szCs w:val="20"/>
          <w:color w:val="auto"/>
        </w:rPr>
      </w:pPr>
      <w:r>
        <w:rPr>
          <w:rFonts w:ascii="Courier New" w:cs="Courier New" w:eastAsia="Courier New" w:hAnsi="Courier New"/>
          <w:sz w:val="17"/>
          <w:szCs w:val="17"/>
          <w:color w:val="auto"/>
        </w:rPr>
        <w:t>Changes in combined attributed net assets primarily represented net transfers to or from AT&amp;T, after giving effect to the net income of AT&amp;T Consumer Services Group during the period, and were assumed to be settled in cash.</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Consolidated income tax provision, related tax payments or refunds, and deferred tax balances of AT&amp;T have been allocated to AT&amp;T Consumer Services Group based principally on the taxable income and tax credits directly attributable to AT&amp;T Consumer Services Group, essentially a stand alone presentation. AT&amp;T Business Services Group and AT&amp;T Consumer Services Group will, prior to the issuance of any shares of AT&amp;T Consumer Services Group tracking stock, enter into a tax sharing agreement which, consistent with the principles described in the preceding sentence, will provide for tax sharing payments based on the taxes or tax benefits of a hypothetical affiliated group consisting of AT&amp;T Business Services Group and AT&amp;T Consumer Services Group. Based on this agreement, the consolidated tax liability before credits is allocated between the groups, based on each group's contribution to consolidated taxable income of the hypothetical group. Consolidated tax credits of the hypothetical group are allocated between groups based on each group's contribution to each tax credit.</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L-170</w:t>
      </w:r>
    </w:p>
    <w:p>
      <w:pPr>
        <w:sectPr>
          <w:pgSz w:w="11900" w:h="16838" w:orient="portrait"/>
          <w:cols w:equalWidth="0" w:num="1">
            <w:col w:w="10219"/>
          </w:cols>
          <w:pgMar w:left="240" w:top="518" w:right="1440" w:bottom="1440" w:gutter="0" w:footer="0" w:header="0"/>
        </w:sectPr>
      </w:pPr>
    </w:p>
    <w:bookmarkStart w:id="784" w:name="page785"/>
    <w:bookmarkEnd w:id="784"/>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left="220" w:right="5499" w:hanging="213"/>
        <w:spacing w:after="0" w:line="502" w:lineRule="auto"/>
        <w:tabs>
          <w:tab w:leader="none" w:pos="325" w:val="left"/>
        </w:tabs>
        <w:numPr>
          <w:ilvl w:val="0"/>
          <w:numId w:val="8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 REVENUE RECOGNITION</w:t>
      </w: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recognizes long distance and local services revenue based upon minutes of traffic processed or contracted fee schedules. AT&amp;T Consumer Services Group recognizes revenue as services are rendered or as products are delivered to and are accepted by customers and when services are provided in accordance with contract terms. Customer activation fees, along with related costs up to but not exceeding the revenue, are deferred and amortized over the customer relationship period. AT&amp;T Consumer Services Group records revenue net of an estimate for unbillable accounts. During 2000, AT&amp;T Consumer Services Group adopted Securities and Exchange Commission Staff Accounting Bulletin No. 101, "Revenue Recognition in Financial Statements." The adoption did not have a material impact on AT&amp;T Consumer Services Group's results of operations or financial condition.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ADVERTISING AND PROMOTIONAL COSTS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Consumer Services Group expenses costs of advertising and promotions, including cash incentives used to acquire customers, as incurred. Advertising and promotional expenses were $930, $1,085 and $1,361 in 2000, 1999 and 1998, respectively. Of these amounts, $288, $320, and $622 were cash incentives to acquire customers in 2000, 1999 and 1998, respectively.</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CASH EQUIVALENTS</w:t>
      </w:r>
    </w:p>
    <w:p>
      <w:pPr>
        <w:spacing w:after="0" w:line="210"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AT&amp;T Consumer Services Group considers all highly liquid investments with original maturities of generally three months or less to be cash equivalents.</w:t>
      </w:r>
    </w:p>
    <w:p>
      <w:pPr>
        <w:spacing w:after="0" w:line="19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CASH FLOWS</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For purposes of the combined statements of cash flows, transactions between AT&amp;T Consumer Services Group and AT&amp;T, other than dividends, have been accounted for as having been settled in cash at the time the transaction was recorded by AT&amp;T Consumer Services Group.</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PROPERTY, PLANT AND EQUIPMENT</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states property, plant and equipment at cost and determines depreciation based upon the assets' estimated useful lives using either the group or unit method. All of AT&amp;T Consumer Services Group's property, plant and equipment consists of communications and network equipment. The useful lives of communications and network equipment range from three to 15 years. The group method is used for the majority of the communications and network equipment. All other property, plant and equipment, is depreciated on a straight-line basis. When AT&amp;T Consumer Services Group sells or retires assets depreciated using the group method, the cost is deducted from property, plant and equipment and charged to accumulated depreciation, without recognition of a gain or loss. The unit method is primarily used for large computer systems and support assets. When AT&amp;T Consumer Services Group sells assets that were depreciated using the unit method, AT&amp;T Consumer Services Group includes the related gains or losses in other income.</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GOODWILL</w:t>
      </w:r>
    </w:p>
    <w:p>
      <w:pPr>
        <w:spacing w:after="0" w:line="210" w:lineRule="exact"/>
        <w:rPr>
          <w:sz w:val="20"/>
          <w:szCs w:val="20"/>
          <w:color w:val="auto"/>
        </w:rPr>
      </w:pPr>
    </w:p>
    <w:p>
      <w:pPr>
        <w:ind w:right="2259" w:firstLine="524"/>
        <w:spacing w:after="0" w:line="253" w:lineRule="auto"/>
        <w:rPr>
          <w:sz w:val="20"/>
          <w:szCs w:val="20"/>
          <w:color w:val="auto"/>
        </w:rPr>
      </w:pPr>
      <w:r>
        <w:rPr>
          <w:rFonts w:ascii="Courier New" w:cs="Courier New" w:eastAsia="Courier New" w:hAnsi="Courier New"/>
          <w:sz w:val="17"/>
          <w:szCs w:val="17"/>
          <w:color w:val="auto"/>
        </w:rPr>
        <w:t>Goodwill is the excess of the purchase price over the fair value of net assets acquired in business combinations accounted for as purchases. AT&amp;T Consumer Services Group amortizes goodwill on a straight-line basis over 10 years.</w:t>
      </w:r>
    </w:p>
    <w:p>
      <w:pPr>
        <w:spacing w:after="0" w:line="1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L-171</w:t>
      </w:r>
    </w:p>
    <w:p>
      <w:pPr>
        <w:sectPr>
          <w:pgSz w:w="11900" w:h="16838" w:orient="portrait"/>
          <w:cols w:equalWidth="0" w:num="1">
            <w:col w:w="10219"/>
          </w:cols>
          <w:pgMar w:left="240" w:top="518" w:right="1440" w:bottom="1440" w:gutter="0" w:footer="0" w:header="0"/>
        </w:sectPr>
      </w:pPr>
    </w:p>
    <w:bookmarkStart w:id="785" w:name="page786"/>
    <w:bookmarkEnd w:id="785"/>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SOFTWARE CAPITALIZATION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Certain direct software development costs are capitalized, including external direct costs of material and services, and payroll costs for employees devoting time to the software projects. These costs are included within other assets and are amortized over a period not to exceed five years beginning when the asset is substantially ready for use. Costs incurred during the preliminary project stage, as well as maintenance and training costs, are expensed as incurred. AT&amp;T Consumer Services Group capitalizes initial operating-system software costs and amortizes them over the life of the associated hardware. AT&amp;T Consumer Services Group also capitalizes costs of purchased application software. These capitalized costs are included in property, plant and equipment and are amortized over a useful life not to exceed five years.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 TAXES</w:t>
      </w:r>
    </w:p>
    <w:p>
      <w:pPr>
        <w:spacing w:after="0" w:line="210" w:lineRule="exact"/>
        <w:rPr>
          <w:sz w:val="20"/>
          <w:szCs w:val="20"/>
          <w:color w:val="auto"/>
        </w:rPr>
      </w:pPr>
    </w:p>
    <w:p>
      <w:pPr>
        <w:jc w:val="both"/>
        <w:ind w:right="1939" w:firstLine="524"/>
        <w:spacing w:after="0" w:line="251" w:lineRule="auto"/>
        <w:rPr>
          <w:sz w:val="20"/>
          <w:szCs w:val="20"/>
          <w:color w:val="auto"/>
        </w:rPr>
      </w:pPr>
      <w:r>
        <w:rPr>
          <w:rFonts w:ascii="Courier New" w:cs="Courier New" w:eastAsia="Courier New" w:hAnsi="Courier New"/>
          <w:sz w:val="17"/>
          <w:szCs w:val="17"/>
          <w:color w:val="auto"/>
        </w:rPr>
        <w:t>AT&amp;T Consumer Services Group is not a separate taxable entity for federal and state income tax purposes and its results of operations are included in the consolidated federal and state income tax returns of AT&amp;T and its affiliates.</w:t>
      </w:r>
    </w:p>
    <w:p>
      <w:pPr>
        <w:ind w:right="2139"/>
        <w:spacing w:after="0" w:line="254" w:lineRule="auto"/>
        <w:rPr>
          <w:sz w:val="20"/>
          <w:szCs w:val="20"/>
          <w:color w:val="auto"/>
        </w:rPr>
      </w:pPr>
      <w:r>
        <w:rPr>
          <w:rFonts w:ascii="Courier New" w:cs="Courier New" w:eastAsia="Courier New" w:hAnsi="Courier New"/>
          <w:sz w:val="17"/>
          <w:szCs w:val="17"/>
          <w:color w:val="auto"/>
        </w:rPr>
        <w:t>AT&amp;T Consumer Services Group's provision or benefit for income taxes is based upon its contribution to the overall income tax liability of AT&amp;T and its affiliates as described in Note 1.</w:t>
      </w:r>
    </w:p>
    <w:p>
      <w:pPr>
        <w:spacing w:after="0" w:line="19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VALUATION OF LONG-LIVED ASSETS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Long-lived assets such as property, plant and equipment, goodwill, investments and software are reviewed for impairment whenever events or changes in circumstances indicate that the carrying amount may not be recoverable. If the total of the expected future undiscounted cash flows is less than the carrying amount of the asset, a loss is recognized for the difference between the fair value and carrying value of the asset. In addition, in accordance with Accounting Principles Board (APB) Opinion No. 17, "Intangible Assets," AT&amp;T Consumer Services Group continues to evaluate the amortization periods to determine whether events or circumstances warrant revised amortization periods.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USE OF ESTIMATES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long-term contracts, allowance for doubtful accounts, depreciation and amortization, employee benefit plans, taxes, restructuring reserves and contingencies.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CONCENTRATIONS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As of December 31, 2000, AT&amp;T Consumer Services Group does not have any significant concentration of business transacted with a particular customer, supplier or lender that could, if suddenly eliminated, severely impact AT&amp;T Consumer Services Group's operations. AT&amp;T Consumer Services Group also does not have a concentration of available sources of labor, services, or other rights that could, if suddenly eliminated, severely impact AT&amp;T Consumer Services Group's operations. AT&amp;T Consumer Services Group currently obtains a significant portion of its transport services exclusively from AT&amp;T Business Services Group. If AT&amp;T Consumer Services Group is unable to procure such transport services it could affect its ability to meet demand for its products which would have an adverse affect on the results.</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L-172</w:t>
      </w:r>
    </w:p>
    <w:p>
      <w:pPr>
        <w:sectPr>
          <w:pgSz w:w="11900" w:h="16838" w:orient="portrait"/>
          <w:cols w:equalWidth="0" w:num="1">
            <w:col w:w="10219"/>
          </w:cols>
          <w:pgMar w:left="240" w:top="518" w:right="1440" w:bottom="1440" w:gutter="0" w:footer="0" w:header="0"/>
        </w:sectPr>
      </w:pPr>
    </w:p>
    <w:bookmarkStart w:id="786" w:name="page787"/>
    <w:bookmarkEnd w:id="786"/>
    <w:p>
      <w:pPr>
        <w:jc w:val="center"/>
        <w:ind w:right="181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5819" w:firstLine="7"/>
        <w:spacing w:after="0" w:line="502" w:lineRule="auto"/>
        <w:tabs>
          <w:tab w:leader="none" w:pos="314" w:val="left"/>
        </w:tabs>
        <w:numPr>
          <w:ilvl w:val="0"/>
          <w:numId w:val="8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SUPPLEMENTARY FINANCIAL INFORMATION SUPPLEMENTARY INCOME STATEMENT INFORMATION</w:t>
      </w: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ind w:left="220" w:right="5179" w:hanging="109"/>
        <w:spacing w:after="0" w:line="251" w:lineRule="auto"/>
        <w:tabs>
          <w:tab w:leader="none" w:pos="744" w:val="left"/>
        </w:tabs>
        <w:numPr>
          <w:ilvl w:val="0"/>
          <w:numId w:val="8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2000 1999 1998 ---- ---- ---- INCLUDED IN DEPRECIATION AND AMORTIZATION Amortization of</w:t>
      </w:r>
    </w:p>
    <w:tbl>
      <w:tblPr>
        <w:tblLayout w:type="fixed"/>
        <w:tblInd w:w="60" w:type="dxa"/>
        <w:tblCellMar>
          <w:top w:w="0" w:type="dxa"/>
          <w:left w:w="0" w:type="dxa"/>
          <w:bottom w:w="0" w:type="dxa"/>
          <w:right w:w="0" w:type="dxa"/>
        </w:tblCellMar>
      </w:tblPr>
      <w:tr>
        <w:trPr>
          <w:trHeight w:val="197"/>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purchased intangibles.....................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w:t>
            </w:r>
          </w:p>
        </w:tc>
        <w:tc>
          <w:tcPr>
            <w:tcW w:w="2880" w:type="dxa"/>
            <w:vAlign w:val="bottom"/>
          </w:tcPr>
          <w:p>
            <w:pPr>
              <w:spacing w:after="0"/>
              <w:rPr>
                <w:sz w:val="20"/>
                <w:szCs w:val="20"/>
                <w:color w:val="auto"/>
              </w:rPr>
            </w:pPr>
            <w:r>
              <w:rPr>
                <w:rFonts w:ascii="Courier New" w:cs="Courier New" w:eastAsia="Courier New" w:hAnsi="Courier New"/>
                <w:sz w:val="17"/>
                <w:szCs w:val="17"/>
                <w:color w:val="auto"/>
              </w:rPr>
              <w:t>$ -- Amortization of</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goodwill..................................</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9 7</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4" w:lineRule="exact"/>
        <w:rPr>
          <w:sz w:val="20"/>
          <w:szCs w:val="20"/>
          <w:color w:val="auto"/>
        </w:rPr>
      </w:pPr>
    </w:p>
    <w:p>
      <w:pPr>
        <w:ind w:left="60" w:right="5139" w:firstLine="731"/>
        <w:spacing w:after="0" w:line="251" w:lineRule="auto"/>
        <w:tabs>
          <w:tab w:leader="none" w:pos="1002" w:val="left"/>
        </w:tabs>
        <w:numPr>
          <w:ilvl w:val="0"/>
          <w:numId w:val="8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INCLUDED IN SELLING, GENERAL AND ADMINISTRATIVE EXPENSES Research and development</w:t>
      </w:r>
    </w:p>
    <w:tbl>
      <w:tblPr>
        <w:tblLayout w:type="fixed"/>
        <w:tblInd w:w="120" w:type="dxa"/>
        <w:tblCellMar>
          <w:top w:w="0" w:type="dxa"/>
          <w:left w:w="0" w:type="dxa"/>
          <w:bottom w:w="0" w:type="dxa"/>
          <w:right w:w="0" w:type="dxa"/>
        </w:tblCellMar>
      </w:tblPr>
      <w:tr>
        <w:trPr>
          <w:trHeight w:val="197"/>
        </w:trPr>
        <w:tc>
          <w:tcPr>
            <w:tcW w:w="350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$59</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$101</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$174</w:t>
            </w:r>
          </w:p>
        </w:tc>
      </w:tr>
    </w:tbl>
    <w:p>
      <w:pPr>
        <w:spacing w:after="0" w:line="4"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OTHER INCOME, NET Interest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14 45 84 Gains on sales of businesses and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3400" w:type="dxa"/>
            <w:vAlign w:val="bottom"/>
          </w:tcPr>
          <w:p>
            <w:pPr>
              <w:ind w:left="680"/>
              <w:spacing w:after="0"/>
              <w:rPr>
                <w:sz w:val="20"/>
                <w:szCs w:val="20"/>
                <w:color w:val="auto"/>
              </w:rPr>
            </w:pPr>
            <w:r>
              <w:rPr>
                <w:rFonts w:ascii="Courier New" w:cs="Courier New" w:eastAsia="Courier New" w:hAnsi="Courier New"/>
                <w:sz w:val="17"/>
                <w:szCs w:val="17"/>
                <w:color w:val="auto"/>
              </w:rPr>
              <w:t>investments..............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w w:val="97"/>
              </w:rPr>
              <w:t>56</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162 --</w:t>
            </w:r>
          </w:p>
        </w:tc>
        <w:tc>
          <w:tcPr>
            <w:tcW w:w="520" w:type="dxa"/>
            <w:vAlign w:val="bottom"/>
          </w:tcPr>
          <w:p>
            <w:pPr>
              <w:spacing w:after="0"/>
              <w:rPr>
                <w:sz w:val="17"/>
                <w:szCs w:val="17"/>
                <w:color w:val="auto"/>
              </w:rPr>
            </w:pPr>
          </w:p>
        </w:tc>
      </w:tr>
      <w:tr>
        <w:trPr>
          <w:trHeight w:val="201"/>
        </w:trPr>
        <w:tc>
          <w:tcPr>
            <w:tcW w:w="3400" w:type="dxa"/>
            <w:vAlign w:val="bottom"/>
          </w:tcPr>
          <w:p>
            <w:pPr>
              <w:jc w:val="center"/>
              <w:ind w:left="1533"/>
              <w:spacing w:after="0"/>
              <w:rPr>
                <w:sz w:val="20"/>
                <w:szCs w:val="20"/>
                <w:color w:val="auto"/>
              </w:rPr>
            </w:pPr>
            <w:r>
              <w:rPr>
                <w:rFonts w:ascii="Courier New" w:cs="Courier New" w:eastAsia="Courier New" w:hAnsi="Courier New"/>
                <w:sz w:val="17"/>
                <w:szCs w:val="17"/>
                <w:color w:val="auto"/>
              </w:rPr>
              <w:t>Miscellaneous,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36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2"/>
              </w:rPr>
              <w:t>net........................................</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11 1</w:t>
            </w:r>
          </w:p>
        </w:tc>
      </w:tr>
      <w:tr>
        <w:trPr>
          <w:trHeight w:val="201"/>
        </w:trPr>
        <w:tc>
          <w:tcPr>
            <w:tcW w:w="3660" w:type="dxa"/>
            <w:vAlign w:val="bottom"/>
            <w:gridSpan w:val="2"/>
          </w:tcPr>
          <w:p>
            <w:pPr>
              <w:jc w:val="center"/>
              <w:ind w:left="1293"/>
              <w:spacing w:after="0"/>
              <w:rPr>
                <w:sz w:val="20"/>
                <w:szCs w:val="20"/>
                <w:color w:val="auto"/>
              </w:rPr>
            </w:pPr>
            <w:r>
              <w:rPr>
                <w:rFonts w:ascii="Courier New" w:cs="Courier New" w:eastAsia="Courier New" w:hAnsi="Courier New"/>
                <w:sz w:val="17"/>
                <w:szCs w:val="17"/>
                <w:color w:val="auto"/>
              </w:rPr>
              <w:t>2 Total other income,</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36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3"/>
              </w:rPr>
              <w:t>net...................................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$81</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$208</w:t>
            </w:r>
          </w:p>
        </w:tc>
      </w:tr>
      <w:tr>
        <w:trPr>
          <w:trHeight w:val="201"/>
        </w:trPr>
        <w:tc>
          <w:tcPr>
            <w:tcW w:w="3400" w:type="dxa"/>
            <w:vAlign w:val="bottom"/>
          </w:tcPr>
          <w:p>
            <w:pPr>
              <w:jc w:val="center"/>
              <w:ind w:left="1533"/>
              <w:spacing w:after="0"/>
              <w:rPr>
                <w:sz w:val="20"/>
                <w:szCs w:val="20"/>
                <w:color w:val="auto"/>
              </w:rPr>
            </w:pPr>
            <w:r>
              <w:rPr>
                <w:rFonts w:ascii="Courier New" w:cs="Courier New" w:eastAsia="Courier New" w:hAnsi="Courier New"/>
                <w:sz w:val="17"/>
                <w:szCs w:val="17"/>
                <w:color w:val="auto"/>
              </w:rPr>
              <w:t>$ 86</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SUPPLEMENTARY BALANCE SHEET INFORMATION</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AT DECEMBER 31, ---------------- 2000 1999 ----- -----</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OTHER ASSETS: Software development costs,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 w:type="dxa"/>
            <w:vAlign w:val="bottom"/>
          </w:tcPr>
          <w:p>
            <w:pPr>
              <w:ind w:left="420"/>
              <w:spacing w:after="0"/>
              <w:rPr>
                <w:sz w:val="20"/>
                <w:szCs w:val="20"/>
                <w:color w:val="auto"/>
              </w:rPr>
            </w:pPr>
            <w:r>
              <w:rPr>
                <w:rFonts w:ascii="Courier New" w:cs="Courier New" w:eastAsia="Courier New" w:hAnsi="Courier New"/>
                <w:sz w:val="17"/>
                <w:szCs w:val="17"/>
                <w:color w:val="auto"/>
                <w:w w:val="97"/>
              </w:rPr>
              <w:t>net</w:t>
            </w:r>
          </w:p>
        </w:tc>
        <w:tc>
          <w:tcPr>
            <w:tcW w:w="3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$155</w:t>
            </w:r>
          </w:p>
        </w:tc>
        <w:tc>
          <w:tcPr>
            <w:tcW w:w="1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$192 Goodwill,</w:t>
            </w:r>
          </w:p>
        </w:tc>
      </w:tr>
      <w:tr>
        <w:trPr>
          <w:trHeight w:val="201"/>
        </w:trPr>
        <w:tc>
          <w:tcPr>
            <w:tcW w:w="38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net.............................................</w:t>
            </w:r>
          </w:p>
        </w:tc>
        <w:tc>
          <w:tcPr>
            <w:tcW w:w="2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81 90</w:t>
            </w:r>
          </w:p>
        </w:tc>
      </w:tr>
      <w:tr>
        <w:trPr>
          <w:trHeight w:val="201"/>
        </w:trPr>
        <w:tc>
          <w:tcPr>
            <w:tcW w:w="3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Other.....................................................</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1"/>
        </w:trPr>
        <w:tc>
          <w:tcPr>
            <w:tcW w:w="740" w:type="dxa"/>
            <w:vAlign w:val="bottom"/>
          </w:tcPr>
          <w:p>
            <w:pPr>
              <w:spacing w:after="0"/>
              <w:rPr>
                <w:sz w:val="17"/>
                <w:szCs w:val="17"/>
                <w:color w:val="auto"/>
              </w:rPr>
            </w:pPr>
          </w:p>
        </w:tc>
        <w:tc>
          <w:tcPr>
            <w:tcW w:w="3140" w:type="dxa"/>
            <w:vAlign w:val="bottom"/>
          </w:tcPr>
          <w:p>
            <w:pPr>
              <w:jc w:val="right"/>
              <w:spacing w:after="0"/>
              <w:rPr>
                <w:sz w:val="20"/>
                <w:szCs w:val="20"/>
                <w:color w:val="auto"/>
              </w:rPr>
            </w:pPr>
            <w:r>
              <w:rPr>
                <w:rFonts w:ascii="Courier New" w:cs="Courier New" w:eastAsia="Courier New" w:hAnsi="Courier New"/>
                <w:sz w:val="17"/>
                <w:szCs w:val="17"/>
                <w:color w:val="auto"/>
              </w:rPr>
              <w:t>74 84 ---- ---- $310</w:t>
            </w:r>
          </w:p>
        </w:tc>
        <w:tc>
          <w:tcPr>
            <w:tcW w:w="2000" w:type="dxa"/>
            <w:vAlign w:val="bottom"/>
            <w:gridSpan w:val="2"/>
          </w:tcPr>
          <w:p>
            <w:pPr>
              <w:jc w:val="right"/>
              <w:ind w:right="1433"/>
              <w:spacing w:after="0"/>
              <w:rPr>
                <w:sz w:val="20"/>
                <w:szCs w:val="20"/>
                <w:color w:val="auto"/>
              </w:rPr>
            </w:pPr>
            <w:r>
              <w:rPr>
                <w:rFonts w:ascii="Courier New" w:cs="Courier New" w:eastAsia="Courier New" w:hAnsi="Courier New"/>
                <w:sz w:val="17"/>
                <w:szCs w:val="17"/>
                <w:color w:val="auto"/>
              </w:rPr>
              <w:t>$366</w:t>
            </w:r>
          </w:p>
        </w:tc>
      </w:tr>
    </w:tbl>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AT DECEMBER 31, ---------------- 2000 1999 ----- -----</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OTHER CURRENT LIABILITIES: Marketing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jc w:val="right"/>
              <w:spacing w:after="0"/>
              <w:rPr>
                <w:sz w:val="20"/>
                <w:szCs w:val="20"/>
                <w:color w:val="auto"/>
              </w:rPr>
            </w:pPr>
            <w:r>
              <w:rPr>
                <w:rFonts w:ascii="Courier New" w:cs="Courier New" w:eastAsia="Courier New" w:hAnsi="Courier New"/>
                <w:sz w:val="17"/>
                <w:szCs w:val="17"/>
                <w:color w:val="auto"/>
                <w:w w:val="82"/>
              </w:rPr>
              <w:t>Incentives......................................</w:t>
            </w:r>
          </w:p>
        </w:tc>
        <w:tc>
          <w:tcPr>
            <w:tcW w:w="1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$255</w:t>
            </w:r>
          </w:p>
        </w:tc>
      </w:tr>
      <w:tr>
        <w:trPr>
          <w:trHeight w:val="201"/>
        </w:trPr>
        <w:tc>
          <w:tcPr>
            <w:tcW w:w="4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$322 Deferred</w:t>
            </w:r>
          </w:p>
        </w:tc>
        <w:tc>
          <w:tcPr>
            <w:tcW w:w="1940" w:type="dxa"/>
            <w:vAlign w:val="bottom"/>
          </w:tcPr>
          <w:p>
            <w:pPr>
              <w:spacing w:after="0"/>
              <w:rPr>
                <w:sz w:val="17"/>
                <w:szCs w:val="17"/>
                <w:color w:val="auto"/>
              </w:rPr>
            </w:pPr>
          </w:p>
        </w:tc>
      </w:tr>
      <w:tr>
        <w:trPr>
          <w:trHeight w:val="201"/>
        </w:trPr>
        <w:tc>
          <w:tcPr>
            <w:tcW w:w="4040" w:type="dxa"/>
            <w:vAlign w:val="bottom"/>
          </w:tcPr>
          <w:p>
            <w:pPr>
              <w:jc w:val="right"/>
              <w:spacing w:after="0"/>
              <w:rPr>
                <w:sz w:val="20"/>
                <w:szCs w:val="20"/>
                <w:color w:val="auto"/>
              </w:rPr>
            </w:pPr>
            <w:r>
              <w:rPr>
                <w:rFonts w:ascii="Courier New" w:cs="Courier New" w:eastAsia="Courier New" w:hAnsi="Courier New"/>
                <w:sz w:val="17"/>
                <w:szCs w:val="17"/>
                <w:color w:val="auto"/>
                <w:w w:val="80"/>
              </w:rPr>
              <w:t>Revenue..........................................</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98 124</w:t>
            </w:r>
          </w:p>
        </w:tc>
      </w:tr>
      <w:tr>
        <w:trPr>
          <w:trHeight w:val="201"/>
        </w:trPr>
        <w:tc>
          <w:tcPr>
            <w:tcW w:w="5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Other.....................................................</w:t>
            </w:r>
          </w:p>
        </w:tc>
      </w:tr>
      <w:tr>
        <w:trPr>
          <w:trHeight w:val="201"/>
        </w:trPr>
        <w:tc>
          <w:tcPr>
            <w:tcW w:w="4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122 154 ---- ---- $475</w:t>
            </w:r>
          </w:p>
        </w:tc>
        <w:tc>
          <w:tcPr>
            <w:tcW w:w="1940" w:type="dxa"/>
            <w:vAlign w:val="bottom"/>
          </w:tcPr>
          <w:p>
            <w:pPr>
              <w:jc w:val="right"/>
              <w:ind w:right="1433"/>
              <w:spacing w:after="0"/>
              <w:rPr>
                <w:sz w:val="20"/>
                <w:szCs w:val="20"/>
                <w:color w:val="auto"/>
              </w:rPr>
            </w:pPr>
            <w:r>
              <w:rPr>
                <w:rFonts w:ascii="Courier New" w:cs="Courier New" w:eastAsia="Courier New" w:hAnsi="Courier New"/>
                <w:sz w:val="17"/>
                <w:szCs w:val="17"/>
                <w:color w:val="auto"/>
                <w:w w:val="97"/>
              </w:rPr>
              <w:t>$600</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SUPPLEMENTARY CASH FLOW INFORMATION</w:t>
      </w: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------------ 2000 1999 1998</w:t>
            </w:r>
          </w:p>
        </w:tc>
        <w:tc>
          <w:tcPr>
            <w:tcW w:w="2060" w:type="dxa"/>
            <w:vAlign w:val="bottom"/>
          </w:tcPr>
          <w:p>
            <w:pPr>
              <w:jc w:val="right"/>
              <w:spacing w:after="0"/>
              <w:rPr>
                <w:sz w:val="20"/>
                <w:szCs w:val="20"/>
                <w:color w:val="auto"/>
              </w:rPr>
            </w:pPr>
            <w:r>
              <w:rPr>
                <w:rFonts w:ascii="Courier New" w:cs="Courier New" w:eastAsia="Courier New" w:hAnsi="Courier New"/>
                <w:sz w:val="17"/>
                <w:szCs w:val="17"/>
                <w:color w:val="auto"/>
              </w:rPr>
              <w:t>------ ------ -----</w:t>
            </w:r>
          </w:p>
        </w:tc>
      </w:tr>
      <w:tr>
        <w:trPr>
          <w:trHeight w:val="201"/>
        </w:trPr>
        <w:tc>
          <w:tcPr>
            <w:tcW w:w="1780" w:type="dxa"/>
            <w:vAlign w:val="bottom"/>
          </w:tcPr>
          <w:p>
            <w:pPr>
              <w:spacing w:after="0"/>
              <w:rPr>
                <w:sz w:val="17"/>
                <w:szCs w:val="17"/>
                <w:color w:val="auto"/>
              </w:rPr>
            </w:pPr>
          </w:p>
        </w:tc>
        <w:tc>
          <w:tcPr>
            <w:tcW w:w="3200" w:type="dxa"/>
            <w:vAlign w:val="bottom"/>
            <w:gridSpan w:val="3"/>
          </w:tcPr>
          <w:p>
            <w:pPr>
              <w:jc w:val="center"/>
              <w:ind w:right="1633"/>
              <w:spacing w:after="0"/>
              <w:rPr>
                <w:sz w:val="20"/>
                <w:szCs w:val="20"/>
                <w:color w:val="auto"/>
              </w:rPr>
            </w:pPr>
            <w:r>
              <w:rPr>
                <w:rFonts w:ascii="Courier New" w:cs="Courier New" w:eastAsia="Courier New" w:hAnsi="Courier New"/>
                <w:sz w:val="17"/>
                <w:szCs w:val="17"/>
                <w:color w:val="auto"/>
              </w:rPr>
              <w:t>- Interest</w:t>
            </w:r>
          </w:p>
        </w:tc>
      </w:tr>
      <w:tr>
        <w:trPr>
          <w:trHeight w:val="201"/>
        </w:trPr>
        <w:tc>
          <w:tcPr>
            <w:tcW w:w="22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payments........................................</w:t>
            </w:r>
          </w:p>
        </w:tc>
        <w:tc>
          <w:tcPr>
            <w:tcW w:w="7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1"/>
        </w:trPr>
        <w:tc>
          <w:tcPr>
            <w:tcW w:w="1780" w:type="dxa"/>
            <w:vAlign w:val="bottom"/>
          </w:tcPr>
          <w:p>
            <w:pPr>
              <w:jc w:val="right"/>
              <w:ind w:right="27"/>
              <w:spacing w:after="0"/>
              <w:rPr>
                <w:sz w:val="20"/>
                <w:szCs w:val="20"/>
                <w:color w:val="auto"/>
              </w:rPr>
            </w:pPr>
            <w:r>
              <w:rPr>
                <w:rFonts w:ascii="Courier New" w:cs="Courier New" w:eastAsia="Courier New" w:hAnsi="Courier New"/>
                <w:sz w:val="17"/>
                <w:szCs w:val="17"/>
                <w:color w:val="auto"/>
              </w:rPr>
              <w:t>$ 164</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w w:val="97"/>
              </w:rPr>
              <w:t>$ 41</w:t>
            </w:r>
          </w:p>
        </w:tc>
        <w:tc>
          <w:tcPr>
            <w:tcW w:w="2780" w:type="dxa"/>
            <w:vAlign w:val="bottom"/>
            <w:gridSpan w:val="2"/>
          </w:tcPr>
          <w:p>
            <w:pPr>
              <w:jc w:val="right"/>
              <w:ind w:right="1013"/>
              <w:spacing w:after="0"/>
              <w:rPr>
                <w:sz w:val="20"/>
                <w:szCs w:val="20"/>
                <w:color w:val="auto"/>
              </w:rPr>
            </w:pPr>
            <w:r>
              <w:rPr>
                <w:rFonts w:ascii="Courier New" w:cs="Courier New" w:eastAsia="Courier New" w:hAnsi="Courier New"/>
                <w:sz w:val="17"/>
                <w:szCs w:val="17"/>
                <w:color w:val="auto"/>
              </w:rPr>
              <w:t>$ 27 Income tax</w:t>
            </w:r>
          </w:p>
        </w:tc>
      </w:tr>
      <w:tr>
        <w:trPr>
          <w:trHeight w:val="201"/>
        </w:trPr>
        <w:tc>
          <w:tcPr>
            <w:tcW w:w="22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payments......................................</w:t>
            </w:r>
          </w:p>
        </w:tc>
        <w:tc>
          <w:tcPr>
            <w:tcW w:w="7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1"/>
        </w:trPr>
        <w:tc>
          <w:tcPr>
            <w:tcW w:w="2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$2,546</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$2,869</w:t>
            </w:r>
          </w:p>
        </w:tc>
        <w:tc>
          <w:tcPr>
            <w:tcW w:w="2060" w:type="dxa"/>
            <w:vAlign w:val="bottom"/>
          </w:tcPr>
          <w:p>
            <w:pPr>
              <w:jc w:val="right"/>
              <w:ind w:right="1333"/>
              <w:spacing w:after="0"/>
              <w:rPr>
                <w:sz w:val="20"/>
                <w:szCs w:val="20"/>
                <w:color w:val="auto"/>
              </w:rPr>
            </w:pPr>
            <w:r>
              <w:rPr>
                <w:rFonts w:ascii="Courier New" w:cs="Courier New" w:eastAsia="Courier New" w:hAnsi="Courier New"/>
                <w:sz w:val="17"/>
                <w:szCs w:val="17"/>
                <w:color w:val="auto"/>
              </w:rPr>
              <w:t>$2,356</w:t>
            </w:r>
          </w:p>
        </w:tc>
      </w:tr>
      <w:tr>
        <w:trPr>
          <w:trHeight w:val="604"/>
        </w:trPr>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L-173</w:t>
            </w:r>
          </w:p>
        </w:tc>
      </w:tr>
    </w:tbl>
    <w:p>
      <w:pPr>
        <w:sectPr>
          <w:pgSz w:w="11900" w:h="16838" w:orient="portrait"/>
          <w:cols w:equalWidth="0" w:num="1">
            <w:col w:w="10219"/>
          </w:cols>
          <w:pgMar w:left="240" w:top="518" w:right="1440" w:bottom="1440" w:gutter="0" w:footer="0" w:header="0"/>
        </w:sectPr>
      </w:pPr>
    </w:p>
    <w:bookmarkStart w:id="787" w:name="page788"/>
    <w:bookmarkEnd w:id="787"/>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ACQUISITIONS AND DISPOSITIONS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In 1999, AT&amp;T Consumer Services Group purchased certain assets of SmarTalk Teleservices, Inc., a leading seller of prepaid calling cards. The difference between the purchase price and the fair value of net assets acquired has been recorded as Goodwill in the accompanying financial statements. AT&amp;T Consumer Services Group amortizes this asset over 10 years, and recorded amortization expense in the amount of $9 and $7 for the years ended December 31, 2000, and 1999, respectively.</w:t>
      </w:r>
    </w:p>
    <w:p>
      <w:pPr>
        <w:spacing w:after="0" w:line="196"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Also in 1999, AT&amp;T Consumer Services Group sold its Language Line Services business for a gain of $153, which is reflected in the combined statements of income.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NET RESTRUCTURING AND OTHER CHARGES</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During 2000, AT&amp;T Consumer Services Group recorded $97 of net restructuring and other charges, which included $18 of asset impairment charges and $79 for restructuring and exit costs.</w:t>
      </w:r>
    </w:p>
    <w:p>
      <w:pPr>
        <w:spacing w:after="0" w:line="194"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The charge for restructuring and exit plans was primarily due to headcount reductions, including the consolidation of customer care and call centers.</w:t>
      </w:r>
    </w:p>
    <w:p>
      <w:pPr>
        <w:spacing w:after="0" w:line="192"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Included in exit costs was $79 of cash termination benefits associated with the involuntary separation of about 1,300 employees. Approximately 65% of the individuals were management employees and 35% were non-management employees.</w:t>
      </w:r>
    </w:p>
    <w:p>
      <w:pPr>
        <w:spacing w:after="0" w:line="194"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The following table displays the activity of the restructuring reserve account: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EMPLOYEE SEPARATIONS</w:t>
            </w:r>
          </w:p>
        </w:tc>
        <w:tc>
          <w:tcPr>
            <w:tcW w:w="3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Balance at January 1,</w:t>
            </w:r>
          </w:p>
        </w:tc>
      </w:tr>
      <w:tr>
        <w:trPr>
          <w:trHeight w:val="201"/>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70"/>
              </w:rPr>
              <w:t>1998..................................</w:t>
            </w:r>
          </w:p>
        </w:tc>
        <w:tc>
          <w:tcPr>
            <w:tcW w:w="2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53</w:t>
            </w:r>
          </w:p>
        </w:tc>
      </w:tr>
      <w:tr>
        <w:trPr>
          <w:trHeight w:val="201"/>
        </w:trPr>
        <w:tc>
          <w:tcPr>
            <w:tcW w:w="4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3"/>
              </w:rPr>
              <w:t>Deductions................................................</w:t>
            </w:r>
          </w:p>
        </w:tc>
        <w:tc>
          <w:tcPr>
            <w:tcW w:w="880" w:type="dxa"/>
            <w:vAlign w:val="bottom"/>
          </w:tcPr>
          <w:p>
            <w:pPr>
              <w:spacing w:after="0"/>
              <w:rPr>
                <w:sz w:val="17"/>
                <w:szCs w:val="17"/>
                <w:color w:val="auto"/>
              </w:rPr>
            </w:pPr>
          </w:p>
        </w:tc>
      </w:tr>
      <w:tr>
        <w:trPr>
          <w:trHeight w:val="201"/>
        </w:trPr>
        <w:tc>
          <w:tcPr>
            <w:tcW w:w="4980" w:type="dxa"/>
            <w:vAlign w:val="bottom"/>
            <w:gridSpan w:val="2"/>
          </w:tcPr>
          <w:p>
            <w:pPr>
              <w:jc w:val="center"/>
              <w:ind w:left="1016"/>
              <w:spacing w:after="0"/>
              <w:rPr>
                <w:sz w:val="20"/>
                <w:szCs w:val="20"/>
                <w:color w:val="auto"/>
              </w:rPr>
            </w:pPr>
            <w:r>
              <w:rPr>
                <w:rFonts w:ascii="Courier New" w:cs="Courier New" w:eastAsia="Courier New" w:hAnsi="Courier New"/>
                <w:sz w:val="17"/>
                <w:szCs w:val="17"/>
                <w:color w:val="auto"/>
              </w:rPr>
              <w:t>(48) Balance at December 31,</w:t>
            </w:r>
          </w:p>
        </w:tc>
        <w:tc>
          <w:tcPr>
            <w:tcW w:w="880" w:type="dxa"/>
            <w:vAlign w:val="bottom"/>
          </w:tcPr>
          <w:p>
            <w:pPr>
              <w:spacing w:after="0"/>
              <w:rPr>
                <w:sz w:val="17"/>
                <w:szCs w:val="17"/>
                <w:color w:val="auto"/>
              </w:rPr>
            </w:pPr>
          </w:p>
        </w:tc>
      </w:tr>
      <w:tr>
        <w:trPr>
          <w:trHeight w:val="201"/>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74"/>
              </w:rPr>
              <w:t>1998................................</w:t>
            </w:r>
          </w:p>
        </w:tc>
        <w:tc>
          <w:tcPr>
            <w:tcW w:w="2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center"/>
              <w:ind w:right="573"/>
              <w:spacing w:after="0"/>
              <w:rPr>
                <w:sz w:val="20"/>
                <w:szCs w:val="20"/>
                <w:color w:val="auto"/>
              </w:rPr>
            </w:pPr>
            <w:r>
              <w:rPr>
                <w:rFonts w:ascii="Courier New" w:cs="Courier New" w:eastAsia="Courier New" w:hAnsi="Courier New"/>
                <w:sz w:val="17"/>
                <w:szCs w:val="17"/>
                <w:color w:val="auto"/>
                <w:w w:val="97"/>
              </w:rPr>
              <w:t>5</w:t>
            </w:r>
          </w:p>
        </w:tc>
      </w:tr>
      <w:tr>
        <w:trPr>
          <w:trHeight w:val="201"/>
        </w:trPr>
        <w:tc>
          <w:tcPr>
            <w:tcW w:w="4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3"/>
              </w:rPr>
              <w:t>Additions.................................................</w:t>
            </w:r>
          </w:p>
        </w:tc>
        <w:tc>
          <w:tcPr>
            <w:tcW w:w="880" w:type="dxa"/>
            <w:vAlign w:val="bottom"/>
          </w:tcPr>
          <w:p>
            <w:pPr>
              <w:spacing w:after="0"/>
              <w:rPr>
                <w:sz w:val="17"/>
                <w:szCs w:val="17"/>
                <w:color w:val="auto"/>
              </w:rPr>
            </w:pPr>
          </w:p>
        </w:tc>
      </w:tr>
      <w:tr>
        <w:trPr>
          <w:trHeight w:val="201"/>
        </w:trPr>
        <w:tc>
          <w:tcPr>
            <w:tcW w:w="2420" w:type="dxa"/>
            <w:vAlign w:val="bottom"/>
          </w:tcPr>
          <w:p>
            <w:pPr>
              <w:spacing w:after="0"/>
              <w:rPr>
                <w:sz w:val="17"/>
                <w:szCs w:val="17"/>
                <w:color w:val="auto"/>
              </w:rPr>
            </w:pPr>
          </w:p>
        </w:tc>
        <w:tc>
          <w:tcPr>
            <w:tcW w:w="2560" w:type="dxa"/>
            <w:vAlign w:val="bottom"/>
          </w:tcPr>
          <w:p>
            <w:pPr>
              <w:jc w:val="right"/>
              <w:ind w:right="1793"/>
              <w:spacing w:after="0"/>
              <w:rPr>
                <w:sz w:val="20"/>
                <w:szCs w:val="20"/>
                <w:color w:val="auto"/>
              </w:rPr>
            </w:pPr>
            <w:r>
              <w:rPr>
                <w:rFonts w:ascii="Courier New" w:cs="Courier New" w:eastAsia="Courier New" w:hAnsi="Courier New"/>
                <w:sz w:val="17"/>
                <w:szCs w:val="17"/>
                <w:color w:val="auto"/>
              </w:rPr>
              <w:t>7</w:t>
            </w:r>
          </w:p>
        </w:tc>
        <w:tc>
          <w:tcPr>
            <w:tcW w:w="880" w:type="dxa"/>
            <w:vAlign w:val="bottom"/>
          </w:tcPr>
          <w:p>
            <w:pPr>
              <w:spacing w:after="0"/>
              <w:rPr>
                <w:sz w:val="17"/>
                <w:szCs w:val="17"/>
                <w:color w:val="auto"/>
              </w:rPr>
            </w:pPr>
          </w:p>
        </w:tc>
      </w:tr>
      <w:tr>
        <w:trPr>
          <w:trHeight w:val="201"/>
        </w:trPr>
        <w:tc>
          <w:tcPr>
            <w:tcW w:w="4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3"/>
              </w:rPr>
              <w:t>Deductions................................................</w:t>
            </w:r>
          </w:p>
        </w:tc>
        <w:tc>
          <w:tcPr>
            <w:tcW w:w="880" w:type="dxa"/>
            <w:vAlign w:val="bottom"/>
          </w:tcPr>
          <w:p>
            <w:pPr>
              <w:spacing w:after="0"/>
              <w:rPr>
                <w:sz w:val="17"/>
                <w:szCs w:val="17"/>
                <w:color w:val="auto"/>
              </w:rPr>
            </w:pPr>
          </w:p>
        </w:tc>
      </w:tr>
      <w:tr>
        <w:trPr>
          <w:trHeight w:val="201"/>
        </w:trPr>
        <w:tc>
          <w:tcPr>
            <w:tcW w:w="4980" w:type="dxa"/>
            <w:vAlign w:val="bottom"/>
            <w:gridSpan w:val="2"/>
          </w:tcPr>
          <w:p>
            <w:pPr>
              <w:jc w:val="center"/>
              <w:ind w:left="1016"/>
              <w:spacing w:after="0"/>
              <w:rPr>
                <w:sz w:val="20"/>
                <w:szCs w:val="20"/>
                <w:color w:val="auto"/>
              </w:rPr>
            </w:pPr>
            <w:r>
              <w:rPr>
                <w:rFonts w:ascii="Courier New" w:cs="Courier New" w:eastAsia="Courier New" w:hAnsi="Courier New"/>
                <w:sz w:val="17"/>
                <w:szCs w:val="17"/>
                <w:color w:val="auto"/>
              </w:rPr>
              <w:t>(6) Balance at December 31,</w:t>
            </w:r>
          </w:p>
        </w:tc>
        <w:tc>
          <w:tcPr>
            <w:tcW w:w="880" w:type="dxa"/>
            <w:vAlign w:val="bottom"/>
          </w:tcPr>
          <w:p>
            <w:pPr>
              <w:spacing w:after="0"/>
              <w:rPr>
                <w:sz w:val="17"/>
                <w:szCs w:val="17"/>
                <w:color w:val="auto"/>
              </w:rPr>
            </w:pPr>
          </w:p>
        </w:tc>
      </w:tr>
      <w:tr>
        <w:trPr>
          <w:trHeight w:val="201"/>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74"/>
              </w:rPr>
              <w:t>1999................................</w:t>
            </w:r>
          </w:p>
        </w:tc>
        <w:tc>
          <w:tcPr>
            <w:tcW w:w="2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center"/>
              <w:ind w:right="573"/>
              <w:spacing w:after="0"/>
              <w:rPr>
                <w:sz w:val="20"/>
                <w:szCs w:val="20"/>
                <w:color w:val="auto"/>
              </w:rPr>
            </w:pPr>
            <w:r>
              <w:rPr>
                <w:rFonts w:ascii="Courier New" w:cs="Courier New" w:eastAsia="Courier New" w:hAnsi="Courier New"/>
                <w:sz w:val="17"/>
                <w:szCs w:val="17"/>
                <w:color w:val="auto"/>
                <w:w w:val="97"/>
              </w:rPr>
              <w:t>6</w:t>
            </w:r>
          </w:p>
        </w:tc>
      </w:tr>
      <w:tr>
        <w:trPr>
          <w:trHeight w:val="201"/>
        </w:trPr>
        <w:tc>
          <w:tcPr>
            <w:tcW w:w="4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3"/>
              </w:rPr>
              <w:t>Additions.................................................</w:t>
            </w:r>
          </w:p>
        </w:tc>
        <w:tc>
          <w:tcPr>
            <w:tcW w:w="880" w:type="dxa"/>
            <w:vAlign w:val="bottom"/>
          </w:tcPr>
          <w:p>
            <w:pPr>
              <w:spacing w:after="0"/>
              <w:rPr>
                <w:sz w:val="17"/>
                <w:szCs w:val="17"/>
                <w:color w:val="auto"/>
              </w:rPr>
            </w:pPr>
          </w:p>
        </w:tc>
      </w:tr>
      <w:tr>
        <w:trPr>
          <w:trHeight w:val="201"/>
        </w:trPr>
        <w:tc>
          <w:tcPr>
            <w:tcW w:w="2420" w:type="dxa"/>
            <w:vAlign w:val="bottom"/>
          </w:tcPr>
          <w:p>
            <w:pPr>
              <w:spacing w:after="0"/>
              <w:rPr>
                <w:sz w:val="17"/>
                <w:szCs w:val="17"/>
                <w:color w:val="auto"/>
              </w:rPr>
            </w:pPr>
          </w:p>
        </w:tc>
        <w:tc>
          <w:tcPr>
            <w:tcW w:w="2560" w:type="dxa"/>
            <w:vAlign w:val="bottom"/>
          </w:tcPr>
          <w:p>
            <w:pPr>
              <w:jc w:val="right"/>
              <w:ind w:right="1753"/>
              <w:spacing w:after="0"/>
              <w:rPr>
                <w:sz w:val="20"/>
                <w:szCs w:val="20"/>
                <w:color w:val="auto"/>
              </w:rPr>
            </w:pPr>
            <w:r>
              <w:rPr>
                <w:rFonts w:ascii="Courier New" w:cs="Courier New" w:eastAsia="Courier New" w:hAnsi="Courier New"/>
                <w:sz w:val="17"/>
                <w:szCs w:val="17"/>
                <w:color w:val="auto"/>
              </w:rPr>
              <w:t>79</w:t>
            </w:r>
          </w:p>
        </w:tc>
        <w:tc>
          <w:tcPr>
            <w:tcW w:w="880" w:type="dxa"/>
            <w:vAlign w:val="bottom"/>
          </w:tcPr>
          <w:p>
            <w:pPr>
              <w:spacing w:after="0"/>
              <w:rPr>
                <w:sz w:val="17"/>
                <w:szCs w:val="17"/>
                <w:color w:val="auto"/>
              </w:rPr>
            </w:pPr>
          </w:p>
        </w:tc>
      </w:tr>
      <w:tr>
        <w:trPr>
          <w:trHeight w:val="201"/>
        </w:trPr>
        <w:tc>
          <w:tcPr>
            <w:tcW w:w="4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3"/>
              </w:rPr>
              <w:t>Deductions................................................</w:t>
            </w:r>
          </w:p>
        </w:tc>
        <w:tc>
          <w:tcPr>
            <w:tcW w:w="880" w:type="dxa"/>
            <w:vAlign w:val="bottom"/>
          </w:tcPr>
          <w:p>
            <w:pPr>
              <w:spacing w:after="0"/>
              <w:rPr>
                <w:sz w:val="17"/>
                <w:szCs w:val="17"/>
                <w:color w:val="auto"/>
              </w:rPr>
            </w:pPr>
          </w:p>
        </w:tc>
      </w:tr>
      <w:tr>
        <w:trPr>
          <w:trHeight w:val="201"/>
        </w:trPr>
        <w:tc>
          <w:tcPr>
            <w:tcW w:w="4980" w:type="dxa"/>
            <w:vAlign w:val="bottom"/>
            <w:gridSpan w:val="2"/>
          </w:tcPr>
          <w:p>
            <w:pPr>
              <w:jc w:val="center"/>
              <w:ind w:left="1016"/>
              <w:spacing w:after="0"/>
              <w:rPr>
                <w:sz w:val="20"/>
                <w:szCs w:val="20"/>
                <w:color w:val="auto"/>
              </w:rPr>
            </w:pPr>
            <w:r>
              <w:rPr>
                <w:rFonts w:ascii="Courier New" w:cs="Courier New" w:eastAsia="Courier New" w:hAnsi="Courier New"/>
                <w:sz w:val="17"/>
                <w:szCs w:val="17"/>
                <w:color w:val="auto"/>
              </w:rPr>
              <w:t>(44) Balance at December 31,</w:t>
            </w:r>
          </w:p>
        </w:tc>
        <w:tc>
          <w:tcPr>
            <w:tcW w:w="880" w:type="dxa"/>
            <w:vAlign w:val="bottom"/>
          </w:tcPr>
          <w:p>
            <w:pPr>
              <w:spacing w:after="0"/>
              <w:rPr>
                <w:sz w:val="17"/>
                <w:szCs w:val="17"/>
                <w:color w:val="auto"/>
              </w:rPr>
            </w:pPr>
          </w:p>
        </w:tc>
      </w:tr>
      <w:tr>
        <w:trPr>
          <w:trHeight w:val="201"/>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74"/>
              </w:rPr>
              <w:t>2000................................</w:t>
            </w:r>
          </w:p>
        </w:tc>
        <w:tc>
          <w:tcPr>
            <w:tcW w:w="2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center"/>
              <w:ind w:right="593"/>
              <w:spacing w:after="0"/>
              <w:rPr>
                <w:sz w:val="20"/>
                <w:szCs w:val="20"/>
                <w:color w:val="auto"/>
              </w:rPr>
            </w:pPr>
            <w:r>
              <w:rPr>
                <w:rFonts w:ascii="Courier New" w:cs="Courier New" w:eastAsia="Courier New" w:hAnsi="Courier New"/>
                <w:sz w:val="17"/>
                <w:szCs w:val="17"/>
                <w:color w:val="auto"/>
                <w:w w:val="97"/>
              </w:rPr>
              <w:t>41</w:t>
            </w:r>
          </w:p>
        </w:tc>
      </w:tr>
    </w:tbl>
    <w:p>
      <w:pPr>
        <w:spacing w:after="0" w:line="200" w:lineRule="exact"/>
        <w:rPr>
          <w:sz w:val="20"/>
          <w:szCs w:val="20"/>
          <w:color w:val="auto"/>
        </w:rPr>
      </w:pPr>
    </w:p>
    <w:p>
      <w:pPr>
        <w:spacing w:after="0" w:line="20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Deductions reflect cash payments of $29, $6 and $44 for 1998, 1999, and 2000, respectively. These payments included cash termination benefits of $29, $0 and $42, for the years ended December 31, 1998, 1999 and 2000, respectively. Deductions for 1998 also include noncash utilization of $19, which reflects a reversal of excess reserves. Nearly 53% of the employees affected by the 1999 and 2000 restructuring charges have left their positions at December 31, 2000.</w:t>
      </w:r>
    </w:p>
    <w:p>
      <w:pPr>
        <w:spacing w:after="0" w:line="197"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In 2000, AT&amp;T Consumer Services Group also recorded an asset impairment charge of $18 related to the write-down of unrecoverable assets in certain businesses where the carrying value was no longer supported by estimated future cash flows.</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During 1999, AT&amp;T Consumer Services Group recorded $7 of net restructuring and other charges. This $7 charge for restructuring and exit costs was recorded in conjunction with AT&amp;T's initiative to reduce costs. The restructuring and exit plans primarily focused on the maximization of synergies through headcount reductions, including the consolidation of customer-care and call centers.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L-174</w:t>
      </w:r>
    </w:p>
    <w:p>
      <w:pPr>
        <w:sectPr>
          <w:pgSz w:w="11900" w:h="16838" w:orient="portrait"/>
          <w:cols w:equalWidth="0" w:num="1">
            <w:col w:w="10219"/>
          </w:cols>
          <w:pgMar w:left="240" w:top="518" w:right="1440" w:bottom="1440" w:gutter="0" w:footer="0" w:header="0"/>
        </w:sectPr>
      </w:pPr>
    </w:p>
    <w:bookmarkStart w:id="788" w:name="page789"/>
    <w:bookmarkEnd w:id="788"/>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2359" w:firstLine="524"/>
        <w:spacing w:after="0" w:line="254" w:lineRule="auto"/>
        <w:rPr>
          <w:sz w:val="20"/>
          <w:szCs w:val="20"/>
          <w:color w:val="auto"/>
        </w:rPr>
      </w:pPr>
      <w:r>
        <w:rPr>
          <w:rFonts w:ascii="Courier New" w:cs="Courier New" w:eastAsia="Courier New" w:hAnsi="Courier New"/>
          <w:sz w:val="17"/>
          <w:szCs w:val="17"/>
          <w:color w:val="auto"/>
        </w:rPr>
        <w:t>The exit costs represent cash termination benefits associated with the separation of approximately 164 employees as part of voluntary termination plans. All of the terminations were nonmanagement employees.</w:t>
      </w:r>
    </w:p>
    <w:p>
      <w:pPr>
        <w:spacing w:after="0" w:line="194"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During 1998, AT&amp;T Consumer Services Group recorded a $19 benefit to net restructuring and other charges. This benefit represents the reversal of 1995 business restructuring reserves primarily resulting from the overlap of AT&amp;T's 1998 voluntary retirement incentive program (VRIP) on certain 1995 projects.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RELATED PARTY TRANSACTIONS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Consumer Services Group purchases network related services from AT&amp;T at cost-based prices, which approximate market prices. For the years ended December 31, 2000, 1999 and 1998, these amounts totaled $846, $1,249 and $1,402, respectively, and are reflected within costs of services and products in the combined statements of income. There are no inter-entity payables for these services as amounts are deemed to be settled in cash.</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Consumer Services Group purchases sales and sales support, customer care, billing, and research and development services from AT&amp;T Business Services Group at cost-based prices, which approximate market prices. For the years ended December 31, 2000, 1999, and 1998, these amounts totaled $445, $704, and $1,014, respectively, and are reflected within selling, general and administrative (SG&amp;A) expenses in the combined statements of income.</w:t>
      </w:r>
    </w:p>
    <w:p>
      <w:pPr>
        <w:spacing w:after="0" w:line="197"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AT&amp;T has allocated general corporate overhead expenses related to AT&amp;T's corporate headquarters and common support division to AT&amp;T Consumer Services Group. For the years ended December 31, 2000, 1999, and 1998, these amounts totaled $244, $335, and $415, respectively, and are reflected within SG&amp;A.</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Consumer Services Group purchases receivables from AT&amp;T Wireless Services and provides customer care and billing services to AT&amp;T Wireless Services at cost-based prices, which approximate market prices. For the years ended December 31, 2000, 1999 and 1998, these customer care and billing services totaled $88, $77 and $18, respectively, and are reflected as a reduction of SG&amp;A expenses in the combined statements of income. Included within accounts payable at December 31, 2000 and 1999 was $79 and $77, respectively.</w:t>
      </w:r>
    </w:p>
    <w:p>
      <w:pPr>
        <w:spacing w:after="0" w:line="196"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provides AT&amp;T Broadband with sales support and customer care services at cost-based prices, which approximate market prices. For the years ended December 31, 2000 and 1999, these amounts totaled $89 and $121, respectively, and are reflected as a reduction of SG&amp;A expenses in the combined statements of income. The inter-entity receivables from AT&amp;T Broadband Group were $130 and $120 at December 31, 2000 and 1999, respectively. AT&amp;T Consumer Services Group provides billing and collections services on behalf of AT&amp;T Broadband Group. Amounts due to AT&amp;T Broadband Group were $48 at December 31, 2000.</w:t>
      </w:r>
    </w:p>
    <w:p>
      <w:pPr>
        <w:spacing w:after="0" w:line="200" w:lineRule="exact"/>
        <w:rPr>
          <w:sz w:val="20"/>
          <w:szCs w:val="20"/>
          <w:color w:val="auto"/>
        </w:rPr>
      </w:pPr>
    </w:p>
    <w:p>
      <w:pPr>
        <w:spacing w:after="0" w:line="203"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AT&amp;T invests excess cash of AT&amp;T Puerto Rico and AT&amp;T Virgin Islands on their behalf. Notes receivable related to this cash, included within accounts receivable, were $262 and $171 at December 31, 2000, 1999, respectively.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PENSION, POSTRETIREMENT AND OTHER EMPLOYEE BENEFIT PLANS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majority of AT&amp;T Consumer Services Group's employees participate in AT&amp;T's noncontributory defined benefit pension plans and postretirement benefit plans. Pension benefits for management employees are principally based on career-average pay. Pension benefits for occupational employees are not directly related to pay. AT&amp;T's benefit plans for current and certain future retirees include health care benefits, life insurance coverage and telephone concessions.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L-175</w:t>
      </w:r>
    </w:p>
    <w:p>
      <w:pPr>
        <w:sectPr>
          <w:pgSz w:w="11900" w:h="16838" w:orient="portrait"/>
          <w:cols w:equalWidth="0" w:num="1">
            <w:col w:w="10219"/>
          </w:cols>
          <w:pgMar w:left="240" w:top="519" w:right="1440" w:bottom="1440" w:gutter="0" w:footer="0" w:header="0"/>
        </w:sectPr>
      </w:pPr>
    </w:p>
    <w:bookmarkStart w:id="789" w:name="page790"/>
    <w:bookmarkEnd w:id="789"/>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For purposes of allocating a portion of AT&amp;T's net pension and postretirement periodic benefit cost to AT&amp;T Consumer Services Group's financial statements, certain estimates were made as of December 31, 2000, 1999 and 1998 of AT&amp;T Consumer Services Group's share of AT&amp;T's pension and postretirement assets and benefit obligations related to AT&amp;T Consumer Services Group's active employees. Based on this methodology, AT&amp;T Consumer Services Group's share of AT&amp;T's net pension and postretirement periodic benefit (credit) cost was $(14) and $11 in 2000, $(11) and $17 in 1999 and $(4) and $10 in 1998, respectively.</w:t>
      </w:r>
    </w:p>
    <w:p>
      <w:pPr>
        <w:spacing w:after="0" w:line="201"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AT&amp;T Consumer Services Group's employees are also eligible to participate in savings plans sponsored by AT&amp;T. The plans allow employees to contribute a portion of their pretax and/or after-tax income in accordance with specified guidelines. AT&amp;T matches a certain percentage of employee contributions, up to certain limits. AT&amp;T Consumer Services Group's expense related to the AT&amp;T savings plans was $21 in 2000, $26 in 1999 and $26 in 1998.</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STOCK-BASED COMPENSATION PLANS</w:t>
      </w:r>
    </w:p>
    <w:p>
      <w:pPr>
        <w:spacing w:after="0" w:line="210" w:lineRule="exact"/>
        <w:rPr>
          <w:sz w:val="20"/>
          <w:szCs w:val="20"/>
          <w:color w:val="auto"/>
        </w:rPr>
      </w:pPr>
    </w:p>
    <w:p>
      <w:pPr>
        <w:ind w:right="1939" w:firstLine="524"/>
        <w:spacing w:after="0" w:line="254" w:lineRule="auto"/>
        <w:rPr>
          <w:sz w:val="20"/>
          <w:szCs w:val="20"/>
          <w:color w:val="auto"/>
        </w:rPr>
      </w:pPr>
      <w:r>
        <w:rPr>
          <w:rFonts w:ascii="Courier New" w:cs="Courier New" w:eastAsia="Courier New" w:hAnsi="Courier New"/>
          <w:sz w:val="17"/>
          <w:szCs w:val="17"/>
          <w:color w:val="auto"/>
        </w:rPr>
        <w:t>Under AT&amp;T's 1997 Long-term Incentive Program (Program), AT&amp;T grants stock options, performance shares, restricted stock and other awards on AT&amp;T common stock.</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exercise price of any stock option is equal to the stock price when the option is granted. Generally, the options vest over three or four years and are exercisable up to 10 years from the date of grant.</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Under the Program, performance share units are awarded to key employees in the form of either common stock or cash at the end of a three-year period, based on AT&amp;T's total shareholder return and/or certain financial-performance targets.</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Under the AT&amp;T 1996 Employee Stock Purchase Plan (Plan), which was effective July 1, 1996, AT&amp;T is authorized to sell up to 75 million shares of AT&amp;T common stock to its eligible employees.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389 thousand, 311 thousand and 251 thousand shares to AT&amp;T Consumer Services Group's employees in 2000, 1999 and 1998, respectively.</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and AT&amp;T Consumer Services Group applied Accounting Principles Board Opinion No. 25, "Accounting for Stock Issued to Employees," and related interpretations in accounting for its plans. Accordingly, no compensation expense has been recognized for its stock-based compensation plans other than for performance-based and restricted stock awards and stock appreciation rights (SARs). Compensation costs charged against AT&amp;T Consumer Services Group's results of operations were $3, $4 and $2 in 2000, 1999 and 1998, respectively.</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and AT&amp;T Consumer Services Group have adopted the disclosure-only provisions of SFAS No. 123, "Accounting for Stock-Based Compensation." If AT&amp;T Consumer Services Group had elected to recognize compensation costs based on the fair value at the date of grant for AT&amp;T awards granted to AT&amp;T Consumer Services Group's employees in 2000, 1999 and 1998, consistent with the provisions of</w:t>
      </w:r>
    </w:p>
    <w:p>
      <w:pPr>
        <w:spacing w:after="0" w:line="3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L-176</w:t>
      </w:r>
    </w:p>
    <w:p>
      <w:pPr>
        <w:sectPr>
          <w:pgSz w:w="11900" w:h="16838" w:orient="portrait"/>
          <w:cols w:equalWidth="0" w:num="1">
            <w:col w:w="10219"/>
          </w:cols>
          <w:pgMar w:left="240" w:top="517" w:right="1440" w:bottom="1440" w:gutter="0" w:footer="0" w:header="0"/>
        </w:sectPr>
      </w:pPr>
    </w:p>
    <w:bookmarkStart w:id="790" w:name="page791"/>
    <w:bookmarkEnd w:id="790"/>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SFAS No. 123, AT&amp;T Consumer Services Group's net income would have been adjusted to reflect additional compensation expense resulting in the following pro forma amounts:</w:t>
      </w:r>
    </w:p>
    <w:p>
      <w:pPr>
        <w:spacing w:after="0" w:line="19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------- 2000 1999 1998 ------</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 ------ Net</w:t>
            </w:r>
          </w:p>
        </w:tc>
      </w:tr>
      <w:tr>
        <w:trPr>
          <w:trHeight w:val="201"/>
        </w:trPr>
        <w:tc>
          <w:tcPr>
            <w:tcW w:w="3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income...............................................</w:t>
            </w:r>
          </w:p>
        </w:tc>
        <w:tc>
          <w:tcPr>
            <w:tcW w:w="2040" w:type="dxa"/>
            <w:vAlign w:val="bottom"/>
          </w:tcPr>
          <w:p>
            <w:pPr>
              <w:spacing w:after="0"/>
              <w:rPr>
                <w:sz w:val="17"/>
                <w:szCs w:val="17"/>
                <w:color w:val="auto"/>
              </w:rPr>
            </w:pPr>
          </w:p>
        </w:tc>
      </w:tr>
      <w:tr>
        <w:trPr>
          <w:trHeight w:val="201"/>
        </w:trPr>
        <w:tc>
          <w:tcPr>
            <w:tcW w:w="2460" w:type="dxa"/>
            <w:vAlign w:val="bottom"/>
          </w:tcPr>
          <w:p>
            <w:pPr>
              <w:jc w:val="right"/>
              <w:ind w:right="18"/>
              <w:spacing w:after="0"/>
              <w:rPr>
                <w:sz w:val="20"/>
                <w:szCs w:val="20"/>
                <w:color w:val="auto"/>
              </w:rPr>
            </w:pPr>
            <w:r>
              <w:rPr>
                <w:rFonts w:ascii="Courier New" w:cs="Courier New" w:eastAsia="Courier New" w:hAnsi="Courier New"/>
                <w:sz w:val="17"/>
                <w:szCs w:val="17"/>
                <w:color w:val="auto"/>
              </w:rPr>
              <w:t>$4,095</w:t>
            </w:r>
          </w:p>
        </w:tc>
        <w:tc>
          <w:tcPr>
            <w:tcW w:w="7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$4,621</w:t>
            </w:r>
          </w:p>
        </w:tc>
        <w:tc>
          <w:tcPr>
            <w:tcW w:w="2040" w:type="dxa"/>
            <w:vAlign w:val="bottom"/>
          </w:tcPr>
          <w:p>
            <w:pPr>
              <w:jc w:val="right"/>
              <w:ind w:right="1333"/>
              <w:spacing w:after="0"/>
              <w:rPr>
                <w:sz w:val="20"/>
                <w:szCs w:val="20"/>
                <w:color w:val="auto"/>
              </w:rPr>
            </w:pPr>
            <w:r>
              <w:rPr>
                <w:rFonts w:ascii="Courier New" w:cs="Courier New" w:eastAsia="Courier New" w:hAnsi="Courier New"/>
                <w:sz w:val="17"/>
                <w:szCs w:val="17"/>
                <w:color w:val="auto"/>
                <w:w w:val="97"/>
              </w:rPr>
              <w:t>$3,801</w:t>
            </w:r>
          </w:p>
        </w:tc>
      </w:tr>
    </w:tbl>
    <w:p>
      <w:pPr>
        <w:spacing w:after="0" w:line="200" w:lineRule="exact"/>
        <w:rPr>
          <w:sz w:val="20"/>
          <w:szCs w:val="20"/>
          <w:color w:val="auto"/>
        </w:rPr>
      </w:pPr>
    </w:p>
    <w:p>
      <w:pPr>
        <w:spacing w:after="0" w:line="20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pro forma effect on net income for 1998 may not be representative of the pro forma effect on net income of future years because the SFAS No. 123 method of accounting for pro forma compensation expense has not been applied to options granted prior to January 1, 1995, as all such options were fully vested by the end of 1998.</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granted approximately 5.2 million, 2.5 million and 1.7 million stock options to AT&amp;T Consumer Services Group employees during 2000, 1999 and 1998, respectively. At the date of grant, the weighted average exercise price for AT&amp;T options granted to AT&amp;T Consumer Services Group's employees during 2000, 1999 and 1998 were $36.06, $55.96 and $41.72, respectively. The weighted-average fair values at date of grant for AT&amp;T options granted to AT&amp;T Consumer Services Group's employees during 2000, 1999 and 1998 were $12.41, $15.53 and $9.88, respectively, and were estimated using the Black-Scholes option-pricing model. The following weighted-average assumptions were applied for 2000, 1999 and 1998, respectively: (i) expected dividend yields of 1.6%, 1.7% and 2.0% (ii) expected volatility rates of 33.6%, 28.5% and 24.5%, and (iii) risk-free interest rates of 6.29%, 5.15% and 5.14% and (iv) expected lives of 4.9 years, 4.6 years and 4.3 years.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INCOME TAXES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AT&amp;T Consumer Services Group is not a separate legal entity for federal and state income tax purposes and its results of operations are included in the consolidated federal and state income tax returns of AT&amp;T and its affiliates. (See Note 1). AT&amp;T Consumer Services Group's provision for income taxes has been prepared as if the entity prepares separate tax returns for federal and state tax purposes.</w:t>
      </w:r>
    </w:p>
    <w:p>
      <w:pPr>
        <w:spacing w:after="0" w:line="197"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The following table shows the principal reasons for the difference between the effective income tax rate and the U.S. federal statutory income tax rate:</w:t>
      </w:r>
    </w:p>
    <w:p>
      <w:pPr>
        <w:spacing w:after="0" w:line="192"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----- 2000 1999 1998 ------ ------ ------ U.S. federal</w:t>
      </w:r>
    </w:p>
    <w:p>
      <w:pPr>
        <w:spacing w:after="0" w:line="9"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statutory income tax rate................... 35.00%</w:t>
      </w:r>
    </w:p>
    <w:p>
      <w:pPr>
        <w:spacing w:after="0" w:line="9"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35.00% 35.00% Federal income tax at statutory</w:t>
      </w:r>
    </w:p>
    <w:p>
      <w:pPr>
        <w:spacing w:after="0" w:line="9"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rate..................... $2,330 $2,626 $2,157 Foreign</w:t>
      </w:r>
    </w:p>
    <w:p>
      <w:pPr>
        <w:spacing w:after="0" w:line="9"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income taxes..................................... 21</w:t>
      </w:r>
    </w:p>
    <w:p>
      <w:pPr>
        <w:spacing w:after="0" w:line="9"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26 16 Taxes on repatriated and accumulated foreign</w:t>
      </w:r>
    </w:p>
    <w:p>
      <w:pPr>
        <w:spacing w:after="0" w:line="9"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income, net of tax</w:t>
      </w:r>
    </w:p>
    <w:p>
      <w:pPr>
        <w:spacing w:after="0" w:line="9"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7"/>
          <w:szCs w:val="17"/>
          <w:color w:val="auto"/>
        </w:rPr>
        <w:t>credits......................................... (21)</w:t>
      </w:r>
    </w:p>
    <w:p>
      <w:pPr>
        <w:spacing w:after="0" w:line="9" w:lineRule="exact"/>
        <w:rPr>
          <w:sz w:val="20"/>
          <w:szCs w:val="20"/>
          <w:color w:val="auto"/>
        </w:rPr>
      </w:pPr>
    </w:p>
    <w:p>
      <w:pPr>
        <w:ind w:left="2360" w:right="4499" w:hanging="2301"/>
        <w:spacing w:after="0" w:line="251" w:lineRule="auto"/>
        <w:tabs>
          <w:tab w:leader="none" w:pos="579" w:val="left"/>
        </w:tabs>
        <w:numPr>
          <w:ilvl w:val="0"/>
          <w:numId w:val="8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(16) State and local income taxes, net of federal income tax</w:t>
      </w:r>
    </w:p>
    <w:tbl>
      <w:tblPr>
        <w:tblLayout w:type="fixed"/>
        <w:tblInd w:w="0" w:type="dxa"/>
        <w:tblCellMar>
          <w:top w:w="0" w:type="dxa"/>
          <w:left w:w="0" w:type="dxa"/>
          <w:bottom w:w="0" w:type="dxa"/>
          <w:right w:w="0" w:type="dxa"/>
        </w:tblCellMar>
      </w:tblPr>
      <w:tr>
        <w:trPr>
          <w:trHeight w:val="197"/>
        </w:trPr>
        <w:tc>
          <w:tcPr>
            <w:tcW w:w="25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effect.................................................</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216 244 200</w:t>
            </w:r>
          </w:p>
        </w:tc>
        <w:tc>
          <w:tcPr>
            <w:tcW w:w="2020" w:type="dxa"/>
            <w:vAlign w:val="bottom"/>
          </w:tcPr>
          <w:p>
            <w:pPr>
              <w:ind w:left="60"/>
              <w:spacing w:after="0"/>
              <w:rPr>
                <w:sz w:val="20"/>
                <w:szCs w:val="20"/>
                <w:color w:val="auto"/>
              </w:rPr>
            </w:pPr>
            <w:r>
              <w:rPr>
                <w:rFonts w:ascii="Courier New" w:cs="Courier New" w:eastAsia="Courier New" w:hAnsi="Courier New"/>
                <w:sz w:val="17"/>
                <w:szCs w:val="17"/>
                <w:color w:val="auto"/>
              </w:rPr>
              <w:t>Research and other</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credits...............................</w:t>
            </w:r>
          </w:p>
        </w:tc>
        <w:tc>
          <w:tcPr>
            <w:tcW w:w="2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w:t>
            </w:r>
          </w:p>
        </w:tc>
      </w:tr>
      <w:tr>
        <w:trPr>
          <w:trHeight w:val="201"/>
        </w:trPr>
        <w:tc>
          <w:tcPr>
            <w:tcW w:w="1840" w:type="dxa"/>
            <w:vAlign w:val="bottom"/>
          </w:tcPr>
          <w:p>
            <w:pPr>
              <w:spacing w:after="0"/>
              <w:rPr>
                <w:sz w:val="17"/>
                <w:szCs w:val="17"/>
                <w:color w:val="auto"/>
              </w:rPr>
            </w:pPr>
          </w:p>
        </w:tc>
        <w:tc>
          <w:tcPr>
            <w:tcW w:w="2700" w:type="dxa"/>
            <w:vAlign w:val="bottom"/>
            <w:gridSpan w:val="2"/>
          </w:tcPr>
          <w:p>
            <w:pPr>
              <w:jc w:val="right"/>
              <w:ind w:right="613"/>
              <w:spacing w:after="0"/>
              <w:rPr>
                <w:sz w:val="20"/>
                <w:szCs w:val="20"/>
                <w:color w:val="auto"/>
              </w:rPr>
            </w:pPr>
            <w:r>
              <w:rPr>
                <w:rFonts w:ascii="Courier New" w:cs="Courier New" w:eastAsia="Courier New" w:hAnsi="Courier New"/>
                <w:sz w:val="17"/>
                <w:szCs w:val="17"/>
                <w:color w:val="auto"/>
              </w:rPr>
              <w:t>Other differences,</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net...................................</w:t>
            </w:r>
          </w:p>
        </w:tc>
        <w:tc>
          <w:tcPr>
            <w:tcW w:w="2020" w:type="dxa"/>
            <w:vAlign w:val="bottom"/>
          </w:tcPr>
          <w:p>
            <w:pPr>
              <w:jc w:val="right"/>
              <w:spacing w:after="0"/>
              <w:rPr>
                <w:sz w:val="20"/>
                <w:szCs w:val="20"/>
                <w:color w:val="auto"/>
              </w:rPr>
            </w:pPr>
            <w:r>
              <w:rPr>
                <w:rFonts w:ascii="Courier New" w:cs="Courier New" w:eastAsia="Courier New" w:hAnsi="Courier New"/>
                <w:sz w:val="17"/>
                <w:szCs w:val="17"/>
                <w:color w:val="auto"/>
              </w:rPr>
              <w:t>1 1</w:t>
            </w:r>
          </w:p>
        </w:tc>
        <w:tc>
          <w:tcPr>
            <w:tcW w:w="180" w:type="dxa"/>
            <w:vAlign w:val="bottom"/>
          </w:tcPr>
          <w:p>
            <w:pPr>
              <w:jc w:val="right"/>
              <w:spacing w:after="0"/>
              <w:rPr>
                <w:sz w:val="20"/>
                <w:szCs w:val="20"/>
                <w:color w:val="auto"/>
              </w:rPr>
            </w:pPr>
            <w:r>
              <w:rPr>
                <w:rFonts w:ascii="Courier New" w:cs="Courier New" w:eastAsia="Courier New" w:hAnsi="Courier New"/>
                <w:sz w:val="17"/>
                <w:szCs w:val="17"/>
                <w:color w:val="auto"/>
                <w:w w:val="97"/>
              </w:rPr>
              <w:t>2</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Provision</w:t>
            </w:r>
          </w:p>
        </w:tc>
      </w:tr>
      <w:tr>
        <w:trPr>
          <w:trHeight w:val="201"/>
        </w:trPr>
        <w:tc>
          <w:tcPr>
            <w:tcW w:w="2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for income taxes...............................</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$2,546</w:t>
            </w:r>
          </w:p>
        </w:tc>
      </w:tr>
      <w:tr>
        <w:trPr>
          <w:trHeight w:val="201"/>
        </w:trPr>
        <w:tc>
          <w:tcPr>
            <w:tcW w:w="1840" w:type="dxa"/>
            <w:vAlign w:val="bottom"/>
          </w:tcPr>
          <w:p>
            <w:pPr>
              <w:jc w:val="right"/>
              <w:ind w:right="26"/>
              <w:spacing w:after="0"/>
              <w:rPr>
                <w:sz w:val="20"/>
                <w:szCs w:val="20"/>
                <w:color w:val="auto"/>
              </w:rPr>
            </w:pPr>
            <w:r>
              <w:rPr>
                <w:rFonts w:ascii="Courier New" w:cs="Courier New" w:eastAsia="Courier New" w:hAnsi="Courier New"/>
                <w:sz w:val="17"/>
                <w:szCs w:val="17"/>
                <w:color w:val="auto"/>
              </w:rPr>
              <w:t>$2,869</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$2,356</w:t>
            </w:r>
          </w:p>
        </w:tc>
        <w:tc>
          <w:tcPr>
            <w:tcW w:w="22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Effective income tax</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rate................................</w:t>
            </w:r>
          </w:p>
        </w:tc>
        <w:tc>
          <w:tcPr>
            <w:tcW w:w="2020" w:type="dxa"/>
            <w:vAlign w:val="bottom"/>
          </w:tcPr>
          <w:p>
            <w:pPr>
              <w:jc w:val="right"/>
              <w:spacing w:after="0"/>
              <w:rPr>
                <w:sz w:val="20"/>
                <w:szCs w:val="20"/>
                <w:color w:val="auto"/>
              </w:rPr>
            </w:pPr>
            <w:r>
              <w:rPr>
                <w:rFonts w:ascii="Courier New" w:cs="Courier New" w:eastAsia="Courier New" w:hAnsi="Courier New"/>
                <w:sz w:val="17"/>
                <w:szCs w:val="17"/>
                <w:color w:val="auto"/>
              </w:rPr>
              <w:t>38.2%</w:t>
            </w:r>
          </w:p>
        </w:tc>
        <w:tc>
          <w:tcPr>
            <w:tcW w:w="5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38.2%</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38.2%</w:t>
            </w:r>
          </w:p>
        </w:tc>
      </w:tr>
      <w:tr>
        <w:trPr>
          <w:trHeight w:val="604"/>
        </w:trPr>
        <w:tc>
          <w:tcPr>
            <w:tcW w:w="1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7"/>
                <w:szCs w:val="17"/>
                <w:color w:val="auto"/>
              </w:rPr>
              <w:t>L-177</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518" w:right="1440" w:bottom="1440" w:gutter="0" w:footer="0" w:header="0"/>
        </w:sectPr>
      </w:pPr>
    </w:p>
    <w:bookmarkStart w:id="791" w:name="page792"/>
    <w:bookmarkEnd w:id="791"/>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The U.S. and foreign components of income from continuing operations before income taxes and the provision for income taxes are presented in this table:</w:t>
      </w:r>
    </w:p>
    <w:p>
      <w:pPr>
        <w:spacing w:after="0" w:line="19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----- 2000 1999 1998 ------</w:t>
            </w:r>
          </w:p>
        </w:tc>
        <w:tc>
          <w:tcPr>
            <w:tcW w:w="292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 ------ INCOME</w:t>
            </w:r>
          </w:p>
        </w:tc>
      </w:tr>
      <w:tr>
        <w:trPr>
          <w:trHeight w:val="201"/>
        </w:trPr>
        <w:tc>
          <w:tcPr>
            <w:tcW w:w="1160" w:type="dxa"/>
            <w:vAlign w:val="bottom"/>
          </w:tcPr>
          <w:p>
            <w:pPr>
              <w:spacing w:after="0"/>
              <w:rPr>
                <w:sz w:val="17"/>
                <w:szCs w:val="17"/>
                <w:color w:val="auto"/>
              </w:rPr>
            </w:pPr>
          </w:p>
        </w:tc>
        <w:tc>
          <w:tcPr>
            <w:tcW w:w="3660" w:type="dxa"/>
            <w:vAlign w:val="bottom"/>
            <w:gridSpan w:val="2"/>
          </w:tcPr>
          <w:p>
            <w:pPr>
              <w:jc w:val="center"/>
              <w:ind w:right="133"/>
              <w:spacing w:after="0"/>
              <w:rPr>
                <w:sz w:val="20"/>
                <w:szCs w:val="20"/>
                <w:color w:val="auto"/>
              </w:rPr>
            </w:pPr>
            <w:r>
              <w:rPr>
                <w:rFonts w:ascii="Courier New" w:cs="Courier New" w:eastAsia="Courier New" w:hAnsi="Courier New"/>
                <w:sz w:val="17"/>
                <w:szCs w:val="17"/>
                <w:color w:val="auto"/>
              </w:rPr>
              <w:t>BEFORE INCOME TAXES United</w:t>
            </w:r>
          </w:p>
        </w:tc>
        <w:tc>
          <w:tcPr>
            <w:tcW w:w="840" w:type="dxa"/>
            <w:vAlign w:val="bottom"/>
          </w:tcPr>
          <w:p>
            <w:pPr>
              <w:spacing w:after="0"/>
              <w:rPr>
                <w:sz w:val="17"/>
                <w:szCs w:val="17"/>
                <w:color w:val="auto"/>
              </w:rPr>
            </w:pPr>
          </w:p>
        </w:tc>
      </w:tr>
      <w:tr>
        <w:trPr>
          <w:trHeight w:val="201"/>
        </w:trPr>
        <w:tc>
          <w:tcPr>
            <w:tcW w:w="27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States..........................................</w:t>
            </w:r>
          </w:p>
        </w:tc>
        <w:tc>
          <w:tcPr>
            <w:tcW w:w="20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160" w:type="dxa"/>
            <w:vAlign w:val="bottom"/>
          </w:tcPr>
          <w:p>
            <w:pPr>
              <w:spacing w:after="0"/>
              <w:rPr>
                <w:sz w:val="17"/>
                <w:szCs w:val="17"/>
                <w:color w:val="auto"/>
              </w:rPr>
            </w:pPr>
          </w:p>
        </w:tc>
        <w:tc>
          <w:tcPr>
            <w:tcW w:w="3660" w:type="dxa"/>
            <w:vAlign w:val="bottom"/>
            <w:gridSpan w:val="2"/>
          </w:tcPr>
          <w:p>
            <w:pPr>
              <w:jc w:val="center"/>
              <w:ind w:right="113"/>
              <w:spacing w:after="0"/>
              <w:rPr>
                <w:sz w:val="20"/>
                <w:szCs w:val="20"/>
                <w:color w:val="auto"/>
              </w:rPr>
            </w:pPr>
            <w:r>
              <w:rPr>
                <w:rFonts w:ascii="Courier New" w:cs="Courier New" w:eastAsia="Courier New" w:hAnsi="Courier New"/>
                <w:sz w:val="17"/>
                <w:szCs w:val="17"/>
                <w:color w:val="auto"/>
              </w:rPr>
              <w:t>$6,656 $7,497 $6,171</w:t>
            </w:r>
          </w:p>
        </w:tc>
        <w:tc>
          <w:tcPr>
            <w:tcW w:w="840" w:type="dxa"/>
            <w:vAlign w:val="bottom"/>
          </w:tcPr>
          <w:p>
            <w:pPr>
              <w:spacing w:after="0"/>
              <w:rPr>
                <w:sz w:val="17"/>
                <w:szCs w:val="17"/>
                <w:color w:val="auto"/>
              </w:rPr>
            </w:pPr>
          </w:p>
        </w:tc>
      </w:tr>
      <w:tr>
        <w:trPr>
          <w:trHeight w:val="201"/>
        </w:trPr>
        <w:tc>
          <w:tcPr>
            <w:tcW w:w="27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Foreign................................................</w:t>
            </w:r>
          </w:p>
        </w:tc>
        <w:tc>
          <w:tcPr>
            <w:tcW w:w="20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160" w:type="dxa"/>
            <w:vAlign w:val="bottom"/>
          </w:tcPr>
          <w:p>
            <w:pPr>
              <w:spacing w:after="0"/>
              <w:rPr>
                <w:sz w:val="17"/>
                <w:szCs w:val="17"/>
                <w:color w:val="auto"/>
              </w:rPr>
            </w:pPr>
          </w:p>
        </w:tc>
        <w:tc>
          <w:tcPr>
            <w:tcW w:w="3660" w:type="dxa"/>
            <w:vAlign w:val="bottom"/>
            <w:gridSpan w:val="2"/>
          </w:tcPr>
          <w:p>
            <w:pPr>
              <w:jc w:val="center"/>
              <w:ind w:right="113"/>
              <w:spacing w:after="0"/>
              <w:rPr>
                <w:sz w:val="20"/>
                <w:szCs w:val="20"/>
                <w:color w:val="auto"/>
              </w:rPr>
            </w:pPr>
            <w:r>
              <w:rPr>
                <w:rFonts w:ascii="Courier New" w:cs="Courier New" w:eastAsia="Courier New" w:hAnsi="Courier New"/>
                <w:sz w:val="17"/>
                <w:szCs w:val="17"/>
                <w:color w:val="auto"/>
              </w:rPr>
              <w:t>2 5 (8)</w:t>
            </w:r>
          </w:p>
        </w:tc>
        <w:tc>
          <w:tcPr>
            <w:tcW w:w="840" w:type="dxa"/>
            <w:vAlign w:val="bottom"/>
          </w:tcPr>
          <w:p>
            <w:pPr>
              <w:spacing w:after="0"/>
              <w:rPr>
                <w:sz w:val="17"/>
                <w:szCs w:val="17"/>
                <w:color w:val="auto"/>
              </w:rPr>
            </w:pPr>
          </w:p>
        </w:tc>
      </w:tr>
      <w:tr>
        <w:trPr>
          <w:trHeight w:val="201"/>
        </w:trPr>
        <w:tc>
          <w:tcPr>
            <w:tcW w:w="27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Total..................................................</w:t>
            </w:r>
          </w:p>
        </w:tc>
        <w:tc>
          <w:tcPr>
            <w:tcW w:w="20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$6,658</w:t>
            </w:r>
          </w:p>
        </w:tc>
        <w:tc>
          <w:tcPr>
            <w:tcW w:w="4500" w:type="dxa"/>
            <w:vAlign w:val="bottom"/>
            <w:gridSpan w:val="3"/>
          </w:tcPr>
          <w:p>
            <w:pPr>
              <w:jc w:val="right"/>
              <w:ind w:right="233"/>
              <w:spacing w:after="0"/>
              <w:rPr>
                <w:sz w:val="20"/>
                <w:szCs w:val="20"/>
                <w:color w:val="auto"/>
              </w:rPr>
            </w:pPr>
            <w:r>
              <w:rPr>
                <w:rFonts w:ascii="Courier New" w:cs="Courier New" w:eastAsia="Courier New" w:hAnsi="Courier New"/>
                <w:sz w:val="17"/>
                <w:szCs w:val="17"/>
                <w:color w:val="auto"/>
              </w:rPr>
              <w:t>$7,502 $6,163 PROVISION FOR INCOME TAXES</w:t>
            </w:r>
          </w:p>
        </w:tc>
      </w:tr>
      <w:tr>
        <w:trPr>
          <w:trHeight w:val="201"/>
        </w:trPr>
        <w:tc>
          <w:tcPr>
            <w:tcW w:w="1160" w:type="dxa"/>
            <w:vAlign w:val="bottom"/>
          </w:tcPr>
          <w:p>
            <w:pPr>
              <w:spacing w:after="0"/>
              <w:rPr>
                <w:sz w:val="17"/>
                <w:szCs w:val="17"/>
                <w:color w:val="auto"/>
              </w:rPr>
            </w:pPr>
          </w:p>
        </w:tc>
        <w:tc>
          <w:tcPr>
            <w:tcW w:w="3660" w:type="dxa"/>
            <w:vAlign w:val="bottom"/>
            <w:gridSpan w:val="2"/>
          </w:tcPr>
          <w:p>
            <w:pPr>
              <w:jc w:val="center"/>
              <w:ind w:right="113"/>
              <w:spacing w:after="0"/>
              <w:rPr>
                <w:sz w:val="20"/>
                <w:szCs w:val="20"/>
                <w:color w:val="auto"/>
              </w:rPr>
            </w:pPr>
            <w:r>
              <w:rPr>
                <w:rFonts w:ascii="Courier New" w:cs="Courier New" w:eastAsia="Courier New" w:hAnsi="Courier New"/>
                <w:sz w:val="17"/>
                <w:szCs w:val="17"/>
                <w:color w:val="auto"/>
              </w:rPr>
              <w:t>CURRENT</w:t>
            </w:r>
          </w:p>
        </w:tc>
        <w:tc>
          <w:tcPr>
            <w:tcW w:w="840" w:type="dxa"/>
            <w:vAlign w:val="bottom"/>
          </w:tcPr>
          <w:p>
            <w:pPr>
              <w:spacing w:after="0"/>
              <w:rPr>
                <w:sz w:val="17"/>
                <w:szCs w:val="17"/>
                <w:color w:val="auto"/>
              </w:rPr>
            </w:pPr>
          </w:p>
        </w:tc>
      </w:tr>
      <w:tr>
        <w:trPr>
          <w:trHeight w:val="201"/>
        </w:trPr>
        <w:tc>
          <w:tcPr>
            <w:tcW w:w="27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Federal................................................</w:t>
            </w:r>
          </w:p>
        </w:tc>
        <w:tc>
          <w:tcPr>
            <w:tcW w:w="20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$2,150 $2,402</w:t>
            </w:r>
          </w:p>
        </w:tc>
        <w:tc>
          <w:tcPr>
            <w:tcW w:w="20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$2,028 State and</w:t>
            </w:r>
          </w:p>
        </w:tc>
        <w:tc>
          <w:tcPr>
            <w:tcW w:w="840" w:type="dxa"/>
            <w:vAlign w:val="bottom"/>
          </w:tcPr>
          <w:p>
            <w:pPr>
              <w:spacing w:after="0"/>
              <w:rPr>
                <w:sz w:val="17"/>
                <w:szCs w:val="17"/>
                <w:color w:val="auto"/>
              </w:rPr>
            </w:pPr>
          </w:p>
        </w:tc>
      </w:tr>
      <w:tr>
        <w:trPr>
          <w:trHeight w:val="201"/>
        </w:trPr>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local........................................</w:t>
            </w:r>
          </w:p>
        </w:tc>
        <w:tc>
          <w:tcPr>
            <w:tcW w:w="2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327 366</w:t>
            </w:r>
          </w:p>
        </w:tc>
      </w:tr>
      <w:tr>
        <w:trPr>
          <w:trHeight w:val="201"/>
        </w:trPr>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80" w:type="dxa"/>
            <w:vAlign w:val="bottom"/>
          </w:tcPr>
          <w:p>
            <w:pPr>
              <w:jc w:val="center"/>
              <w:ind w:right="1693"/>
              <w:spacing w:after="0"/>
              <w:rPr>
                <w:sz w:val="20"/>
                <w:szCs w:val="20"/>
                <w:color w:val="auto"/>
              </w:rPr>
            </w:pPr>
            <w:r>
              <w:rPr>
                <w:rFonts w:ascii="Courier New" w:cs="Courier New" w:eastAsia="Courier New" w:hAnsi="Courier New"/>
                <w:sz w:val="17"/>
                <w:szCs w:val="17"/>
                <w:color w:val="auto"/>
                <w:w w:val="97"/>
              </w:rPr>
              <w:t>308</w:t>
            </w:r>
          </w:p>
        </w:tc>
        <w:tc>
          <w:tcPr>
            <w:tcW w:w="840" w:type="dxa"/>
            <w:vAlign w:val="bottom"/>
          </w:tcPr>
          <w:p>
            <w:pPr>
              <w:spacing w:after="0"/>
              <w:rPr>
                <w:sz w:val="17"/>
                <w:szCs w:val="17"/>
                <w:color w:val="auto"/>
              </w:rPr>
            </w:pPr>
          </w:p>
        </w:tc>
      </w:tr>
      <w:tr>
        <w:trPr>
          <w:trHeight w:val="201"/>
        </w:trPr>
        <w:tc>
          <w:tcPr>
            <w:tcW w:w="27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Foreign................................................</w:t>
            </w:r>
          </w:p>
        </w:tc>
        <w:tc>
          <w:tcPr>
            <w:tcW w:w="20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160" w:type="dxa"/>
            <w:vAlign w:val="bottom"/>
          </w:tcPr>
          <w:p>
            <w:pPr>
              <w:spacing w:after="0"/>
              <w:rPr>
                <w:sz w:val="17"/>
                <w:szCs w:val="17"/>
                <w:color w:val="auto"/>
              </w:rPr>
            </w:pPr>
          </w:p>
        </w:tc>
        <w:tc>
          <w:tcPr>
            <w:tcW w:w="3660" w:type="dxa"/>
            <w:vAlign w:val="bottom"/>
            <w:gridSpan w:val="2"/>
          </w:tcPr>
          <w:p>
            <w:pPr>
              <w:jc w:val="center"/>
              <w:ind w:right="113"/>
              <w:spacing w:after="0"/>
              <w:rPr>
                <w:sz w:val="20"/>
                <w:szCs w:val="20"/>
                <w:color w:val="auto"/>
              </w:rPr>
            </w:pPr>
            <w:r>
              <w:rPr>
                <w:rFonts w:ascii="Courier New" w:cs="Courier New" w:eastAsia="Courier New" w:hAnsi="Courier New"/>
                <w:sz w:val="17"/>
                <w:szCs w:val="17"/>
                <w:color w:val="auto"/>
              </w:rPr>
              <w:t>21 26 16 DEFERRED</w:t>
            </w:r>
          </w:p>
        </w:tc>
        <w:tc>
          <w:tcPr>
            <w:tcW w:w="840" w:type="dxa"/>
            <w:vAlign w:val="bottom"/>
          </w:tcPr>
          <w:p>
            <w:pPr>
              <w:spacing w:after="0"/>
              <w:rPr>
                <w:sz w:val="17"/>
                <w:szCs w:val="17"/>
                <w:color w:val="auto"/>
              </w:rPr>
            </w:pPr>
          </w:p>
        </w:tc>
      </w:tr>
      <w:tr>
        <w:trPr>
          <w:trHeight w:val="201"/>
        </w:trPr>
        <w:tc>
          <w:tcPr>
            <w:tcW w:w="27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Federal................................................</w:t>
            </w:r>
          </w:p>
        </w:tc>
        <w:tc>
          <w:tcPr>
            <w:tcW w:w="20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160" w:type="dxa"/>
            <w:vAlign w:val="bottom"/>
          </w:tcPr>
          <w:p>
            <w:pPr>
              <w:spacing w:after="0"/>
              <w:rPr>
                <w:sz w:val="17"/>
                <w:szCs w:val="17"/>
                <w:color w:val="auto"/>
              </w:rPr>
            </w:pPr>
          </w:p>
        </w:tc>
        <w:tc>
          <w:tcPr>
            <w:tcW w:w="1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$ 42 $ 65</w:t>
            </w:r>
          </w:p>
        </w:tc>
        <w:tc>
          <w:tcPr>
            <w:tcW w:w="208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$ 4 State and</w:t>
            </w:r>
          </w:p>
        </w:tc>
        <w:tc>
          <w:tcPr>
            <w:tcW w:w="840" w:type="dxa"/>
            <w:vAlign w:val="bottom"/>
          </w:tcPr>
          <w:p>
            <w:pPr>
              <w:spacing w:after="0"/>
              <w:rPr>
                <w:sz w:val="17"/>
                <w:szCs w:val="17"/>
                <w:color w:val="auto"/>
              </w:rPr>
            </w:pPr>
          </w:p>
        </w:tc>
      </w:tr>
      <w:tr>
        <w:trPr>
          <w:trHeight w:val="201"/>
        </w:trPr>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local........................................</w:t>
            </w:r>
          </w:p>
        </w:tc>
        <w:tc>
          <w:tcPr>
            <w:tcW w:w="2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 10 --</w:t>
            </w:r>
          </w:p>
        </w:tc>
      </w:tr>
      <w:tr>
        <w:trPr>
          <w:trHeight w:val="201"/>
        </w:trPr>
        <w:tc>
          <w:tcPr>
            <w:tcW w:w="1160" w:type="dxa"/>
            <w:vAlign w:val="bottom"/>
          </w:tcPr>
          <w:p>
            <w:pPr>
              <w:spacing w:after="0"/>
              <w:rPr>
                <w:sz w:val="17"/>
                <w:szCs w:val="17"/>
                <w:color w:val="auto"/>
              </w:rPr>
            </w:pPr>
          </w:p>
        </w:tc>
        <w:tc>
          <w:tcPr>
            <w:tcW w:w="3660" w:type="dxa"/>
            <w:vAlign w:val="bottom"/>
            <w:gridSpan w:val="2"/>
          </w:tcPr>
          <w:p>
            <w:pPr>
              <w:jc w:val="center"/>
              <w:ind w:right="113"/>
              <w:spacing w:after="0"/>
              <w:rPr>
                <w:sz w:val="20"/>
                <w:szCs w:val="20"/>
                <w:color w:val="auto"/>
              </w:rPr>
            </w:pPr>
            <w:r>
              <w:rPr>
                <w:rFonts w:ascii="Courier New" w:cs="Courier New" w:eastAsia="Courier New" w:hAnsi="Courier New"/>
                <w:sz w:val="17"/>
                <w:szCs w:val="17"/>
                <w:color w:val="auto"/>
              </w:rPr>
              <w:t>Provision for income</w:t>
            </w:r>
          </w:p>
        </w:tc>
        <w:tc>
          <w:tcPr>
            <w:tcW w:w="840" w:type="dxa"/>
            <w:vAlign w:val="bottom"/>
          </w:tcPr>
          <w:p>
            <w:pPr>
              <w:spacing w:after="0"/>
              <w:rPr>
                <w:sz w:val="17"/>
                <w:szCs w:val="17"/>
                <w:color w:val="auto"/>
              </w:rPr>
            </w:pPr>
          </w:p>
        </w:tc>
      </w:tr>
      <w:tr>
        <w:trPr>
          <w:trHeight w:val="201"/>
        </w:trPr>
        <w:tc>
          <w:tcPr>
            <w:tcW w:w="27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4"/>
              </w:rPr>
              <w:t>taxes...............................</w:t>
            </w:r>
          </w:p>
        </w:tc>
        <w:tc>
          <w:tcPr>
            <w:tcW w:w="2080" w:type="dxa"/>
            <w:vAlign w:val="bottom"/>
          </w:tcPr>
          <w:p>
            <w:pPr>
              <w:jc w:val="right"/>
              <w:spacing w:after="0"/>
              <w:rPr>
                <w:sz w:val="20"/>
                <w:szCs w:val="20"/>
                <w:color w:val="auto"/>
              </w:rPr>
            </w:pPr>
            <w:r>
              <w:rPr>
                <w:rFonts w:ascii="Courier New" w:cs="Courier New" w:eastAsia="Courier New" w:hAnsi="Courier New"/>
                <w:sz w:val="17"/>
                <w:szCs w:val="17"/>
                <w:color w:val="auto"/>
              </w:rPr>
              <w:t>$2,546</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$2,869</w:t>
            </w:r>
          </w:p>
        </w:tc>
      </w:tr>
      <w:tr>
        <w:trPr>
          <w:trHeight w:val="201"/>
        </w:trPr>
        <w:tc>
          <w:tcPr>
            <w:tcW w:w="1160" w:type="dxa"/>
            <w:vAlign w:val="bottom"/>
          </w:tcPr>
          <w:p>
            <w:pPr>
              <w:spacing w:after="0"/>
              <w:rPr>
                <w:sz w:val="17"/>
                <w:szCs w:val="17"/>
                <w:color w:val="auto"/>
              </w:rPr>
            </w:pPr>
          </w:p>
        </w:tc>
        <w:tc>
          <w:tcPr>
            <w:tcW w:w="3660" w:type="dxa"/>
            <w:vAlign w:val="bottom"/>
            <w:gridSpan w:val="2"/>
          </w:tcPr>
          <w:p>
            <w:pPr>
              <w:jc w:val="center"/>
              <w:ind w:right="113"/>
              <w:spacing w:after="0"/>
              <w:rPr>
                <w:sz w:val="20"/>
                <w:szCs w:val="20"/>
                <w:color w:val="auto"/>
              </w:rPr>
            </w:pPr>
            <w:r>
              <w:rPr>
                <w:rFonts w:ascii="Courier New" w:cs="Courier New" w:eastAsia="Courier New" w:hAnsi="Courier New"/>
                <w:sz w:val="17"/>
                <w:szCs w:val="17"/>
                <w:color w:val="auto"/>
              </w:rPr>
              <w:t>$2,356</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Deferred income tax liabilities are taxes AT&amp;T Consumer Services Group expects to pay in future periods. Similarly, deferred income tax assets are recorded for expected reductions in taxes payable in future periods. Deferred income taxes arise because of differences in the book and tax basis of certain assets and liabilities.</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Deferred income tax liabilities and assets consist of the following:</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AT DECEMBER 31, ---------------- 2000 1999 ----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LONG-TERM DEFERRED INCOME TAX LIABILITIES Property, plant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and equipment............................. $ 18 $ 11</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Intangibles...............................................</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60 81</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1 2 Total long-term deferred income tax</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liabilities........... $ 79 $ 94 LONG-TERM DEFERRED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INCOME TAX ASSETS Employee</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Benefits......................................... $ 41 $</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46 Reserves and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allowances................................... 5 7</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4 -- Total long-term deferred income tax</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assets................ $ 50 $ 53 Net long-term deferred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income tax liabilities............... 29 41 CURRENT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DEFERRED INCOME TAX LIABILITIES Total current deferred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income tax liabilities............... $ 9 $ 9</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L-178</w:t>
      </w:r>
    </w:p>
    <w:p>
      <w:pPr>
        <w:sectPr>
          <w:pgSz w:w="11900" w:h="16838" w:orient="portrait"/>
          <w:cols w:equalWidth="0" w:num="1">
            <w:col w:w="10219"/>
          </w:cols>
          <w:pgMar w:left="240" w:top="518" w:right="1440" w:bottom="1440" w:gutter="0" w:footer="0" w:header="0"/>
        </w:sectPr>
      </w:pPr>
    </w:p>
    <w:bookmarkStart w:id="792" w:name="page793"/>
    <w:bookmarkEnd w:id="792"/>
    <w:p>
      <w:pPr>
        <w:ind w:left="2740"/>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AT DECEMBER 31, ---------------- 2000 1999 ---- ----</w:t>
      </w:r>
    </w:p>
    <w:p>
      <w:pPr>
        <w:spacing w:after="0" w:line="9"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CURRENT DEFERRED INCOME TAX ASSETS Business</w:t>
      </w:r>
    </w:p>
    <w:p>
      <w:pPr>
        <w:spacing w:after="0" w:line="9" w:lineRule="exact"/>
        <w:rPr>
          <w:sz w:val="20"/>
          <w:szCs w:val="20"/>
          <w:color w:val="auto"/>
        </w:rPr>
      </w:pPr>
    </w:p>
    <w:p>
      <w:pPr>
        <w:ind w:left="100"/>
        <w:spacing w:after="0"/>
        <w:tabs>
          <w:tab w:leader="dot" w:pos="5320" w:val="left"/>
        </w:tabs>
        <w:rPr>
          <w:sz w:val="20"/>
          <w:szCs w:val="20"/>
          <w:color w:val="auto"/>
        </w:rPr>
      </w:pPr>
      <w:r>
        <w:rPr>
          <w:rFonts w:ascii="Courier New" w:cs="Courier New" w:eastAsia="Courier New" w:hAnsi="Courier New"/>
          <w:sz w:val="17"/>
          <w:szCs w:val="17"/>
          <w:color w:val="auto"/>
        </w:rPr>
        <w:t>restructuring</w:t>
      </w:r>
      <w:r>
        <w:rPr>
          <w:sz w:val="20"/>
          <w:szCs w:val="20"/>
          <w:color w:val="auto"/>
        </w:rPr>
        <w:tab/>
      </w:r>
      <w:r>
        <w:rPr>
          <w:rFonts w:ascii="Courier New" w:cs="Courier New" w:eastAsia="Courier New" w:hAnsi="Courier New"/>
          <w:sz w:val="17"/>
          <w:szCs w:val="17"/>
          <w:color w:val="auto"/>
        </w:rPr>
        <w:t>$ 17 $</w:t>
      </w:r>
    </w:p>
    <w:p>
      <w:pPr>
        <w:spacing w:after="0" w:line="9"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21 Employee</w:t>
      </w:r>
    </w:p>
    <w:p>
      <w:pPr>
        <w:spacing w:after="0" w:line="9" w:lineRule="exact"/>
        <w:rPr>
          <w:sz w:val="20"/>
          <w:szCs w:val="20"/>
          <w:color w:val="auto"/>
        </w:rPr>
      </w:pPr>
    </w:p>
    <w:p>
      <w:pPr>
        <w:ind w:left="160"/>
        <w:spacing w:after="0"/>
        <w:tabs>
          <w:tab w:leader="dot" w:pos="5380" w:val="left"/>
        </w:tabs>
        <w:rPr>
          <w:sz w:val="20"/>
          <w:szCs w:val="20"/>
          <w:color w:val="auto"/>
        </w:rPr>
      </w:pPr>
      <w:r>
        <w:rPr>
          <w:rFonts w:ascii="Courier New" w:cs="Courier New" w:eastAsia="Courier New" w:hAnsi="Courier New"/>
          <w:sz w:val="17"/>
          <w:szCs w:val="17"/>
          <w:color w:val="auto"/>
        </w:rPr>
        <w:t>benefits</w:t>
      </w:r>
      <w:r>
        <w:rPr>
          <w:sz w:val="20"/>
          <w:szCs w:val="20"/>
          <w:color w:val="auto"/>
        </w:rPr>
        <w:tab/>
      </w:r>
      <w:r>
        <w:rPr>
          <w:rFonts w:ascii="Courier New" w:cs="Courier New" w:eastAsia="Courier New" w:hAnsi="Courier New"/>
          <w:sz w:val="17"/>
          <w:szCs w:val="17"/>
          <w:color w:val="auto"/>
        </w:rPr>
        <w:t>23 39</w:t>
      </w:r>
    </w:p>
    <w:p>
      <w:pPr>
        <w:spacing w:after="0" w:line="9"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Reserve and</w:t>
      </w:r>
    </w:p>
    <w:p>
      <w:pPr>
        <w:spacing w:after="0" w:line="9" w:lineRule="exact"/>
        <w:rPr>
          <w:sz w:val="20"/>
          <w:szCs w:val="20"/>
          <w:color w:val="auto"/>
        </w:rPr>
      </w:pPr>
    </w:p>
    <w:p>
      <w:pPr>
        <w:ind w:left="220"/>
        <w:spacing w:after="0"/>
        <w:tabs>
          <w:tab w:leader="dot" w:pos="5120" w:val="left"/>
        </w:tabs>
        <w:rPr>
          <w:sz w:val="20"/>
          <w:szCs w:val="20"/>
          <w:color w:val="auto"/>
        </w:rPr>
      </w:pPr>
      <w:r>
        <w:rPr>
          <w:rFonts w:ascii="Courier New" w:cs="Courier New" w:eastAsia="Courier New" w:hAnsi="Courier New"/>
          <w:sz w:val="17"/>
          <w:szCs w:val="17"/>
          <w:color w:val="auto"/>
        </w:rPr>
        <w:t>allowances</w:t>
      </w:r>
      <w:r>
        <w:rPr>
          <w:sz w:val="20"/>
          <w:szCs w:val="20"/>
          <w:color w:val="auto"/>
        </w:rPr>
        <w:tab/>
      </w:r>
      <w:r>
        <w:rPr>
          <w:rFonts w:ascii="Courier New" w:cs="Courier New" w:eastAsia="Courier New" w:hAnsi="Courier New"/>
          <w:sz w:val="17"/>
          <w:szCs w:val="17"/>
          <w:color w:val="auto"/>
        </w:rPr>
        <w:t>255 300</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Advanced</w:t>
      </w:r>
    </w:p>
    <w:p>
      <w:pPr>
        <w:spacing w:after="0" w:line="9" w:lineRule="exact"/>
        <w:rPr>
          <w:sz w:val="20"/>
          <w:szCs w:val="20"/>
          <w:color w:val="auto"/>
        </w:rPr>
      </w:pPr>
    </w:p>
    <w:p>
      <w:pPr>
        <w:ind w:left="160"/>
        <w:spacing w:after="0"/>
        <w:tabs>
          <w:tab w:leader="dot" w:pos="5380" w:val="left"/>
        </w:tabs>
        <w:rPr>
          <w:sz w:val="20"/>
          <w:szCs w:val="20"/>
          <w:color w:val="auto"/>
        </w:rPr>
      </w:pPr>
      <w:r>
        <w:rPr>
          <w:rFonts w:ascii="Courier New" w:cs="Courier New" w:eastAsia="Courier New" w:hAnsi="Courier New"/>
          <w:sz w:val="17"/>
          <w:szCs w:val="17"/>
          <w:color w:val="auto"/>
        </w:rPr>
        <w:t>Payments</w:t>
      </w:r>
      <w:r>
        <w:rPr>
          <w:sz w:val="20"/>
          <w:szCs w:val="20"/>
          <w:color w:val="auto"/>
        </w:rPr>
        <w:tab/>
      </w:r>
      <w:r>
        <w:rPr>
          <w:rFonts w:ascii="Courier New" w:cs="Courier New" w:eastAsia="Courier New" w:hAnsi="Courier New"/>
          <w:sz w:val="17"/>
          <w:szCs w:val="17"/>
          <w:color w:val="auto"/>
        </w:rPr>
        <w:t>27 20</w:t>
      </w:r>
    </w:p>
    <w:p>
      <w:pPr>
        <w:spacing w:after="0" w:line="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Other</w:t>
        <w:tab/>
        <w:t>.....................................................</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1 1 Total current deferred income tax</w:t>
      </w:r>
    </w:p>
    <w:p>
      <w:pPr>
        <w:spacing w:after="0" w:line="9" w:lineRule="exact"/>
        <w:rPr>
          <w:sz w:val="20"/>
          <w:szCs w:val="20"/>
          <w:color w:val="auto"/>
        </w:rPr>
      </w:pPr>
    </w:p>
    <w:p>
      <w:pPr>
        <w:ind w:left="60"/>
        <w:spacing w:after="0"/>
        <w:tabs>
          <w:tab w:leader="dot" w:pos="2860" w:val="left"/>
        </w:tabs>
        <w:rPr>
          <w:sz w:val="20"/>
          <w:szCs w:val="20"/>
          <w:color w:val="auto"/>
        </w:rPr>
      </w:pPr>
      <w:r>
        <w:rPr>
          <w:rFonts w:ascii="Courier New" w:cs="Courier New" w:eastAsia="Courier New" w:hAnsi="Courier New"/>
          <w:sz w:val="17"/>
          <w:szCs w:val="17"/>
          <w:color w:val="auto"/>
        </w:rPr>
        <w:t>assets</w:t>
      </w:r>
      <w:r>
        <w:rPr>
          <w:sz w:val="20"/>
          <w:szCs w:val="20"/>
          <w:color w:val="auto"/>
        </w:rPr>
        <w:tab/>
      </w:r>
      <w:r>
        <w:rPr>
          <w:rFonts w:ascii="Courier New" w:cs="Courier New" w:eastAsia="Courier New" w:hAnsi="Courier New"/>
          <w:sz w:val="17"/>
          <w:szCs w:val="17"/>
          <w:color w:val="auto"/>
        </w:rPr>
        <w:t>$323 $381 Net current deferred</w:t>
      </w:r>
    </w:p>
    <w:p>
      <w:pPr>
        <w:spacing w:after="0" w:line="9" w:lineRule="exact"/>
        <w:rPr>
          <w:sz w:val="20"/>
          <w:szCs w:val="20"/>
          <w:color w:val="auto"/>
        </w:rPr>
      </w:pPr>
    </w:p>
    <w:p>
      <w:pPr>
        <w:ind w:left="480"/>
        <w:spacing w:after="0"/>
        <w:tabs>
          <w:tab w:leader="dot" w:pos="4640" w:val="left"/>
        </w:tabs>
        <w:rPr>
          <w:sz w:val="20"/>
          <w:szCs w:val="20"/>
          <w:color w:val="auto"/>
        </w:rPr>
      </w:pPr>
      <w:r>
        <w:rPr>
          <w:rFonts w:ascii="Courier New" w:cs="Courier New" w:eastAsia="Courier New" w:hAnsi="Courier New"/>
          <w:sz w:val="17"/>
          <w:szCs w:val="17"/>
          <w:color w:val="auto"/>
        </w:rPr>
        <w:t>income tax assets</w:t>
      </w:r>
      <w:r>
        <w:rPr>
          <w:sz w:val="20"/>
          <w:szCs w:val="20"/>
          <w:color w:val="auto"/>
        </w:rPr>
        <w:tab/>
      </w:r>
      <w:r>
        <w:rPr>
          <w:rFonts w:ascii="Courier New" w:cs="Courier New" w:eastAsia="Courier New" w:hAnsi="Courier New"/>
          <w:sz w:val="17"/>
          <w:szCs w:val="17"/>
          <w:color w:val="auto"/>
        </w:rPr>
        <w:t>$314 $372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COMMITMENTS AND CONTINGENCIES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normal course of business AT&amp;T Consumer Services Group is subject to proceedings, lawsuits and other claims, including proceedings under laws and regulations related to environmental and other matters. Such matters are subject to many uncertainties, and outcomes are not predictable with assurance. Consequently, AT&amp;T Consumer Services Group is unable to ascertain the ultimate aggregate amount of monetary liability or financial impact with respect to these matters at December 31, 2000. These matters could affect the operating results of any one quarter when resolved in future periods. However, AT&amp;T Consumer Services Group believes that after final disposition, any monetary liability or financial impact to us beyond that provided for at year-end would not be material to AT&amp;T Consumer Services Group's annual combined financial statements.</w:t>
      </w:r>
    </w:p>
    <w:p>
      <w:pPr>
        <w:spacing w:after="0" w:line="201"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AT&amp;T Consumer Services Group leases equipment through contracts that expire in various years through 2004. Rental expense under operating leases was $15, $19 and $11 for the years ended December 31 2000, 1999 and 1998, respectively.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NEW ACCOUNTING PRONOUNCEMENTS</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June 1998, the Financial Accounting Standards Board (FASB) issued SFAS No. 133, "Accounting for Derivative Instruments and Hedging Activities." Among other provisions, it requires that entities recognize all derivatives as either assets or liabilities in the statement of financial position and measure those instruments at fair value. Gains and losses resulting from changes in the fair value of those derivatives would be accounted for depending on the use of the derivative and whether it qualifies for hedge accounting. The effective date of this standard was delayed via the issuance of SFAS No. 137. The effective date for SFAS No. 133 is now for fiscal years beginning after June 15, 2000, though earlier adoption is encouraged and retroactive application is prohibited. For AT&amp;T Consumer Services Group this means that the standard must be adopted no later than January 1, 2001.</w:t>
      </w:r>
    </w:p>
    <w:p>
      <w:pPr>
        <w:spacing w:after="0" w:line="201"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In June 2000, the FASB issued SFAS No. 138, "Accounting for Certain Derivative Instruments and Certain Hedging Activities" as an amendment to SFAS No. 133. This statement provides clarification with regard to certain implementation issues under SFAS No. 133 on specific types of hedges.</w:t>
      </w:r>
    </w:p>
    <w:p>
      <w:pPr>
        <w:spacing w:after="0" w:line="195"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On January 1, 2001, AT&amp;T Consumer Services Group adopted SFAS No. 133. This adoption did not have a material impact on AT&amp;T Consumer Services Group's combined financial statements.</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impact of the adoption of SFAS No. 133, as amended by SFAS No. 138, on AT&amp;T Consumer Services Group's future results of operations is dependent upon the fair values of AT&amp;T Consumer Services Group's derivatives and related financial instruments and could result in pronounced quarterly fluctuations in other income in future periods.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L-179</w:t>
      </w:r>
    </w:p>
    <w:p>
      <w:pPr>
        <w:sectPr>
          <w:pgSz w:w="11900" w:h="16838" w:orient="portrait"/>
          <w:cols w:equalWidth="0" w:num="1">
            <w:col w:w="10219"/>
          </w:cols>
          <w:pgMar w:left="240" w:top="518" w:right="1440" w:bottom="1440" w:gutter="0" w:footer="0" w:header="0"/>
        </w:sectPr>
      </w:pPr>
    </w:p>
    <w:bookmarkStart w:id="793" w:name="page794"/>
    <w:bookmarkEnd w:id="793"/>
    <w:p>
      <w:pPr>
        <w:jc w:val="center"/>
        <w:ind w:right="1839"/>
        <w:spacing w:after="0"/>
        <w:rPr>
          <w:sz w:val="20"/>
          <w:szCs w:val="20"/>
          <w:color w:val="auto"/>
        </w:rPr>
      </w:pPr>
      <w:r>
        <w:rPr>
          <w:rFonts w:ascii="Courier New" w:cs="Courier New" w:eastAsia="Courier New" w:hAnsi="Courier New"/>
          <w:sz w:val="17"/>
          <w:szCs w:val="17"/>
          <w:color w:val="auto"/>
        </w:rPr>
        <w:t>AT&amp;T CONSUMER SERVICES GROUP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(AN INTEGRATED BUSINESS OF AT&amp;T)</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September 2000, the FASB issued SFAS No. 140, "Accounting for Transfers and Servicing of Financial Assets and Extinguishments of Liabilities -- A Replacement of FASB No. 125." This statement provides accounting and reporting standards for transfers and servicing of financial assets and extinguishments of liabilities. Under these standards, after a transfer of financial assets, an entity recognizes the financial and servicing assets it controls and the liabilities it has incurred, derecognizes financial assets when control has been surrendered, and derecognizes liabilities when extinguished. This statement provides consistent standards for distinguishing transfers of financial assets that are sales from transfers that are secured borrowings. This statement is effective for transfers and servicing of financial assets and extinguishments of liabilities occurring after March 31, 2001. AT&amp;T Consumer Services Group does not expect that the adoption of SFAS No. 140 will have a material impact on AT&amp;T Consumer Services Group's results of operations, financial position or cash flows.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SUBSEQUENT EVENTS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On April 26, 2001, AT&amp;T initiated a 364-day accounts receivable securitization program providing for up to $500 of funding. Under the program, a small percentage of accounts receivable related to AT&amp;T Consumer Services Group will be sold on a discounted, revolving basis, to a special purpose, wholly-owned subsidiary, which assigns interests in such receivables to unrelated third-party financing entities.</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March 23, 2001, AT&amp;T Inc. signed an agreement to acquire substantially all of the assets of NorthPoint Communications Group, Inc. valued at approximately $135. The acquisition includes all of NorthPoint's co-locations nationwide, certain network equipment, systems and support software and related assets, including two leased buildings. The purchase of NorthPoint Communications Group, Inc. is expected to be attributed to AT&amp;T Communications Services, Inc.</w:t>
      </w:r>
    </w:p>
    <w:p>
      <w:pPr>
        <w:spacing w:after="0" w:line="3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L-180</w:t>
      </w:r>
    </w:p>
    <w:p>
      <w:pPr>
        <w:sectPr>
          <w:pgSz w:w="11900" w:h="16838" w:orient="portrait"/>
          <w:cols w:equalWidth="0" w:num="1">
            <w:col w:w="10219"/>
          </w:cols>
          <w:pgMar w:left="240" w:top="518" w:right="1440" w:bottom="1440" w:gutter="0" w:footer="0" w:header="0"/>
        </w:sectPr>
      </w:pPr>
    </w:p>
    <w:bookmarkStart w:id="794" w:name="page795"/>
    <w:bookmarkEnd w:id="794"/>
    <w:p>
      <w:pPr>
        <w:jc w:val="center"/>
        <w:ind w:right="1939"/>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ON ACCOMPANYING CONSOLIDATING CONDENSED INFORMATION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Shareowners of AT&amp;T Corp.</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report on our audit of the consolidated financial statements, in which we indicated the extent of our reliance on the report of other auditors, of AT&amp;T Corp. and its subsidiaries at December 31, 2000 and 1999 and for each of the three years in the period ended December 31, 2000, appears on page L-35 of this document. That audit was conducted for the purpose of forming an opinion on the consolidated financial statements taken as a whole. The consolidating condensed information that appears on pages L-188 through L-195 is presented for purposes of additional analysis of the consolidated financial statements rather than to present the financial position, results of operations and cash flows of the individual companies. Accordingly, we do not express an opinion on the financial position, results of operations and cash flows of the individual companies. However, the consolidating condensed information has been subjected to the auditing procedures applied in the audit of the consolidated financial statements and, in our opinion, is fairly stated in all material respects in relation to the consolidated financial statements taken as a whole.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PricewaterhouseCoopers LLP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16, 2001, except for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allocation of costs and expenses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between the groups and other related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party transactions, which 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disclosed in the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AT&amp;T Consumer Services Group, as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 the date is May 9, 2001,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measurement date for discontinued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 as to which the date 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29, 2001, and the split-off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Liberty Media Group, as to which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is August 10, 2001</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L-181</w:t>
      </w:r>
    </w:p>
    <w:p>
      <w:pPr>
        <w:sectPr>
          <w:pgSz w:w="11900" w:h="16838" w:orient="portrait"/>
          <w:cols w:equalWidth="0" w:num="1">
            <w:col w:w="10219"/>
          </w:cols>
          <w:pgMar w:left="240" w:top="719" w:right="1440" w:bottom="1440" w:gutter="0" w:footer="0" w:header="0"/>
        </w:sectPr>
      </w:pPr>
    </w:p>
    <w:bookmarkStart w:id="795" w:name="page796"/>
    <w:bookmarkEnd w:id="795"/>
    <w:p>
      <w:pPr>
        <w:ind w:left="1780"/>
        <w:spacing w:after="0"/>
        <w:rPr>
          <w:sz w:val="20"/>
          <w:szCs w:val="20"/>
          <w:color w:val="auto"/>
        </w:rPr>
      </w:pPr>
      <w:r>
        <w:rPr>
          <w:rFonts w:ascii="Courier New" w:cs="Courier New" w:eastAsia="Courier New" w:hAnsi="Courier New"/>
          <w:sz w:val="17"/>
          <w:szCs w:val="17"/>
          <w:color w:val="auto"/>
        </w:rPr>
        <w:t>CONSOLIDATING CONDENSED FINANCIAL INFORMATION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conjunction with the issuance of Liberty Media Group tracking stock, and the proposed issuance of AT&amp;T Consumer Services Group tracking stock, AT&amp;T has separated for financial reporting purposes in all periods the AT&amp;T Common Stock Group, Liberty Media Group and AT&amp;T Consumer Services Group. Below is the consolidating financial information reflecting the businesses of these individual groups, including the allocation of expenses between the groups in accordance with our allocation policies, as well as other related party transactions such as sales of services between groups and interest income and expense on intercompany borrowings. AT&amp;T does not have a controlling financial interest in Liberty Media Group for financial accounting purposes; therefore, our ownership in Liberty Media Group is reflected as an investment accounted for under the equity method and is reflected as such in the consolidating financial statements below. The results of AT&amp;T Broadband Group are reflected within AT&amp;T Common Stock Group.</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Consumer Services Group purchases long distance and other network-related services from AT&amp;T at market-based prices and such amounts are eliminated in consolidation. Debt has been allocated to AT&amp;T Consumer Services Group based on the future view of AT&amp;T's debt position after taking into account the significant deleveraging activities of AT&amp;T. This allocation took into account the following factors: prospective financing requirements, desired stand-alone credit profile, working capital and capital expenditure requirements and comparable company profiles. The historical interest expense on the allocated debt was calculated based on a rate intended to be equivalent to the rate AT&amp;T Consumer Services Group would have received if it was a stand-alone entity. General corporate overhead related to AT&amp;T's corporate headquarters and common support divisions has been allocated to the groups based on the ratio of each group's external costs and expenses to AT&amp;T's consolidated external costs and expenses, adjusted for any functions that any group performs on its own. The consolidated income tax provision, related tax payments or refunds, and deferred tax balances of AT&amp;T have been allocated to the groups based principally on the taxable income and tax credits directly attributable to each group.</w:t>
      </w:r>
    </w:p>
    <w:p>
      <w:pPr>
        <w:spacing w:after="0" w:line="20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Pursuant to the Inter-Group agreement, AT&amp;T does not allocate general overhead expenses to Liberty Media Group and only charges Liberty Media Group for specific services that Liberty Media Group receives from AT&amp;T pursuant to service agreements or similar arrangements. Additionally, as Liberty Media Group operates independent of AT&amp;T, there is no cash or debt allocated to them.</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On July 9, 2001, AT&amp;T completed the split-off of AT&amp;T Wireless as a separate, independently-traded company. All AT&amp;T Wireless tracking stock was converted into AT&amp;T Wireless common stock on a one-for-one basis and 1,136 million shares of AT&amp;T Wireless common stock, held by AT&amp;T, was distributed to AT&amp;T common shareowners on a basis of 0.3218 of a share of AT&amp;T Wireless for each AT&amp;T share outstanding. The results of AT&amp;T Wireless have been included as discontinued operations for all periods presented. The split-off of AT&amp;T Wireless resulted in a non-cash gain of approximately $13.5 billion.</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On August 10, 2001, AT&amp;T completed the split-off of Liberty Media Corporation as an independent, publicly-traded company. AT&amp;T redeemed each outstanding share of Class A and Class B Liberty Media Group (LMG) tracking stock for one share of Liberty Media Corporation's Series A and Series B common stock, respectively. The split-off was recorded as a book value transaction, therefore, no gain or loss was recorded.</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L-182</w:t>
      </w:r>
    </w:p>
    <w:p>
      <w:pPr>
        <w:sectPr>
          <w:pgSz w:w="11900" w:h="16838" w:orient="portrait"/>
          <w:cols w:equalWidth="0" w:num="1">
            <w:col w:w="10219"/>
          </w:cols>
          <w:pgMar w:left="240" w:top="719" w:right="1440" w:bottom="1440" w:gutter="0" w:footer="0" w:header="0"/>
        </w:sectPr>
      </w:pPr>
    </w:p>
    <w:bookmarkStart w:id="796" w:name="page797"/>
    <w:bookmarkEnd w:id="796"/>
    <w:p>
      <w:pPr>
        <w:jc w:val="center"/>
        <w:ind w:right="181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CONSOLIDATING CONDENSED INCOME STATEMENT</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FOR THE NINE MONTHS ENDED SEPTEMBER 30, 2001</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AT&amp;T AT&amp;T COMMON CONSUMER LIBERTY</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ELIMINATIONS/ STOCK SERVICES MEDIA</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RECLASSI- CONSOLIDATED GROUP(1)</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GROUP GROUP FICATIONS(2) AT&amp;T CORP.</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ind w:left="1000" w:right="6819" w:hanging="526"/>
        <w:spacing w:after="0" w:line="251" w:lineRule="auto"/>
        <w:tabs>
          <w:tab w:leader="none" w:pos="895" w:val="left"/>
        </w:tabs>
        <w:numPr>
          <w:ilvl w:val="0"/>
          <w:numId w:val="8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External</w:t>
      </w:r>
    </w:p>
    <w:p>
      <w:pPr>
        <w:jc w:val="center"/>
        <w:ind w:right="633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$28,350 $11,614 $ -- $ -- $39,964</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Inter-group</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revenue.................... 214</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(214) Total</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28,564 11,614 (214) 39,964 Operating</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Expenses Costs of services and</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products......... 9,147 1,311 10,458</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Access and other</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connection............ 6,177 3,112</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9,289 Selling, general and</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administrative.... 5,686 2,458 8,144</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Depreciation and other</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amortization.... 4,997 145 (26)</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5,116 Amortization of goodwill,</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franchise costs and other purchased</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intangibles..........................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1,894 26 1,920 Net restructuring and</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other charges.... 1,494 1,494 Inter-</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group expenses...................</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(630) 844 (214) Total operating</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expenses............... 28,765 7,870</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(214) 36,421 Operating (loss)</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income................ (201) 3,744</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3,543 Other</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(7,217) 22 (7,195) Inter-group</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interest income............ 132</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(132) Interest</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expense....................... 2,424</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2 2,426 Inter-group interest</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expense........... 132 (132) (Loss)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before income taxes, minority</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interest and earnings (losses) from</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2460" w:type="dxa"/>
            <w:vAlign w:val="bottom"/>
          </w:tcPr>
          <w:p>
            <w:pPr>
              <w:spacing w:after="0"/>
              <w:rPr>
                <w:sz w:val="20"/>
                <w:szCs w:val="20"/>
                <w:color w:val="auto"/>
              </w:rPr>
            </w:pPr>
            <w:r>
              <w:rPr>
                <w:rFonts w:ascii="Courier New" w:cs="Courier New" w:eastAsia="Courier New" w:hAnsi="Courier New"/>
                <w:sz w:val="17"/>
                <w:szCs w:val="17"/>
                <w:color w:val="auto"/>
              </w:rPr>
              <w:t>equity investments.....</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(9,710)</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3,632 (6,078) (Benefit) provision</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2080" w:type="dxa"/>
            <w:vAlign w:val="bottom"/>
          </w:tcPr>
          <w:p>
            <w:pPr>
              <w:spacing w:after="0"/>
              <w:rPr>
                <w:sz w:val="20"/>
                <w:szCs w:val="20"/>
                <w:color w:val="auto"/>
              </w:rPr>
            </w:pPr>
            <w:r>
              <w:rPr>
                <w:rFonts w:ascii="Courier New" w:cs="Courier New" w:eastAsia="Courier New" w:hAnsi="Courier New"/>
                <w:sz w:val="17"/>
                <w:szCs w:val="17"/>
                <w:color w:val="auto"/>
              </w:rPr>
              <w:t>for income taxes...</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(4,135)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1,389</w:t>
            </w:r>
          </w:p>
        </w:tc>
      </w:tr>
      <w:tr>
        <w:trPr>
          <w:trHeight w:val="201"/>
        </w:trPr>
        <w:tc>
          <w:tcPr>
            <w:tcW w:w="344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(2,746) Minority interest</w:t>
            </w:r>
          </w:p>
        </w:tc>
      </w:tr>
      <w:tr>
        <w:trPr>
          <w:trHeight w:val="201"/>
        </w:trPr>
        <w:tc>
          <w:tcPr>
            <w:tcW w:w="2080" w:type="dxa"/>
            <w:vAlign w:val="bottom"/>
          </w:tcPr>
          <w:p>
            <w:pPr>
              <w:spacing w:after="0"/>
              <w:rPr>
                <w:sz w:val="20"/>
                <w:szCs w:val="20"/>
                <w:color w:val="auto"/>
              </w:rPr>
            </w:pPr>
            <w:r>
              <w:rPr>
                <w:rFonts w:ascii="Courier New" w:cs="Courier New" w:eastAsia="Courier New" w:hAnsi="Courier New"/>
                <w:sz w:val="17"/>
                <w:szCs w:val="17"/>
                <w:color w:val="auto"/>
                <w:w w:val="96"/>
              </w:rPr>
              <w:t>income...............</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1,015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1,015</w:t>
            </w:r>
          </w:p>
        </w:tc>
      </w:tr>
    </w:tbl>
    <w:p>
      <w:pPr>
        <w:spacing w:after="0" w:line="4"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Equity losses from Liberty Media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(2,711) (2,711) Net losses from</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other equity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423 423 (Loss) income from</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continuing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(4,983) 2,243 (2,711) (5,451) 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from discontinued operations (net of</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30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r>
    </w:tbl>
    <w:p>
      <w:pPr>
        <w:spacing w:after="0" w:line="4"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150 Gain on disposition of</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discontinued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13,503 13,503 Income before</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cumulative effect of accounting</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change.................... 8,670</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2,243 (2,711) 8,202 Cumulative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effect of accounting change (net of</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30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359</w:t>
            </w:r>
          </w:p>
        </w:tc>
      </w:tr>
    </w:tbl>
    <w:p>
      <w:pPr>
        <w:spacing w:after="0" w:line="4"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545 904 Net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9,029 2,243 (2,166) 9,106 Dividend</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requirements on preferred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652 652 Premium on wireless tracking</w:t>
      </w:r>
    </w:p>
    <w:p>
      <w:pPr>
        <w:sectPr>
          <w:pgSz w:w="11900" w:h="16838" w:orient="portrait"/>
          <w:cols w:equalWidth="0" w:num="1">
            <w:col w:w="10219"/>
          </w:cols>
          <w:pgMar w:left="240" w:top="720" w:right="1440" w:bottom="0" w:gutter="0" w:footer="0" w:header="0"/>
        </w:sectPr>
      </w:pPr>
    </w:p>
    <w:bookmarkStart w:id="797" w:name="page798"/>
    <w:bookmarkEnd w:id="797"/>
    <w:p>
      <w:pPr>
        <w:jc w:val="center"/>
        <w:ind w:right="633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80 80 Net income available to common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shareowners..........................</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$ 8,297 $ 2,243 $(2,166) $ -- $</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8,374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2039" w:hanging="413"/>
        <w:spacing w:after="0" w:line="257" w:lineRule="auto"/>
        <w:tabs>
          <w:tab w:leader="none" w:pos="420" w:val="left"/>
        </w:tabs>
        <w:numPr>
          <w:ilvl w:val="0"/>
          <w:numId w:val="8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1" w:lineRule="exact"/>
        <w:rPr>
          <w:rFonts w:ascii="Courier New" w:cs="Courier New" w:eastAsia="Courier New" w:hAnsi="Courier New"/>
          <w:sz w:val="17"/>
          <w:szCs w:val="17"/>
          <w:color w:val="auto"/>
        </w:rPr>
      </w:pPr>
    </w:p>
    <w:p>
      <w:pPr>
        <w:ind w:left="420" w:right="1839" w:hanging="413"/>
        <w:spacing w:after="0" w:line="257" w:lineRule="auto"/>
        <w:tabs>
          <w:tab w:leader="none" w:pos="420" w:val="left"/>
        </w:tabs>
        <w:numPr>
          <w:ilvl w:val="0"/>
          <w:numId w:val="8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L-183</w:t>
      </w:r>
    </w:p>
    <w:p>
      <w:pPr>
        <w:sectPr>
          <w:pgSz w:w="11900" w:h="16838" w:orient="portrait"/>
          <w:cols w:equalWidth="0" w:num="1">
            <w:col w:w="10219"/>
          </w:cols>
          <w:pgMar w:left="240" w:top="142" w:right="1440" w:bottom="1440" w:gutter="0" w:footer="0" w:header="0"/>
        </w:sectPr>
      </w:pPr>
    </w:p>
    <w:bookmarkStart w:id="798" w:name="page799"/>
    <w:bookmarkEnd w:id="798"/>
    <w:p>
      <w:pPr>
        <w:jc w:val="center"/>
        <w:ind w:right="183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CONSOLIDATING CONDENSED INCOME STATEMENT</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FOR THE NINE MONTHS ENDED SEPTEMBER 30, 2000</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AT&amp;T AT&amp;T COMMON CONSUMER LIBERTY</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ELIMINATIONS/ STOCK SERVICES MEDIA</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RECLASSIFI- CONSOLIDATED GROUP(1)</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GROUP GROUP CATIONS(2) AT&amp;T CORP. ---</w:t>
      </w:r>
    </w:p>
    <w:p>
      <w:pPr>
        <w:spacing w:after="0" w:line="9" w:lineRule="exact"/>
        <w:rPr>
          <w:sz w:val="20"/>
          <w:szCs w:val="20"/>
          <w:color w:val="auto"/>
        </w:rPr>
      </w:pPr>
    </w:p>
    <w:p>
      <w:pPr>
        <w:ind w:left="740" w:hanging="631"/>
        <w:spacing w:after="0"/>
        <w:tabs>
          <w:tab w:leader="none" w:pos="740" w:val="left"/>
        </w:tabs>
        <w:numPr>
          <w:ilvl w:val="0"/>
          <w:numId w:val="8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w:t>
      </w:r>
    </w:p>
    <w:p>
      <w:pPr>
        <w:spacing w:after="0" w:line="8" w:lineRule="exact"/>
        <w:rPr>
          <w:rFonts w:ascii="Courier New" w:cs="Courier New" w:eastAsia="Courier New" w:hAnsi="Courier New"/>
          <w:sz w:val="17"/>
          <w:szCs w:val="17"/>
          <w:color w:val="auto"/>
        </w:rPr>
      </w:pPr>
    </w:p>
    <w:p>
      <w:pPr>
        <w:ind w:left="15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External</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revenue........................</w:t>
            </w:r>
          </w:p>
        </w:tc>
      </w:tr>
      <w:tr>
        <w:trPr>
          <w:trHeight w:val="201"/>
        </w:trPr>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$26,972 $14,651</w:t>
            </w:r>
          </w:p>
        </w:tc>
        <w:tc>
          <w:tcPr>
            <w:tcW w:w="2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 $ -- $41,623</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Inter-group</w:t>
            </w:r>
          </w:p>
        </w:tc>
      </w:tr>
      <w:tr>
        <w:trPr>
          <w:trHeight w:val="201"/>
        </w:trPr>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w w:val="73"/>
              </w:rPr>
              <w:t>revenue.....................</w:t>
            </w:r>
          </w:p>
        </w:tc>
        <w:tc>
          <w:tcPr>
            <w:tcW w:w="2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223</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(223) Total</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revenue...........................</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27,195 14,651 (223) 41,623 Operating</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Expenses Access and other</w:t>
            </w:r>
          </w:p>
        </w:tc>
      </w:tr>
      <w:tr>
        <w:trPr>
          <w:trHeight w:val="201"/>
        </w:trPr>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w w:val="79"/>
              </w:rPr>
              <w:t>connection.............</w:t>
            </w:r>
          </w:p>
        </w:tc>
        <w:tc>
          <w:tcPr>
            <w:tcW w:w="2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6,054 4,126</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10,180 Costs of services and</w:t>
            </w:r>
          </w:p>
        </w:tc>
      </w:tr>
      <w:tr>
        <w:trPr>
          <w:trHeight w:val="201"/>
        </w:trPr>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products..........</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7,943 1,306 9,249</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Selling, general and</w:t>
            </w:r>
          </w:p>
        </w:tc>
      </w:tr>
      <w:tr>
        <w:trPr>
          <w:trHeight w:val="201"/>
        </w:trPr>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w w:val="95"/>
              </w:rPr>
              <w:t>administrative.....</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4,639 2,727 7,366</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Depreciation and other</w:t>
            </w:r>
          </w:p>
        </w:tc>
      </w:tr>
      <w:tr>
        <w:trPr>
          <w:trHeight w:val="201"/>
        </w:trPr>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amortization.....</w:t>
            </w:r>
          </w:p>
        </w:tc>
        <w:tc>
          <w:tcPr>
            <w:tcW w:w="2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4,104 123 (23)</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4,204 Amortization of goodwill,</w:t>
            </w:r>
          </w:p>
        </w:tc>
      </w:tr>
    </w:tbl>
    <w:p>
      <w:pPr>
        <w:spacing w:after="0" w:line="4"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franchise costs and other purchased</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intangibles...........................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1,410 23 1,433 Net restructuring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other charges..... 700 97 797 Inter-</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group expenses....................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(896) 1,119 (223) Total operating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expenses................ 23,954 9,498</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(223) 33,229 Operating</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3,241</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5,153 8,394 Other</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income............................</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1,295 63 1,358 Inter-group interest</w:t>
            </w:r>
          </w:p>
        </w:tc>
      </w:tr>
      <w:tr>
        <w:trPr>
          <w:trHeight w:val="201"/>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w w:val="82"/>
              </w:rPr>
              <w:t>income.............</w:t>
            </w:r>
          </w:p>
        </w:tc>
        <w:tc>
          <w:tcPr>
            <w:tcW w:w="2260" w:type="dxa"/>
            <w:vAlign w:val="bottom"/>
          </w:tcPr>
          <w:p>
            <w:pPr>
              <w:jc w:val="center"/>
              <w:ind w:left="373"/>
              <w:spacing w:after="0"/>
              <w:rPr>
                <w:sz w:val="20"/>
                <w:szCs w:val="20"/>
                <w:color w:val="auto"/>
              </w:rPr>
            </w:pPr>
            <w:r>
              <w:rPr>
                <w:rFonts w:ascii="Courier New" w:cs="Courier New" w:eastAsia="Courier New" w:hAnsi="Courier New"/>
                <w:sz w:val="17"/>
                <w:szCs w:val="17"/>
                <w:color w:val="auto"/>
              </w:rPr>
              <w:t>98 (98) Interest</w:t>
            </w:r>
          </w:p>
        </w:tc>
      </w:tr>
      <w:tr>
        <w:trPr>
          <w:trHeight w:val="201"/>
        </w:trPr>
        <w:tc>
          <w:tcPr>
            <w:tcW w:w="1620" w:type="dxa"/>
            <w:vAlign w:val="bottom"/>
          </w:tcPr>
          <w:p>
            <w:pPr>
              <w:jc w:val="right"/>
              <w:spacing w:after="0"/>
              <w:rPr>
                <w:sz w:val="20"/>
                <w:szCs w:val="20"/>
                <w:color w:val="auto"/>
              </w:rPr>
            </w:pPr>
            <w:r>
              <w:rPr>
                <w:rFonts w:ascii="Courier New" w:cs="Courier New" w:eastAsia="Courier New" w:hAnsi="Courier New"/>
                <w:sz w:val="12"/>
                <w:szCs w:val="12"/>
                <w:color w:val="auto"/>
                <w:w w:val="71"/>
              </w:rPr>
              <w:t>expense........................</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2,000 Inter-group interest</w:t>
            </w:r>
          </w:p>
        </w:tc>
      </w:tr>
      <w:tr>
        <w:trPr>
          <w:trHeight w:val="201"/>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w w:val="82"/>
              </w:rPr>
              <w:t>expense............</w:t>
            </w:r>
          </w:p>
        </w:tc>
        <w:tc>
          <w:tcPr>
            <w:tcW w:w="2260" w:type="dxa"/>
            <w:vAlign w:val="bottom"/>
          </w:tcPr>
          <w:p>
            <w:pPr>
              <w:jc w:val="center"/>
              <w:ind w:left="373"/>
              <w:spacing w:after="0"/>
              <w:rPr>
                <w:sz w:val="20"/>
                <w:szCs w:val="20"/>
                <w:color w:val="auto"/>
              </w:rPr>
            </w:pPr>
            <w:r>
              <w:rPr>
                <w:rFonts w:ascii="Courier New" w:cs="Courier New" w:eastAsia="Courier New" w:hAnsi="Courier New"/>
                <w:sz w:val="17"/>
                <w:szCs w:val="17"/>
                <w:color w:val="auto"/>
              </w:rPr>
              <w:t>98 (98) Income</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before income taxes, minority</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interest and earnings (losses) from</w:t>
            </w:r>
          </w:p>
        </w:tc>
      </w:tr>
      <w:tr>
        <w:trPr>
          <w:trHeight w:val="201"/>
        </w:trPr>
        <w:tc>
          <w:tcPr>
            <w:tcW w:w="1620" w:type="dxa"/>
            <w:vAlign w:val="bottom"/>
          </w:tcPr>
          <w:p>
            <w:pPr>
              <w:spacing w:after="0"/>
              <w:rPr>
                <w:sz w:val="17"/>
                <w:szCs w:val="17"/>
                <w:color w:val="auto"/>
              </w:rPr>
            </w:pPr>
          </w:p>
        </w:tc>
        <w:tc>
          <w:tcPr>
            <w:tcW w:w="2260" w:type="dxa"/>
            <w:vAlign w:val="bottom"/>
          </w:tcPr>
          <w:p>
            <w:pPr>
              <w:jc w:val="center"/>
              <w:ind w:right="1553"/>
              <w:spacing w:after="0"/>
              <w:rPr>
                <w:sz w:val="20"/>
                <w:szCs w:val="20"/>
                <w:color w:val="auto"/>
              </w:rPr>
            </w:pPr>
            <w:r>
              <w:rPr>
                <w:rFonts w:ascii="Courier New" w:cs="Courier New" w:eastAsia="Courier New" w:hAnsi="Courier New"/>
                <w:sz w:val="17"/>
                <w:szCs w:val="17"/>
                <w:color w:val="auto"/>
              </w:rPr>
              <w:t>equity</w:t>
            </w:r>
          </w:p>
        </w:tc>
      </w:tr>
      <w:tr>
        <w:trPr>
          <w:trHeight w:val="201"/>
        </w:trPr>
        <w:tc>
          <w:tcPr>
            <w:tcW w:w="1620" w:type="dxa"/>
            <w:vAlign w:val="bottom"/>
          </w:tcPr>
          <w:p>
            <w:pPr>
              <w:jc w:val="right"/>
              <w:spacing w:after="0"/>
              <w:rPr>
                <w:sz w:val="20"/>
                <w:szCs w:val="20"/>
                <w:color w:val="auto"/>
              </w:rPr>
            </w:pPr>
            <w:r>
              <w:rPr>
                <w:rFonts w:ascii="Courier New" w:cs="Courier New" w:eastAsia="Courier New" w:hAnsi="Courier New"/>
                <w:sz w:val="12"/>
                <w:szCs w:val="12"/>
                <w:color w:val="auto"/>
                <w:w w:val="71"/>
              </w:rPr>
              <w:t>investments....................</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2,634</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5,118 7,752 Provision for income</w:t>
            </w:r>
          </w:p>
        </w:tc>
      </w:tr>
      <w:tr>
        <w:trPr>
          <w:trHeight w:val="201"/>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w w:val="82"/>
              </w:rPr>
              <w:t>taxes..............</w:t>
            </w:r>
          </w:p>
        </w:tc>
        <w:tc>
          <w:tcPr>
            <w:tcW w:w="2260" w:type="dxa"/>
            <w:vAlign w:val="bottom"/>
          </w:tcPr>
          <w:p>
            <w:pPr>
              <w:jc w:val="center"/>
              <w:ind w:left="373"/>
              <w:spacing w:after="0"/>
              <w:rPr>
                <w:sz w:val="20"/>
                <w:szCs w:val="20"/>
                <w:color w:val="auto"/>
              </w:rPr>
            </w:pPr>
            <w:r>
              <w:rPr>
                <w:rFonts w:ascii="Courier New" w:cs="Courier New" w:eastAsia="Courier New" w:hAnsi="Courier New"/>
                <w:sz w:val="17"/>
                <w:szCs w:val="17"/>
                <w:color w:val="auto"/>
              </w:rPr>
              <w:t>575 1,957 2,532</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Minority interest</w:t>
            </w:r>
          </w:p>
        </w:tc>
      </w:tr>
      <w:tr>
        <w:trPr>
          <w:trHeight w:val="201"/>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w w:val="71"/>
              </w:rPr>
              <w:t>income................</w:t>
            </w:r>
          </w:p>
        </w:tc>
        <w:tc>
          <w:tcPr>
            <w:tcW w:w="2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11 11 Equity</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earnings from Liberty Media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2,965 2,965 Net losses from other</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equity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615 615 Income from continuing</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operations....... 1,455 3,161 2,965</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7,581 Income from discontinued</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operations (net of income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taxes)...................... 208 208</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ind w:left="380" w:hanging="218"/>
        <w:spacing w:after="0"/>
        <w:tabs>
          <w:tab w:leader="none" w:pos="380" w:val="left"/>
        </w:tabs>
        <w:numPr>
          <w:ilvl w:val="1"/>
          <w:numId w:val="8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1,663 $ 3,161 $2,965 $ -- $ 7,789</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8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20" w:right="2039" w:hanging="413"/>
        <w:spacing w:after="0" w:line="257" w:lineRule="auto"/>
        <w:tabs>
          <w:tab w:leader="none" w:pos="420" w:val="left"/>
        </w:tabs>
        <w:numPr>
          <w:ilvl w:val="0"/>
          <w:numId w:val="8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1" w:lineRule="exact"/>
        <w:rPr>
          <w:rFonts w:ascii="Courier New" w:cs="Courier New" w:eastAsia="Courier New" w:hAnsi="Courier New"/>
          <w:sz w:val="17"/>
          <w:szCs w:val="17"/>
          <w:color w:val="auto"/>
        </w:rPr>
      </w:pPr>
    </w:p>
    <w:p>
      <w:pPr>
        <w:ind w:left="420" w:right="1839" w:hanging="413"/>
        <w:spacing w:after="0" w:line="257" w:lineRule="auto"/>
        <w:tabs>
          <w:tab w:leader="none" w:pos="420" w:val="left"/>
        </w:tabs>
        <w:numPr>
          <w:ilvl w:val="0"/>
          <w:numId w:val="8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L-184</w:t>
      </w:r>
    </w:p>
    <w:p>
      <w:pPr>
        <w:sectPr>
          <w:pgSz w:w="11900" w:h="16838" w:orient="portrait"/>
          <w:cols w:equalWidth="0" w:num="1">
            <w:col w:w="10219"/>
          </w:cols>
          <w:pgMar w:left="240" w:top="720" w:right="1440" w:bottom="54" w:gutter="0" w:footer="0" w:header="0"/>
        </w:sectPr>
      </w:pPr>
    </w:p>
    <w:bookmarkStart w:id="799" w:name="page800"/>
    <w:bookmarkEnd w:id="799"/>
    <w:p>
      <w:pPr>
        <w:jc w:val="center"/>
        <w:ind w:right="183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CONSOLIDATING CONDENSED BALANCE SHEET</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AT SEPTEMBER 30, 2001</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AT&amp;T AT&amp;T COMMON CONSUMER ELIMINATIONS/ STOCK</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SERVICES RECLASSI- CONSOLIDATED GROUP(1) GROUP</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FICATIONS(2) AT&amp;T CORP. -------- -------- -----</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 ------------ (DOLLARS IN MILLIONS)</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ASSETS Cash and cash</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equivalents....................... $ 4,197 $ 1</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 -- $ 4,198</w:t>
      </w:r>
    </w:p>
    <w:p>
      <w:pPr>
        <w:spacing w:after="0" w:line="9"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8,249 2,054 (280) 10,023 Deferred income</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taxes........................... 1,362 261</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1,623 Other current</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assets............................ 532 82 614</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Total current assets.......................</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14,340 2,398 (280) 16,458 Property, plant &amp;</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equipment, net................ 40,623 125</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40,748 Franchise costs,</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net............................ 43,287 43,287</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Goodwill,</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net................................... 24,702</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72 24,774 Other investments &amp; related</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advances............ 24,256 12 24,268 Other</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10,288 310 (84) 10,514 Long-term assets due</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from related party......... 1,514 (1,514) Total</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Assets............................... 159,010</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2,833 (1,794) 160,049 LIABILITIES Debt maturing</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within one year................... 18,449</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18,449 Other current</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liabilities....................... 11,869 1,839</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(280) 13,428 Total current</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liabilities.................. 30,318 1,839</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(280) 31,877 Long-term</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debt.................................. 30,007</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30,007 Long-term debt due to related</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party............. 1,514 (1,514) Deferred</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income taxes........................... 27,144</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31 27,175 Other long-term liabilities &amp;</w:t>
      </w:r>
    </w:p>
    <w:p>
      <w:pPr>
        <w:spacing w:after="0" w:line="9"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7"/>
          <w:szCs w:val="17"/>
          <w:color w:val="auto"/>
        </w:rPr>
        <w:t>deferred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credits.......................................</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2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10,177 275</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10,452</w:t>
            </w:r>
          </w:p>
        </w:tc>
        <w:tc>
          <w:tcPr>
            <w:tcW w:w="1740" w:type="dxa"/>
            <w:vAlign w:val="bottom"/>
          </w:tcPr>
          <w:p>
            <w:pPr>
              <w:ind w:left="60"/>
              <w:spacing w:after="0"/>
              <w:rPr>
                <w:sz w:val="20"/>
                <w:szCs w:val="20"/>
                <w:color w:val="auto"/>
              </w:rPr>
            </w:pPr>
            <w:r>
              <w:rPr>
                <w:rFonts w:ascii="Courier New" w:cs="Courier New" w:eastAsia="Courier New" w:hAnsi="Courier New"/>
                <w:sz w:val="17"/>
                <w:szCs w:val="17"/>
                <w:color w:val="auto"/>
              </w:rPr>
              <w:t>Total</w:t>
            </w:r>
          </w:p>
        </w:tc>
      </w:tr>
      <w:tr>
        <w:trPr>
          <w:trHeight w:val="201"/>
        </w:trPr>
        <w:tc>
          <w:tcPr>
            <w:tcW w:w="2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Liabilities..........................</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97,646</w:t>
            </w:r>
          </w:p>
        </w:tc>
      </w:tr>
      <w:tr>
        <w:trPr>
          <w:trHeight w:val="201"/>
        </w:trPr>
        <w:tc>
          <w:tcPr>
            <w:tcW w:w="2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3,659 (1,794)</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99,511</w:t>
            </w:r>
          </w:p>
        </w:tc>
        <w:tc>
          <w:tcPr>
            <w:tcW w:w="1740" w:type="dxa"/>
            <w:vAlign w:val="bottom"/>
          </w:tcPr>
          <w:p>
            <w:pPr>
              <w:ind w:left="60"/>
              <w:spacing w:after="0"/>
              <w:rPr>
                <w:sz w:val="20"/>
                <w:szCs w:val="20"/>
                <w:color w:val="auto"/>
              </w:rPr>
            </w:pPr>
            <w:r>
              <w:rPr>
                <w:rFonts w:ascii="Courier New" w:cs="Courier New" w:eastAsia="Courier New" w:hAnsi="Courier New"/>
                <w:sz w:val="17"/>
                <w:szCs w:val="17"/>
                <w:color w:val="auto"/>
              </w:rPr>
              <w:t>Minority</w:t>
            </w:r>
          </w:p>
        </w:tc>
      </w:tr>
      <w:tr>
        <w:trPr>
          <w:trHeight w:val="201"/>
        </w:trPr>
        <w:tc>
          <w:tcPr>
            <w:tcW w:w="2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4"/>
              </w:rPr>
              <w:t>Interest...............................</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3,622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1520" w:type="dxa"/>
            <w:vAlign w:val="bottom"/>
          </w:tcPr>
          <w:p>
            <w:pPr>
              <w:jc w:val="right"/>
              <w:spacing w:after="0"/>
              <w:rPr>
                <w:sz w:val="20"/>
                <w:szCs w:val="20"/>
                <w:color w:val="auto"/>
              </w:rPr>
            </w:pPr>
            <w:r>
              <w:rPr>
                <w:rFonts w:ascii="Courier New" w:cs="Courier New" w:eastAsia="Courier New" w:hAnsi="Courier New"/>
                <w:sz w:val="9"/>
                <w:szCs w:val="9"/>
                <w:color w:val="auto"/>
                <w:w w:val="77"/>
              </w:rPr>
              <w:t>Stock...............................</w:t>
            </w:r>
          </w:p>
        </w:tc>
        <w:tc>
          <w:tcPr>
            <w:tcW w:w="3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3,536</w:t>
            </w:r>
          </w:p>
        </w:tc>
      </w:tr>
      <w:tr>
        <w:trPr>
          <w:trHeight w:val="201"/>
        </w:trPr>
        <w:tc>
          <w:tcPr>
            <w:tcW w:w="46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3,536 Other shareowners'</w:t>
            </w:r>
          </w:p>
        </w:tc>
      </w:tr>
      <w:tr>
        <w:trPr>
          <w:trHeight w:val="201"/>
        </w:trPr>
        <w:tc>
          <w:tcPr>
            <w:tcW w:w="1520" w:type="dxa"/>
            <w:vAlign w:val="bottom"/>
          </w:tcPr>
          <w:p>
            <w:pPr>
              <w:jc w:val="right"/>
              <w:spacing w:after="0"/>
              <w:rPr>
                <w:sz w:val="20"/>
                <w:szCs w:val="20"/>
                <w:color w:val="auto"/>
              </w:rPr>
            </w:pPr>
            <w:r>
              <w:rPr>
                <w:rFonts w:ascii="Courier New" w:cs="Courier New" w:eastAsia="Courier New" w:hAnsi="Courier New"/>
                <w:sz w:val="12"/>
                <w:szCs w:val="12"/>
                <w:color w:val="auto"/>
                <w:w w:val="71"/>
              </w:rPr>
              <w:t>equity.......................</w:t>
            </w:r>
          </w:p>
        </w:tc>
        <w:tc>
          <w:tcPr>
            <w:tcW w:w="3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53,024 (826)</w:t>
            </w:r>
          </w:p>
        </w:tc>
      </w:tr>
      <w:tr>
        <w:trPr>
          <w:trHeight w:val="201"/>
        </w:trPr>
        <w:tc>
          <w:tcPr>
            <w:tcW w:w="46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(3,536) 48,662 Total shareowners'</w:t>
            </w:r>
          </w:p>
        </w:tc>
      </w:tr>
      <w:tr>
        <w:trPr>
          <w:trHeight w:val="201"/>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w w:val="74"/>
              </w:rPr>
              <w:t>equity..................</w:t>
            </w:r>
          </w:p>
        </w:tc>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53,024 (826) 52,198</w:t>
            </w:r>
          </w:p>
        </w:tc>
      </w:tr>
      <w:tr>
        <w:trPr>
          <w:trHeight w:val="201"/>
        </w:trPr>
        <w:tc>
          <w:tcPr>
            <w:tcW w:w="46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Total Liabilities and Shareowners'</w:t>
            </w:r>
          </w:p>
        </w:tc>
      </w:tr>
      <w:tr>
        <w:trPr>
          <w:trHeight w:val="201"/>
        </w:trPr>
        <w:tc>
          <w:tcPr>
            <w:tcW w:w="46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Equity...................................</w:t>
            </w:r>
          </w:p>
        </w:tc>
      </w:tr>
      <w:tr>
        <w:trPr>
          <w:trHeight w:val="201"/>
        </w:trPr>
        <w:tc>
          <w:tcPr>
            <w:tcW w:w="1520" w:type="dxa"/>
            <w:vAlign w:val="bottom"/>
          </w:tcPr>
          <w:p>
            <w:pPr>
              <w:jc w:val="right"/>
              <w:ind w:right="44"/>
              <w:spacing w:after="0"/>
              <w:rPr>
                <w:sz w:val="20"/>
                <w:szCs w:val="20"/>
                <w:color w:val="auto"/>
              </w:rPr>
            </w:pPr>
            <w:r>
              <w:rPr>
                <w:rFonts w:ascii="Courier New" w:cs="Courier New" w:eastAsia="Courier New" w:hAnsi="Courier New"/>
                <w:sz w:val="17"/>
                <w:szCs w:val="17"/>
                <w:color w:val="auto"/>
              </w:rPr>
              <w:t>$159,010</w:t>
            </w:r>
          </w:p>
        </w:tc>
        <w:tc>
          <w:tcPr>
            <w:tcW w:w="30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$2,833 $(1,794) $160,049</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2039" w:hanging="413"/>
        <w:spacing w:after="0" w:line="257" w:lineRule="auto"/>
        <w:tabs>
          <w:tab w:leader="none" w:pos="420" w:val="left"/>
        </w:tabs>
        <w:numPr>
          <w:ilvl w:val="0"/>
          <w:numId w:val="8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1" w:lineRule="exact"/>
        <w:rPr>
          <w:rFonts w:ascii="Courier New" w:cs="Courier New" w:eastAsia="Courier New" w:hAnsi="Courier New"/>
          <w:sz w:val="17"/>
          <w:szCs w:val="17"/>
          <w:color w:val="auto"/>
        </w:rPr>
      </w:pPr>
    </w:p>
    <w:p>
      <w:pPr>
        <w:ind w:left="420" w:right="1839" w:hanging="413"/>
        <w:spacing w:after="0" w:line="257" w:lineRule="auto"/>
        <w:tabs>
          <w:tab w:leader="none" w:pos="420" w:val="left"/>
        </w:tabs>
        <w:numPr>
          <w:ilvl w:val="0"/>
          <w:numId w:val="8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L-185</w:t>
      </w:r>
    </w:p>
    <w:p>
      <w:pPr>
        <w:sectPr>
          <w:pgSz w:w="11900" w:h="16838" w:orient="portrait"/>
          <w:cols w:equalWidth="0" w:num="1">
            <w:col w:w="10219"/>
          </w:cols>
          <w:pgMar w:left="240" w:top="719" w:right="1440" w:bottom="659" w:gutter="0" w:footer="0" w:header="0"/>
        </w:sectPr>
      </w:pPr>
    </w:p>
    <w:bookmarkStart w:id="800" w:name="page801"/>
    <w:bookmarkEnd w:id="800"/>
    <w:p>
      <w:pPr>
        <w:jc w:val="center"/>
        <w:ind w:right="183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CONSOLIDATING CONDENSED STATEMENT OF CASH FLOWS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FOR THE NINE MONTHS ENDED SEPTEMBER 30, 2001</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AT&amp;T AT&amp;T COMMON CONSUMER LIBERTY</w:t>
      </w:r>
    </w:p>
    <w:p>
      <w:pPr>
        <w:spacing w:after="0" w:line="9"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ELIMINATIONS/ STOCK SERVICES MEDIA</w:t>
      </w:r>
    </w:p>
    <w:p>
      <w:pPr>
        <w:spacing w:after="0" w:line="9"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RECLASSI- CONSOLIDATED GROUP(1) GROUP</w:t>
      </w:r>
    </w:p>
    <w:p>
      <w:pPr>
        <w:spacing w:after="0" w:line="9"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GROUP FICATIONS(2) AT&amp;T CORP.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jc w:val="both"/>
        <w:ind w:left="220" w:right="6279" w:hanging="57"/>
        <w:spacing w:after="0" w:line="251" w:lineRule="auto"/>
        <w:tabs>
          <w:tab w:leader="none" w:pos="796" w:val="left"/>
        </w:tabs>
        <w:numPr>
          <w:ilvl w:val="0"/>
          <w:numId w:val="8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Net cash provided by operating activities of</w:t>
      </w:r>
    </w:p>
    <w:p>
      <w:pPr>
        <w:ind w:left="1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580" w:right="6439" w:hanging="260"/>
        <w:spacing w:after="0" w:line="251" w:lineRule="auto"/>
        <w:tabs>
          <w:tab w:leader="none" w:pos="528" w:val="left"/>
        </w:tabs>
        <w:numPr>
          <w:ilvl w:val="0"/>
          <w:numId w:val="8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3,642 $ 3,099 $ -- $ -- $ 6,741 INVESTING ACTIVITIES Capital</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expenditures and other</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additions............................</w:t>
      </w:r>
    </w:p>
    <w:p>
      <w:pPr>
        <w:spacing w:after="0" w:line="9"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(6,292) (96) (6,388) Decrease</w:t>
      </w:r>
    </w:p>
    <w:p>
      <w:pPr>
        <w:spacing w:after="0" w:line="9"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(increase) in other</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2,381 (2,486) (105) Equity investment</w:t>
      </w:r>
    </w:p>
    <w:p>
      <w:pPr>
        <w:spacing w:after="0" w:line="9"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distributions and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sales................................</w:t>
      </w:r>
    </w:p>
    <w:p>
      <w:pPr>
        <w:spacing w:after="0" w:line="9"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1,845 1,845 Net acquisitions of</w:t>
      </w:r>
    </w:p>
    <w:p>
      <w:pPr>
        <w:spacing w:after="0" w:line="9"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businesses, including cash</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2360" w:type="dxa"/>
            <w:vAlign w:val="bottom"/>
          </w:tcPr>
          <w:p>
            <w:pPr>
              <w:spacing w:after="0"/>
              <w:rPr>
                <w:sz w:val="20"/>
                <w:szCs w:val="20"/>
                <w:color w:val="auto"/>
              </w:rPr>
            </w:pPr>
            <w:r>
              <w:rPr>
                <w:rFonts w:ascii="Courier New" w:cs="Courier New" w:eastAsia="Courier New" w:hAnsi="Courier New"/>
                <w:sz w:val="17"/>
                <w:szCs w:val="17"/>
                <w:color w:val="auto"/>
              </w:rPr>
              <w:t>acquired..............</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4,827 4,827</w:t>
            </w:r>
          </w:p>
        </w:tc>
      </w:tr>
    </w:tbl>
    <w:p>
      <w:pPr>
        <w:spacing w:after="0" w:line="205" w:lineRule="exact"/>
        <w:rPr>
          <w:sz w:val="20"/>
          <w:szCs w:val="20"/>
          <w:color w:val="auto"/>
        </w:rPr>
      </w:pPr>
    </w:p>
    <w:p>
      <w:pPr>
        <w:jc w:val="both"/>
        <w:ind w:left="60" w:right="6179" w:hanging="2"/>
        <w:spacing w:after="0" w:line="251" w:lineRule="auto"/>
        <w:tabs>
          <w:tab w:leader="none" w:pos="688" w:val="left"/>
        </w:tabs>
        <w:numPr>
          <w:ilvl w:val="0"/>
          <w:numId w:val="8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(214) Net cash provided by (used in) investing activities of continuing operations...........................</w:t>
      </w:r>
    </w:p>
    <w:p>
      <w:pPr>
        <w:jc w:val="both"/>
        <w:ind w:left="260" w:right="6399" w:firstLine="5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2,547 (96) (2,486) (35) FINANCING ACTIVITIES Retirement of long-term</w:t>
      </w:r>
    </w:p>
    <w:p>
      <w:pPr>
        <w:jc w:val="center"/>
        <w:ind w:right="6119"/>
        <w:spacing w:after="0"/>
        <w:rPr>
          <w:sz w:val="20"/>
          <w:szCs w:val="20"/>
          <w:color w:val="auto"/>
        </w:rPr>
      </w:pPr>
      <w:r>
        <w:rPr>
          <w:rFonts w:ascii="Courier New" w:cs="Courier New" w:eastAsia="Courier New" w:hAnsi="Courier New"/>
          <w:sz w:val="17"/>
          <w:szCs w:val="17"/>
          <w:color w:val="auto"/>
        </w:rPr>
        <w:t>debt........... (1,618) (1,618)</w:t>
      </w:r>
    </w:p>
    <w:p>
      <w:pPr>
        <w:spacing w:after="0" w:line="9"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Repayment of borrowings from AT&amp;T</w:t>
      </w:r>
    </w:p>
    <w:p>
      <w:pPr>
        <w:spacing w:after="0" w:line="9"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Wireless.............................</w:t>
      </w:r>
    </w:p>
    <w:p>
      <w:pPr>
        <w:spacing w:after="0" w:line="9"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(5,803) (5,803) Issuance of</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convertible preferred securities and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w w:val="81"/>
              </w:rPr>
              <w:t>warrants..............</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9,811 9,811</w:t>
            </w:r>
          </w:p>
        </w:tc>
      </w:tr>
      <w:tr>
        <w:trPr>
          <w:trHeight w:val="201"/>
        </w:trPr>
        <w:tc>
          <w:tcPr>
            <w:tcW w:w="3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Decrease in short-term borrowings,</w:t>
            </w:r>
          </w:p>
        </w:tc>
      </w:tr>
      <w:tr>
        <w:trPr>
          <w:trHeight w:val="201"/>
        </w:trPr>
        <w:tc>
          <w:tcPr>
            <w:tcW w:w="3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net..................................</w:t>
            </w:r>
          </w:p>
        </w:tc>
      </w:tr>
      <w:tr>
        <w:trPr>
          <w:trHeight w:val="201"/>
        </w:trPr>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(9,567)</w:t>
            </w:r>
          </w:p>
        </w:tc>
        <w:tc>
          <w:tcPr>
            <w:tcW w:w="198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(13) (9,580)</w:t>
            </w:r>
          </w:p>
        </w:tc>
      </w:tr>
      <w:tr>
        <w:trPr>
          <w:trHeight w:val="201"/>
        </w:trPr>
        <w:tc>
          <w:tcPr>
            <w:tcW w:w="3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Other..................................</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261 (2,989) 2,486 (242) Net cash used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in financing activities of continuing</w:t>
      </w:r>
    </w:p>
    <w:p>
      <w:pPr>
        <w:spacing w:after="0" w:line="9"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2460" w:type="dxa"/>
            <w:vAlign w:val="bottom"/>
          </w:tcPr>
          <w:p>
            <w:pPr>
              <w:spacing w:after="0"/>
              <w:rPr>
                <w:sz w:val="20"/>
                <w:szCs w:val="20"/>
                <w:color w:val="auto"/>
              </w:rPr>
            </w:pPr>
            <w:r>
              <w:rPr>
                <w:rFonts w:ascii="Courier New" w:cs="Courier New" w:eastAsia="Courier New" w:hAnsi="Courier New"/>
                <w:sz w:val="17"/>
                <w:szCs w:val="17"/>
                <w:color w:val="auto"/>
              </w:rPr>
              <w:t>operations.............</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(6,916)</w:t>
            </w:r>
          </w:p>
        </w:tc>
      </w:tr>
    </w:tbl>
    <w:p>
      <w:pPr>
        <w:spacing w:after="0" w:line="4"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(3,002) 2,486 (7,432) Net cash</w:t>
      </w:r>
    </w:p>
    <w:p>
      <w:pPr>
        <w:spacing w:after="0" w:line="9"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7"/>
          <w:szCs w:val="17"/>
          <w:color w:val="auto"/>
        </w:rPr>
        <w:t>provided by discontinued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4,860 4,860 Net increase in cash and</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3660" w:type="dxa"/>
            <w:vAlign w:val="bottom"/>
          </w:tcPr>
          <w:p>
            <w:pPr>
              <w:jc w:val="center"/>
              <w:ind w:left="113"/>
              <w:spacing w:after="0"/>
              <w:rPr>
                <w:sz w:val="20"/>
                <w:szCs w:val="20"/>
                <w:color w:val="auto"/>
              </w:rPr>
            </w:pPr>
            <w:r>
              <w:rPr>
                <w:rFonts w:ascii="Courier New" w:cs="Courier New" w:eastAsia="Courier New" w:hAnsi="Courier New"/>
                <w:sz w:val="17"/>
                <w:szCs w:val="17"/>
                <w:color w:val="auto"/>
              </w:rPr>
              <w:t>cash</w:t>
            </w:r>
          </w:p>
        </w:tc>
        <w:tc>
          <w:tcPr>
            <w:tcW w:w="200" w:type="dxa"/>
            <w:vAlign w:val="bottom"/>
          </w:tcPr>
          <w:p>
            <w:pPr>
              <w:spacing w:after="0"/>
              <w:rPr>
                <w:sz w:val="17"/>
                <w:szCs w:val="17"/>
                <w:color w:val="auto"/>
              </w:rPr>
            </w:pPr>
          </w:p>
        </w:tc>
      </w:tr>
      <w:tr>
        <w:trPr>
          <w:trHeight w:val="201"/>
        </w:trPr>
        <w:tc>
          <w:tcPr>
            <w:tcW w:w="38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equivalents..........................</w:t>
            </w:r>
          </w:p>
        </w:tc>
      </w:tr>
      <w:tr>
        <w:trPr>
          <w:trHeight w:val="201"/>
        </w:trPr>
        <w:tc>
          <w:tcPr>
            <w:tcW w:w="3660" w:type="dxa"/>
            <w:vAlign w:val="bottom"/>
          </w:tcPr>
          <w:p>
            <w:pPr>
              <w:jc w:val="center"/>
              <w:ind w:left="113"/>
              <w:spacing w:after="0"/>
              <w:rPr>
                <w:sz w:val="20"/>
                <w:szCs w:val="20"/>
                <w:color w:val="auto"/>
              </w:rPr>
            </w:pPr>
            <w:r>
              <w:rPr>
                <w:rFonts w:ascii="Courier New" w:cs="Courier New" w:eastAsia="Courier New" w:hAnsi="Courier New"/>
                <w:sz w:val="17"/>
                <w:szCs w:val="17"/>
                <w:color w:val="auto"/>
              </w:rPr>
              <w:t>4,133 1 4,134 Cash and cash</w:t>
            </w:r>
          </w:p>
        </w:tc>
        <w:tc>
          <w:tcPr>
            <w:tcW w:w="200" w:type="dxa"/>
            <w:vAlign w:val="bottom"/>
          </w:tcPr>
          <w:p>
            <w:pPr>
              <w:spacing w:after="0"/>
              <w:rPr>
                <w:sz w:val="17"/>
                <w:szCs w:val="17"/>
                <w:color w:val="auto"/>
              </w:rPr>
            </w:pPr>
          </w:p>
        </w:tc>
      </w:tr>
      <w:tr>
        <w:trPr>
          <w:trHeight w:val="201"/>
        </w:trPr>
        <w:tc>
          <w:tcPr>
            <w:tcW w:w="3660" w:type="dxa"/>
            <w:vAlign w:val="bottom"/>
          </w:tcPr>
          <w:p>
            <w:pPr>
              <w:jc w:val="center"/>
              <w:ind w:left="113"/>
              <w:spacing w:after="0"/>
              <w:rPr>
                <w:sz w:val="20"/>
                <w:szCs w:val="20"/>
                <w:color w:val="auto"/>
              </w:rPr>
            </w:pPr>
            <w:r>
              <w:rPr>
                <w:rFonts w:ascii="Courier New" w:cs="Courier New" w:eastAsia="Courier New" w:hAnsi="Courier New"/>
                <w:sz w:val="17"/>
                <w:szCs w:val="17"/>
                <w:color w:val="auto"/>
              </w:rPr>
              <w:t>equivalents at beginning of</w:t>
            </w:r>
          </w:p>
        </w:tc>
        <w:tc>
          <w:tcPr>
            <w:tcW w:w="200" w:type="dxa"/>
            <w:vAlign w:val="bottom"/>
          </w:tcPr>
          <w:p>
            <w:pPr>
              <w:spacing w:after="0"/>
              <w:rPr>
                <w:sz w:val="17"/>
                <w:szCs w:val="17"/>
                <w:color w:val="auto"/>
              </w:rPr>
            </w:pPr>
          </w:p>
        </w:tc>
      </w:tr>
      <w:tr>
        <w:trPr>
          <w:trHeight w:val="201"/>
        </w:trPr>
        <w:tc>
          <w:tcPr>
            <w:tcW w:w="3660" w:type="dxa"/>
            <w:vAlign w:val="bottom"/>
          </w:tcPr>
          <w:p>
            <w:pPr>
              <w:spacing w:after="0"/>
              <w:rPr>
                <w:sz w:val="20"/>
                <w:szCs w:val="20"/>
                <w:color w:val="auto"/>
              </w:rPr>
            </w:pPr>
            <w:r>
              <w:rPr>
                <w:rFonts w:ascii="Courier New" w:cs="Courier New" w:eastAsia="Courier New" w:hAnsi="Courier New"/>
                <w:sz w:val="17"/>
                <w:szCs w:val="17"/>
                <w:color w:val="auto"/>
              </w:rPr>
              <w:t>year..............................</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64</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64 Cash and cash equivalents at end of</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period...............................</w:t>
      </w:r>
    </w:p>
    <w:p>
      <w:pPr>
        <w:spacing w:after="0" w:line="9" w:lineRule="exact"/>
        <w:rPr>
          <w:sz w:val="20"/>
          <w:szCs w:val="20"/>
          <w:color w:val="auto"/>
        </w:rPr>
      </w:pPr>
    </w:p>
    <w:p>
      <w:pPr>
        <w:ind w:left="740" w:hanging="210"/>
        <w:spacing w:after="0"/>
        <w:tabs>
          <w:tab w:leader="none" w:pos="740" w:val="left"/>
        </w:tabs>
        <w:numPr>
          <w:ilvl w:val="1"/>
          <w:numId w:val="8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4,197 $ 1 $ -- $ -- $ 4,198</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8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20" w:right="2039" w:hanging="413"/>
        <w:spacing w:after="0" w:line="257" w:lineRule="auto"/>
        <w:tabs>
          <w:tab w:leader="none" w:pos="420" w:val="left"/>
        </w:tabs>
        <w:numPr>
          <w:ilvl w:val="0"/>
          <w:numId w:val="8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1" w:lineRule="exact"/>
        <w:rPr>
          <w:rFonts w:ascii="Courier New" w:cs="Courier New" w:eastAsia="Courier New" w:hAnsi="Courier New"/>
          <w:sz w:val="17"/>
          <w:szCs w:val="17"/>
          <w:color w:val="auto"/>
        </w:rPr>
      </w:pPr>
    </w:p>
    <w:p>
      <w:pPr>
        <w:ind w:left="420" w:right="1839" w:hanging="413"/>
        <w:spacing w:after="0" w:line="257" w:lineRule="auto"/>
        <w:tabs>
          <w:tab w:leader="none" w:pos="420" w:val="left"/>
        </w:tabs>
        <w:numPr>
          <w:ilvl w:val="0"/>
          <w:numId w:val="8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L-186</w:t>
      </w:r>
    </w:p>
    <w:p>
      <w:pPr>
        <w:sectPr>
          <w:pgSz w:w="11900" w:h="16838" w:orient="portrait"/>
          <w:cols w:equalWidth="0" w:num="1">
            <w:col w:w="10219"/>
          </w:cols>
          <w:pgMar w:left="240" w:top="719" w:right="1440" w:bottom="1440" w:gutter="0" w:footer="0" w:header="0"/>
        </w:sectPr>
      </w:pPr>
    </w:p>
    <w:bookmarkStart w:id="801" w:name="page802"/>
    <w:bookmarkEnd w:id="801"/>
    <w:p>
      <w:pPr>
        <w:jc w:val="center"/>
        <w:ind w:right="183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CONSOLIDATING CONDENSED STATEMENT OF CASH FLOWS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FOR THE NINE MONTHS ENDED SEPTEMBER 30, 2000</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210"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AT&amp;T AT&amp;T COMMON CONSUMER LIBERTY</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ELIMINATIONS/ STOCK SERVICES MEDIA</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RECLASSI- CONSOLIDATED GROUP(1) GROUP</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GROUP FICATIONS(2) AT&amp;T CORP. -------</w:t>
      </w:r>
    </w:p>
    <w:p>
      <w:pPr>
        <w:spacing w:after="0" w:line="9" w:lineRule="exact"/>
        <w:rPr>
          <w:sz w:val="20"/>
          <w:szCs w:val="20"/>
          <w:color w:val="auto"/>
        </w:rPr>
      </w:pPr>
    </w:p>
    <w:p>
      <w:pPr>
        <w:ind w:left="260" w:hanging="203"/>
        <w:spacing w:after="0"/>
        <w:tabs>
          <w:tab w:leader="none" w:pos="260" w:val="left"/>
        </w:tabs>
        <w:numPr>
          <w:ilvl w:val="0"/>
          <w:numId w:val="8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Net</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cash provided by operating activities</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of continuing</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520" w:right="6499" w:hanging="253"/>
        <w:spacing w:after="0" w:line="251" w:lineRule="auto"/>
        <w:tabs>
          <w:tab w:leader="none" w:pos="468" w:val="left"/>
        </w:tabs>
        <w:numPr>
          <w:ilvl w:val="0"/>
          <w:numId w:val="8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4,478 $ 3,636 $ -- $ -- $ 8,114 INVESTING ACTIVITIES Capital</w:t>
      </w: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expenditures and other</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additions...........................</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(7,102) (104) (7,206) Increase in</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other receivables......... (4,654)</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3,673 (981) Equity investment</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distributions and</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sales...............................</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785 785 Equity investment</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contributions and</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purchases...........................</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(2,364) (2,364) Net acquisitions of</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businesses, including cash</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acquired............. (16,614)</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(16,614)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740" w:right="6339" w:hanging="631"/>
        <w:spacing w:after="0" w:line="251" w:lineRule="auto"/>
        <w:tabs>
          <w:tab w:leader="none" w:pos="635" w:val="left"/>
        </w:tabs>
        <w:numPr>
          <w:ilvl w:val="0"/>
          <w:numId w:val="8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(56) Net cash used in investing activities of continuing</w:t>
      </w:r>
    </w:p>
    <w:tbl>
      <w:tblPr>
        <w:tblLayout w:type="fixed"/>
        <w:tblInd w:w="0" w:type="dxa"/>
        <w:tblCellMar>
          <w:top w:w="0" w:type="dxa"/>
          <w:left w:w="0" w:type="dxa"/>
          <w:bottom w:w="0" w:type="dxa"/>
          <w:right w:w="0" w:type="dxa"/>
        </w:tblCellMar>
      </w:tblPr>
      <w:tr>
        <w:trPr>
          <w:trHeight w:val="197"/>
        </w:trPr>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operations</w:t>
            </w:r>
          </w:p>
        </w:tc>
        <w:tc>
          <w:tcPr>
            <w:tcW w:w="2840" w:type="dxa"/>
            <w:vAlign w:val="bottom"/>
          </w:tcPr>
          <w:p>
            <w:pPr>
              <w:jc w:val="right"/>
              <w:spacing w:after="0"/>
              <w:rPr>
                <w:sz w:val="20"/>
                <w:szCs w:val="20"/>
                <w:color w:val="auto"/>
              </w:rPr>
            </w:pPr>
            <w:r>
              <w:rPr>
                <w:rFonts w:ascii="Courier New" w:cs="Courier New" w:eastAsia="Courier New" w:hAnsi="Courier New"/>
                <w:sz w:val="17"/>
                <w:szCs w:val="17"/>
                <w:color w:val="auto"/>
              </w:rPr>
              <w:t>............ (30,005) (104)</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3,673 (26,436) FINANCING ACTIVITIES</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Proceeds from long-term debt</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issuance............................</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739 739 Retirement of long-term</w:t>
            </w:r>
          </w:p>
        </w:tc>
      </w:tr>
      <w:tr>
        <w:trPr>
          <w:trHeight w:val="201"/>
        </w:trPr>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75"/>
              </w:rPr>
              <w:t>debt..........</w:t>
            </w:r>
          </w:p>
        </w:tc>
        <w:tc>
          <w:tcPr>
            <w:tcW w:w="28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(1,954) (1,954)</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Issuance of AT&amp;T Wireless Group</w:t>
            </w:r>
          </w:p>
        </w:tc>
      </w:tr>
      <w:tr>
        <w:trPr>
          <w:trHeight w:val="201"/>
        </w:trPr>
        <w:tc>
          <w:tcPr>
            <w:tcW w:w="1100" w:type="dxa"/>
            <w:vAlign w:val="bottom"/>
          </w:tcPr>
          <w:p>
            <w:pPr>
              <w:spacing w:after="0"/>
              <w:rPr>
                <w:sz w:val="17"/>
                <w:szCs w:val="17"/>
                <w:color w:val="auto"/>
              </w:rPr>
            </w:pPr>
          </w:p>
        </w:tc>
        <w:tc>
          <w:tcPr>
            <w:tcW w:w="2840" w:type="dxa"/>
            <w:vAlign w:val="bottom"/>
          </w:tcPr>
          <w:p>
            <w:pPr>
              <w:jc w:val="center"/>
              <w:ind w:right="973"/>
              <w:spacing w:after="0"/>
              <w:rPr>
                <w:sz w:val="20"/>
                <w:szCs w:val="20"/>
                <w:color w:val="auto"/>
              </w:rPr>
            </w:pPr>
            <w:r>
              <w:rPr>
                <w:rFonts w:ascii="Courier New" w:cs="Courier New" w:eastAsia="Courier New" w:hAnsi="Courier New"/>
                <w:sz w:val="17"/>
                <w:szCs w:val="17"/>
                <w:color w:val="auto"/>
              </w:rPr>
              <w:t>common</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shares..............................</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10,291 10,291 Dividends</w:t>
            </w:r>
          </w:p>
        </w:tc>
      </w:tr>
      <w:tr>
        <w:trPr>
          <w:trHeight w:val="201"/>
        </w:trPr>
        <w:tc>
          <w:tcPr>
            <w:tcW w:w="1100" w:type="dxa"/>
            <w:vAlign w:val="bottom"/>
          </w:tcPr>
          <w:p>
            <w:pPr>
              <w:jc w:val="right"/>
              <w:spacing w:after="0"/>
              <w:rPr>
                <w:sz w:val="20"/>
                <w:szCs w:val="20"/>
                <w:color w:val="auto"/>
              </w:rPr>
            </w:pPr>
            <w:r>
              <w:rPr>
                <w:rFonts w:ascii="Courier New" w:cs="Courier New" w:eastAsia="Courier New" w:hAnsi="Courier New"/>
                <w:sz w:val="9"/>
                <w:szCs w:val="9"/>
                <w:color w:val="auto"/>
                <w:w w:val="71"/>
              </w:rPr>
              <w:t>paid........................</w:t>
            </w:r>
          </w:p>
        </w:tc>
        <w:tc>
          <w:tcPr>
            <w:tcW w:w="2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(740)</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(1,481) (2,221) Increase (decrease)</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 short-term borrowings,</w:t>
            </w:r>
          </w:p>
        </w:tc>
      </w:tr>
      <w:tr>
        <w:trPr>
          <w:trHeight w:val="201"/>
        </w:trPr>
        <w:tc>
          <w:tcPr>
            <w:tcW w:w="1100" w:type="dxa"/>
            <w:vAlign w:val="bottom"/>
          </w:tcPr>
          <w:p>
            <w:pPr>
              <w:jc w:val="right"/>
              <w:spacing w:after="0"/>
              <w:rPr>
                <w:sz w:val="20"/>
                <w:szCs w:val="20"/>
                <w:color w:val="auto"/>
              </w:rPr>
            </w:pPr>
            <w:r>
              <w:rPr>
                <w:rFonts w:ascii="Courier New" w:cs="Courier New" w:eastAsia="Courier New" w:hAnsi="Courier New"/>
                <w:sz w:val="10"/>
                <w:szCs w:val="10"/>
                <w:color w:val="auto"/>
                <w:w w:val="74"/>
              </w:rPr>
              <w:t>net.....................</w:t>
            </w:r>
          </w:p>
        </w:tc>
        <w:tc>
          <w:tcPr>
            <w:tcW w:w="2840" w:type="dxa"/>
            <w:vAlign w:val="bottom"/>
          </w:tcPr>
          <w:p>
            <w:pPr>
              <w:jc w:val="right"/>
              <w:spacing w:after="0"/>
              <w:rPr>
                <w:sz w:val="20"/>
                <w:szCs w:val="20"/>
                <w:color w:val="auto"/>
              </w:rPr>
            </w:pPr>
            <w:r>
              <w:rPr>
                <w:rFonts w:ascii="Courier New" w:cs="Courier New" w:eastAsia="Courier New" w:hAnsi="Courier New"/>
                <w:sz w:val="17"/>
                <w:szCs w:val="17"/>
                <w:color w:val="auto"/>
              </w:rPr>
              <w:t>17,385 (22)</w:t>
            </w:r>
          </w:p>
        </w:tc>
      </w:tr>
      <w:tr>
        <w:trPr>
          <w:trHeight w:val="201"/>
        </w:trPr>
        <w:tc>
          <w:tcPr>
            <w:tcW w:w="1100" w:type="dxa"/>
            <w:vAlign w:val="bottom"/>
          </w:tcPr>
          <w:p>
            <w:pPr>
              <w:spacing w:after="0"/>
              <w:rPr>
                <w:sz w:val="17"/>
                <w:szCs w:val="17"/>
                <w:color w:val="auto"/>
              </w:rPr>
            </w:pPr>
          </w:p>
        </w:tc>
        <w:tc>
          <w:tcPr>
            <w:tcW w:w="2840" w:type="dxa"/>
            <w:vAlign w:val="bottom"/>
          </w:tcPr>
          <w:p>
            <w:pPr>
              <w:jc w:val="center"/>
              <w:ind w:right="973"/>
              <w:spacing w:after="0"/>
              <w:rPr>
                <w:sz w:val="20"/>
                <w:szCs w:val="20"/>
                <w:color w:val="auto"/>
              </w:rPr>
            </w:pPr>
            <w:r>
              <w:rPr>
                <w:rFonts w:ascii="Courier New" w:cs="Courier New" w:eastAsia="Courier New" w:hAnsi="Courier New"/>
                <w:sz w:val="17"/>
                <w:szCs w:val="17"/>
                <w:color w:val="auto"/>
              </w:rPr>
              <w:t>17,363</w:t>
            </w:r>
          </w:p>
        </w:tc>
      </w:tr>
      <w:tr>
        <w:trPr>
          <w:trHeight w:val="201"/>
        </w:trPr>
        <w:tc>
          <w:tcPr>
            <w:tcW w:w="39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Other.................................</w:t>
            </w:r>
          </w:p>
        </w:tc>
      </w:tr>
    </w:tbl>
    <w:p>
      <w:pPr>
        <w:spacing w:after="0" w:line="4"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4,790 (2,034) (3,673) (917) Net cash</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provided by (used in) financing</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activities of continuing</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30,511 (3,537) (3,673) 23,301 Net</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cash used in discontinued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(5,686) (5,686) Net decrease in cash</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and 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equivalents.........................</w:t>
      </w:r>
    </w:p>
    <w:p>
      <w:pPr>
        <w:spacing w:after="0" w:line="9" w:lineRule="exact"/>
        <w:rPr>
          <w:sz w:val="20"/>
          <w:szCs w:val="20"/>
          <w:color w:val="auto"/>
        </w:rPr>
      </w:pPr>
    </w:p>
    <w:p>
      <w:pPr>
        <w:ind w:left="580" w:right="6699" w:hanging="104"/>
        <w:spacing w:after="0" w:line="251" w:lineRule="auto"/>
        <w:tabs>
          <w:tab w:leader="none" w:pos="1104" w:val="left"/>
        </w:tabs>
        <w:numPr>
          <w:ilvl w:val="0"/>
          <w:numId w:val="8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(5) (707) Cash and cash equivalents at beginning of</w:t>
      </w:r>
    </w:p>
    <w:p>
      <w:pPr>
        <w:ind w:left="260"/>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1,012 6 1,018 Cash and cash</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equivalents at end of</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period..............................</w:t>
      </w:r>
    </w:p>
    <w:p>
      <w:pPr>
        <w:spacing w:after="0" w:line="9" w:lineRule="exact"/>
        <w:rPr>
          <w:sz w:val="20"/>
          <w:szCs w:val="20"/>
          <w:color w:val="auto"/>
        </w:rPr>
      </w:pPr>
    </w:p>
    <w:p>
      <w:pPr>
        <w:ind w:left="900" w:hanging="214"/>
        <w:spacing w:after="0"/>
        <w:tabs>
          <w:tab w:leader="none" w:pos="900" w:val="left"/>
        </w:tabs>
        <w:numPr>
          <w:ilvl w:val="1"/>
          <w:numId w:val="8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310 $ 1 $ -- $ -- $ 311</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8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20" w:right="2039" w:hanging="413"/>
        <w:spacing w:after="0" w:line="257" w:lineRule="auto"/>
        <w:tabs>
          <w:tab w:leader="none" w:pos="420" w:val="left"/>
        </w:tabs>
        <w:numPr>
          <w:ilvl w:val="0"/>
          <w:numId w:val="8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1" w:lineRule="exact"/>
        <w:rPr>
          <w:rFonts w:ascii="Courier New" w:cs="Courier New" w:eastAsia="Courier New" w:hAnsi="Courier New"/>
          <w:sz w:val="17"/>
          <w:szCs w:val="17"/>
          <w:color w:val="auto"/>
        </w:rPr>
      </w:pPr>
    </w:p>
    <w:p>
      <w:pPr>
        <w:ind w:left="420" w:right="1839" w:hanging="413"/>
        <w:spacing w:after="0" w:line="257" w:lineRule="auto"/>
        <w:tabs>
          <w:tab w:leader="none" w:pos="420" w:val="left"/>
        </w:tabs>
        <w:numPr>
          <w:ilvl w:val="0"/>
          <w:numId w:val="8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L-187</w:t>
      </w:r>
    </w:p>
    <w:p>
      <w:pPr>
        <w:sectPr>
          <w:pgSz w:w="11900" w:h="16838" w:orient="portrait"/>
          <w:cols w:equalWidth="0" w:num="1">
            <w:col w:w="10219"/>
          </w:cols>
          <w:pgMar w:left="240" w:top="719" w:right="1440" w:bottom="0" w:gutter="0" w:footer="0" w:header="0"/>
        </w:sectPr>
      </w:pPr>
    </w:p>
    <w:bookmarkStart w:id="802" w:name="page803"/>
    <w:bookmarkEnd w:id="802"/>
    <w:p>
      <w:pPr>
        <w:jc w:val="center"/>
        <w:ind w:right="183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CONSOLIDATING CONDENSED INCOME STATEMENT</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FOR THE YEAR ENDED DECEMBER 31, 2000</w:t>
      </w:r>
    </w:p>
    <w:p>
      <w:pPr>
        <w:spacing w:after="0" w:line="210"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AT&amp;T AT&amp;T COMMON CONSUMER LIBERTY</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ELIMINATIONS/ STOCK SERVICES MEDIA</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RECLASSI- CONSOLIDATED GROUP(1) GROUP</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GROUP FICATIONS(2) AT&amp;T CORP. -------</w:t>
      </w:r>
    </w:p>
    <w:p>
      <w:pPr>
        <w:spacing w:after="0" w:line="9" w:lineRule="exact"/>
        <w:rPr>
          <w:sz w:val="20"/>
          <w:szCs w:val="20"/>
          <w:color w:val="auto"/>
        </w:rPr>
      </w:pPr>
    </w:p>
    <w:p>
      <w:pPr>
        <w:ind w:left="260" w:hanging="203"/>
        <w:spacing w:after="0"/>
        <w:tabs>
          <w:tab w:leader="none" w:pos="260" w:val="left"/>
        </w:tabs>
        <w:numPr>
          <w:ilvl w:val="0"/>
          <w:numId w:val="8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8"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w:t>
      </w:r>
    </w:p>
    <w:p>
      <w:pPr>
        <w:spacing w:after="0" w:line="8" w:lineRule="exact"/>
        <w:rPr>
          <w:rFonts w:ascii="Courier New" w:cs="Courier New" w:eastAsia="Courier New" w:hAnsi="Courier New"/>
          <w:sz w:val="17"/>
          <w:szCs w:val="17"/>
          <w:color w:val="auto"/>
        </w:rPr>
      </w:pPr>
    </w:p>
    <w:p>
      <w:pPr>
        <w:ind w:left="15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External</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$36,639 $18,894 $ -- $ -- $55,533</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Inter-group</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revenue..................... 298</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(298) Total</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36,937 18,894 (298) 55,533 Operating</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Expenses Access and other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connection............. 7,936 5,204</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13,140 Costs of services and</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products.......... 11,084 1,711</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12,795 Selling, general and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administrative..... 6,204 3,548 9,752</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Depreciation and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amortization..... 5,788 167 (31)</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5,924 Amortization of goodwill,</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franchise costs and other purchased</w:t>
      </w:r>
    </w:p>
    <w:p>
      <w:pPr>
        <w:spacing w:after="0" w:line="9"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7"/>
          <w:szCs w:val="17"/>
          <w:color w:val="auto"/>
        </w:rPr>
        <w:t>intangibles...........................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2,634 31 2,665 Net restructuring and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other charges.....</w:t>
            </w:r>
          </w:p>
        </w:tc>
        <w:tc>
          <w:tcPr>
            <w:tcW w:w="1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6,932 97 7,029</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Inter-group</w:t>
            </w:r>
          </w:p>
        </w:tc>
      </w:tr>
      <w:tr>
        <w:trPr>
          <w:trHeight w:val="201"/>
        </w:trPr>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w w:val="74"/>
              </w:rPr>
              <w:t>expenses....................</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(1,128)</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1,426 (298) Total operating</w:t>
            </w:r>
          </w:p>
        </w:tc>
      </w:tr>
      <w:tr>
        <w:trPr>
          <w:trHeight w:val="201"/>
        </w:trPr>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w w:val="86"/>
              </w:rPr>
              <w:t>expenses................</w:t>
            </w:r>
          </w:p>
        </w:tc>
        <w:tc>
          <w:tcPr>
            <w:tcW w:w="1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39,450</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12,153 (298) 51,305 Operating (loss)</w:t>
            </w:r>
          </w:p>
        </w:tc>
      </w:tr>
      <w:tr>
        <w:trPr>
          <w:trHeight w:val="201"/>
        </w:trPr>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w w:val="90"/>
              </w:rPr>
              <w:t>income.................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(2,513) 6,741</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4,228 Other</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income............................</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1,069 81 1,150 Inter-group interest</w:t>
            </w:r>
          </w:p>
        </w:tc>
      </w:tr>
      <w:tr>
        <w:trPr>
          <w:trHeight w:val="201"/>
        </w:trPr>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income.............</w:t>
            </w:r>
          </w:p>
        </w:tc>
        <w:tc>
          <w:tcPr>
            <w:tcW w:w="17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164 (164)</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Interest</w:t>
            </w:r>
          </w:p>
        </w:tc>
      </w:tr>
      <w:tr>
        <w:trPr>
          <w:trHeight w:val="201"/>
        </w:trPr>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w w:val="71"/>
              </w:rPr>
              <w:t>expense........................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2,964</w:t>
            </w:r>
          </w:p>
        </w:tc>
      </w:tr>
      <w:tr>
        <w:trPr>
          <w:trHeight w:val="201"/>
        </w:trPr>
        <w:tc>
          <w:tcPr>
            <w:tcW w:w="38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2,964 Inter-group interest</w:t>
            </w:r>
          </w:p>
        </w:tc>
      </w:tr>
      <w:tr>
        <w:trPr>
          <w:trHeight w:val="201"/>
        </w:trPr>
        <w:tc>
          <w:tcPr>
            <w:tcW w:w="2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expense............</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164 (164) (Loss)</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before income taxes, minority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interest and earnings (losses) from</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equity investments...... (4,244)</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6,658 2,414 Provision for income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taxes.............. 738 2,546 3,284</w:t>
      </w:r>
    </w:p>
    <w:p>
      <w:pPr>
        <w:spacing w:after="0" w:line="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Minority interest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 4,103 4,103</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Equity earnings from Liberty Media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1,488 1,488 Net losses from other</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equity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588 588 (Loss) income from continuing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(1,467) 4,112 1,488 4,133 Income from</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discontinued operations (net of</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income taxes)......................</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536 536 Net (loss)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 (931)</w:t>
      </w:r>
    </w:p>
    <w:p>
      <w:pPr>
        <w:spacing w:after="0" w:line="9" w:lineRule="exact"/>
        <w:rPr>
          <w:sz w:val="20"/>
          <w:szCs w:val="20"/>
          <w:color w:val="auto"/>
        </w:rPr>
      </w:pPr>
    </w:p>
    <w:p>
      <w:pPr>
        <w:ind w:left="800" w:hanging="219"/>
        <w:spacing w:after="0"/>
        <w:tabs>
          <w:tab w:leader="none" w:pos="800" w:val="left"/>
        </w:tabs>
        <w:numPr>
          <w:ilvl w:val="1"/>
          <w:numId w:val="8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4,112 $1,488 $ -- $ 4,669</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8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20" w:right="2039" w:hanging="413"/>
        <w:spacing w:after="0" w:line="257" w:lineRule="auto"/>
        <w:tabs>
          <w:tab w:leader="none" w:pos="420" w:val="left"/>
        </w:tabs>
        <w:numPr>
          <w:ilvl w:val="0"/>
          <w:numId w:val="8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1" w:lineRule="exact"/>
        <w:rPr>
          <w:rFonts w:ascii="Courier New" w:cs="Courier New" w:eastAsia="Courier New" w:hAnsi="Courier New"/>
          <w:sz w:val="17"/>
          <w:szCs w:val="17"/>
          <w:color w:val="auto"/>
        </w:rPr>
      </w:pPr>
    </w:p>
    <w:p>
      <w:pPr>
        <w:ind w:left="420" w:right="1839" w:hanging="413"/>
        <w:spacing w:after="0" w:line="257" w:lineRule="auto"/>
        <w:tabs>
          <w:tab w:leader="none" w:pos="420" w:val="left"/>
        </w:tabs>
        <w:numPr>
          <w:ilvl w:val="0"/>
          <w:numId w:val="8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L-188</w:t>
      </w:r>
    </w:p>
    <w:p>
      <w:pPr>
        <w:sectPr>
          <w:pgSz w:w="11900" w:h="16838" w:orient="portrait"/>
          <w:cols w:equalWidth="0" w:num="1">
            <w:col w:w="10219"/>
          </w:cols>
          <w:pgMar w:left="240" w:top="720" w:right="1440" w:bottom="54" w:gutter="0" w:footer="0" w:header="0"/>
        </w:sectPr>
      </w:pPr>
    </w:p>
    <w:bookmarkStart w:id="803" w:name="page804"/>
    <w:bookmarkEnd w:id="803"/>
    <w:p>
      <w:pPr>
        <w:jc w:val="center"/>
        <w:ind w:right="181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jc w:val="right"/>
        <w:ind w:right="4139"/>
        <w:spacing w:after="0"/>
        <w:rPr>
          <w:sz w:val="20"/>
          <w:szCs w:val="20"/>
          <w:color w:val="auto"/>
        </w:rPr>
      </w:pPr>
      <w:r>
        <w:rPr>
          <w:rFonts w:ascii="Courier New" w:cs="Courier New" w:eastAsia="Courier New" w:hAnsi="Courier New"/>
          <w:sz w:val="17"/>
          <w:szCs w:val="17"/>
          <w:color w:val="auto"/>
        </w:rPr>
        <w:t>CONSOLIDATING CONDENSED BALANCE SHEET</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AT DECEMBER 31, 2000</w:t>
      </w:r>
    </w:p>
    <w:p>
      <w:pPr>
        <w:spacing w:after="0" w:line="210"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AT&amp;T AT&amp;T COMMON CONSUMER LIBERTY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ELIMINATIONS/ STOCK SERVICES MEDIA RECLASSI-</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CONSOLIDATED GROUP(1) GROUP GROUP FICATIONS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 AT&amp;T CORP. -------- -------- -------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 (DOLLARS IN MILLIONS)</w:t>
      </w:r>
    </w:p>
    <w:p>
      <w:pPr>
        <w:spacing w:after="0" w:line="9"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ASSETS Cash and cash</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equivalents...................... $ 64 $ -- $</w:t>
      </w:r>
    </w:p>
    <w:p>
      <w:pPr>
        <w:spacing w:after="0" w:line="9"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 $ -- $ 64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8,894 2,681 (522) 11,053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2,102 2,102 Deferred income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taxes.......................... 406 314 720</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Other current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assets........................... 713 68 781</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Total current assets......................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12,179 3,063 (522) 14,720 Property, plant &amp;</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equipment, net............... 41,099 170</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41,269 Franchise costs,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net........................... 48,218 48,218</w:t>
      </w:r>
    </w:p>
    <w:p>
      <w:pPr>
        <w:spacing w:after="0" w:line="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Goodwill,</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net.................................. 26,701</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81 26,782 Investment in Liberty Media Group</w:t>
      </w:r>
    </w:p>
    <w:p>
      <w:pPr>
        <w:spacing w:after="0" w:line="9"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and related receivables,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 34,290 34,290</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Other investments &amp; related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advances........... 30,871 4 30,875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7"/>
          <w:szCs w:val="17"/>
          <w:color w:val="auto"/>
        </w:rPr>
        <w:t>10,757 310 (85) 10,982 Net assets of</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discontinued operations.......... 27,224</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27,224 Long-term assets due from related</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party........ 4,000 (4,000) Total</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Assets.............................. 201,049</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3,543 34,290 (4,522) 234,360 LIABILITIES Debt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maturing within one year..................</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31,825 13 31,838 Liability under put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options.................... 2,564 2,564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current liabilities......................</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12,338 1,757 (522) 13,573 Total current</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liabilities................. 46,727 1,770</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(522) 47,975 Long-term</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debt................................. 33,089</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33,089 Long-term debt due to related</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party............ 4,000 (4,000) Deferred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taxes.......................... 32,025</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29 32,054 Other long-term liabilities &amp;</w:t>
      </w:r>
    </w:p>
    <w:p>
      <w:pPr>
        <w:spacing w:after="0" w:line="9"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deferred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credits......................................</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8,208 285 8,493 Total</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Liabilities......................... 120,049</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6,084 (4,522) 121,611 Minority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Interest.............................. 4,841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Stock.............................. 3,760</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7"/>
          <w:szCs w:val="17"/>
          <w:color w:val="auto"/>
        </w:rPr>
        <w:t>3,760 AT&amp;T Wireless Group Common</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Stock............... 362 362 Liberty Media</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Group Class A Common Stock....... 2,364 2,364</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Liberty Media Group Class B Common</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Stock....... 206 206 Other shareowners'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equity...................... 71,449 (2,541)</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34,290 (6,692) 96,506 Total shareowners'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equity................. 71,449 (2,541) 34,290</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103,198 Total Liabilities and Shareowners'</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Equity..................................</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$201,049 $ 3,543 $34,290 $(4,522) $234,360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720" w:right="1440" w:bottom="0" w:gutter="0" w:footer="0" w:header="0"/>
        </w:sectPr>
      </w:pPr>
    </w:p>
    <w:bookmarkStart w:id="804" w:name="page805"/>
    <w:bookmarkEnd w:id="804"/>
    <w:p>
      <w:pPr>
        <w:ind w:left="413" w:right="2039" w:hanging="413"/>
        <w:spacing w:after="0" w:line="257" w:lineRule="auto"/>
        <w:tabs>
          <w:tab w:leader="none" w:pos="413" w:val="left"/>
        </w:tabs>
        <w:numPr>
          <w:ilvl w:val="0"/>
          <w:numId w:val="8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1" w:lineRule="exact"/>
        <w:rPr>
          <w:rFonts w:ascii="Courier New" w:cs="Courier New" w:eastAsia="Courier New" w:hAnsi="Courier New"/>
          <w:sz w:val="17"/>
          <w:szCs w:val="17"/>
          <w:color w:val="auto"/>
        </w:rPr>
      </w:pPr>
    </w:p>
    <w:p>
      <w:pPr>
        <w:ind w:left="413" w:right="1839" w:hanging="413"/>
        <w:spacing w:after="0" w:line="257" w:lineRule="auto"/>
        <w:tabs>
          <w:tab w:leader="none" w:pos="413" w:val="left"/>
        </w:tabs>
        <w:numPr>
          <w:ilvl w:val="0"/>
          <w:numId w:val="8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2" w:lineRule="exact"/>
        <w:rPr>
          <w:sz w:val="20"/>
          <w:szCs w:val="20"/>
          <w:color w:val="auto"/>
        </w:rPr>
      </w:pPr>
    </w:p>
    <w:p>
      <w:pPr>
        <w:ind w:left="3973"/>
        <w:spacing w:after="0"/>
        <w:rPr>
          <w:sz w:val="20"/>
          <w:szCs w:val="20"/>
          <w:color w:val="auto"/>
        </w:rPr>
      </w:pPr>
      <w:r>
        <w:rPr>
          <w:rFonts w:ascii="Courier New" w:cs="Courier New" w:eastAsia="Courier New" w:hAnsi="Courier New"/>
          <w:sz w:val="17"/>
          <w:szCs w:val="17"/>
          <w:color w:val="auto"/>
        </w:rPr>
        <w:t>L-189</w:t>
      </w:r>
    </w:p>
    <w:p>
      <w:pPr>
        <w:sectPr>
          <w:pgSz w:w="11900" w:h="16838" w:orient="portrait"/>
          <w:cols w:equalWidth="0" w:num="1">
            <w:col w:w="10212"/>
          </w:cols>
          <w:pgMar w:left="247" w:top="142" w:right="1440" w:bottom="1440" w:gutter="0" w:footer="0" w:header="0"/>
        </w:sectPr>
      </w:pPr>
    </w:p>
    <w:bookmarkStart w:id="805" w:name="page806"/>
    <w:bookmarkEnd w:id="805"/>
    <w:p>
      <w:pPr>
        <w:jc w:val="center"/>
        <w:ind w:right="183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CONSOLIDATING CONDENSED STATEMENT OF CASH FLOWS</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FOR THE YEAR ENDED DECEMBER 31, 2000</w:t>
      </w:r>
    </w:p>
    <w:p>
      <w:pPr>
        <w:spacing w:after="0" w:line="210"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AT&amp;T AT&amp;T COMMON CONSUMER LIBERTY</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ELIMINATIONS/ STOCK SERVICES MEDIA</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RECLASSI- CONSOLIDATED GROUP(1) GROUP</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GROUP FICATIONS(2) AT&amp;T CORP.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jc w:val="both"/>
        <w:ind w:left="220" w:right="6279" w:hanging="57"/>
        <w:spacing w:after="0" w:line="251" w:lineRule="auto"/>
        <w:tabs>
          <w:tab w:leader="none" w:pos="796" w:val="left"/>
        </w:tabs>
        <w:numPr>
          <w:ilvl w:val="0"/>
          <w:numId w:val="8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Net cash provided by operating activities of</w:t>
      </w:r>
    </w:p>
    <w:p>
      <w:pPr>
        <w:ind w:left="1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580" w:right="6399" w:hanging="312"/>
        <w:spacing w:after="0" w:line="251" w:lineRule="auto"/>
        <w:tabs>
          <w:tab w:leader="none" w:pos="476" w:val="left"/>
        </w:tabs>
        <w:numPr>
          <w:ilvl w:val="0"/>
          <w:numId w:val="8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6,878 $ 4,787 $ -- $ -- $ 11,665 INVESTING ACTIVITIES Capital</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expenditures and other</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additions............................</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(10,763) (148) (10,911) (Increase)</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decrease in other</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receivables..........................</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(4,152) 3,100 (1,052) Equity</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investment distributions and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sales................................</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992 992 Equity investment</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contributions and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purchases............................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(2,394) (2,394) Net acquisitions of</w:t>
      </w:r>
    </w:p>
    <w:p>
      <w:pPr>
        <w:spacing w:after="0" w:line="9"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businesses, including cash</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acquired.............. (16,672) 15</w:t>
      </w:r>
    </w:p>
    <w:p>
      <w:pPr>
        <w:spacing w:after="0" w:line="9"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(16,657)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800" w:right="6179" w:hanging="742"/>
        <w:spacing w:after="0" w:line="251" w:lineRule="auto"/>
        <w:tabs>
          <w:tab w:leader="none" w:pos="590" w:val="left"/>
        </w:tabs>
        <w:numPr>
          <w:ilvl w:val="0"/>
          <w:numId w:val="8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(23) Net cash used in investing activities of continuing</w:t>
      </w:r>
    </w:p>
    <w:p>
      <w:pPr>
        <w:ind w:left="60"/>
        <w:spacing w:after="0"/>
        <w:rPr>
          <w:sz w:val="20"/>
          <w:szCs w:val="20"/>
          <w:color w:val="auto"/>
        </w:rPr>
      </w:pPr>
      <w:r>
        <w:rPr>
          <w:rFonts w:ascii="Courier New" w:cs="Courier New" w:eastAsia="Courier New" w:hAnsi="Courier New"/>
          <w:sz w:val="17"/>
          <w:szCs w:val="17"/>
          <w:color w:val="auto"/>
        </w:rPr>
        <w:t>operations............. (33,013) (132)</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3,100 (30,045) FINANCING ACTIVITIES</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Proceeds from long-term debt</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issuances............................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4,601 4,601 Retirement of long-term</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debt........... (2,118) (2,118)</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shares...............................</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10,314 10,314 Dividends</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paid......................... (1,016)</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(2,031) (3,047) Increase (decrease) in</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short-term borrowings,</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net...................... 16,996 (23)</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16,973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4,716 (2,607) (3,100) (991) Net cash</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provided by (used in) financing</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activities of continuing</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33,493 (4,661) (3,100) 25,732 Net cash</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used in discontinued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(8,306) (8,306) Net decrease in cash</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and cash</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equivalents..........................</w:t>
      </w:r>
    </w:p>
    <w:p>
      <w:pPr>
        <w:spacing w:after="0" w:line="9" w:lineRule="exact"/>
        <w:rPr>
          <w:sz w:val="20"/>
          <w:szCs w:val="20"/>
          <w:color w:val="auto"/>
        </w:rPr>
      </w:pPr>
    </w:p>
    <w:p>
      <w:pPr>
        <w:ind w:left="640" w:right="6659" w:hanging="110"/>
        <w:spacing w:after="0" w:line="251" w:lineRule="auto"/>
        <w:tabs>
          <w:tab w:leader="none" w:pos="1164" w:val="left"/>
        </w:tabs>
        <w:numPr>
          <w:ilvl w:val="0"/>
          <w:numId w:val="8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(6) (954) Cash and cash equivalents at beginning of</w:t>
      </w:r>
    </w:p>
    <w:p>
      <w:pPr>
        <w:ind w:left="260"/>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1,012 6 1,018 Cash and cash</w:t>
      </w:r>
    </w:p>
    <w:p>
      <w:pPr>
        <w:spacing w:after="0" w:line="9"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equivalents at end of</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ind w:left="1000" w:hanging="208"/>
        <w:spacing w:after="0"/>
        <w:tabs>
          <w:tab w:leader="none" w:pos="1000" w:val="left"/>
        </w:tabs>
        <w:numPr>
          <w:ilvl w:val="1"/>
          <w:numId w:val="8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64 $ -- $ -- $ -- $ 64</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8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20" w:right="2039" w:hanging="413"/>
        <w:spacing w:after="0" w:line="257" w:lineRule="auto"/>
        <w:tabs>
          <w:tab w:leader="none" w:pos="420" w:val="left"/>
        </w:tabs>
        <w:numPr>
          <w:ilvl w:val="0"/>
          <w:numId w:val="8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1" w:lineRule="exact"/>
        <w:rPr>
          <w:rFonts w:ascii="Courier New" w:cs="Courier New" w:eastAsia="Courier New" w:hAnsi="Courier New"/>
          <w:sz w:val="17"/>
          <w:szCs w:val="17"/>
          <w:color w:val="auto"/>
        </w:rPr>
      </w:pPr>
    </w:p>
    <w:p>
      <w:pPr>
        <w:ind w:left="420" w:right="1839" w:hanging="413"/>
        <w:spacing w:after="0" w:line="257" w:lineRule="auto"/>
        <w:tabs>
          <w:tab w:leader="none" w:pos="420" w:val="left"/>
        </w:tabs>
        <w:numPr>
          <w:ilvl w:val="0"/>
          <w:numId w:val="8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L-190</w:t>
      </w:r>
    </w:p>
    <w:p>
      <w:pPr>
        <w:sectPr>
          <w:pgSz w:w="11900" w:h="16838" w:orient="portrait"/>
          <w:cols w:equalWidth="0" w:num="1">
            <w:col w:w="10219"/>
          </w:cols>
          <w:pgMar w:left="240" w:top="719" w:right="1440" w:bottom="55" w:gutter="0" w:footer="0" w:header="0"/>
        </w:sectPr>
      </w:pPr>
    </w:p>
    <w:bookmarkStart w:id="806" w:name="page807"/>
    <w:bookmarkEnd w:id="806"/>
    <w:p>
      <w:pPr>
        <w:jc w:val="center"/>
        <w:ind w:right="183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CONSOLIDATING CONDENSED INCOME STATEMENT</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FOR THE YEAR ENDED DECEMBER 31, 1999</w:t>
      </w:r>
    </w:p>
    <w:p>
      <w:pPr>
        <w:spacing w:after="0" w:line="210"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AT&amp;T AT&amp;T COMMON CONSUMER LIBERTY</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ELIMINATIONS/ STOCK SERVICES MEDIA</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RECLASSI- CONSOLIDATED GROUP(1)</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GROUP GROUP FICATIONS(2) AT&amp;T CORP.</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w:t>
      </w:r>
    </w:p>
    <w:p>
      <w:pPr>
        <w:spacing w:after="0" w:line="9" w:lineRule="exact"/>
        <w:rPr>
          <w:sz w:val="20"/>
          <w:szCs w:val="20"/>
          <w:color w:val="auto"/>
        </w:rPr>
      </w:pPr>
    </w:p>
    <w:p>
      <w:pPr>
        <w:ind w:left="1000" w:right="6819" w:hanging="526"/>
        <w:spacing w:after="0" w:line="251" w:lineRule="auto"/>
        <w:tabs>
          <w:tab w:leader="none" w:pos="895" w:val="left"/>
        </w:tabs>
        <w:numPr>
          <w:ilvl w:val="0"/>
          <w:numId w:val="8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External</w:t>
      </w:r>
    </w:p>
    <w:p>
      <w:pPr>
        <w:ind w:left="360"/>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$33,220 $21,753 $ -- $ -- $54,973</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Inter-group</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revenue.................... 328</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(328) Total</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33,548 21,753 (328) 54,973 Operating</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Expenses Access and other</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connection............ 8,216 6,223</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14,439 Costs of services and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products......... 8,946 2,067 11,013</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Selling, general and</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administrative.... 7,099 3,795</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10,894 Depreciation and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amortization.... 4,969 184 (16)</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5,137 Amortization of goodwill,</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franchise costs and other purchased</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intangibles..........................</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1,041 16 1,057 Net restructuring and</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other charges.... 968 7 975 Inter-</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group expenses...................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(1,814) 2,142 (328) Total operating</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2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expenses...............</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29,425</w:t>
            </w:r>
          </w:p>
        </w:tc>
      </w:tr>
      <w:tr>
        <w:trPr>
          <w:trHeight w:val="201"/>
        </w:trPr>
        <w:tc>
          <w:tcPr>
            <w:tcW w:w="36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14,418 (328) 43,515 Operating</w:t>
            </w:r>
          </w:p>
        </w:tc>
      </w:tr>
      <w:tr>
        <w:trPr>
          <w:trHeight w:val="201"/>
        </w:trPr>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w w:val="93"/>
              </w:rPr>
              <w:t>income.......................</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4,123</w:t>
            </w:r>
          </w:p>
        </w:tc>
      </w:tr>
      <w:tr>
        <w:trPr>
          <w:trHeight w:val="201"/>
        </w:trPr>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rPr>
              <w:t>7,335 11,458 Other</w:t>
            </w:r>
          </w:p>
        </w:tc>
        <w:tc>
          <w:tcPr>
            <w:tcW w:w="900" w:type="dxa"/>
            <w:vAlign w:val="bottom"/>
          </w:tcPr>
          <w:p>
            <w:pPr>
              <w:spacing w:after="0"/>
              <w:rPr>
                <w:sz w:val="17"/>
                <w:szCs w:val="17"/>
                <w:color w:val="auto"/>
              </w:rPr>
            </w:pP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income...........................</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652 174 826 Inter-group interest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income............ 38 34 (72)</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expense....................... 1,500</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3 1,503 Inter-group interest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expense........... 34 38 (72) Income</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before income taxes, minority</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interest and earnings (losses) from</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equity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investments................... 3,279</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7,502 10,781 Provision for 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taxes............. 1,147 2,869 4,016</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Minority interest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expense.............. 126 126 Equity</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losses from Liberty Media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(2,022) (2,022) Net losses from</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other equity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756 756 Income (loss) from</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continuing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1,250 4,633 (2,022) 3,861 Loss from</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discontinued operations (net of</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income taxes).....................</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7"/>
          <w:szCs w:val="17"/>
          <w:color w:val="auto"/>
        </w:rPr>
        <w:t>(433) (433) Net income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(loss)...................... $ 817 $</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4,633 $(2,022) $ -- $ 3,428</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2039" w:hanging="413"/>
        <w:spacing w:after="0" w:line="257" w:lineRule="auto"/>
        <w:tabs>
          <w:tab w:leader="none" w:pos="420" w:val="left"/>
        </w:tabs>
        <w:numPr>
          <w:ilvl w:val="0"/>
          <w:numId w:val="8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1" w:lineRule="exact"/>
        <w:rPr>
          <w:rFonts w:ascii="Courier New" w:cs="Courier New" w:eastAsia="Courier New" w:hAnsi="Courier New"/>
          <w:sz w:val="17"/>
          <w:szCs w:val="17"/>
          <w:color w:val="auto"/>
        </w:rPr>
      </w:pPr>
    </w:p>
    <w:p>
      <w:pPr>
        <w:ind w:left="420" w:right="1839" w:hanging="413"/>
        <w:spacing w:after="0" w:line="257" w:lineRule="auto"/>
        <w:tabs>
          <w:tab w:leader="none" w:pos="420" w:val="left"/>
        </w:tabs>
        <w:numPr>
          <w:ilvl w:val="0"/>
          <w:numId w:val="8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L-191</w:t>
      </w:r>
    </w:p>
    <w:p>
      <w:pPr>
        <w:sectPr>
          <w:pgSz w:w="11900" w:h="16838" w:orient="portrait"/>
          <w:cols w:equalWidth="0" w:num="1">
            <w:col w:w="10219"/>
          </w:cols>
          <w:pgMar w:left="240" w:top="719" w:right="1440" w:bottom="0" w:gutter="0" w:footer="0" w:header="0"/>
        </w:sectPr>
      </w:pPr>
    </w:p>
    <w:bookmarkStart w:id="807" w:name="page808"/>
    <w:bookmarkEnd w:id="807"/>
    <w:p>
      <w:pPr>
        <w:jc w:val="center"/>
        <w:ind w:right="181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jc w:val="right"/>
        <w:ind w:right="4139"/>
        <w:spacing w:after="0"/>
        <w:rPr>
          <w:sz w:val="20"/>
          <w:szCs w:val="20"/>
          <w:color w:val="auto"/>
        </w:rPr>
      </w:pPr>
      <w:r>
        <w:rPr>
          <w:rFonts w:ascii="Courier New" w:cs="Courier New" w:eastAsia="Courier New" w:hAnsi="Courier New"/>
          <w:sz w:val="17"/>
          <w:szCs w:val="17"/>
          <w:color w:val="auto"/>
        </w:rPr>
        <w:t>CONSOLIDATING CONDENSED BALANCE SHEET</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AT DECEMBER 31, 1999</w:t>
      </w:r>
    </w:p>
    <w:p>
      <w:pPr>
        <w:spacing w:after="0" w:line="210"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AT&amp;T AT&amp;T COMMON CONSUMER LIBERTY</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ELIMINATIONS STOCK SERVICES MEDIA</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RECLASSI- CONSOLIDATED GROUP(1)</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GROUP GROUP FICATIONS(2) AT&amp;T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CORP. -------- -------- -------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(DOLLARS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240" w:type="dxa"/>
            <w:vAlign w:val="bottom"/>
          </w:tcPr>
          <w:p>
            <w:pPr>
              <w:spacing w:after="0"/>
              <w:rPr>
                <w:sz w:val="20"/>
                <w:szCs w:val="20"/>
                <w:color w:val="auto"/>
              </w:rPr>
            </w:pPr>
            <w:r>
              <w:rPr>
                <w:rFonts w:ascii="Courier New" w:cs="Courier New" w:eastAsia="Courier New" w:hAnsi="Courier New"/>
                <w:sz w:val="17"/>
                <w:szCs w:val="17"/>
                <w:color w:val="auto"/>
              </w:rPr>
              <w:t>equivalents..........</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$ 1,012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$ 6</w:t>
            </w:r>
          </w:p>
        </w:tc>
      </w:tr>
    </w:tbl>
    <w:p>
      <w:pPr>
        <w:spacing w:after="0" w:line="4" w:lineRule="exact"/>
        <w:rPr>
          <w:sz w:val="20"/>
          <w:szCs w:val="20"/>
          <w:color w:val="auto"/>
        </w:rPr>
      </w:pPr>
    </w:p>
    <w:p>
      <w:pPr>
        <w:ind w:right="6539" w:firstLine="950"/>
        <w:spacing w:after="0" w:line="251" w:lineRule="auto"/>
        <w:tabs>
          <w:tab w:leader="none" w:pos="1152" w:val="left"/>
        </w:tabs>
        <w:numPr>
          <w:ilvl w:val="0"/>
          <w:numId w:val="8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$ 1,018 Receivables........................</w:t>
      </w: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6,495 3,115 (368) 9,242 Deferred</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taxes.............. 788 372</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1,160 Other current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assets............... 843 81 924</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Total current assets..........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9,138 3,574 (368) 12,344 Property,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plant &amp; equipment, net... 33,234</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132 33,366 Franchise costs,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net............... 32,693 32,693</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Goodwill,</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 5,221 89</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5,310 Investment in Liberty Media</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Group and related receivables,</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net..... 38,460 38,460 Other</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investments &amp; related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advances.........................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14,856 14,856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assets.......................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8,788 366 (89) 9,065 Net assets of</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discontinued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17,363 17,363 Long-term assets due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from related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party............................</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900 (900) Total</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4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Assets..................</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122,193</w:t>
            </w:r>
          </w:p>
        </w:tc>
      </w:tr>
      <w:tr>
        <w:trPr>
          <w:trHeight w:val="201"/>
        </w:trPr>
        <w:tc>
          <w:tcPr>
            <w:tcW w:w="1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4,072 38,460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7"/>
              </w:rPr>
              <w:t>(1,268)</w:t>
            </w:r>
          </w:p>
        </w:tc>
        <w:tc>
          <w:tcPr>
            <w:tcW w:w="10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163,457</w:t>
            </w:r>
          </w:p>
        </w:tc>
      </w:tr>
      <w:tr>
        <w:trPr>
          <w:trHeight w:val="201"/>
        </w:trPr>
        <w:tc>
          <w:tcPr>
            <w:tcW w:w="35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LIABILITIES Debt maturing within</w:t>
            </w:r>
          </w:p>
        </w:tc>
      </w:tr>
      <w:tr>
        <w:trPr>
          <w:trHeight w:val="201"/>
        </w:trPr>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one year......</w:t>
            </w:r>
          </w:p>
        </w:tc>
        <w:tc>
          <w:tcPr>
            <w:tcW w:w="18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12,444 36 12,480</w:t>
            </w:r>
          </w:p>
        </w:tc>
      </w:tr>
      <w:tr>
        <w:trPr>
          <w:trHeight w:val="201"/>
        </w:trPr>
        <w:tc>
          <w:tcPr>
            <w:tcW w:w="2480" w:type="dxa"/>
            <w:vAlign w:val="bottom"/>
            <w:gridSpan w:val="2"/>
          </w:tcPr>
          <w:p>
            <w:pPr>
              <w:jc w:val="center"/>
              <w:ind w:left="993"/>
              <w:spacing w:after="0"/>
              <w:rPr>
                <w:sz w:val="20"/>
                <w:szCs w:val="20"/>
                <w:color w:val="auto"/>
              </w:rPr>
            </w:pPr>
            <w:r>
              <w:rPr>
                <w:rFonts w:ascii="Courier New" w:cs="Courier New" w:eastAsia="Courier New" w:hAnsi="Courier New"/>
                <w:sz w:val="17"/>
                <w:szCs w:val="17"/>
                <w:color w:val="auto"/>
              </w:rPr>
              <w:t>Other current</w:t>
            </w:r>
          </w:p>
        </w:tc>
        <w:tc>
          <w:tcPr>
            <w:tcW w:w="1080" w:type="dxa"/>
            <w:vAlign w:val="bottom"/>
          </w:tcPr>
          <w:p>
            <w:pPr>
              <w:spacing w:after="0"/>
              <w:rPr>
                <w:sz w:val="17"/>
                <w:szCs w:val="17"/>
                <w:color w:val="auto"/>
              </w:rPr>
            </w:pPr>
          </w:p>
        </w:tc>
      </w:tr>
      <w:tr>
        <w:trPr>
          <w:trHeight w:val="201"/>
        </w:trPr>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w w:val="77"/>
              </w:rPr>
              <w:t>liabilities..........</w:t>
            </w:r>
          </w:p>
        </w:tc>
        <w:tc>
          <w:tcPr>
            <w:tcW w:w="1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12,176 1,730</w:t>
            </w:r>
          </w:p>
        </w:tc>
      </w:tr>
      <w:tr>
        <w:trPr>
          <w:trHeight w:val="201"/>
        </w:trPr>
        <w:tc>
          <w:tcPr>
            <w:tcW w:w="35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(368) 13,538 Total current</w:t>
            </w:r>
          </w:p>
        </w:tc>
      </w:tr>
      <w:tr>
        <w:trPr>
          <w:trHeight w:val="201"/>
        </w:trPr>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liabilities.....</w:t>
            </w:r>
          </w:p>
        </w:tc>
        <w:tc>
          <w:tcPr>
            <w:tcW w:w="18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24,620 1,766</w:t>
            </w:r>
          </w:p>
        </w:tc>
      </w:tr>
      <w:tr>
        <w:trPr>
          <w:trHeight w:val="201"/>
        </w:trPr>
        <w:tc>
          <w:tcPr>
            <w:tcW w:w="35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(368) 26,018 Long-term</w:t>
            </w:r>
          </w:p>
        </w:tc>
      </w:tr>
      <w:tr>
        <w:trPr>
          <w:trHeight w:val="201"/>
        </w:trPr>
        <w:tc>
          <w:tcPr>
            <w:tcW w:w="24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debt.....................</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23,214</w:t>
            </w:r>
          </w:p>
        </w:tc>
      </w:tr>
      <w:tr>
        <w:trPr>
          <w:trHeight w:val="201"/>
        </w:trPr>
        <w:tc>
          <w:tcPr>
            <w:tcW w:w="35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23,214 Long-term debt due to</w:t>
            </w:r>
          </w:p>
        </w:tc>
      </w:tr>
      <w:tr>
        <w:trPr>
          <w:trHeight w:val="201"/>
        </w:trPr>
        <w:tc>
          <w:tcPr>
            <w:tcW w:w="2480" w:type="dxa"/>
            <w:vAlign w:val="bottom"/>
            <w:gridSpan w:val="2"/>
          </w:tcPr>
          <w:p>
            <w:pPr>
              <w:jc w:val="center"/>
              <w:ind w:left="993"/>
              <w:spacing w:after="0"/>
              <w:rPr>
                <w:sz w:val="20"/>
                <w:szCs w:val="20"/>
                <w:color w:val="auto"/>
              </w:rPr>
            </w:pPr>
            <w:r>
              <w:rPr>
                <w:rFonts w:ascii="Courier New" w:cs="Courier New" w:eastAsia="Courier New" w:hAnsi="Courier New"/>
                <w:sz w:val="17"/>
                <w:szCs w:val="17"/>
                <w:color w:val="auto"/>
              </w:rPr>
              <w:t>related</w:t>
            </w:r>
          </w:p>
        </w:tc>
        <w:tc>
          <w:tcPr>
            <w:tcW w:w="1080" w:type="dxa"/>
            <w:vAlign w:val="bottom"/>
          </w:tcPr>
          <w:p>
            <w:pPr>
              <w:spacing w:after="0"/>
              <w:rPr>
                <w:sz w:val="17"/>
                <w:szCs w:val="17"/>
                <w:color w:val="auto"/>
              </w:rPr>
            </w:pPr>
          </w:p>
        </w:tc>
      </w:tr>
      <w:tr>
        <w:trPr>
          <w:trHeight w:val="201"/>
        </w:trPr>
        <w:tc>
          <w:tcPr>
            <w:tcW w:w="24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3"/>
              </w:rPr>
              <w:t>party............................</w:t>
            </w:r>
          </w:p>
        </w:tc>
        <w:tc>
          <w:tcPr>
            <w:tcW w:w="1080" w:type="dxa"/>
            <w:vAlign w:val="bottom"/>
          </w:tcPr>
          <w:p>
            <w:pPr>
              <w:spacing w:after="0"/>
              <w:rPr>
                <w:sz w:val="17"/>
                <w:szCs w:val="17"/>
                <w:color w:val="auto"/>
              </w:rPr>
            </w:pPr>
          </w:p>
        </w:tc>
      </w:tr>
      <w:tr>
        <w:trPr>
          <w:trHeight w:val="201"/>
        </w:trPr>
        <w:tc>
          <w:tcPr>
            <w:tcW w:w="35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900 (900) Deferred income</w:t>
            </w:r>
          </w:p>
        </w:tc>
      </w:tr>
      <w:tr>
        <w:trPr>
          <w:trHeight w:val="201"/>
        </w:trPr>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w w:val="85"/>
              </w:rPr>
              <w:t>taxes..............</w:t>
            </w:r>
          </w:p>
        </w:tc>
        <w:tc>
          <w:tcPr>
            <w:tcW w:w="18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20,466 41</w:t>
            </w:r>
          </w:p>
        </w:tc>
      </w:tr>
    </w:tbl>
    <w:p>
      <w:pPr>
        <w:spacing w:after="0" w:line="4"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20,507 Other long-term liabilities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&amp; deferred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credits.................</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7,424 295</w:t>
            </w:r>
          </w:p>
        </w:tc>
      </w:tr>
      <w:tr>
        <w:trPr>
          <w:trHeight w:val="201"/>
        </w:trPr>
        <w:tc>
          <w:tcPr>
            <w:tcW w:w="2620" w:type="dxa"/>
            <w:vAlign w:val="bottom"/>
          </w:tcPr>
          <w:p>
            <w:pPr>
              <w:jc w:val="center"/>
              <w:ind w:left="853"/>
              <w:spacing w:after="0"/>
              <w:rPr>
                <w:sz w:val="20"/>
                <w:szCs w:val="20"/>
                <w:color w:val="auto"/>
              </w:rPr>
            </w:pPr>
            <w:r>
              <w:rPr>
                <w:rFonts w:ascii="Courier New" w:cs="Courier New" w:eastAsia="Courier New" w:hAnsi="Courier New"/>
                <w:sz w:val="17"/>
                <w:szCs w:val="17"/>
                <w:color w:val="auto"/>
              </w:rPr>
              <w:t>7,719 Total</w:t>
            </w:r>
          </w:p>
        </w:tc>
        <w:tc>
          <w:tcPr>
            <w:tcW w:w="940" w:type="dxa"/>
            <w:vAlign w:val="bottom"/>
          </w:tcPr>
          <w:p>
            <w:pPr>
              <w:spacing w:after="0"/>
              <w:rPr>
                <w:sz w:val="17"/>
                <w:szCs w:val="17"/>
                <w:color w:val="auto"/>
              </w:rPr>
            </w:pP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rPr>
              <w:t>Liabilities.............</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75,724</w:t>
            </w:r>
          </w:p>
        </w:tc>
      </w:tr>
      <w:tr>
        <w:trPr>
          <w:trHeight w:val="201"/>
        </w:trPr>
        <w:tc>
          <w:tcPr>
            <w:tcW w:w="35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3,002 (1,268) 77,458 Minority</w:t>
            </w:r>
          </w:p>
        </w:tc>
      </w:tr>
      <w:tr>
        <w:trPr>
          <w:trHeight w:val="201"/>
        </w:trPr>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w w:val="98"/>
              </w:rPr>
              <w:t>interest..................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2,372</w:t>
            </w:r>
          </w:p>
        </w:tc>
      </w:tr>
    </w:tbl>
    <w:p>
      <w:pPr>
        <w:spacing w:after="0" w:line="4"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2,372 Company-obligated</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convertible quarterly income</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preferred securities of a</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subsidiary trust holding solely</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subordinated debt securities of</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2040" w:type="dxa"/>
            <w:vAlign w:val="bottom"/>
          </w:tcPr>
          <w:p>
            <w:pPr>
              <w:spacing w:after="0"/>
              <w:rPr>
                <w:sz w:val="20"/>
                <w:szCs w:val="20"/>
                <w:color w:val="auto"/>
              </w:rPr>
            </w:pPr>
            <w:r>
              <w:rPr>
                <w:rFonts w:ascii="Courier New" w:cs="Courier New" w:eastAsia="Courier New" w:hAnsi="Courier New"/>
                <w:sz w:val="17"/>
                <w:szCs w:val="17"/>
                <w:color w:val="auto"/>
              </w:rPr>
              <w:t>AT&amp;T...............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4,700 4,700</w:t>
            </w:r>
          </w:p>
        </w:tc>
      </w:tr>
    </w:tbl>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2460" w:type="dxa"/>
            <w:vAlign w:val="bottom"/>
          </w:tcPr>
          <w:p>
            <w:pPr>
              <w:spacing w:after="0"/>
              <w:rPr>
                <w:sz w:val="20"/>
                <w:szCs w:val="20"/>
                <w:color w:val="auto"/>
              </w:rPr>
            </w:pPr>
            <w:r>
              <w:rPr>
                <w:rFonts w:ascii="Courier New" w:cs="Courier New" w:eastAsia="Courier New" w:hAnsi="Courier New"/>
                <w:sz w:val="17"/>
                <w:szCs w:val="17"/>
                <w:color w:val="auto"/>
              </w:rPr>
              <w:t>stock..................</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3,196</w:t>
            </w:r>
          </w:p>
        </w:tc>
      </w:tr>
    </w:tbl>
    <w:p>
      <w:pPr>
        <w:spacing w:after="0" w:line="4"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3,196 AT&amp;T Wireless group common</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stock Liberty Media Group Class A</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2,314 2,314 Liberty Media Group</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Class B Common</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217 217 Other shareowners'</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1720" w:type="dxa"/>
            <w:vAlign w:val="bottom"/>
          </w:tcPr>
          <w:p>
            <w:pPr>
              <w:spacing w:after="0"/>
              <w:rPr>
                <w:sz w:val="20"/>
                <w:szCs w:val="20"/>
                <w:color w:val="auto"/>
              </w:rPr>
            </w:pPr>
            <w:r>
              <w:rPr>
                <w:rFonts w:ascii="Courier New" w:cs="Courier New" w:eastAsia="Courier New" w:hAnsi="Courier New"/>
                <w:sz w:val="17"/>
                <w:szCs w:val="17"/>
                <w:color w:val="auto"/>
              </w:rPr>
              <w:t>equity..........</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39,397 1,070</w:t>
            </w:r>
          </w:p>
        </w:tc>
      </w:tr>
    </w:tbl>
    <w:p>
      <w:pPr>
        <w:sectPr>
          <w:pgSz w:w="11900" w:h="16838" w:orient="portrait"/>
          <w:cols w:equalWidth="0" w:num="1">
            <w:col w:w="10219"/>
          </w:cols>
          <w:pgMar w:left="240" w:top="719" w:right="1440" w:bottom="0" w:gutter="0" w:footer="0" w:header="0"/>
        </w:sectPr>
      </w:pPr>
    </w:p>
    <w:bookmarkStart w:id="808" w:name="page809"/>
    <w:bookmarkEnd w:id="808"/>
    <w:p>
      <w:pPr>
        <w:jc w:val="center"/>
        <w:ind w:right="6539"/>
        <w:spacing w:after="0"/>
        <w:rPr>
          <w:sz w:val="20"/>
          <w:szCs w:val="20"/>
          <w:color w:val="auto"/>
        </w:rPr>
      </w:pPr>
      <w:r>
        <w:rPr>
          <w:rFonts w:ascii="Courier New" w:cs="Courier New" w:eastAsia="Courier New" w:hAnsi="Courier New"/>
          <w:sz w:val="17"/>
          <w:szCs w:val="17"/>
          <w:color w:val="auto"/>
        </w:rPr>
        <w:t>38,460 (5,727) 73,200 Total</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shareowners' equity..... 39,397</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1,070 38,460 78,927 Total</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Liabilities and Shareowners'</w:t>
      </w:r>
    </w:p>
    <w:p>
      <w:pPr>
        <w:spacing w:after="0" w:line="9"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Equity......... $122,193 $4,072</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$38,460 $(1,268) $163,457</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right="2039" w:hanging="413"/>
        <w:spacing w:after="0" w:line="257" w:lineRule="auto"/>
        <w:tabs>
          <w:tab w:leader="none" w:pos="420" w:val="left"/>
        </w:tabs>
        <w:numPr>
          <w:ilvl w:val="0"/>
          <w:numId w:val="8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1" w:lineRule="exact"/>
        <w:rPr>
          <w:rFonts w:ascii="Courier New" w:cs="Courier New" w:eastAsia="Courier New" w:hAnsi="Courier New"/>
          <w:sz w:val="17"/>
          <w:szCs w:val="17"/>
          <w:color w:val="auto"/>
        </w:rPr>
      </w:pPr>
    </w:p>
    <w:p>
      <w:pPr>
        <w:ind w:left="420" w:right="1839" w:hanging="413"/>
        <w:spacing w:after="0" w:line="257" w:lineRule="auto"/>
        <w:tabs>
          <w:tab w:leader="none" w:pos="420" w:val="left"/>
        </w:tabs>
        <w:numPr>
          <w:ilvl w:val="0"/>
          <w:numId w:val="8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L-192</w:t>
      </w:r>
    </w:p>
    <w:p>
      <w:pPr>
        <w:sectPr>
          <w:pgSz w:w="11900" w:h="16838" w:orient="portrait"/>
          <w:cols w:equalWidth="0" w:num="1">
            <w:col w:w="10219"/>
          </w:cols>
          <w:pgMar w:left="240" w:top="143" w:right="1440" w:bottom="1440" w:gutter="0" w:footer="0" w:header="0"/>
        </w:sectPr>
      </w:pPr>
    </w:p>
    <w:bookmarkStart w:id="809" w:name="page810"/>
    <w:bookmarkEnd w:id="809"/>
    <w:p>
      <w:pPr>
        <w:jc w:val="center"/>
        <w:ind w:right="183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CONSOLIDATING CONDENSED STATEMENT OF CASH FLOWS</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FOR THE YEAR ENDED DECEMBER 31, 1999</w:t>
      </w:r>
    </w:p>
    <w:p>
      <w:pPr>
        <w:spacing w:after="0" w:line="210"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AT&amp;T AT&amp;T COMMON CONSUMER LIBERTY</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ELIMINATIONS/ STOCK SERVICES MEDIA RECLASSI-</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CONSOLIDATED GROUP(1) GROUP GROUP</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FICATIONS(2) AT&amp;T CORP. -------- -------- --</w:t>
      </w:r>
    </w:p>
    <w:p>
      <w:pPr>
        <w:spacing w:after="0" w:line="9" w:lineRule="exact"/>
        <w:rPr>
          <w:sz w:val="20"/>
          <w:szCs w:val="20"/>
          <w:color w:val="auto"/>
        </w:rPr>
      </w:pPr>
    </w:p>
    <w:p>
      <w:pPr>
        <w:ind w:left="260" w:right="5559" w:hanging="200"/>
        <w:spacing w:after="0" w:line="251" w:lineRule="auto"/>
        <w:tabs>
          <w:tab w:leader="none" w:pos="679" w:val="left"/>
        </w:tabs>
        <w:numPr>
          <w:ilvl w:val="0"/>
          <w:numId w:val="8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(DOLLARS IN MILLIONS) Net cash provided by operating</w:t>
      </w:r>
    </w:p>
    <w:p>
      <w:pPr>
        <w:ind w:left="1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 of continuing</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operations...................... $ 6,159 $</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4,350 $ -- $ -- $ 10,509 INVESTING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ACTIVITIES Capital expenditures and other</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additions..... (11,290) (300) (11,590)</w:t>
      </w:r>
    </w:p>
    <w:p>
      <w:pPr>
        <w:spacing w:after="0" w:line="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(Increase) decrease in other</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receivables..... (1,054) 1,580 (509) 17</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Equity investment distributions and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sales.... 1,574 1,574 Equity investment</w:t>
      </w:r>
    </w:p>
    <w:p>
      <w:pPr>
        <w:spacing w:after="0" w:line="9"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contributions and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purchases..................................</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(7,837) (7,837) Net acquisitions of</w:t>
      </w:r>
    </w:p>
    <w:p>
      <w:pPr>
        <w:spacing w:after="0" w:line="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businesses, including cash</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acquired..............................</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(6,094) 125 (5,969)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(72) (7) (79) Net cash (used in) provided by</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investing activities of continuing</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1940" w:type="dxa"/>
            <w:vAlign w:val="bottom"/>
          </w:tcPr>
          <w:p>
            <w:pPr>
              <w:spacing w:after="0"/>
              <w:rPr>
                <w:sz w:val="20"/>
                <w:szCs w:val="20"/>
                <w:color w:val="auto"/>
              </w:rPr>
            </w:pPr>
            <w:r>
              <w:rPr>
                <w:rFonts w:ascii="Courier New" w:cs="Courier New" w:eastAsia="Courier New" w:hAnsi="Courier New"/>
                <w:sz w:val="17"/>
                <w:szCs w:val="17"/>
                <w:color w:val="auto"/>
              </w:rPr>
              <w:t>operations........</w:t>
            </w: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(24,773) 1,398 (509)</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(23,884) FINANCING ACTIVITIES Proceeds from</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long-term debt issuances....... 8,396 8,396</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Retirement of long-term</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debt................. (2,255) (2,255)</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Issuance of convertible</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securities........... 4,638 4,638 Net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acquisition of treasury shares...........</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(4,624) (4,624) Dividends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paid............................... (904)</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(1,808) (2,712) Increase (decrease) in</w:t>
      </w:r>
    </w:p>
    <w:p>
      <w:pPr>
        <w:spacing w:after="0" w:line="9"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short-term borrowings,</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8,769 (5) 1,409 10,173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5,067 (3,929) (900) 238 Net cash provided by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(used in) financing activities of continuing</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980" w:type="dxa"/>
            <w:vAlign w:val="bottom"/>
          </w:tcPr>
          <w:p>
            <w:pPr>
              <w:spacing w:after="0"/>
              <w:rPr>
                <w:sz w:val="20"/>
                <w:szCs w:val="20"/>
                <w:color w:val="auto"/>
              </w:rPr>
            </w:pPr>
            <w:r>
              <w:rPr>
                <w:rFonts w:ascii="Courier New" w:cs="Courier New" w:eastAsia="Courier New" w:hAnsi="Courier New"/>
                <w:sz w:val="17"/>
                <w:szCs w:val="17"/>
                <w:color w:val="auto"/>
              </w:rPr>
              <w:t>operations........</w:t>
            </w:r>
          </w:p>
        </w:tc>
        <w:tc>
          <w:tcPr>
            <w:tcW w:w="2620" w:type="dxa"/>
            <w:vAlign w:val="bottom"/>
          </w:tcPr>
          <w:p>
            <w:pPr>
              <w:jc w:val="right"/>
              <w:spacing w:after="0"/>
              <w:rPr>
                <w:sz w:val="20"/>
                <w:szCs w:val="20"/>
                <w:color w:val="auto"/>
              </w:rPr>
            </w:pPr>
            <w:r>
              <w:rPr>
                <w:rFonts w:ascii="Courier New" w:cs="Courier New" w:eastAsia="Courier New" w:hAnsi="Courier New"/>
                <w:sz w:val="17"/>
                <w:szCs w:val="17"/>
                <w:color w:val="auto"/>
              </w:rPr>
              <w:t>19,087 (5,742) 509 13,854</w:t>
            </w:r>
          </w:p>
        </w:tc>
      </w:tr>
      <w:tr>
        <w:trPr>
          <w:trHeight w:val="201"/>
        </w:trPr>
        <w:tc>
          <w:tcPr>
            <w:tcW w:w="4600" w:type="dxa"/>
            <w:vAlign w:val="bottom"/>
            <w:gridSpan w:val="2"/>
          </w:tcPr>
          <w:p>
            <w:pPr>
              <w:jc w:val="right"/>
              <w:ind w:right="693"/>
              <w:spacing w:after="0"/>
              <w:rPr>
                <w:sz w:val="20"/>
                <w:szCs w:val="20"/>
                <w:color w:val="auto"/>
              </w:rPr>
            </w:pPr>
            <w:r>
              <w:rPr>
                <w:rFonts w:ascii="Courier New" w:cs="Courier New" w:eastAsia="Courier New" w:hAnsi="Courier New"/>
                <w:sz w:val="17"/>
                <w:szCs w:val="17"/>
                <w:color w:val="auto"/>
              </w:rPr>
              <w:t>Net cash used in discontinued</w:t>
            </w:r>
          </w:p>
        </w:tc>
      </w:tr>
      <w:tr>
        <w:trPr>
          <w:trHeight w:val="201"/>
        </w:trPr>
        <w:tc>
          <w:tcPr>
            <w:tcW w:w="1980" w:type="dxa"/>
            <w:vAlign w:val="bottom"/>
          </w:tcPr>
          <w:p>
            <w:pPr>
              <w:ind w:left="480"/>
              <w:spacing w:after="0"/>
              <w:rPr>
                <w:sz w:val="20"/>
                <w:szCs w:val="20"/>
                <w:color w:val="auto"/>
              </w:rPr>
            </w:pPr>
            <w:r>
              <w:rPr>
                <w:rFonts w:ascii="Courier New" w:cs="Courier New" w:eastAsia="Courier New" w:hAnsi="Courier New"/>
                <w:sz w:val="17"/>
                <w:szCs w:val="17"/>
                <w:color w:val="auto"/>
                <w:w w:val="96"/>
              </w:rPr>
              <w:t>operations.....</w:t>
            </w:r>
          </w:p>
        </w:tc>
        <w:tc>
          <w:tcPr>
            <w:tcW w:w="26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(2,594) (2,594) Net</w:t>
            </w:r>
          </w:p>
        </w:tc>
      </w:tr>
    </w:tbl>
    <w:p>
      <w:pPr>
        <w:spacing w:after="0" w:line="4"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(decrease) increase in cash and cash</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equivalents................................</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(2,121) 6 (2,115) Cash and cash equivalents</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at beginning of</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3,133 3,133 Cash and cash equivalents at end</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of year..... $ 1,012 $ 6 $ -- $ -- $ 1,018</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2039" w:hanging="413"/>
        <w:spacing w:after="0" w:line="257" w:lineRule="auto"/>
        <w:tabs>
          <w:tab w:leader="none" w:pos="420" w:val="left"/>
        </w:tabs>
        <w:numPr>
          <w:ilvl w:val="0"/>
          <w:numId w:val="8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1" w:lineRule="exact"/>
        <w:rPr>
          <w:rFonts w:ascii="Courier New" w:cs="Courier New" w:eastAsia="Courier New" w:hAnsi="Courier New"/>
          <w:sz w:val="17"/>
          <w:szCs w:val="17"/>
          <w:color w:val="auto"/>
        </w:rPr>
      </w:pPr>
    </w:p>
    <w:p>
      <w:pPr>
        <w:ind w:left="420" w:right="1839" w:hanging="413"/>
        <w:spacing w:after="0" w:line="257" w:lineRule="auto"/>
        <w:tabs>
          <w:tab w:leader="none" w:pos="420" w:val="left"/>
        </w:tabs>
        <w:numPr>
          <w:ilvl w:val="0"/>
          <w:numId w:val="8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L-193</w:t>
      </w:r>
    </w:p>
    <w:p>
      <w:pPr>
        <w:sectPr>
          <w:pgSz w:w="11900" w:h="16838" w:orient="portrait"/>
          <w:cols w:equalWidth="0" w:num="1">
            <w:col w:w="10219"/>
          </w:cols>
          <w:pgMar w:left="240" w:top="720" w:right="1440" w:bottom="1440" w:gutter="0" w:footer="0" w:header="0"/>
        </w:sectPr>
      </w:pPr>
    </w:p>
    <w:bookmarkStart w:id="810" w:name="page811"/>
    <w:bookmarkEnd w:id="810"/>
    <w:p>
      <w:pPr>
        <w:jc w:val="center"/>
        <w:ind w:right="183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CONSOLIDATING CONDENSED INCOME STATEMENT</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FOR THE YEAR ENDED DECEMBER 31, 1998</w:t>
      </w:r>
    </w:p>
    <w:p>
      <w:pPr>
        <w:spacing w:after="0" w:line="210"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AT&amp;T AT&amp;T COMMON CONSUMER ELIMINATIONS/</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STOCK SERVICES RECLASSI- CONSOLIDATED GROUP</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GROUP FICATIONS(1) AT&amp;T CORP. -------- -----</w:t>
      </w:r>
    </w:p>
    <w:p>
      <w:pPr>
        <w:spacing w:after="0" w:line="9" w:lineRule="exact"/>
        <w:rPr>
          <w:sz w:val="20"/>
          <w:szCs w:val="20"/>
          <w:color w:val="auto"/>
        </w:rPr>
      </w:pPr>
    </w:p>
    <w:p>
      <w:pPr>
        <w:ind w:left="1420" w:right="5659" w:hanging="1256"/>
        <w:spacing w:after="0" w:line="251" w:lineRule="auto"/>
        <w:tabs>
          <w:tab w:leader="none" w:pos="582" w:val="left"/>
        </w:tabs>
        <w:numPr>
          <w:ilvl w:val="0"/>
          <w:numId w:val="8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(DOLLARS IN MILLIONS) External</w:t>
      </w:r>
    </w:p>
    <w:tbl>
      <w:tblPr>
        <w:tblLayout w:type="fixed"/>
        <w:tblInd w:w="0" w:type="dxa"/>
        <w:tblCellMar>
          <w:top w:w="0" w:type="dxa"/>
          <w:left w:w="0" w:type="dxa"/>
          <w:bottom w:w="0" w:type="dxa"/>
          <w:right w:w="0" w:type="dxa"/>
        </w:tblCellMar>
      </w:tblPr>
      <w:tr>
        <w:trPr>
          <w:trHeight w:val="197"/>
        </w:trPr>
        <w:tc>
          <w:tcPr>
            <w:tcW w:w="38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revenue...............................</w:t>
            </w: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19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25,054 $ 22,763</w:t>
            </w:r>
          </w:p>
        </w:tc>
        <w:tc>
          <w:tcPr>
            <w:tcW w:w="27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 -- $ 47,817 Inter-group</w:t>
            </w:r>
          </w:p>
        </w:tc>
      </w:tr>
      <w:tr>
        <w:trPr>
          <w:trHeight w:val="201"/>
        </w:trPr>
        <w:tc>
          <w:tcPr>
            <w:tcW w:w="3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revenue............................</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280</w:t>
            </w:r>
          </w:p>
        </w:tc>
      </w:tr>
      <w:tr>
        <w:trPr>
          <w:trHeight w:val="201"/>
        </w:trPr>
        <w:tc>
          <w:tcPr>
            <w:tcW w:w="3880" w:type="dxa"/>
            <w:vAlign w:val="bottom"/>
            <w:gridSpan w:val="2"/>
          </w:tcPr>
          <w:p>
            <w:pPr>
              <w:jc w:val="center"/>
              <w:ind w:left="754"/>
              <w:spacing w:after="0"/>
              <w:rPr>
                <w:sz w:val="20"/>
                <w:szCs w:val="20"/>
                <w:color w:val="auto"/>
              </w:rPr>
            </w:pPr>
            <w:r>
              <w:rPr>
                <w:rFonts w:ascii="Courier New" w:cs="Courier New" w:eastAsia="Courier New" w:hAnsi="Courier New"/>
                <w:sz w:val="17"/>
                <w:szCs w:val="17"/>
                <w:color w:val="auto"/>
              </w:rPr>
              <w:t>(280) Total</w:t>
            </w:r>
          </w:p>
        </w:tc>
        <w:tc>
          <w:tcPr>
            <w:tcW w:w="780" w:type="dxa"/>
            <w:vAlign w:val="bottom"/>
          </w:tcPr>
          <w:p>
            <w:pPr>
              <w:spacing w:after="0"/>
              <w:rPr>
                <w:sz w:val="17"/>
                <w:szCs w:val="17"/>
                <w:color w:val="auto"/>
              </w:rPr>
            </w:pPr>
          </w:p>
        </w:tc>
      </w:tr>
      <w:tr>
        <w:trPr>
          <w:trHeight w:val="201"/>
        </w:trPr>
        <w:tc>
          <w:tcPr>
            <w:tcW w:w="38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2"/>
              </w:rPr>
              <w:t>revenue..................................</w:t>
            </w:r>
          </w:p>
        </w:tc>
        <w:tc>
          <w:tcPr>
            <w:tcW w:w="780" w:type="dxa"/>
            <w:vAlign w:val="bottom"/>
          </w:tcPr>
          <w:p>
            <w:pPr>
              <w:spacing w:after="0"/>
              <w:rPr>
                <w:sz w:val="17"/>
                <w:szCs w:val="17"/>
                <w:color w:val="auto"/>
              </w:rPr>
            </w:pPr>
          </w:p>
        </w:tc>
      </w:tr>
      <w:tr>
        <w:trPr>
          <w:trHeight w:val="201"/>
        </w:trPr>
        <w:tc>
          <w:tcPr>
            <w:tcW w:w="46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25,334 22,763 (280) 47,817 Operating</w:t>
            </w:r>
          </w:p>
        </w:tc>
      </w:tr>
      <w:tr>
        <w:trPr>
          <w:trHeight w:val="201"/>
        </w:trPr>
        <w:tc>
          <w:tcPr>
            <w:tcW w:w="3880" w:type="dxa"/>
            <w:vAlign w:val="bottom"/>
            <w:gridSpan w:val="2"/>
          </w:tcPr>
          <w:p>
            <w:pPr>
              <w:jc w:val="center"/>
              <w:ind w:left="774"/>
              <w:spacing w:after="0"/>
              <w:rPr>
                <w:sz w:val="20"/>
                <w:szCs w:val="20"/>
                <w:color w:val="auto"/>
              </w:rPr>
            </w:pPr>
            <w:r>
              <w:rPr>
                <w:rFonts w:ascii="Courier New" w:cs="Courier New" w:eastAsia="Courier New" w:hAnsi="Courier New"/>
                <w:sz w:val="17"/>
                <w:szCs w:val="17"/>
                <w:color w:val="auto"/>
              </w:rPr>
              <w:t>Expenses Access and other</w:t>
            </w:r>
          </w:p>
        </w:tc>
        <w:tc>
          <w:tcPr>
            <w:tcW w:w="780" w:type="dxa"/>
            <w:vAlign w:val="bottom"/>
          </w:tcPr>
          <w:p>
            <w:pPr>
              <w:spacing w:after="0"/>
              <w:rPr>
                <w:sz w:val="17"/>
                <w:szCs w:val="17"/>
                <w:color w:val="auto"/>
              </w:rPr>
            </w:pPr>
          </w:p>
        </w:tc>
      </w:tr>
      <w:tr>
        <w:trPr>
          <w:trHeight w:val="201"/>
        </w:trPr>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w w:val="74"/>
              </w:rPr>
              <w:t>connection....................</w:t>
            </w:r>
          </w:p>
        </w:tc>
        <w:tc>
          <w:tcPr>
            <w:tcW w:w="27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7,663 7,453</w:t>
            </w:r>
          </w:p>
        </w:tc>
      </w:tr>
      <w:tr>
        <w:trPr>
          <w:trHeight w:val="201"/>
        </w:trPr>
        <w:tc>
          <w:tcPr>
            <w:tcW w:w="3880" w:type="dxa"/>
            <w:vAlign w:val="bottom"/>
            <w:gridSpan w:val="2"/>
          </w:tcPr>
          <w:p>
            <w:pPr>
              <w:jc w:val="center"/>
              <w:ind w:left="774"/>
              <w:spacing w:after="0"/>
              <w:rPr>
                <w:sz w:val="20"/>
                <w:szCs w:val="20"/>
                <w:color w:val="auto"/>
              </w:rPr>
            </w:pPr>
            <w:r>
              <w:rPr>
                <w:rFonts w:ascii="Courier New" w:cs="Courier New" w:eastAsia="Courier New" w:hAnsi="Courier New"/>
                <w:sz w:val="17"/>
                <w:szCs w:val="17"/>
                <w:color w:val="auto"/>
              </w:rPr>
              <w:t>15,116 Costs of services and</w:t>
            </w:r>
          </w:p>
        </w:tc>
        <w:tc>
          <w:tcPr>
            <w:tcW w:w="780" w:type="dxa"/>
            <w:vAlign w:val="bottom"/>
          </w:tcPr>
          <w:p>
            <w:pPr>
              <w:spacing w:after="0"/>
              <w:rPr>
                <w:sz w:val="17"/>
                <w:szCs w:val="17"/>
                <w:color w:val="auto"/>
              </w:rPr>
            </w:pPr>
          </w:p>
        </w:tc>
      </w:tr>
      <w:tr>
        <w:trPr>
          <w:trHeight w:val="201"/>
        </w:trPr>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w w:val="73"/>
              </w:rPr>
              <w:t>products.................</w:t>
            </w:r>
          </w:p>
        </w:tc>
        <w:tc>
          <w:tcPr>
            <w:tcW w:w="2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6,031 2,254 8,285</w:t>
            </w:r>
          </w:p>
        </w:tc>
      </w:tr>
      <w:tr>
        <w:trPr>
          <w:trHeight w:val="201"/>
        </w:trPr>
        <w:tc>
          <w:tcPr>
            <w:tcW w:w="3880" w:type="dxa"/>
            <w:vAlign w:val="bottom"/>
            <w:gridSpan w:val="2"/>
          </w:tcPr>
          <w:p>
            <w:pPr>
              <w:jc w:val="center"/>
              <w:ind w:left="774"/>
              <w:spacing w:after="0"/>
              <w:rPr>
                <w:sz w:val="20"/>
                <w:szCs w:val="20"/>
                <w:color w:val="auto"/>
              </w:rPr>
            </w:pPr>
            <w:r>
              <w:rPr>
                <w:rFonts w:ascii="Courier New" w:cs="Courier New" w:eastAsia="Courier New" w:hAnsi="Courier New"/>
                <w:sz w:val="17"/>
                <w:szCs w:val="17"/>
                <w:color w:val="auto"/>
              </w:rPr>
              <w:t>Selling, general and</w:t>
            </w:r>
          </w:p>
        </w:tc>
        <w:tc>
          <w:tcPr>
            <w:tcW w:w="780" w:type="dxa"/>
            <w:vAlign w:val="bottom"/>
          </w:tcPr>
          <w:p>
            <w:pPr>
              <w:spacing w:after="0"/>
              <w:rPr>
                <w:sz w:val="17"/>
                <w:szCs w:val="17"/>
                <w:color w:val="auto"/>
              </w:rPr>
            </w:pPr>
          </w:p>
        </w:tc>
      </w:tr>
      <w:tr>
        <w:trPr>
          <w:trHeight w:val="201"/>
        </w:trPr>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w w:val="70"/>
              </w:rPr>
              <w:t>administrative............</w:t>
            </w:r>
          </w:p>
        </w:tc>
        <w:tc>
          <w:tcPr>
            <w:tcW w:w="2760" w:type="dxa"/>
            <w:vAlign w:val="bottom"/>
            <w:gridSpan w:val="2"/>
          </w:tcPr>
          <w:p>
            <w:pPr>
              <w:jc w:val="center"/>
              <w:ind w:left="913"/>
              <w:spacing w:after="0"/>
              <w:rPr>
                <w:sz w:val="20"/>
                <w:szCs w:val="20"/>
                <w:color w:val="auto"/>
              </w:rPr>
            </w:pPr>
            <w:r>
              <w:rPr>
                <w:rFonts w:ascii="Courier New" w:cs="Courier New" w:eastAsia="Courier New" w:hAnsi="Courier New"/>
                <w:sz w:val="17"/>
                <w:szCs w:val="17"/>
                <w:color w:val="auto"/>
              </w:rPr>
              <w:t>6,666 4,027</w:t>
            </w:r>
          </w:p>
        </w:tc>
      </w:tr>
      <w:tr>
        <w:trPr>
          <w:trHeight w:val="201"/>
        </w:trPr>
        <w:tc>
          <w:tcPr>
            <w:tcW w:w="3880" w:type="dxa"/>
            <w:vAlign w:val="bottom"/>
            <w:gridSpan w:val="2"/>
          </w:tcPr>
          <w:p>
            <w:pPr>
              <w:jc w:val="center"/>
              <w:ind w:left="754"/>
              <w:spacing w:after="0"/>
              <w:rPr>
                <w:sz w:val="20"/>
                <w:szCs w:val="20"/>
                <w:color w:val="auto"/>
              </w:rPr>
            </w:pPr>
            <w:r>
              <w:rPr>
                <w:rFonts w:ascii="Courier New" w:cs="Courier New" w:eastAsia="Courier New" w:hAnsi="Courier New"/>
                <w:sz w:val="17"/>
                <w:szCs w:val="17"/>
                <w:color w:val="auto"/>
              </w:rPr>
              <w:t>10,693 Depreciation and other</w:t>
            </w:r>
          </w:p>
        </w:tc>
        <w:tc>
          <w:tcPr>
            <w:tcW w:w="780" w:type="dxa"/>
            <w:vAlign w:val="bottom"/>
          </w:tcPr>
          <w:p>
            <w:pPr>
              <w:spacing w:after="0"/>
              <w:rPr>
                <w:sz w:val="17"/>
                <w:szCs w:val="17"/>
                <w:color w:val="auto"/>
              </w:rPr>
            </w:pPr>
          </w:p>
        </w:tc>
      </w:tr>
      <w:tr>
        <w:trPr>
          <w:trHeight w:val="201"/>
        </w:trPr>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w w:val="76"/>
              </w:rPr>
              <w:t>amortization............</w:t>
            </w:r>
          </w:p>
        </w:tc>
        <w:tc>
          <w:tcPr>
            <w:tcW w:w="27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3,417 116 3,533</w:t>
            </w:r>
          </w:p>
        </w:tc>
      </w:tr>
      <w:tr>
        <w:trPr>
          <w:trHeight w:val="201"/>
        </w:trPr>
        <w:tc>
          <w:tcPr>
            <w:tcW w:w="46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Amortization of goodwill, franchise costs</w:t>
            </w:r>
          </w:p>
        </w:tc>
      </w:tr>
      <w:tr>
        <w:trPr>
          <w:trHeight w:val="201"/>
        </w:trPr>
        <w:tc>
          <w:tcPr>
            <w:tcW w:w="3880" w:type="dxa"/>
            <w:vAlign w:val="bottom"/>
            <w:gridSpan w:val="2"/>
          </w:tcPr>
          <w:p>
            <w:pPr>
              <w:jc w:val="center"/>
              <w:ind w:left="754"/>
              <w:spacing w:after="0"/>
              <w:rPr>
                <w:sz w:val="20"/>
                <w:szCs w:val="20"/>
                <w:color w:val="auto"/>
              </w:rPr>
            </w:pPr>
            <w:r>
              <w:rPr>
                <w:rFonts w:ascii="Courier New" w:cs="Courier New" w:eastAsia="Courier New" w:hAnsi="Courier New"/>
                <w:sz w:val="17"/>
                <w:szCs w:val="17"/>
                <w:color w:val="auto"/>
              </w:rPr>
              <w:t>and other purchased</w:t>
            </w:r>
          </w:p>
        </w:tc>
        <w:tc>
          <w:tcPr>
            <w:tcW w:w="780" w:type="dxa"/>
            <w:vAlign w:val="bottom"/>
          </w:tcPr>
          <w:p>
            <w:pPr>
              <w:spacing w:after="0"/>
              <w:rPr>
                <w:sz w:val="17"/>
                <w:szCs w:val="17"/>
                <w:color w:val="auto"/>
              </w:rPr>
            </w:pPr>
          </w:p>
        </w:tc>
      </w:tr>
      <w:tr>
        <w:trPr>
          <w:trHeight w:val="201"/>
        </w:trPr>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w w:val="72"/>
              </w:rPr>
              <w:t>intangibles..................</w:t>
            </w:r>
          </w:p>
        </w:tc>
        <w:tc>
          <w:tcPr>
            <w:tcW w:w="27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44 44 Net</w:t>
            </w:r>
          </w:p>
        </w:tc>
      </w:tr>
      <w:tr>
        <w:trPr>
          <w:trHeight w:val="201"/>
        </w:trPr>
        <w:tc>
          <w:tcPr>
            <w:tcW w:w="46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restructuring and other charges............</w:t>
            </w:r>
          </w:p>
        </w:tc>
      </w:tr>
      <w:tr>
        <w:trPr>
          <w:trHeight w:val="201"/>
        </w:trPr>
        <w:tc>
          <w:tcPr>
            <w:tcW w:w="3880" w:type="dxa"/>
            <w:vAlign w:val="bottom"/>
            <w:gridSpan w:val="2"/>
          </w:tcPr>
          <w:p>
            <w:pPr>
              <w:jc w:val="center"/>
              <w:ind w:left="774"/>
              <w:spacing w:after="0"/>
              <w:rPr>
                <w:sz w:val="20"/>
                <w:szCs w:val="20"/>
                <w:color w:val="auto"/>
              </w:rPr>
            </w:pPr>
            <w:r>
              <w:rPr>
                <w:rFonts w:ascii="Courier New" w:cs="Courier New" w:eastAsia="Courier New" w:hAnsi="Courier New"/>
                <w:sz w:val="17"/>
                <w:szCs w:val="17"/>
                <w:color w:val="auto"/>
              </w:rPr>
              <w:t>2,533 (19) 2,514 Inter-group</w:t>
            </w:r>
          </w:p>
        </w:tc>
        <w:tc>
          <w:tcPr>
            <w:tcW w:w="780" w:type="dxa"/>
            <w:vAlign w:val="bottom"/>
          </w:tcPr>
          <w:p>
            <w:pPr>
              <w:spacing w:after="0"/>
              <w:rPr>
                <w:sz w:val="17"/>
                <w:szCs w:val="17"/>
                <w:color w:val="auto"/>
              </w:rPr>
            </w:pPr>
          </w:p>
        </w:tc>
      </w:tr>
      <w:tr>
        <w:trPr>
          <w:trHeight w:val="201"/>
        </w:trPr>
        <w:tc>
          <w:tcPr>
            <w:tcW w:w="38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expenses...........................</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(2,548)</w:t>
            </w:r>
          </w:p>
        </w:tc>
      </w:tr>
      <w:tr>
        <w:trPr>
          <w:trHeight w:val="201"/>
        </w:trPr>
        <w:tc>
          <w:tcPr>
            <w:tcW w:w="3880" w:type="dxa"/>
            <w:vAlign w:val="bottom"/>
            <w:gridSpan w:val="2"/>
          </w:tcPr>
          <w:p>
            <w:pPr>
              <w:jc w:val="center"/>
              <w:ind w:left="754"/>
              <w:spacing w:after="0"/>
              <w:rPr>
                <w:sz w:val="20"/>
                <w:szCs w:val="20"/>
                <w:color w:val="auto"/>
              </w:rPr>
            </w:pPr>
            <w:r>
              <w:rPr>
                <w:rFonts w:ascii="Courier New" w:cs="Courier New" w:eastAsia="Courier New" w:hAnsi="Courier New"/>
                <w:sz w:val="17"/>
                <w:szCs w:val="17"/>
                <w:color w:val="auto"/>
              </w:rPr>
              <w:t>2,828 (280) Total operating</w:t>
            </w:r>
          </w:p>
        </w:tc>
        <w:tc>
          <w:tcPr>
            <w:tcW w:w="780" w:type="dxa"/>
            <w:vAlign w:val="bottom"/>
          </w:tcPr>
          <w:p>
            <w:pPr>
              <w:spacing w:after="0"/>
              <w:rPr>
                <w:sz w:val="17"/>
                <w:szCs w:val="17"/>
                <w:color w:val="auto"/>
              </w:rPr>
            </w:pPr>
          </w:p>
        </w:tc>
      </w:tr>
      <w:tr>
        <w:trPr>
          <w:trHeight w:val="201"/>
        </w:trPr>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w w:val="72"/>
              </w:rPr>
              <w:t>expenses.......................</w:t>
            </w:r>
          </w:p>
        </w:tc>
        <w:tc>
          <w:tcPr>
            <w:tcW w:w="27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23,806</w:t>
            </w:r>
          </w:p>
        </w:tc>
      </w:tr>
      <w:tr>
        <w:trPr>
          <w:trHeight w:val="201"/>
        </w:trPr>
        <w:tc>
          <w:tcPr>
            <w:tcW w:w="3880" w:type="dxa"/>
            <w:vAlign w:val="bottom"/>
            <w:gridSpan w:val="2"/>
          </w:tcPr>
          <w:p>
            <w:pPr>
              <w:jc w:val="center"/>
              <w:ind w:left="754"/>
              <w:spacing w:after="0"/>
              <w:rPr>
                <w:sz w:val="20"/>
                <w:szCs w:val="20"/>
                <w:color w:val="auto"/>
              </w:rPr>
            </w:pPr>
            <w:r>
              <w:rPr>
                <w:rFonts w:ascii="Courier New" w:cs="Courier New" w:eastAsia="Courier New" w:hAnsi="Courier New"/>
                <w:sz w:val="17"/>
                <w:szCs w:val="17"/>
                <w:color w:val="auto"/>
              </w:rPr>
              <w:t>16,659 (280) 40,185 Operating</w:t>
            </w:r>
          </w:p>
        </w:tc>
        <w:tc>
          <w:tcPr>
            <w:tcW w:w="780" w:type="dxa"/>
            <w:vAlign w:val="bottom"/>
          </w:tcPr>
          <w:p>
            <w:pPr>
              <w:spacing w:after="0"/>
              <w:rPr>
                <w:sz w:val="17"/>
                <w:szCs w:val="17"/>
                <w:color w:val="auto"/>
              </w:rPr>
            </w:pPr>
          </w:p>
        </w:tc>
      </w:tr>
      <w:tr>
        <w:trPr>
          <w:trHeight w:val="201"/>
        </w:trPr>
        <w:tc>
          <w:tcPr>
            <w:tcW w:w="3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income...............................</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1,528</w:t>
            </w:r>
          </w:p>
        </w:tc>
      </w:tr>
      <w:tr>
        <w:trPr>
          <w:trHeight w:val="201"/>
        </w:trPr>
        <w:tc>
          <w:tcPr>
            <w:tcW w:w="3880" w:type="dxa"/>
            <w:vAlign w:val="bottom"/>
            <w:gridSpan w:val="2"/>
          </w:tcPr>
          <w:p>
            <w:pPr>
              <w:jc w:val="center"/>
              <w:ind w:left="774"/>
              <w:spacing w:after="0"/>
              <w:rPr>
                <w:sz w:val="20"/>
                <w:szCs w:val="20"/>
                <w:color w:val="auto"/>
              </w:rPr>
            </w:pPr>
            <w:r>
              <w:rPr>
                <w:rFonts w:ascii="Courier New" w:cs="Courier New" w:eastAsia="Courier New" w:hAnsi="Courier New"/>
                <w:sz w:val="17"/>
                <w:szCs w:val="17"/>
                <w:color w:val="auto"/>
              </w:rPr>
              <w:t>6,104 7,632 Other</w:t>
            </w:r>
          </w:p>
        </w:tc>
        <w:tc>
          <w:tcPr>
            <w:tcW w:w="780" w:type="dxa"/>
            <w:vAlign w:val="bottom"/>
          </w:tcPr>
          <w:p>
            <w:pPr>
              <w:spacing w:after="0"/>
              <w:rPr>
                <w:sz w:val="17"/>
                <w:szCs w:val="17"/>
                <w:color w:val="auto"/>
              </w:rPr>
            </w:pPr>
          </w:p>
        </w:tc>
      </w:tr>
      <w:tr>
        <w:trPr>
          <w:trHeight w:val="201"/>
        </w:trPr>
        <w:tc>
          <w:tcPr>
            <w:tcW w:w="38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2"/>
              </w:rPr>
              <w:t>income...................................</w:t>
            </w:r>
          </w:p>
        </w:tc>
        <w:tc>
          <w:tcPr>
            <w:tcW w:w="780" w:type="dxa"/>
            <w:vAlign w:val="bottom"/>
          </w:tcPr>
          <w:p>
            <w:pPr>
              <w:spacing w:after="0"/>
              <w:rPr>
                <w:sz w:val="17"/>
                <w:szCs w:val="17"/>
                <w:color w:val="auto"/>
              </w:rPr>
            </w:pPr>
          </w:p>
        </w:tc>
      </w:tr>
      <w:tr>
        <w:trPr>
          <w:trHeight w:val="201"/>
        </w:trPr>
        <w:tc>
          <w:tcPr>
            <w:tcW w:w="46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793 19 812 Inter-group interest</w:t>
            </w:r>
          </w:p>
        </w:tc>
      </w:tr>
      <w:tr>
        <w:trPr>
          <w:trHeight w:val="201"/>
        </w:trPr>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w w:val="70"/>
              </w:rPr>
              <w:t>income....................</w:t>
            </w:r>
          </w:p>
        </w:tc>
        <w:tc>
          <w:tcPr>
            <w:tcW w:w="2760" w:type="dxa"/>
            <w:vAlign w:val="bottom"/>
            <w:gridSpan w:val="2"/>
          </w:tcPr>
          <w:p>
            <w:pPr>
              <w:jc w:val="center"/>
              <w:ind w:left="913"/>
              <w:spacing w:after="0"/>
              <w:rPr>
                <w:sz w:val="20"/>
                <w:szCs w:val="20"/>
                <w:color w:val="auto"/>
              </w:rPr>
            </w:pPr>
            <w:r>
              <w:rPr>
                <w:rFonts w:ascii="Courier New" w:cs="Courier New" w:eastAsia="Courier New" w:hAnsi="Courier New"/>
                <w:sz w:val="17"/>
                <w:szCs w:val="17"/>
                <w:color w:val="auto"/>
              </w:rPr>
              <w:t>24 67 (91)</w:t>
            </w:r>
          </w:p>
        </w:tc>
      </w:tr>
      <w:tr>
        <w:trPr>
          <w:trHeight w:val="201"/>
        </w:trPr>
        <w:tc>
          <w:tcPr>
            <w:tcW w:w="1900" w:type="dxa"/>
            <w:vAlign w:val="bottom"/>
          </w:tcPr>
          <w:p>
            <w:pPr>
              <w:spacing w:after="0"/>
              <w:rPr>
                <w:sz w:val="17"/>
                <w:szCs w:val="17"/>
                <w:color w:val="auto"/>
              </w:rPr>
            </w:pPr>
          </w:p>
        </w:tc>
        <w:tc>
          <w:tcPr>
            <w:tcW w:w="1980" w:type="dxa"/>
            <w:vAlign w:val="bottom"/>
          </w:tcPr>
          <w:p>
            <w:pPr>
              <w:jc w:val="center"/>
              <w:ind w:right="973"/>
              <w:spacing w:after="0"/>
              <w:rPr>
                <w:sz w:val="20"/>
                <w:szCs w:val="20"/>
                <w:color w:val="auto"/>
              </w:rPr>
            </w:pPr>
            <w:r>
              <w:rPr>
                <w:rFonts w:ascii="Courier New" w:cs="Courier New" w:eastAsia="Courier New" w:hAnsi="Courier New"/>
                <w:sz w:val="17"/>
                <w:szCs w:val="17"/>
                <w:color w:val="auto"/>
              </w:rPr>
              <w:t>Interest</w:t>
            </w:r>
          </w:p>
        </w:tc>
        <w:tc>
          <w:tcPr>
            <w:tcW w:w="780" w:type="dxa"/>
            <w:vAlign w:val="bottom"/>
          </w:tcPr>
          <w:p>
            <w:pPr>
              <w:spacing w:after="0"/>
              <w:rPr>
                <w:sz w:val="17"/>
                <w:szCs w:val="17"/>
                <w:color w:val="auto"/>
              </w:rPr>
            </w:pPr>
          </w:p>
        </w:tc>
      </w:tr>
      <w:tr>
        <w:trPr>
          <w:trHeight w:val="201"/>
        </w:trPr>
        <w:tc>
          <w:tcPr>
            <w:tcW w:w="38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expense...............................</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290 3</w:t>
            </w:r>
          </w:p>
        </w:tc>
      </w:tr>
      <w:tr>
        <w:trPr>
          <w:trHeight w:val="201"/>
        </w:trPr>
        <w:tc>
          <w:tcPr>
            <w:tcW w:w="3880" w:type="dxa"/>
            <w:vAlign w:val="bottom"/>
            <w:gridSpan w:val="2"/>
          </w:tcPr>
          <w:p>
            <w:pPr>
              <w:jc w:val="center"/>
              <w:ind w:left="754"/>
              <w:spacing w:after="0"/>
              <w:rPr>
                <w:sz w:val="20"/>
                <w:szCs w:val="20"/>
                <w:color w:val="auto"/>
              </w:rPr>
            </w:pPr>
            <w:r>
              <w:rPr>
                <w:rFonts w:ascii="Courier New" w:cs="Courier New" w:eastAsia="Courier New" w:hAnsi="Courier New"/>
                <w:sz w:val="17"/>
                <w:szCs w:val="17"/>
                <w:color w:val="auto"/>
              </w:rPr>
              <w:t>293 Inter-group interest</w:t>
            </w:r>
          </w:p>
        </w:tc>
        <w:tc>
          <w:tcPr>
            <w:tcW w:w="780" w:type="dxa"/>
            <w:vAlign w:val="bottom"/>
          </w:tcPr>
          <w:p>
            <w:pPr>
              <w:spacing w:after="0"/>
              <w:rPr>
                <w:sz w:val="17"/>
                <w:szCs w:val="17"/>
                <w:color w:val="auto"/>
              </w:rPr>
            </w:pPr>
          </w:p>
        </w:tc>
      </w:tr>
      <w:tr>
        <w:trPr>
          <w:trHeight w:val="201"/>
        </w:trPr>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w w:val="70"/>
              </w:rPr>
              <w:t>expense...................</w:t>
            </w:r>
          </w:p>
        </w:tc>
        <w:tc>
          <w:tcPr>
            <w:tcW w:w="2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67 24 (91) Income</w:t>
            </w:r>
          </w:p>
        </w:tc>
      </w:tr>
      <w:tr>
        <w:trPr>
          <w:trHeight w:val="201"/>
        </w:trPr>
        <w:tc>
          <w:tcPr>
            <w:tcW w:w="46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before income taxes, minority interest and</w:t>
            </w:r>
          </w:p>
        </w:tc>
      </w:tr>
      <w:tr>
        <w:trPr>
          <w:trHeight w:val="201"/>
        </w:trPr>
        <w:tc>
          <w:tcPr>
            <w:tcW w:w="3880" w:type="dxa"/>
            <w:vAlign w:val="bottom"/>
            <w:gridSpan w:val="2"/>
          </w:tcPr>
          <w:p>
            <w:pPr>
              <w:jc w:val="center"/>
              <w:ind w:left="754"/>
              <w:spacing w:after="0"/>
              <w:rPr>
                <w:sz w:val="20"/>
                <w:szCs w:val="20"/>
                <w:color w:val="auto"/>
              </w:rPr>
            </w:pPr>
            <w:r>
              <w:rPr>
                <w:rFonts w:ascii="Courier New" w:cs="Courier New" w:eastAsia="Courier New" w:hAnsi="Courier New"/>
                <w:sz w:val="17"/>
                <w:szCs w:val="17"/>
                <w:color w:val="auto"/>
              </w:rPr>
              <w:t>earnings (losses) from equity</w:t>
            </w:r>
          </w:p>
        </w:tc>
        <w:tc>
          <w:tcPr>
            <w:tcW w:w="780" w:type="dxa"/>
            <w:vAlign w:val="bottom"/>
          </w:tcPr>
          <w:p>
            <w:pPr>
              <w:spacing w:after="0"/>
              <w:rPr>
                <w:sz w:val="17"/>
                <w:szCs w:val="17"/>
                <w:color w:val="auto"/>
              </w:rPr>
            </w:pPr>
          </w:p>
        </w:tc>
      </w:tr>
      <w:tr>
        <w:trPr>
          <w:trHeight w:val="201"/>
        </w:trPr>
        <w:tc>
          <w:tcPr>
            <w:tcW w:w="38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4"/>
              </w:rPr>
              <w:t>investments..................................</w:t>
            </w:r>
          </w:p>
        </w:tc>
        <w:tc>
          <w:tcPr>
            <w:tcW w:w="780" w:type="dxa"/>
            <w:vAlign w:val="bottom"/>
          </w:tcPr>
          <w:p>
            <w:pPr>
              <w:spacing w:after="0"/>
              <w:rPr>
                <w:sz w:val="17"/>
                <w:szCs w:val="17"/>
                <w:color w:val="auto"/>
              </w:rPr>
            </w:pPr>
          </w:p>
        </w:tc>
      </w:tr>
      <w:tr>
        <w:trPr>
          <w:trHeight w:val="201"/>
        </w:trPr>
        <w:tc>
          <w:tcPr>
            <w:tcW w:w="46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1,988 6,163 8,151 Provision for income</w:t>
            </w:r>
          </w:p>
        </w:tc>
      </w:tr>
      <w:tr>
        <w:trPr>
          <w:trHeight w:val="201"/>
        </w:trPr>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w w:val="70"/>
              </w:rPr>
              <w:t>taxes.....................</w:t>
            </w:r>
          </w:p>
        </w:tc>
        <w:tc>
          <w:tcPr>
            <w:tcW w:w="2760" w:type="dxa"/>
            <w:vAlign w:val="bottom"/>
            <w:gridSpan w:val="2"/>
          </w:tcPr>
          <w:p>
            <w:pPr>
              <w:jc w:val="center"/>
              <w:ind w:left="913"/>
              <w:spacing w:after="0"/>
              <w:rPr>
                <w:sz w:val="20"/>
                <w:szCs w:val="20"/>
                <w:color w:val="auto"/>
              </w:rPr>
            </w:pPr>
            <w:r>
              <w:rPr>
                <w:rFonts w:ascii="Courier New" w:cs="Courier New" w:eastAsia="Courier New" w:hAnsi="Courier New"/>
                <w:sz w:val="17"/>
                <w:szCs w:val="17"/>
                <w:color w:val="auto"/>
              </w:rPr>
              <w:t>633 2,356 2,989</w:t>
            </w:r>
          </w:p>
        </w:tc>
      </w:tr>
      <w:tr>
        <w:trPr>
          <w:trHeight w:val="201"/>
        </w:trPr>
        <w:tc>
          <w:tcPr>
            <w:tcW w:w="3880" w:type="dxa"/>
            <w:vAlign w:val="bottom"/>
            <w:gridSpan w:val="2"/>
          </w:tcPr>
          <w:p>
            <w:pPr>
              <w:jc w:val="center"/>
              <w:ind w:left="774"/>
              <w:spacing w:after="0"/>
              <w:rPr>
                <w:sz w:val="20"/>
                <w:szCs w:val="20"/>
                <w:color w:val="auto"/>
              </w:rPr>
            </w:pPr>
            <w:r>
              <w:rPr>
                <w:rFonts w:ascii="Courier New" w:cs="Courier New" w:eastAsia="Courier New" w:hAnsi="Courier New"/>
                <w:sz w:val="17"/>
                <w:szCs w:val="17"/>
                <w:color w:val="auto"/>
              </w:rPr>
              <w:t>Minority interest</w:t>
            </w:r>
          </w:p>
        </w:tc>
        <w:tc>
          <w:tcPr>
            <w:tcW w:w="780" w:type="dxa"/>
            <w:vAlign w:val="bottom"/>
          </w:tcPr>
          <w:p>
            <w:pPr>
              <w:spacing w:after="0"/>
              <w:rPr>
                <w:sz w:val="17"/>
                <w:szCs w:val="17"/>
                <w:color w:val="auto"/>
              </w:rPr>
            </w:pPr>
          </w:p>
        </w:tc>
      </w:tr>
      <w:tr>
        <w:trPr>
          <w:trHeight w:val="201"/>
        </w:trPr>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w w:val="72"/>
              </w:rPr>
              <w:t>expense......................</w:t>
            </w:r>
          </w:p>
        </w:tc>
        <w:tc>
          <w:tcPr>
            <w:tcW w:w="2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 1 Net losses</w:t>
            </w:r>
          </w:p>
        </w:tc>
      </w:tr>
      <w:tr>
        <w:trPr>
          <w:trHeight w:val="201"/>
        </w:trPr>
        <w:tc>
          <w:tcPr>
            <w:tcW w:w="3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from other equity investments.......</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109 109</w:t>
            </w:r>
          </w:p>
        </w:tc>
      </w:tr>
      <w:tr>
        <w:trPr>
          <w:trHeight w:val="201"/>
        </w:trPr>
        <w:tc>
          <w:tcPr>
            <w:tcW w:w="46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Income from continuing operations (net of</w:t>
            </w:r>
          </w:p>
        </w:tc>
      </w:tr>
      <w:tr>
        <w:trPr>
          <w:trHeight w:val="201"/>
        </w:trPr>
        <w:tc>
          <w:tcPr>
            <w:tcW w:w="1900" w:type="dxa"/>
            <w:vAlign w:val="bottom"/>
          </w:tcPr>
          <w:p>
            <w:pPr>
              <w:spacing w:after="0"/>
              <w:rPr>
                <w:sz w:val="17"/>
                <w:szCs w:val="17"/>
                <w:color w:val="auto"/>
              </w:rPr>
            </w:pPr>
          </w:p>
        </w:tc>
        <w:tc>
          <w:tcPr>
            <w:tcW w:w="1980" w:type="dxa"/>
            <w:vAlign w:val="bottom"/>
          </w:tcPr>
          <w:p>
            <w:pPr>
              <w:jc w:val="center"/>
              <w:ind w:right="973"/>
              <w:spacing w:after="0"/>
              <w:rPr>
                <w:sz w:val="20"/>
                <w:szCs w:val="20"/>
                <w:color w:val="auto"/>
              </w:rPr>
            </w:pPr>
            <w:r>
              <w:rPr>
                <w:rFonts w:ascii="Courier New" w:cs="Courier New" w:eastAsia="Courier New" w:hAnsi="Courier New"/>
                <w:sz w:val="17"/>
                <w:szCs w:val="17"/>
                <w:color w:val="auto"/>
              </w:rPr>
              <w:t>income</w:t>
            </w:r>
          </w:p>
        </w:tc>
        <w:tc>
          <w:tcPr>
            <w:tcW w:w="780" w:type="dxa"/>
            <w:vAlign w:val="bottom"/>
          </w:tcPr>
          <w:p>
            <w:pPr>
              <w:spacing w:after="0"/>
              <w:rPr>
                <w:sz w:val="17"/>
                <w:szCs w:val="17"/>
                <w:color w:val="auto"/>
              </w:rPr>
            </w:pPr>
          </w:p>
        </w:tc>
      </w:tr>
      <w:tr>
        <w:trPr>
          <w:trHeight w:val="201"/>
        </w:trPr>
        <w:tc>
          <w:tcPr>
            <w:tcW w:w="38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taxes)................................</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1,245</w:t>
            </w:r>
          </w:p>
        </w:tc>
      </w:tr>
      <w:tr>
        <w:trPr>
          <w:trHeight w:val="201"/>
        </w:trPr>
        <w:tc>
          <w:tcPr>
            <w:tcW w:w="46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3,807 5,052 Income from discontinued</w:t>
            </w:r>
          </w:p>
        </w:tc>
      </w:tr>
      <w:tr>
        <w:trPr>
          <w:trHeight w:val="201"/>
        </w:trPr>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w w:val="83"/>
              </w:rPr>
              <w:t>operations............</w:t>
            </w:r>
          </w:p>
        </w:tc>
        <w:tc>
          <w:tcPr>
            <w:tcW w:w="27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193 193 Gain on sale</w:t>
            </w:r>
          </w:p>
        </w:tc>
      </w:tr>
      <w:tr>
        <w:trPr>
          <w:trHeight w:val="201"/>
        </w:trPr>
        <w:tc>
          <w:tcPr>
            <w:tcW w:w="3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of discontinued operations........</w:t>
            </w: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1,290</w:t>
            </w:r>
          </w:p>
        </w:tc>
      </w:tr>
      <w:tr>
        <w:trPr>
          <w:trHeight w:val="201"/>
        </w:trPr>
        <w:tc>
          <w:tcPr>
            <w:tcW w:w="46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1,290 Income before extraordinary</w:t>
            </w:r>
          </w:p>
        </w:tc>
      </w:tr>
      <w:tr>
        <w:trPr>
          <w:trHeight w:val="201"/>
        </w:trPr>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w w:val="96"/>
              </w:rPr>
              <w:t>loss...............</w:t>
            </w:r>
          </w:p>
        </w:tc>
        <w:tc>
          <w:tcPr>
            <w:tcW w:w="27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2,728 3,807 6,535</w:t>
            </w:r>
          </w:p>
        </w:tc>
      </w:tr>
      <w:tr>
        <w:trPr>
          <w:trHeight w:val="201"/>
        </w:trPr>
        <w:tc>
          <w:tcPr>
            <w:tcW w:w="466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Extraordinary loss (net of income</w:t>
            </w:r>
          </w:p>
        </w:tc>
      </w:tr>
      <w:tr>
        <w:trPr>
          <w:trHeight w:val="201"/>
        </w:trPr>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taxes).......</w:t>
            </w:r>
          </w:p>
        </w:tc>
        <w:tc>
          <w:tcPr>
            <w:tcW w:w="1980" w:type="dxa"/>
            <w:vAlign w:val="bottom"/>
          </w:tcPr>
          <w:p>
            <w:pPr>
              <w:ind w:left="620"/>
              <w:spacing w:after="0"/>
              <w:rPr>
                <w:sz w:val="20"/>
                <w:szCs w:val="20"/>
                <w:color w:val="auto"/>
              </w:rPr>
            </w:pPr>
            <w:r>
              <w:rPr>
                <w:rFonts w:ascii="Courier New" w:cs="Courier New" w:eastAsia="Courier New" w:hAnsi="Courier New"/>
                <w:sz w:val="17"/>
                <w:szCs w:val="17"/>
                <w:color w:val="auto"/>
              </w:rPr>
              <w:t>137 137 Net</w:t>
            </w:r>
          </w:p>
        </w:tc>
        <w:tc>
          <w:tcPr>
            <w:tcW w:w="780" w:type="dxa"/>
            <w:vAlign w:val="bottom"/>
          </w:tcPr>
          <w:p>
            <w:pPr>
              <w:spacing w:after="0"/>
              <w:rPr>
                <w:sz w:val="17"/>
                <w:szCs w:val="17"/>
                <w:color w:val="auto"/>
              </w:rPr>
            </w:pPr>
          </w:p>
        </w:tc>
      </w:tr>
      <w:tr>
        <w:trPr>
          <w:trHeight w:val="201"/>
        </w:trPr>
        <w:tc>
          <w:tcPr>
            <w:tcW w:w="38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7"/>
              </w:rPr>
              <w:t>income.....................................</w:t>
            </w:r>
          </w:p>
        </w:tc>
        <w:tc>
          <w:tcPr>
            <w:tcW w:w="780" w:type="dxa"/>
            <w:vAlign w:val="bottom"/>
          </w:tcPr>
          <w:p>
            <w:pPr>
              <w:spacing w:after="0"/>
              <w:rPr>
                <w:sz w:val="17"/>
                <w:szCs w:val="17"/>
                <w:color w:val="auto"/>
              </w:rPr>
            </w:pPr>
          </w:p>
        </w:tc>
      </w:tr>
    </w:tbl>
    <w:p>
      <w:pPr>
        <w:spacing w:after="0" w:line="4" w:lineRule="exact"/>
        <w:rPr>
          <w:sz w:val="20"/>
          <w:szCs w:val="20"/>
          <w:color w:val="auto"/>
        </w:rPr>
      </w:pPr>
    </w:p>
    <w:p>
      <w:pPr>
        <w:ind w:left="1100" w:hanging="202"/>
        <w:spacing w:after="0"/>
        <w:tabs>
          <w:tab w:leader="none" w:pos="1100" w:val="left"/>
        </w:tabs>
        <w:numPr>
          <w:ilvl w:val="1"/>
          <w:numId w:val="8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2,591 $ 3,807 $ -- $ 6,398</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8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 w:right="1839" w:hanging="413"/>
        <w:spacing w:after="0" w:line="257" w:lineRule="auto"/>
        <w:tabs>
          <w:tab w:leader="none" w:pos="420" w:val="left"/>
        </w:tabs>
        <w:numPr>
          <w:ilvl w:val="0"/>
          <w:numId w:val="8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L-194</w:t>
      </w:r>
    </w:p>
    <w:p>
      <w:pPr>
        <w:sectPr>
          <w:pgSz w:w="11900" w:h="16838" w:orient="portrait"/>
          <w:cols w:equalWidth="0" w:num="1">
            <w:col w:w="10219"/>
          </w:cols>
          <w:pgMar w:left="240" w:top="719" w:right="1440" w:bottom="1440" w:gutter="0" w:footer="0" w:header="0"/>
        </w:sectPr>
      </w:pPr>
    </w:p>
    <w:bookmarkStart w:id="811" w:name="page812"/>
    <w:bookmarkEnd w:id="811"/>
    <w:p>
      <w:pPr>
        <w:jc w:val="center"/>
        <w:ind w:right="183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CONSOLIDATING CONDENSED STATEMENT OF CASH FLOWS</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FOR THE YEAR ENDED DECEMBER 31, 1998</w:t>
      </w:r>
    </w:p>
    <w:p>
      <w:pPr>
        <w:spacing w:after="0" w:line="210"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AT&amp;T AT&amp;T COMMON CONSUMER ELIMINATIONS/ STOCK</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SERVICES RECLASSI- CONSOLIDATED GROUP GROUP</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FICATIONS(1) AT&amp;T CORP. ------- --------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 (DOLLARS IN MILLIONS) Net</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cash provided by operating activities of</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continuing operations..........................</w:t>
      </w:r>
    </w:p>
    <w:p>
      <w:pPr>
        <w:spacing w:after="0" w:line="9" w:lineRule="exact"/>
        <w:rPr>
          <w:sz w:val="20"/>
          <w:szCs w:val="20"/>
          <w:color w:val="auto"/>
        </w:rPr>
      </w:pPr>
    </w:p>
    <w:p>
      <w:pPr>
        <w:ind w:left="420" w:right="5499" w:firstLine="162"/>
        <w:spacing w:after="0" w:line="251" w:lineRule="auto"/>
        <w:tabs>
          <w:tab w:leader="none" w:pos="787" w:val="left"/>
        </w:tabs>
        <w:numPr>
          <w:ilvl w:val="0"/>
          <w:numId w:val="8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5,803 $ 4,141 $ -- $ 9,944 INVESTING ACTIVITIES Capital expenditures and other</w:t>
      </w:r>
    </w:p>
    <w:p>
      <w:pPr>
        <w:ind w:left="60"/>
        <w:spacing w:after="0"/>
        <w:rPr>
          <w:sz w:val="20"/>
          <w:szCs w:val="20"/>
          <w:color w:val="auto"/>
        </w:rPr>
      </w:pPr>
      <w:r>
        <w:rPr>
          <w:rFonts w:ascii="Courier New" w:cs="Courier New" w:eastAsia="Courier New" w:hAnsi="Courier New"/>
          <w:sz w:val="17"/>
          <w:szCs w:val="17"/>
          <w:color w:val="auto"/>
        </w:rPr>
        <w:t>additions......... (6,620) (98) (6,718) Decrease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(increase) in other receivables......... 7,523</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(1,580) 460 6,403 Net sales of marketable</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securities............... 307 307 Net</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acquisitions of businesses, including cash</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acquired.......................................</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4,183 4,183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ind w:left="800" w:right="5399" w:hanging="480"/>
        <w:spacing w:after="0" w:line="251" w:lineRule="auto"/>
        <w:tabs>
          <w:tab w:leader="none" w:pos="852" w:val="left"/>
        </w:tabs>
        <w:numPr>
          <w:ilvl w:val="0"/>
          <w:numId w:val="8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37 (40) Net cash provided by (used in) investing activities of continuing</w:t>
      </w:r>
    </w:p>
    <w:tbl>
      <w:tblPr>
        <w:tblLayout w:type="fixed"/>
        <w:tblInd w:w="160" w:type="dxa"/>
        <w:tblCellMar>
          <w:top w:w="0" w:type="dxa"/>
          <w:left w:w="0" w:type="dxa"/>
          <w:bottom w:w="0" w:type="dxa"/>
          <w:right w:w="0" w:type="dxa"/>
        </w:tblCellMar>
      </w:tblPr>
      <w:tr>
        <w:trPr>
          <w:trHeight w:val="197"/>
        </w:trPr>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w w:val="89"/>
              </w:rPr>
              <w:t>operations............</w:t>
            </w:r>
          </w:p>
        </w:tc>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rPr>
              <w:t>5,316 (1,641) 460 4,135</w:t>
            </w:r>
          </w:p>
        </w:tc>
      </w:tr>
      <w:tr>
        <w:trPr>
          <w:trHeight w:val="201"/>
        </w:trPr>
        <w:tc>
          <w:tcPr>
            <w:tcW w:w="48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FINANCING ACTIVITIES Retirement of long-term</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w w:val="79"/>
              </w:rPr>
              <w:t>debt.....................</w:t>
            </w:r>
          </w:p>
        </w:tc>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rPr>
              <w:t>(2,594) (2,594) Net</w:t>
            </w:r>
          </w:p>
        </w:tc>
      </w:tr>
      <w:tr>
        <w:trPr>
          <w:trHeight w:val="201"/>
        </w:trPr>
        <w:tc>
          <w:tcPr>
            <w:tcW w:w="48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acquisition of treasury shares...............</w:t>
            </w:r>
          </w:p>
        </w:tc>
      </w:tr>
      <w:tr>
        <w:trPr>
          <w:trHeight w:val="201"/>
        </w:trPr>
        <w:tc>
          <w:tcPr>
            <w:tcW w:w="48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(3,321) (3,321) Dividends</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2"/>
                <w:szCs w:val="12"/>
                <w:color w:val="auto"/>
                <w:w w:val="71"/>
              </w:rPr>
              <w:t>paid...................................</w:t>
            </w:r>
          </w:p>
        </w:tc>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rPr>
              <w:t>(729)</w:t>
            </w:r>
          </w:p>
        </w:tc>
      </w:tr>
      <w:tr>
        <w:trPr>
          <w:trHeight w:val="201"/>
        </w:trPr>
        <w:tc>
          <w:tcPr>
            <w:tcW w:w="48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(1,458) (2,187) Decrease in short-term</w:t>
            </w:r>
          </w:p>
        </w:tc>
      </w:tr>
      <w:tr>
        <w:trPr>
          <w:trHeight w:val="201"/>
        </w:trPr>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w w:val="76"/>
              </w:rPr>
              <w:t>borrowings, net...........</w:t>
            </w:r>
          </w:p>
        </w:tc>
        <w:tc>
          <w:tcPr>
            <w:tcW w:w="2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(1,511) (1,580)</w:t>
            </w:r>
          </w:p>
        </w:tc>
      </w:tr>
      <w:tr>
        <w:trPr>
          <w:trHeight w:val="201"/>
        </w:trPr>
        <w:tc>
          <w:tcPr>
            <w:tcW w:w="2040" w:type="dxa"/>
            <w:vAlign w:val="bottom"/>
          </w:tcPr>
          <w:p>
            <w:pPr>
              <w:spacing w:after="0"/>
              <w:rPr>
                <w:sz w:val="17"/>
                <w:szCs w:val="17"/>
                <w:color w:val="auto"/>
              </w:rPr>
            </w:pPr>
          </w:p>
        </w:tc>
        <w:tc>
          <w:tcPr>
            <w:tcW w:w="2780" w:type="dxa"/>
            <w:vAlign w:val="bottom"/>
          </w:tcPr>
          <w:p>
            <w:pPr>
              <w:jc w:val="center"/>
              <w:ind w:right="1953"/>
              <w:spacing w:after="0"/>
              <w:rPr>
                <w:sz w:val="20"/>
                <w:szCs w:val="20"/>
                <w:color w:val="auto"/>
              </w:rPr>
            </w:pPr>
            <w:r>
              <w:rPr>
                <w:rFonts w:ascii="Courier New" w:cs="Courier New" w:eastAsia="Courier New" w:hAnsi="Courier New"/>
                <w:sz w:val="17"/>
                <w:szCs w:val="17"/>
                <w:color w:val="auto"/>
              </w:rPr>
              <w:t>(3,091)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64 (1,042) 1,120 142 Net cash used in financing</w:t>
      </w:r>
    </w:p>
    <w:p>
      <w:pPr>
        <w:spacing w:after="0" w:line="9"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7"/>
          <w:szCs w:val="17"/>
          <w:color w:val="auto"/>
        </w:rPr>
        <w:t>activities of continuing</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operations.......................... (8,091)</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(2,500) (460) (11,051) Net cash used in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discontinued operations......... (207) (207) Net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increase in cash and cash equivalents........</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2,821 2,821 Cash and cash equivalents at</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beginning of year... 312 312 Cash and cash</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equivalents at end of year......... $ 3,133 $ --</w:t>
      </w:r>
    </w:p>
    <w:p>
      <w:pPr>
        <w:spacing w:after="0" w:line="9"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 -- $ 3,133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right="1839" w:hanging="413"/>
        <w:spacing w:after="0" w:line="257" w:lineRule="auto"/>
        <w:tabs>
          <w:tab w:leader="none" w:pos="420" w:val="left"/>
        </w:tabs>
        <w:numPr>
          <w:ilvl w:val="0"/>
          <w:numId w:val="8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L-195</w:t>
      </w:r>
    </w:p>
    <w:p>
      <w:pPr>
        <w:sectPr>
          <w:pgSz w:w="11900" w:h="16838" w:orient="portrait"/>
          <w:cols w:equalWidth="0" w:num="1">
            <w:col w:w="10219"/>
          </w:cols>
          <w:pgMar w:left="240" w:top="720" w:right="1440" w:bottom="1440" w:gutter="0" w:footer="0" w:header="0"/>
        </w:sectPr>
      </w:pPr>
    </w:p>
    <w:bookmarkStart w:id="812" w:name="page813"/>
    <w:bookmarkEnd w:id="812"/>
    <w:p>
      <w:pPr>
        <w:jc w:val="center"/>
        <w:ind w:right="183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UNAUDITED PRO FORMA COMBINED CONDENSED FINANCIAL STATEMENTS</w:t>
      </w:r>
    </w:p>
    <w:p>
      <w:pPr>
        <w:spacing w:after="0" w:line="210"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The unaudited pro forma combined condensed financial statements set forth below for AT&amp;T give effect to</w:t>
      </w:r>
    </w:p>
    <w:p>
      <w:pPr>
        <w:spacing w:after="0" w:line="192" w:lineRule="exact"/>
        <w:rPr>
          <w:sz w:val="20"/>
          <w:szCs w:val="20"/>
          <w:color w:val="auto"/>
        </w:rPr>
      </w:pPr>
    </w:p>
    <w:p>
      <w:pPr>
        <w:ind w:left="740" w:hanging="209"/>
        <w:spacing w:after="0"/>
        <w:tabs>
          <w:tab w:leader="none" w:pos="740" w:val="left"/>
        </w:tabs>
        <w:numPr>
          <w:ilvl w:val="0"/>
          <w:numId w:val="8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Liberty Media Group distribution</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8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Broadband Group distribution</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(collectively, the AT&amp;T restructuring events), as if such events had been completed on January 1, 1999 for income statement purposes, and at September 30, 2001 for balance sheet purposes, subject to the assumptions and adjustments in the accompanying notes to the pro forma financial statements. Upon the distribution of AT&amp;T Broadband Group, AT&amp;T will report AT&amp;T Broadband Group as a Discontinued Operation, in accordance with SFAS No. 144, "Accounting for the Impairment or Disposal of Long-Lived Assets." For accounting purposes, the spin-off (the distribution) of AT&amp;T Broadband Group is considered a non pro-rata distribution and is expected to be recorded at fair value resulting in the recognition of a gain or loss on the remaining AT&amp;T entity upon the distribution date. The split-off of Liberty Media Group which was completed on August 10, 2001, was a pro-rata distribution and was therefore recorded at historical cost. See the Notes to the Unaudited Pro Forma Combined Condensed Financial Statements for additional disclosure of potential material nonrecurring charges and credits directly attributable to the events as noted above which are not reflected in the pro forma financial statements.</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pro forma adjustments included herein are based on available information and certain assumptions that management believes are reasonable and are described in the accompanying notes to the pro forma financial statements. The Unaudited Pro Forma Combined Condensed Financial Statements do not necessarily represent what AT&amp;T's financial position or results of operations would have been had the AT&amp;T Broadband distribution or the Liberty Media Group distribution occurred on such dates or to project AT&amp;T's financial position or results of operations at or for any future date or period. In the opinion of management, all adjustments necessary to present fairly the unaudited pro forma financial information have been made. The Unaudited Pro Forma Combined Condensed Financial Statements should be read in conjunction with the historical financial statements of AT&amp;T, Liberty Media Group and AT&amp;T Broadband Group, incorporated by reference or included herein.</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After obtaining shareholder approval, AT&amp;T currently intends to dividend AT&amp;T Consumer Services Group tracking stock to current AT&amp;T shareholders representing some or all of the financial performance and economic value of AT&amp;T Consumer Services Group. Due to the accumulated deficit that exists at AT&amp;T Corp., the dividend will be reflected as a reduction of additional paid in capital for the fair value of AT&amp;T Consumer Services with a corresponding increase in par value of AT&amp;T Consumer Services Group tracking stock and additional paid in capital. The issuance of the AT&amp;T Consumer Services Group tracking stock has no impact on the pro forma balance sheet or pro forma income statements other than to result in the attribution of net income to AT&amp;T Consumer Services Group and therefore to reduce income and earnings attributable to AT&amp;T Common Stock Group. For purposes of these pro forma financial statements we have assumed distribution of all of the AT&amp;T Consumer Services Group tracking stock.</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L-196</w:t>
      </w:r>
    </w:p>
    <w:p>
      <w:pPr>
        <w:sectPr>
          <w:pgSz w:w="11900" w:h="16838" w:orient="portrait"/>
          <w:cols w:equalWidth="0" w:num="1">
            <w:col w:w="10219"/>
          </w:cols>
          <w:pgMar w:left="240" w:top="720" w:right="1440" w:bottom="1440" w:gutter="0" w:footer="0" w:header="0"/>
        </w:sectPr>
      </w:pPr>
    </w:p>
    <w:bookmarkStart w:id="813" w:name="page814"/>
    <w:bookmarkEnd w:id="813"/>
    <w:p>
      <w:pPr>
        <w:jc w:val="center"/>
        <w:ind w:right="181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UNAUDITED PRO FORMA COMBINED CONDENSED BALANCE SHEET</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AT SEPTEMBER 30, 2001</w:t>
      </w:r>
    </w:p>
    <w:p>
      <w:pPr>
        <w:spacing w:after="0" w:line="210"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AT&amp;T BROADBAND HISTORICAL GROUP OTHER PRO</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FORMA AT&amp;T(A) DISTRIBUTION(E) ADJUSTMENTS(G)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AT&amp;T ---------- --------------- ------------</w:t>
      </w:r>
    </w:p>
    <w:p>
      <w:pPr>
        <w:spacing w:after="0" w:line="9" w:lineRule="exact"/>
        <w:rPr>
          <w:sz w:val="20"/>
          <w:szCs w:val="20"/>
          <w:color w:val="auto"/>
        </w:rPr>
      </w:pPr>
    </w:p>
    <w:p>
      <w:pPr>
        <w:ind w:left="1680" w:right="5699" w:hanging="1463"/>
        <w:spacing w:after="0" w:line="251" w:lineRule="auto"/>
        <w:tabs>
          <w:tab w:leader="none" w:pos="528" w:val="left"/>
        </w:tabs>
        <w:numPr>
          <w:ilvl w:val="0"/>
          <w:numId w:val="8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ASSETS Cash and cash</w:t>
      </w:r>
    </w:p>
    <w:p>
      <w:pPr>
        <w:ind w:left="320"/>
        <w:spacing w:after="0"/>
        <w:rPr>
          <w:sz w:val="20"/>
          <w:szCs w:val="20"/>
          <w:color w:val="auto"/>
        </w:rPr>
      </w:pPr>
      <w:r>
        <w:rPr>
          <w:rFonts w:ascii="Courier New" w:cs="Courier New" w:eastAsia="Courier New" w:hAnsi="Courier New"/>
          <w:sz w:val="17"/>
          <w:szCs w:val="17"/>
          <w:color w:val="auto"/>
        </w:rPr>
        <w:t>equivalents.......................... $</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4,198 $ (253) $ -- $ 3,945 5,390(f) (5,390)</w:t>
      </w:r>
    </w:p>
    <w:p>
      <w:pPr>
        <w:spacing w:after="0" w:line="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(f) Receivables-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net....................................</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10,023 (604) (209) 9,210 Deferred income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taxes.............................. 1,623</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(117) 1,506 Other current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assets............................... 614</w:t>
      </w:r>
    </w:p>
    <w:p>
      <w:pPr>
        <w:spacing w:after="0" w:line="9" w:lineRule="exact"/>
        <w:rPr>
          <w:sz w:val="20"/>
          <w:szCs w:val="20"/>
          <w:color w:val="auto"/>
        </w:rPr>
      </w:pPr>
    </w:p>
    <w:p>
      <w:pPr>
        <w:ind w:left="220" w:right="5599" w:hanging="108"/>
        <w:spacing w:after="0" w:line="251" w:lineRule="auto"/>
        <w:tabs>
          <w:tab w:leader="none" w:pos="744" w:val="left"/>
        </w:tabs>
        <w:numPr>
          <w:ilvl w:val="0"/>
          <w:numId w:val="8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336 380 5,390(f) (5,390)(f) Property, plant and equipment-net..................</w:t>
      </w: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40,748 (14,292) -- 26,456 Franchise costs-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net................................</w:t>
            </w:r>
          </w:p>
        </w:tc>
        <w:tc>
          <w:tcPr>
            <w:tcW w:w="1260" w:type="dxa"/>
            <w:vAlign w:val="bottom"/>
          </w:tcPr>
          <w:p>
            <w:pPr>
              <w:spacing w:after="0"/>
              <w:rPr>
                <w:sz w:val="17"/>
                <w:szCs w:val="17"/>
                <w:color w:val="auto"/>
              </w:rPr>
            </w:pPr>
          </w:p>
        </w:tc>
        <w:tc>
          <w:tcPr>
            <w:tcW w:w="1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43,287</w:t>
            </w:r>
          </w:p>
        </w:tc>
      </w:tr>
      <w:tr>
        <w:trPr>
          <w:trHeight w:val="201"/>
        </w:trPr>
        <w:tc>
          <w:tcPr>
            <w:tcW w:w="3620" w:type="dxa"/>
            <w:vAlign w:val="bottom"/>
            <w:gridSpan w:val="3"/>
          </w:tcPr>
          <w:p>
            <w:pPr>
              <w:jc w:val="center"/>
              <w:ind w:left="1021"/>
              <w:spacing w:after="0"/>
              <w:rPr>
                <w:sz w:val="20"/>
                <w:szCs w:val="20"/>
                <w:color w:val="auto"/>
              </w:rPr>
            </w:pPr>
            <w:r>
              <w:rPr>
                <w:rFonts w:ascii="Courier New" w:cs="Courier New" w:eastAsia="Courier New" w:hAnsi="Courier New"/>
                <w:sz w:val="17"/>
                <w:szCs w:val="17"/>
                <w:color w:val="auto"/>
              </w:rPr>
              <w:t>(43,287) -- -- Goodwill-</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1"/>
        </w:trPr>
        <w:tc>
          <w:tcPr>
            <w:tcW w:w="2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net.......................................</w:t>
            </w: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1"/>
        </w:trPr>
        <w:tc>
          <w:tcPr>
            <w:tcW w:w="466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24,774 (19,393) -- 5,381 Other investments</w:t>
            </w:r>
          </w:p>
        </w:tc>
      </w:tr>
      <w:tr>
        <w:trPr>
          <w:trHeight w:val="201"/>
        </w:trPr>
        <w:tc>
          <w:tcPr>
            <w:tcW w:w="2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and related advances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w w:val="93"/>
              </w:rPr>
              <w:t>.............</w:t>
            </w:r>
          </w:p>
        </w:tc>
        <w:tc>
          <w:tcPr>
            <w:tcW w:w="10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24,268</w:t>
            </w:r>
          </w:p>
        </w:tc>
      </w:tr>
      <w:tr>
        <w:trPr>
          <w:trHeight w:val="201"/>
        </w:trPr>
        <w:tc>
          <w:tcPr>
            <w:tcW w:w="4200" w:type="dxa"/>
            <w:vAlign w:val="bottom"/>
            <w:gridSpan w:val="4"/>
          </w:tcPr>
          <w:p>
            <w:pPr>
              <w:jc w:val="center"/>
              <w:ind w:left="461"/>
              <w:spacing w:after="0"/>
              <w:rPr>
                <w:sz w:val="20"/>
                <w:szCs w:val="20"/>
                <w:color w:val="auto"/>
              </w:rPr>
            </w:pPr>
            <w:r>
              <w:rPr>
                <w:rFonts w:ascii="Courier New" w:cs="Courier New" w:eastAsia="Courier New" w:hAnsi="Courier New"/>
                <w:sz w:val="17"/>
                <w:szCs w:val="17"/>
                <w:color w:val="auto"/>
              </w:rPr>
              <w:t>(22,492) -- 1,776 Prepaid pension</w:t>
            </w:r>
          </w:p>
        </w:tc>
        <w:tc>
          <w:tcPr>
            <w:tcW w:w="460" w:type="dxa"/>
            <w:vAlign w:val="bottom"/>
          </w:tcPr>
          <w:p>
            <w:pPr>
              <w:spacing w:after="0"/>
              <w:rPr>
                <w:sz w:val="17"/>
                <w:szCs w:val="17"/>
                <w:color w:val="auto"/>
              </w:rPr>
            </w:pPr>
          </w:p>
        </w:tc>
      </w:tr>
      <w:tr>
        <w:trPr>
          <w:trHeight w:val="201"/>
        </w:trPr>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costs..............................</w:t>
            </w:r>
          </w:p>
        </w:tc>
        <w:tc>
          <w:tcPr>
            <w:tcW w:w="12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3,281 --</w:t>
            </w:r>
          </w:p>
        </w:tc>
      </w:tr>
      <w:tr>
        <w:trPr>
          <w:trHeight w:val="201"/>
        </w:trPr>
        <w:tc>
          <w:tcPr>
            <w:tcW w:w="1520" w:type="dxa"/>
            <w:vAlign w:val="bottom"/>
          </w:tcPr>
          <w:p>
            <w:pPr>
              <w:spacing w:after="0"/>
              <w:rPr>
                <w:sz w:val="17"/>
                <w:szCs w:val="17"/>
                <w:color w:val="auto"/>
              </w:rPr>
            </w:pPr>
          </w:p>
        </w:tc>
        <w:tc>
          <w:tcPr>
            <w:tcW w:w="2100" w:type="dxa"/>
            <w:vAlign w:val="bottom"/>
            <w:gridSpan w:val="2"/>
          </w:tcPr>
          <w:p>
            <w:pPr>
              <w:jc w:val="center"/>
              <w:ind w:right="333"/>
              <w:spacing w:after="0"/>
              <w:rPr>
                <w:sz w:val="20"/>
                <w:szCs w:val="20"/>
                <w:color w:val="auto"/>
              </w:rPr>
            </w:pPr>
            <w:r>
              <w:rPr>
                <w:rFonts w:ascii="Courier New" w:cs="Courier New" w:eastAsia="Courier New" w:hAnsi="Courier New"/>
                <w:sz w:val="17"/>
                <w:szCs w:val="17"/>
                <w:color w:val="auto"/>
              </w:rPr>
              <w:t>(12) 3,269 Other</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1"/>
        </w:trPr>
        <w:tc>
          <w:tcPr>
            <w:tcW w:w="23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assets.......................................</w:t>
            </w: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1"/>
        </w:trPr>
        <w:tc>
          <w:tcPr>
            <w:tcW w:w="1520" w:type="dxa"/>
            <w:vAlign w:val="bottom"/>
          </w:tcPr>
          <w:p>
            <w:pPr>
              <w:jc w:val="right"/>
              <w:ind w:right="21"/>
              <w:spacing w:after="0"/>
              <w:rPr>
                <w:sz w:val="20"/>
                <w:szCs w:val="20"/>
                <w:color w:val="auto"/>
              </w:rPr>
            </w:pPr>
            <w:r>
              <w:rPr>
                <w:rFonts w:ascii="Courier New" w:cs="Courier New" w:eastAsia="Courier New" w:hAnsi="Courier New"/>
                <w:sz w:val="17"/>
                <w:szCs w:val="17"/>
                <w:color w:val="auto"/>
              </w:rPr>
              <w:t>7,233 (3,370)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45 3,908</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rPr>
              <w:t>(4,450)(c)</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4,450</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4" w:lineRule="exact"/>
        <w:rPr>
          <w:sz w:val="20"/>
          <w:szCs w:val="20"/>
          <w:color w:val="auto"/>
        </w:rPr>
      </w:pPr>
    </w:p>
    <w:p>
      <w:pPr>
        <w:ind w:left="220" w:right="5699" w:firstLine="363"/>
        <w:spacing w:after="0" w:line="251" w:lineRule="auto"/>
        <w:tabs>
          <w:tab w:leader="none" w:pos="1110" w:val="left"/>
        </w:tabs>
        <w:numPr>
          <w:ilvl w:val="0"/>
          <w:numId w:val="8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Total Assets...................................</w:t>
      </w:r>
    </w:p>
    <w:p>
      <w:pPr>
        <w:ind w:left="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160,049 (104,261) 43 55,831 ========</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 ===== ======= LIABILITIES Accounts</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payable...................................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4,848 (700) 10 4,158 Payroll and benefit-</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related</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liabilities</w:t>
            </w:r>
          </w:p>
        </w:tc>
        <w:tc>
          <w:tcPr>
            <w:tcW w:w="2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1,592 (438)</w:t>
            </w:r>
          </w:p>
        </w:tc>
      </w:tr>
      <w:tr>
        <w:trPr>
          <w:trHeight w:val="201"/>
        </w:trPr>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780" w:type="dxa"/>
            <w:vAlign w:val="bottom"/>
            <w:gridSpan w:val="2"/>
          </w:tcPr>
          <w:p>
            <w:pPr>
              <w:spacing w:after="0"/>
              <w:rPr>
                <w:sz w:val="20"/>
                <w:szCs w:val="20"/>
                <w:color w:val="auto"/>
              </w:rPr>
            </w:pPr>
            <w:r>
              <w:rPr>
                <w:rFonts w:ascii="Courier New" w:cs="Courier New" w:eastAsia="Courier New" w:hAnsi="Courier New"/>
                <w:sz w:val="17"/>
                <w:szCs w:val="17"/>
                <w:color w:val="auto"/>
              </w:rPr>
              <w:t>1,154 Debt maturing within</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one</w:t>
            </w:r>
          </w:p>
        </w:tc>
      </w:tr>
      <w:tr>
        <w:trPr>
          <w:trHeight w:val="201"/>
        </w:trPr>
        <w:tc>
          <w:tcPr>
            <w:tcW w:w="1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3"/>
              </w:rPr>
              <w:t>year......................</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18,449</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(5,962)</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100 12,587 5,390(f) (5,390)(f) Other current</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392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6,988</w:t>
            </w:r>
          </w:p>
        </w:tc>
      </w:tr>
    </w:tbl>
    <w:p>
      <w:pPr>
        <w:spacing w:after="0" w:line="4"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(1,783) 16 5,221 Long-term</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debt.....................................</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30,007 (17,312) (100) 12,595 Long-term</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benefit-related liabilities..............</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3,506 (103) 3,403 Deferred income</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taxes.............................. 27,175</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(25,659) 158 1,606 (68)(d) Other long-term</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liabilities and deferred credits... 6,946</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(974) 136 6,287 179(d) -------- --------- --</w:t>
      </w:r>
    </w:p>
    <w:p>
      <w:pPr>
        <w:spacing w:after="0" w:line="9"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 ------- Total</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Liabilities..............................</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99,511 (52,717) 217 47,011 Minority</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3,622 (3,319) -- 303 Company-obligated</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convertible quarterly income preferred</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securities of subsidiary trust holding</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solely subordinated debt securities of</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AT&amp;T...... 4,718 (4,718) -- -- SHAREOWNERS'</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EQUITY Common Stock: AT&amp;T common stock, $1</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par value, authorized 6,000,000,000 shares;</w:t>
      </w:r>
    </w:p>
    <w:p>
      <w:pPr>
        <w:spacing w:after="0" w:line="9"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7"/>
          <w:szCs w:val="17"/>
          <w:color w:val="auto"/>
        </w:rPr>
        <w:t>issued and outstanding 3,535,801,018</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shares.............................</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3,536</w:t>
            </w:r>
          </w:p>
        </w:tc>
      </w:tr>
      <w:tr>
        <w:trPr>
          <w:trHeight w:val="201"/>
        </w:trPr>
        <w:tc>
          <w:tcPr>
            <w:tcW w:w="4060" w:type="dxa"/>
            <w:vAlign w:val="bottom"/>
            <w:gridSpan w:val="5"/>
          </w:tcPr>
          <w:p>
            <w:pPr>
              <w:jc w:val="center"/>
              <w:ind w:left="478"/>
              <w:spacing w:after="0"/>
              <w:rPr>
                <w:sz w:val="20"/>
                <w:szCs w:val="20"/>
                <w:color w:val="auto"/>
              </w:rPr>
            </w:pPr>
            <w:r>
              <w:rPr>
                <w:rFonts w:ascii="Courier New" w:cs="Courier New" w:eastAsia="Courier New" w:hAnsi="Courier New"/>
                <w:sz w:val="17"/>
                <w:szCs w:val="17"/>
                <w:color w:val="auto"/>
              </w:rPr>
              <w:t>52(d) -- 3,588 Additional paid-in</w:t>
            </w:r>
          </w:p>
        </w:tc>
        <w:tc>
          <w:tcPr>
            <w:tcW w:w="540" w:type="dxa"/>
            <w:vAlign w:val="bottom"/>
          </w:tcPr>
          <w:p>
            <w:pPr>
              <w:spacing w:after="0"/>
              <w:rPr>
                <w:sz w:val="17"/>
                <w:szCs w:val="17"/>
                <w:color w:val="auto"/>
              </w:rPr>
            </w:pPr>
          </w:p>
        </w:tc>
      </w:tr>
      <w:tr>
        <w:trPr>
          <w:trHeight w:val="201"/>
        </w:trPr>
        <w:tc>
          <w:tcPr>
            <w:tcW w:w="24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2"/>
              </w:rPr>
              <w:t>capital.........................</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51,851</w:t>
            </w:r>
          </w:p>
        </w:tc>
      </w:tr>
      <w:tr>
        <w:trPr>
          <w:trHeight w:val="201"/>
        </w:trPr>
        <w:tc>
          <w:tcPr>
            <w:tcW w:w="28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(44,260) (187) 11,623 4,450</w:t>
            </w: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(2,118)(d)</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(179)</w:t>
            </w:r>
          </w:p>
        </w:tc>
      </w:tr>
      <w:tr>
        <w:trPr>
          <w:trHeight w:val="201"/>
        </w:trPr>
        <w:tc>
          <w:tcPr>
            <w:tcW w:w="1200" w:type="dxa"/>
            <w:vAlign w:val="bottom"/>
          </w:tcPr>
          <w:p>
            <w:pPr>
              <w:spacing w:after="0"/>
              <w:rPr>
                <w:sz w:val="17"/>
                <w:szCs w:val="17"/>
                <w:color w:val="auto"/>
              </w:rPr>
            </w:pPr>
          </w:p>
        </w:tc>
        <w:tc>
          <w:tcPr>
            <w:tcW w:w="2360" w:type="dxa"/>
            <w:vAlign w:val="bottom"/>
            <w:gridSpan w:val="3"/>
          </w:tcPr>
          <w:p>
            <w:pPr>
              <w:jc w:val="center"/>
              <w:ind w:right="73"/>
              <w:spacing w:after="0"/>
              <w:rPr>
                <w:sz w:val="20"/>
                <w:szCs w:val="20"/>
                <w:color w:val="auto"/>
              </w:rPr>
            </w:pPr>
            <w:r>
              <w:rPr>
                <w:rFonts w:ascii="Courier New" w:cs="Courier New" w:eastAsia="Courier New" w:hAnsi="Courier New"/>
                <w:sz w:val="17"/>
                <w:szCs w:val="17"/>
                <w:color w:val="auto"/>
              </w:rPr>
              <w:t>(d) 2,066(d) Retained</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1"/>
        </w:trPr>
        <w:tc>
          <w:tcPr>
            <w:tcW w:w="24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earnings..................................</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1"/>
        </w:trPr>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(2,093)</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(4,450)(c)</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13 (6,462)</w:t>
            </w:r>
          </w:p>
        </w:tc>
        <w:tc>
          <w:tcPr>
            <w:tcW w:w="104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68(d)</w:t>
            </w:r>
          </w:p>
        </w:tc>
      </w:tr>
      <w:tr>
        <w:trPr>
          <w:trHeight w:val="201"/>
        </w:trPr>
        <w:tc>
          <w:tcPr>
            <w:tcW w:w="4060" w:type="dxa"/>
            <w:vAlign w:val="bottom"/>
            <w:gridSpan w:val="5"/>
          </w:tcPr>
          <w:p>
            <w:pPr>
              <w:jc w:val="center"/>
              <w:ind w:left="458"/>
              <w:spacing w:after="0"/>
              <w:rPr>
                <w:sz w:val="20"/>
                <w:szCs w:val="20"/>
                <w:color w:val="auto"/>
              </w:rPr>
            </w:pPr>
            <w:r>
              <w:rPr>
                <w:rFonts w:ascii="Courier New" w:cs="Courier New" w:eastAsia="Courier New" w:hAnsi="Courier New"/>
                <w:sz w:val="17"/>
                <w:szCs w:val="17"/>
                <w:color w:val="auto"/>
              </w:rPr>
              <w:t>Accumulated other comprehensive</w:t>
            </w:r>
          </w:p>
        </w:tc>
        <w:tc>
          <w:tcPr>
            <w:tcW w:w="540" w:type="dxa"/>
            <w:vAlign w:val="bottom"/>
          </w:tcPr>
          <w:p>
            <w:pPr>
              <w:spacing w:after="0"/>
              <w:rPr>
                <w:sz w:val="17"/>
                <w:szCs w:val="17"/>
                <w:color w:val="auto"/>
              </w:rPr>
            </w:pPr>
          </w:p>
        </w:tc>
      </w:tr>
      <w:tr>
        <w:trPr>
          <w:trHeight w:val="201"/>
        </w:trPr>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w w:val="73"/>
              </w:rPr>
              <w:t>income.............</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(1,096)</w:t>
            </w:r>
          </w:p>
        </w:tc>
        <w:tc>
          <w:tcPr>
            <w:tcW w:w="17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864 (232) ------</w:t>
            </w:r>
          </w:p>
        </w:tc>
      </w:tr>
    </w:tbl>
    <w:p>
      <w:pPr>
        <w:spacing w:after="0" w:line="4" w:lineRule="exact"/>
        <w:rPr>
          <w:sz w:val="20"/>
          <w:szCs w:val="20"/>
          <w:color w:val="auto"/>
        </w:rPr>
      </w:pPr>
    </w:p>
    <w:p>
      <w:pPr>
        <w:ind w:left="220" w:right="5699" w:firstLine="468"/>
        <w:spacing w:after="0" w:line="251" w:lineRule="auto"/>
        <w:tabs>
          <w:tab w:leader="none" w:pos="1006" w:val="left"/>
        </w:tabs>
        <w:numPr>
          <w:ilvl w:val="0"/>
          <w:numId w:val="8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Total shareowners' equity......................</w:t>
      </w: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52,198 (43,507) (174) 8,517 Total</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&amp; Shareowners' Equity........</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$160,049 $(104,261) $ 43 $55,831 ========</w:t>
      </w:r>
    </w:p>
    <w:p>
      <w:pPr>
        <w:spacing w:after="0" w:line="8" w:lineRule="exact"/>
        <w:rPr>
          <w:rFonts w:ascii="Courier New" w:cs="Courier New" w:eastAsia="Courier New" w:hAnsi="Courier New"/>
          <w:sz w:val="17"/>
          <w:szCs w:val="17"/>
          <w:color w:val="auto"/>
        </w:rPr>
      </w:pPr>
    </w:p>
    <w:p>
      <w:pPr>
        <w:ind w:left="1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ectPr>
          <w:pgSz w:w="11900" w:h="16838" w:orient="portrait"/>
          <w:cols w:equalWidth="0" w:num="1">
            <w:col w:w="10219"/>
          </w:cols>
          <w:pgMar w:left="240" w:top="719" w:right="1440" w:bottom="0" w:gutter="0" w:footer="0" w:header="0"/>
        </w:sectPr>
      </w:pPr>
    </w:p>
    <w:bookmarkStart w:id="814" w:name="page815"/>
    <w:bookmarkEnd w:id="814"/>
    <w:p>
      <w:pPr>
        <w:jc w:val="center"/>
        <w:ind w:right="2039"/>
        <w:spacing w:after="0"/>
        <w:rPr>
          <w:sz w:val="20"/>
          <w:szCs w:val="20"/>
          <w:color w:val="auto"/>
        </w:rPr>
      </w:pPr>
      <w:r>
        <w:rPr>
          <w:rFonts w:ascii="Courier New" w:cs="Courier New" w:eastAsia="Courier New" w:hAnsi="Courier New"/>
          <w:sz w:val="17"/>
          <w:szCs w:val="17"/>
          <w:color w:val="auto"/>
        </w:rPr>
        <w:t>See Notes To AT&amp;T Unaudited Pro Forma Combined Condensed Financial Statements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L-197</w:t>
      </w:r>
    </w:p>
    <w:p>
      <w:pPr>
        <w:sectPr>
          <w:pgSz w:w="11900" w:h="16838" w:orient="portrait"/>
          <w:cols w:equalWidth="0" w:num="1">
            <w:col w:w="10099"/>
          </w:cols>
          <w:pgMar w:left="360" w:top="544" w:right="1440" w:bottom="1440" w:gutter="0" w:footer="0" w:header="0"/>
        </w:sectPr>
      </w:pPr>
    </w:p>
    <w:bookmarkStart w:id="815" w:name="page816"/>
    <w:bookmarkEnd w:id="815"/>
    <w:p>
      <w:pPr>
        <w:jc w:val="center"/>
        <w:ind w:right="183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UNAUDITED PRO FORMA COMBINED CONDENSED STATEMENT OF OPERATIONS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FOR THE NINE MONTHS ENDED SEPTEMBER 30, 2001</w:t>
      </w:r>
    </w:p>
    <w:p>
      <w:pPr>
        <w:spacing w:after="0" w:line="210"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LIBERTY MEDIA AT&amp;T BROADBAND</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HISTORICAL GROUP GROUP OTHER PRO</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FORMA AT&amp;T(A) DISTRIBUTION(B)</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DISTRIBUTION(E) ADJUSTMENTS(G)</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AT&amp;T ----------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 (DOLLARS IN MILLIONS)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$39,964 $ -- $ (7,756) $183</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$32,391 OPERATING EXPENSES Costs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of services and products....</w:t>
      </w:r>
    </w:p>
    <w:p>
      <w:pPr>
        <w:spacing w:after="0" w:line="9" w:lineRule="exact"/>
        <w:rPr>
          <w:sz w:val="20"/>
          <w:szCs w:val="20"/>
          <w:color w:val="auto"/>
        </w:rPr>
      </w:pPr>
    </w:p>
    <w:p>
      <w:pPr>
        <w:ind w:left="380"/>
        <w:spacing w:after="0"/>
        <w:rPr>
          <w:sz w:val="20"/>
          <w:szCs w:val="20"/>
          <w:color w:val="auto"/>
        </w:rPr>
      </w:pPr>
      <w:r>
        <w:rPr>
          <w:rFonts w:ascii="Courier New" w:cs="Courier New" w:eastAsia="Courier New" w:hAnsi="Courier New"/>
          <w:sz w:val="17"/>
          <w:szCs w:val="17"/>
          <w:color w:val="auto"/>
        </w:rPr>
        <w:t>10,458 -- (4,245) 217 6,430</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Access and other</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connection....... 9,289 -- --</w:t>
      </w:r>
    </w:p>
    <w:p>
      <w:pPr>
        <w:spacing w:after="0" w:line="9" w:lineRule="exact"/>
        <w:rPr>
          <w:sz w:val="20"/>
          <w:szCs w:val="20"/>
          <w:color w:val="auto"/>
        </w:rPr>
      </w:pPr>
    </w:p>
    <w:p>
      <w:pPr>
        <w:jc w:val="both"/>
        <w:ind w:left="120" w:right="6759" w:firstLine="43"/>
        <w:spacing w:after="0" w:line="251" w:lineRule="auto"/>
        <w:tabs>
          <w:tab w:leader="none" w:pos="696" w:val="left"/>
        </w:tabs>
        <w:numPr>
          <w:ilvl w:val="0"/>
          <w:numId w:val="8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9,255 Selling, general and administrative..................</w:t>
      </w:r>
    </w:p>
    <w:p>
      <w:pPr>
        <w:ind w:left="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8,144 -- (1,951) -- 6,193</w:t>
      </w:r>
    </w:p>
    <w:p>
      <w:pPr>
        <w:spacing w:after="0" w:line="8"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Depreciation and</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200" w:type="dxa"/>
            <w:vAlign w:val="bottom"/>
          </w:tcPr>
          <w:p>
            <w:pPr>
              <w:ind w:left="300"/>
              <w:spacing w:after="0"/>
              <w:rPr>
                <w:sz w:val="20"/>
                <w:szCs w:val="20"/>
                <w:color w:val="auto"/>
              </w:rPr>
            </w:pPr>
            <w:r>
              <w:rPr>
                <w:rFonts w:ascii="Courier New" w:cs="Courier New" w:eastAsia="Courier New" w:hAnsi="Courier New"/>
                <w:sz w:val="17"/>
                <w:szCs w:val="17"/>
                <w:color w:val="auto"/>
              </w:rPr>
              <w:t>amortization.....</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7"/>
              </w:rPr>
              <w:t>7,036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(3,633) -- 3,403 Net</w:t>
            </w:r>
          </w:p>
        </w:tc>
        <w:tc>
          <w:tcPr>
            <w:tcW w:w="260" w:type="dxa"/>
            <w:vAlign w:val="bottom"/>
          </w:tcPr>
          <w:p>
            <w:pPr>
              <w:spacing w:after="0"/>
              <w:rPr>
                <w:sz w:val="17"/>
                <w:szCs w:val="17"/>
                <w:color w:val="auto"/>
              </w:rPr>
            </w:pPr>
          </w:p>
        </w:tc>
      </w:tr>
      <w:tr>
        <w:trPr>
          <w:trHeight w:val="201"/>
        </w:trPr>
        <w:tc>
          <w:tcPr>
            <w:tcW w:w="3020" w:type="dxa"/>
            <w:vAlign w:val="bottom"/>
            <w:gridSpan w:val="3"/>
          </w:tcPr>
          <w:p>
            <w:pPr>
              <w:jc w:val="right"/>
              <w:ind w:right="53"/>
              <w:spacing w:after="0"/>
              <w:rPr>
                <w:sz w:val="20"/>
                <w:szCs w:val="20"/>
                <w:color w:val="auto"/>
              </w:rPr>
            </w:pPr>
            <w:r>
              <w:rPr>
                <w:rFonts w:ascii="Courier New" w:cs="Courier New" w:eastAsia="Courier New" w:hAnsi="Courier New"/>
                <w:sz w:val="17"/>
                <w:szCs w:val="17"/>
                <w:color w:val="auto"/>
              </w:rPr>
              <w:t>restructuring and other</w:t>
            </w:r>
          </w:p>
        </w:tc>
      </w:tr>
      <w:tr>
        <w:trPr>
          <w:trHeight w:val="201"/>
        </w:trPr>
        <w:tc>
          <w:tcPr>
            <w:tcW w:w="27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3"/>
              </w:rPr>
              <w:t>charges.........................</w:t>
            </w:r>
          </w:p>
        </w:tc>
        <w:tc>
          <w:tcPr>
            <w:tcW w:w="260" w:type="dxa"/>
            <w:vAlign w:val="bottom"/>
          </w:tcPr>
          <w:p>
            <w:pPr>
              <w:spacing w:after="0"/>
              <w:rPr>
                <w:sz w:val="17"/>
                <w:szCs w:val="17"/>
                <w:color w:val="auto"/>
              </w:rPr>
            </w:pP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1,494 -- (1,494) -- -- ------- --</w:t>
      </w:r>
    </w:p>
    <w:p>
      <w:pPr>
        <w:spacing w:after="0" w:line="9" w:lineRule="exact"/>
        <w:rPr>
          <w:sz w:val="20"/>
          <w:szCs w:val="20"/>
          <w:color w:val="auto"/>
        </w:rPr>
      </w:pPr>
    </w:p>
    <w:p>
      <w:pPr>
        <w:ind w:left="320" w:right="6699" w:hanging="262"/>
        <w:spacing w:after="0" w:line="251" w:lineRule="auto"/>
        <w:tabs>
          <w:tab w:leader="none" w:pos="582" w:val="left"/>
        </w:tabs>
        <w:numPr>
          <w:ilvl w:val="0"/>
          <w:numId w:val="8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Total operating expenses..........</w:t>
      </w: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36,421 -- (11,323) 183 25,281</w:t>
      </w:r>
    </w:p>
    <w:p>
      <w:pPr>
        <w:spacing w:after="0" w:line="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(loss)........... 3,543 -- 3,567</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-- 7,110 Other (expense)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income............ (7,195) --</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2,156 -- (5,039) Interest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expense.................. 2,426 -</w:t>
      </w:r>
    </w:p>
    <w:p>
      <w:pPr>
        <w:spacing w:after="0" w:line="9" w:lineRule="exact"/>
        <w:rPr>
          <w:sz w:val="20"/>
          <w:szCs w:val="20"/>
          <w:color w:val="auto"/>
        </w:rPr>
      </w:pPr>
    </w:p>
    <w:p>
      <w:pPr>
        <w:ind w:left="60" w:right="6699" w:firstLine="51"/>
        <w:spacing w:after="0" w:line="251" w:lineRule="auto"/>
        <w:tabs>
          <w:tab w:leader="none" w:pos="322" w:val="left"/>
        </w:tabs>
        <w:numPr>
          <w:ilvl w:val="0"/>
          <w:numId w:val="8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(1,347) -- 1,079 (Loss) income from continuing operations before income taxes and earnings</w:t>
      </w:r>
    </w:p>
    <w:p>
      <w:pPr>
        <w:jc w:val="center"/>
        <w:ind w:right="6659"/>
        <w:spacing w:after="0"/>
        <w:rPr>
          <w:sz w:val="20"/>
          <w:szCs w:val="20"/>
          <w:color w:val="auto"/>
        </w:rPr>
      </w:pPr>
      <w:r>
        <w:rPr>
          <w:rFonts w:ascii="Courier New" w:cs="Courier New" w:eastAsia="Courier New" w:hAnsi="Courier New"/>
          <w:sz w:val="17"/>
          <w:szCs w:val="17"/>
          <w:color w:val="auto"/>
        </w:rPr>
        <w:t>(losses) from equity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investments.............. (6,078)</w:t>
      </w:r>
    </w:p>
    <w:p>
      <w:pPr>
        <w:spacing w:after="0" w:line="9" w:lineRule="exact"/>
        <w:rPr>
          <w:sz w:val="20"/>
          <w:szCs w:val="20"/>
          <w:color w:val="auto"/>
        </w:rPr>
      </w:pPr>
    </w:p>
    <w:p>
      <w:pPr>
        <w:ind w:left="740" w:right="7119" w:hanging="263"/>
        <w:spacing w:after="0" w:line="251" w:lineRule="auto"/>
        <w:tabs>
          <w:tab w:leader="none" w:pos="792" w:val="left"/>
        </w:tabs>
        <w:numPr>
          <w:ilvl w:val="0"/>
          <w:numId w:val="8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7,070 -- 992 (Benefit) provision for income</w:t>
      </w:r>
    </w:p>
    <w:p>
      <w:pPr>
        <w:ind w:left="120"/>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(2,746) -- 3,214 (81) 387</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Minority interest 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(expense).......................</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1,015 -- (905) -- 110 Equity</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losses from Liberty Media</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Group...........................</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(2,711) 2,711 -- -- -- Net</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(losses) earnings from other</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equity investments..............</w:t>
      </w:r>
    </w:p>
    <w:p>
      <w:pPr>
        <w:spacing w:after="0" w:line="9" w:lineRule="exact"/>
        <w:rPr>
          <w:sz w:val="20"/>
          <w:szCs w:val="20"/>
          <w:color w:val="auto"/>
        </w:rPr>
      </w:pPr>
    </w:p>
    <w:p>
      <w:pPr>
        <w:ind w:left="640" w:right="7019" w:hanging="267"/>
        <w:spacing w:after="0" w:line="251" w:lineRule="auto"/>
        <w:tabs>
          <w:tab w:leader="none" w:pos="1007" w:val="left"/>
        </w:tabs>
        <w:numPr>
          <w:ilvl w:val="0"/>
          <w:numId w:val="8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-- 37 -- (386) (Loss) income from continuing</w:t>
      </w:r>
    </w:p>
    <w:p>
      <w:pPr>
        <w:ind w:left="12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(5,451) 2,711 2,988 81 329</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Dividend requirements of</w:t>
      </w:r>
    </w:p>
    <w:p>
      <w:pPr>
        <w:spacing w:after="0" w:line="9"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preferred</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652 -- -- -- 652 Premium on</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Wireless tracking stock</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exchange........................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80 -- -- -- 80 ------- ------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 ------- Net (loss)</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income from continuing operations</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attributable to common</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shareowners..............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$(6,183) $2,711 $ 2,988 $ 81 $</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(403) ======= ====== =========</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 ======= AT&amp;T COMMON STOCK</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GROUP: Loss from continuing</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1420" w:type="dxa"/>
            <w:vAlign w:val="bottom"/>
          </w:tcPr>
          <w:p>
            <w:pPr>
              <w:spacing w:after="0"/>
              <w:rPr>
                <w:sz w:val="20"/>
                <w:szCs w:val="20"/>
                <w:color w:val="auto"/>
              </w:rPr>
            </w:pPr>
            <w:r>
              <w:rPr>
                <w:rFonts w:ascii="Courier New" w:cs="Courier New" w:eastAsia="Courier New" w:hAnsi="Courier New"/>
                <w:sz w:val="17"/>
                <w:szCs w:val="17"/>
                <w:color w:val="auto"/>
              </w:rPr>
              <w:t>operations...</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$(3,472)</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$(2,646)</w:t>
            </w:r>
          </w:p>
        </w:tc>
      </w:tr>
    </w:tbl>
    <w:p>
      <w:pPr>
        <w:spacing w:after="0" w:line="4" w:lineRule="exact"/>
        <w:rPr>
          <w:sz w:val="20"/>
          <w:szCs w:val="20"/>
          <w:color w:val="auto"/>
        </w:rPr>
      </w:pPr>
    </w:p>
    <w:p>
      <w:pPr>
        <w:ind w:left="120" w:right="6759" w:firstLine="252"/>
        <w:spacing w:after="0" w:line="251" w:lineRule="auto"/>
        <w:tabs>
          <w:tab w:leader="none" w:pos="801" w:val="left"/>
        </w:tabs>
        <w:numPr>
          <w:ilvl w:val="0"/>
          <w:numId w:val="8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Weighted average shares outstanding (basic &amp; diluted)...</w:t>
      </w: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3,677 3,717 Basic loss per</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040" w:type="dxa"/>
            <w:vAlign w:val="bottom"/>
          </w:tcPr>
          <w:p>
            <w:pPr>
              <w:spacing w:after="0"/>
              <w:rPr>
                <w:sz w:val="20"/>
                <w:szCs w:val="20"/>
                <w:color w:val="auto"/>
              </w:rPr>
            </w:pPr>
            <w:r>
              <w:rPr>
                <w:rFonts w:ascii="Courier New" w:cs="Courier New" w:eastAsia="Courier New" w:hAnsi="Courier New"/>
                <w:sz w:val="17"/>
                <w:szCs w:val="17"/>
                <w:color w:val="auto"/>
              </w:rPr>
              <w:t>share..............</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(0.94) (0.71)</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 LIBERTY MEDIA GROUP: Basic</w:t>
      </w:r>
    </w:p>
    <w:p>
      <w:pPr>
        <w:sectPr>
          <w:pgSz w:w="11900" w:h="16838" w:orient="portrait"/>
          <w:cols w:equalWidth="0" w:num="1">
            <w:col w:w="10219"/>
          </w:cols>
          <w:pgMar w:left="240" w:top="720" w:right="1440" w:bottom="0" w:gutter="0" w:footer="0" w:header="0"/>
        </w:sectPr>
      </w:pPr>
    </w:p>
    <w:bookmarkStart w:id="816" w:name="page817"/>
    <w:bookmarkEnd w:id="816"/>
    <w:p>
      <w:pPr>
        <w:jc w:val="center"/>
        <w:ind w:right="6759"/>
        <w:spacing w:after="0"/>
        <w:rPr>
          <w:sz w:val="20"/>
          <w:szCs w:val="20"/>
          <w:color w:val="auto"/>
        </w:rPr>
      </w:pPr>
      <w:r>
        <w:rPr>
          <w:rFonts w:ascii="Courier New" w:cs="Courier New" w:eastAsia="Courier New" w:hAnsi="Courier New"/>
          <w:sz w:val="17"/>
          <w:szCs w:val="17"/>
          <w:color w:val="auto"/>
        </w:rPr>
        <w:t>and diluted loss per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w:t>
      </w:r>
    </w:p>
    <w:p>
      <w:pPr>
        <w:spacing w:after="0" w:line="9"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 (1.05)</w:t>
      </w:r>
    </w:p>
    <w:p>
      <w:pPr>
        <w:spacing w:after="0" w:line="200" w:lineRule="exact"/>
        <w:rPr>
          <w:sz w:val="20"/>
          <w:szCs w:val="20"/>
          <w:color w:val="auto"/>
        </w:rPr>
      </w:pPr>
    </w:p>
    <w:p>
      <w:pPr>
        <w:spacing w:after="0" w:line="212"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See Notes To AT&amp;T Unaudited Pro Forma Combined Condensed Financial Statements</w:t>
      </w:r>
    </w:p>
    <w:p>
      <w:pPr>
        <w:spacing w:after="0" w:line="21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L-198</w:t>
      </w:r>
    </w:p>
    <w:p>
      <w:pPr>
        <w:sectPr>
          <w:pgSz w:w="11900" w:h="16838" w:orient="portrait"/>
          <w:cols w:equalWidth="0" w:num="1">
            <w:col w:w="10099"/>
          </w:cols>
          <w:pgMar w:left="360" w:top="142" w:right="1440" w:bottom="1440" w:gutter="0" w:footer="0" w:header="0"/>
        </w:sectPr>
      </w:pPr>
    </w:p>
    <w:bookmarkStart w:id="817" w:name="page818"/>
    <w:bookmarkEnd w:id="817"/>
    <w:p>
      <w:pPr>
        <w:jc w:val="center"/>
        <w:ind w:right="181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UNAUDITED PRO FORMA COMBINED CONDENSED STATEMENT OF INCOME</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FOR THE YEAR ENDED DECEMBER 31, 2000</w:t>
      </w:r>
    </w:p>
    <w:p>
      <w:pPr>
        <w:spacing w:after="0" w:line="210"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AT&amp;T LIBERTY MEDIA BROADBAND</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HISTORICAL GROUP GROUP OTHER</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PRO FORMA AT&amp;T(A)</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DISTRIBUTION(B) DISTRIBUTION(E)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ADJUSTMENTS(G) AT&amp;T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(DOLLARS IN MILLIONS)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$55,533 $ -- $ (8,445) $116</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$47,204 OPERATING EXPENSES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Costs of services and</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products......................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12,795 (4,600) 117 8,312 Access</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and other connection.....</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13,140 -- -- (1) 13,139</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Selling, general and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administrative................</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9,752 -- (2,180) 7,572</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Depreciation and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amortization...</w:t>
            </w:r>
          </w:p>
        </w:tc>
        <w:tc>
          <w:tcPr>
            <w:tcW w:w="1200" w:type="dxa"/>
            <w:vAlign w:val="bottom"/>
          </w:tcPr>
          <w:p>
            <w:pPr>
              <w:spacing w:after="0"/>
              <w:rPr>
                <w:sz w:val="20"/>
                <w:szCs w:val="20"/>
                <w:color w:val="auto"/>
              </w:rPr>
            </w:pPr>
            <w:r>
              <w:rPr>
                <w:rFonts w:ascii="Courier New" w:cs="Courier New" w:eastAsia="Courier New" w:hAnsi="Courier New"/>
                <w:sz w:val="17"/>
                <w:szCs w:val="17"/>
                <w:color w:val="auto"/>
              </w:rPr>
              <w:t>8,589 --</w:t>
            </w:r>
          </w:p>
        </w:tc>
      </w:tr>
      <w:tr>
        <w:trPr>
          <w:trHeight w:val="201"/>
        </w:trPr>
        <w:tc>
          <w:tcPr>
            <w:tcW w:w="3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(4,051) -- 4,538 Net</w:t>
            </w:r>
          </w:p>
        </w:tc>
      </w:tr>
      <w:tr>
        <w:trPr>
          <w:trHeight w:val="201"/>
        </w:trPr>
        <w:tc>
          <w:tcPr>
            <w:tcW w:w="3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restructuring and other</w:t>
            </w:r>
          </w:p>
        </w:tc>
      </w:tr>
      <w:tr>
        <w:trPr>
          <w:trHeight w:val="201"/>
        </w:trPr>
        <w:tc>
          <w:tcPr>
            <w:tcW w:w="3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charges.......................</w:t>
            </w:r>
          </w:p>
        </w:tc>
      </w:tr>
      <w:tr>
        <w:trPr>
          <w:trHeight w:val="201"/>
        </w:trPr>
        <w:tc>
          <w:tcPr>
            <w:tcW w:w="3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7,029 -- (6,270) -- 759 -------</w:t>
            </w:r>
          </w:p>
        </w:tc>
      </w:tr>
      <w:tr>
        <w:trPr>
          <w:trHeight w:val="201"/>
        </w:trPr>
        <w:tc>
          <w:tcPr>
            <w:tcW w:w="3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 -------- ---- -------</w:t>
            </w:r>
          </w:p>
        </w:tc>
      </w:tr>
      <w:tr>
        <w:trPr>
          <w:trHeight w:val="201"/>
        </w:trPr>
        <w:tc>
          <w:tcPr>
            <w:tcW w:w="3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Total operating</w:t>
            </w:r>
          </w:p>
        </w:tc>
      </w:tr>
      <w:tr>
        <w:trPr>
          <w:trHeight w:val="201"/>
        </w:trPr>
        <w:tc>
          <w:tcPr>
            <w:tcW w:w="2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expenses........</w:t>
            </w:r>
          </w:p>
        </w:tc>
        <w:tc>
          <w:tcPr>
            <w:tcW w:w="1200" w:type="dxa"/>
            <w:vAlign w:val="bottom"/>
          </w:tcPr>
          <w:p>
            <w:pPr>
              <w:spacing w:after="0"/>
              <w:rPr>
                <w:sz w:val="20"/>
                <w:szCs w:val="20"/>
                <w:color w:val="auto"/>
              </w:rPr>
            </w:pPr>
            <w:r>
              <w:rPr>
                <w:rFonts w:ascii="Courier New" w:cs="Courier New" w:eastAsia="Courier New" w:hAnsi="Courier New"/>
                <w:sz w:val="17"/>
                <w:szCs w:val="17"/>
                <w:color w:val="auto"/>
              </w:rPr>
              <w:t>51,305 --</w:t>
            </w:r>
          </w:p>
        </w:tc>
      </w:tr>
      <w:tr>
        <w:trPr>
          <w:trHeight w:val="201"/>
        </w:trPr>
        <w:tc>
          <w:tcPr>
            <w:tcW w:w="3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(17,101) 116 34,320 Operating</w:t>
            </w:r>
          </w:p>
        </w:tc>
      </w:tr>
      <w:tr>
        <w:trPr>
          <w:trHeight w:val="201"/>
        </w:trPr>
        <w:tc>
          <w:tcPr>
            <w:tcW w:w="2040" w:type="dxa"/>
            <w:vAlign w:val="bottom"/>
          </w:tcPr>
          <w:p>
            <w:pPr>
              <w:spacing w:after="0"/>
              <w:rPr>
                <w:sz w:val="20"/>
                <w:szCs w:val="20"/>
                <w:color w:val="auto"/>
              </w:rPr>
            </w:pPr>
            <w:r>
              <w:rPr>
                <w:rFonts w:ascii="Courier New" w:cs="Courier New" w:eastAsia="Courier New" w:hAnsi="Courier New"/>
                <w:sz w:val="17"/>
                <w:szCs w:val="17"/>
                <w:color w:val="auto"/>
                <w:w w:val="89"/>
              </w:rPr>
              <w:t>income (loss).........</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4,228 --</w:t>
            </w:r>
          </w:p>
        </w:tc>
      </w:tr>
      <w:tr>
        <w:trPr>
          <w:trHeight w:val="201"/>
        </w:trPr>
        <w:tc>
          <w:tcPr>
            <w:tcW w:w="3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8,656 -- 12,884 Other income</w:t>
            </w:r>
          </w:p>
        </w:tc>
      </w:tr>
      <w:tr>
        <w:trPr>
          <w:trHeight w:val="201"/>
        </w:trPr>
        <w:tc>
          <w:tcPr>
            <w:tcW w:w="2040" w:type="dxa"/>
            <w:vAlign w:val="bottom"/>
          </w:tcPr>
          <w:p>
            <w:pPr>
              <w:spacing w:after="0"/>
              <w:rPr>
                <w:sz w:val="20"/>
                <w:szCs w:val="20"/>
                <w:color w:val="auto"/>
              </w:rPr>
            </w:pPr>
            <w:r>
              <w:rPr>
                <w:rFonts w:ascii="Courier New" w:cs="Courier New" w:eastAsia="Courier New" w:hAnsi="Courier New"/>
                <w:sz w:val="17"/>
                <w:szCs w:val="17"/>
                <w:color w:val="auto"/>
              </w:rPr>
              <w:t>(expense)..........</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1,150 -- 39</w:t>
            </w:r>
          </w:p>
        </w:tc>
      </w:tr>
      <w:tr>
        <w:trPr>
          <w:trHeight w:val="201"/>
        </w:trPr>
        <w:tc>
          <w:tcPr>
            <w:tcW w:w="3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-- 1,189 Interest</w:t>
            </w:r>
          </w:p>
        </w:tc>
      </w:tr>
      <w:tr>
        <w:trPr>
          <w:trHeight w:val="201"/>
        </w:trPr>
        <w:tc>
          <w:tcPr>
            <w:tcW w:w="2040" w:type="dxa"/>
            <w:vAlign w:val="bottom"/>
          </w:tcPr>
          <w:p>
            <w:pPr>
              <w:spacing w:after="0"/>
              <w:rPr>
                <w:sz w:val="20"/>
                <w:szCs w:val="20"/>
                <w:color w:val="auto"/>
              </w:rPr>
            </w:pPr>
            <w:r>
              <w:rPr>
                <w:rFonts w:ascii="Courier New" w:cs="Courier New" w:eastAsia="Courier New" w:hAnsi="Courier New"/>
                <w:sz w:val="17"/>
                <w:szCs w:val="17"/>
                <w:color w:val="auto"/>
                <w:w w:val="86"/>
              </w:rPr>
              <w:t>expense................</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2,964 -</w:t>
            </w:r>
          </w:p>
        </w:tc>
      </w:tr>
    </w:tbl>
    <w:p>
      <w:pPr>
        <w:spacing w:after="0" w:line="4" w:lineRule="exact"/>
        <w:rPr>
          <w:sz w:val="20"/>
          <w:szCs w:val="20"/>
          <w:color w:val="auto"/>
        </w:rPr>
      </w:pPr>
    </w:p>
    <w:p>
      <w:pPr>
        <w:ind w:left="220" w:right="6959" w:hanging="112"/>
        <w:spacing w:after="0" w:line="251" w:lineRule="auto"/>
        <w:tabs>
          <w:tab w:leader="none" w:pos="325" w:val="left"/>
        </w:tabs>
        <w:numPr>
          <w:ilvl w:val="0"/>
          <w:numId w:val="8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(1,323) -- 1,641 Income from continuing operations before</w:t>
      </w:r>
    </w:p>
    <w:p>
      <w:pPr>
        <w:jc w:val="center"/>
        <w:ind w:right="6859"/>
        <w:spacing w:after="0"/>
        <w:rPr>
          <w:sz w:val="20"/>
          <w:szCs w:val="20"/>
          <w:color w:val="auto"/>
        </w:rPr>
      </w:pPr>
      <w:r>
        <w:rPr>
          <w:rFonts w:ascii="Courier New" w:cs="Courier New" w:eastAsia="Courier New" w:hAnsi="Courier New"/>
          <w:sz w:val="17"/>
          <w:szCs w:val="17"/>
          <w:color w:val="auto"/>
        </w:rPr>
        <w:t>income taxes and earnings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(losses) from equity</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investments............ 2,414 -</w:t>
      </w:r>
    </w:p>
    <w:p>
      <w:pPr>
        <w:spacing w:after="0" w:line="9" w:lineRule="exact"/>
        <w:rPr>
          <w:sz w:val="20"/>
          <w:szCs w:val="20"/>
          <w:color w:val="auto"/>
        </w:rPr>
      </w:pPr>
    </w:p>
    <w:p>
      <w:pPr>
        <w:ind w:left="640" w:right="7079" w:hanging="427"/>
        <w:spacing w:after="0" w:line="251" w:lineRule="auto"/>
        <w:tabs>
          <w:tab w:leader="none" w:pos="431" w:val="left"/>
        </w:tabs>
        <w:numPr>
          <w:ilvl w:val="0"/>
          <w:numId w:val="8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10,018 -- 12,432 Provision (benefit) for income</w:t>
      </w:r>
    </w:p>
    <w:p>
      <w:pPr>
        <w:ind w:left="100"/>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3,284 -- 1,183 -- 4,467</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Minority interest income</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(expense).....................</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4,103 -- (4,062) -- 41 Equity</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earnings from Liberty Media</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Group................... 1,488</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(1,488) -- Net (losses)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earnings from other equity</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investments............ (588) -</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- 597 -- 9 ------- ------- ----</w:t>
      </w:r>
    </w:p>
    <w:p>
      <w:pPr>
        <w:spacing w:after="0" w:line="9" w:lineRule="exact"/>
        <w:rPr>
          <w:sz w:val="20"/>
          <w:szCs w:val="20"/>
          <w:color w:val="auto"/>
        </w:rPr>
      </w:pPr>
    </w:p>
    <w:p>
      <w:pPr>
        <w:ind w:left="520" w:right="7079" w:hanging="307"/>
        <w:spacing w:after="0" w:line="251" w:lineRule="auto"/>
        <w:tabs>
          <w:tab w:leader="none" w:pos="729" w:val="left"/>
        </w:tabs>
        <w:numPr>
          <w:ilvl w:val="0"/>
          <w:numId w:val="8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Net income (loss) from continuing</w:t>
      </w:r>
    </w:p>
    <w:p>
      <w:pPr>
        <w:jc w:val="center"/>
        <w:ind w:right="6859"/>
        <w:spacing w:after="0"/>
        <w:rPr>
          <w:sz w:val="20"/>
          <w:szCs w:val="20"/>
          <w:color w:val="auto"/>
        </w:rPr>
      </w:pPr>
      <w:r>
        <w:rPr>
          <w:rFonts w:ascii="Courier New" w:cs="Courier New" w:eastAsia="Courier New" w:hAnsi="Courier New"/>
          <w:sz w:val="17"/>
          <w:szCs w:val="17"/>
          <w:color w:val="auto"/>
        </w:rPr>
        <w:t>operations attributable to</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shareowners...................</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$ 4,133 $(1,488) $ 5,370 $ -- $</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8,015 ======= ======= ========</w:t>
      </w:r>
    </w:p>
    <w:p>
      <w:pPr>
        <w:spacing w:after="0" w:line="9" w:lineRule="exact"/>
        <w:rPr>
          <w:sz w:val="20"/>
          <w:szCs w:val="20"/>
          <w:color w:val="auto"/>
        </w:rPr>
      </w:pPr>
    </w:p>
    <w:p>
      <w:pPr>
        <w:jc w:val="both"/>
        <w:ind w:left="60" w:right="6919" w:firstLine="48"/>
        <w:spacing w:after="0" w:line="251" w:lineRule="auto"/>
        <w:tabs>
          <w:tab w:leader="none" w:pos="636" w:val="left"/>
        </w:tabs>
        <w:numPr>
          <w:ilvl w:val="0"/>
          <w:numId w:val="8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AT&amp;T COMMON STOCK GROUP: Earnings from continuing operations....................</w:t>
      </w:r>
    </w:p>
    <w:p>
      <w:pPr>
        <w:jc w:val="center"/>
        <w:ind w:left="160" w:right="7019" w:firstLine="105"/>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$ 2,645 $ 3,903(h) Weighted average shares outstanding --</w:t>
      </w:r>
    </w:p>
    <w:p>
      <w:pPr>
        <w:jc w:val="center"/>
        <w:ind w:right="6859"/>
        <w:spacing w:after="0"/>
        <w:rPr>
          <w:sz w:val="20"/>
          <w:szCs w:val="20"/>
          <w:color w:val="auto"/>
        </w:rPr>
      </w:pPr>
      <w:r>
        <w:rPr>
          <w:rFonts w:ascii="Courier New" w:cs="Courier New" w:eastAsia="Courier New" w:hAnsi="Courier New"/>
          <w:sz w:val="17"/>
          <w:szCs w:val="17"/>
          <w:color w:val="auto"/>
        </w:rPr>
        <w:t>basic.......... 3,486 3,526</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Basic earnings per</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share........ 0.76 1.11</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Earnings from continuing</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2,677 3,903(h) Weighted average</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shares outstanding --</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diluted........ 3,545 3,545</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Diluted earnings per</w:t>
      </w:r>
    </w:p>
    <w:p>
      <w:pPr>
        <w:spacing w:after="0" w:line="9"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7"/>
          <w:szCs w:val="17"/>
          <w:color w:val="auto"/>
        </w:rPr>
        <w:t>share...... 0.75 1.10(i)</w:t>
      </w:r>
    </w:p>
    <w:p>
      <w:pPr>
        <w:sectPr>
          <w:pgSz w:w="11900" w:h="16838" w:orient="portrait"/>
          <w:cols w:equalWidth="0" w:num="1">
            <w:col w:w="10219"/>
          </w:cols>
          <w:pgMar w:left="240" w:top="720" w:right="1440" w:bottom="0" w:gutter="0" w:footer="0" w:header="0"/>
        </w:sectPr>
      </w:pPr>
    </w:p>
    <w:bookmarkStart w:id="818" w:name="page819"/>
    <w:bookmarkEnd w:id="818"/>
    <w:p>
      <w:pPr>
        <w:jc w:val="center"/>
        <w:ind w:right="6979"/>
        <w:spacing w:after="0"/>
        <w:rPr>
          <w:sz w:val="20"/>
          <w:szCs w:val="20"/>
          <w:color w:val="auto"/>
        </w:rPr>
      </w:pPr>
      <w:r>
        <w:rPr>
          <w:rFonts w:ascii="Courier New" w:cs="Courier New" w:eastAsia="Courier New" w:hAnsi="Courier New"/>
          <w:sz w:val="17"/>
          <w:szCs w:val="17"/>
          <w:color w:val="auto"/>
        </w:rPr>
        <w:t>LIBERTY MEDIA GROUP: Basic and</w:t>
      </w:r>
    </w:p>
    <w:p>
      <w:pPr>
        <w:spacing w:after="0" w:line="9"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7"/>
          <w:szCs w:val="17"/>
          <w:color w:val="auto"/>
        </w:rPr>
        <w:t>diluted earnings per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$ 0.58</w:t>
      </w:r>
    </w:p>
    <w:p>
      <w:pPr>
        <w:spacing w:after="0" w:line="200" w:lineRule="exact"/>
        <w:rPr>
          <w:sz w:val="20"/>
          <w:szCs w:val="20"/>
          <w:color w:val="auto"/>
        </w:rPr>
      </w:pPr>
    </w:p>
    <w:p>
      <w:pPr>
        <w:spacing w:after="0" w:line="21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See Notes To AT&amp;T Unaudited Pro Forma Combined Condensed Financial Statements</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L-199</w:t>
      </w:r>
    </w:p>
    <w:p>
      <w:pPr>
        <w:sectPr>
          <w:pgSz w:w="11900" w:h="16838" w:orient="portrait"/>
          <w:cols w:equalWidth="0" w:num="1">
            <w:col w:w="10119"/>
          </w:cols>
          <w:pgMar w:left="340" w:top="141" w:right="1440" w:bottom="1440" w:gutter="0" w:footer="0" w:header="0"/>
        </w:sectPr>
      </w:pPr>
    </w:p>
    <w:bookmarkStart w:id="819" w:name="page820"/>
    <w:bookmarkEnd w:id="819"/>
    <w:p>
      <w:pPr>
        <w:jc w:val="center"/>
        <w:ind w:right="1819"/>
        <w:spacing w:after="0"/>
        <w:rPr>
          <w:sz w:val="20"/>
          <w:szCs w:val="20"/>
          <w:color w:val="auto"/>
        </w:rPr>
      </w:pPr>
      <w:r>
        <w:rPr>
          <w:rFonts w:ascii="Courier New" w:cs="Courier New" w:eastAsia="Courier New" w:hAnsi="Courier New"/>
          <w:sz w:val="17"/>
          <w:szCs w:val="17"/>
          <w:color w:val="auto"/>
        </w:rPr>
        <w:t>AT&amp;T</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UNAUDITED PRO FORMA COMBINED CONDENSED STATEMENT OF INCOME</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FOR THE YEAR ENDED DECEMBER 31, 1999</w:t>
      </w:r>
    </w:p>
    <w:p>
      <w:pPr>
        <w:spacing w:after="0" w:line="210"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LIBERTY MEDIA AT&amp;T BROADBAND</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HISTORICAL GROUP GROUP OTHER PRO</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FORMA AT&amp;T(A) DISTRIBUTION(B)</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DISTRIBUTION(E) ADJUSTMENTS(G)</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AT&amp;T ---------- --------------- -</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 -------------- ---</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 (DOLLARS IN MILLIONS)</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Revenue...........................</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$54,973 $ -- $(5,080) $32 $49,925</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OPERATING EXPENSES Costs of</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services and products.... 11,013</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 (2,686) 32 8,359 Access and</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other connection....... 14,439 --</w:t>
      </w:r>
    </w:p>
    <w:p>
      <w:pPr>
        <w:spacing w:after="0" w:line="9" w:lineRule="exact"/>
        <w:rPr>
          <w:sz w:val="20"/>
          <w:szCs w:val="20"/>
          <w:color w:val="auto"/>
        </w:rPr>
      </w:pPr>
    </w:p>
    <w:p>
      <w:pPr>
        <w:jc w:val="both"/>
        <w:ind w:left="120" w:right="6699" w:hanging="62"/>
        <w:spacing w:after="0" w:line="251" w:lineRule="auto"/>
        <w:tabs>
          <w:tab w:leader="none" w:pos="382" w:val="left"/>
        </w:tabs>
        <w:numPr>
          <w:ilvl w:val="0"/>
          <w:numId w:val="8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-- 14,439 Selling, general and administrative..................</w:t>
      </w: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10,894 -- (1,253) -- 9,641</w:t>
      </w:r>
    </w:p>
    <w:p>
      <w:pPr>
        <w:spacing w:after="0" w:line="8"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Depreciation and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260" w:type="dxa"/>
            <w:vAlign w:val="bottom"/>
          </w:tcPr>
          <w:p>
            <w:pPr>
              <w:ind w:left="360"/>
              <w:spacing w:after="0"/>
              <w:rPr>
                <w:sz w:val="20"/>
                <w:szCs w:val="20"/>
                <w:color w:val="auto"/>
              </w:rPr>
            </w:pPr>
            <w:r>
              <w:rPr>
                <w:rFonts w:ascii="Courier New" w:cs="Courier New" w:eastAsia="Courier New" w:hAnsi="Courier New"/>
                <w:sz w:val="17"/>
                <w:szCs w:val="17"/>
                <w:color w:val="auto"/>
              </w:rPr>
              <w:t>amortization.....</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7"/>
              </w:rPr>
              <w:t>6,194</w:t>
            </w:r>
          </w:p>
        </w:tc>
        <w:tc>
          <w:tcPr>
            <w:tcW w:w="6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r>
      <w:tr>
        <w:trPr>
          <w:trHeight w:val="201"/>
        </w:trPr>
        <w:tc>
          <w:tcPr>
            <w:tcW w:w="2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(1,674) -- 4,520 Net</w:t>
            </w:r>
          </w:p>
        </w:tc>
        <w:tc>
          <w:tcPr>
            <w:tcW w:w="640" w:type="dxa"/>
            <w:vAlign w:val="bottom"/>
          </w:tcPr>
          <w:p>
            <w:pPr>
              <w:spacing w:after="0"/>
              <w:rPr>
                <w:sz w:val="17"/>
                <w:szCs w:val="17"/>
                <w:color w:val="auto"/>
              </w:rPr>
            </w:pPr>
          </w:p>
        </w:tc>
      </w:tr>
      <w:tr>
        <w:trPr>
          <w:trHeight w:val="201"/>
        </w:trPr>
        <w:tc>
          <w:tcPr>
            <w:tcW w:w="3460" w:type="dxa"/>
            <w:vAlign w:val="bottom"/>
            <w:gridSpan w:val="3"/>
          </w:tcPr>
          <w:p>
            <w:pPr>
              <w:jc w:val="right"/>
              <w:ind w:right="433"/>
              <w:spacing w:after="0"/>
              <w:rPr>
                <w:sz w:val="20"/>
                <w:szCs w:val="20"/>
                <w:color w:val="auto"/>
              </w:rPr>
            </w:pPr>
            <w:r>
              <w:rPr>
                <w:rFonts w:ascii="Courier New" w:cs="Courier New" w:eastAsia="Courier New" w:hAnsi="Courier New"/>
                <w:sz w:val="17"/>
                <w:szCs w:val="17"/>
                <w:color w:val="auto"/>
              </w:rPr>
              <w:t>restructuring and other</w:t>
            </w:r>
          </w:p>
        </w:tc>
      </w:tr>
      <w:tr>
        <w:trPr>
          <w:trHeight w:val="201"/>
        </w:trPr>
        <w:tc>
          <w:tcPr>
            <w:tcW w:w="28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5"/>
              </w:rPr>
              <w:t>charges.........................</w:t>
            </w:r>
          </w:p>
        </w:tc>
        <w:tc>
          <w:tcPr>
            <w:tcW w:w="640" w:type="dxa"/>
            <w:vAlign w:val="bottom"/>
          </w:tcPr>
          <w:p>
            <w:pPr>
              <w:spacing w:after="0"/>
              <w:rPr>
                <w:sz w:val="17"/>
                <w:szCs w:val="17"/>
                <w:color w:val="auto"/>
              </w:rPr>
            </w:pPr>
          </w:p>
        </w:tc>
      </w:tr>
      <w:tr>
        <w:trPr>
          <w:trHeight w:val="201"/>
        </w:trPr>
        <w:tc>
          <w:tcPr>
            <w:tcW w:w="2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975 -- (644) -- 331 -------</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4" w:lineRule="exact"/>
        <w:rPr>
          <w:sz w:val="20"/>
          <w:szCs w:val="20"/>
          <w:color w:val="auto"/>
        </w:rPr>
      </w:pPr>
    </w:p>
    <w:p>
      <w:pPr>
        <w:jc w:val="both"/>
        <w:ind w:left="320" w:right="6959" w:firstLine="52"/>
        <w:spacing w:after="0" w:line="251" w:lineRule="auto"/>
        <w:tabs>
          <w:tab w:leader="none" w:pos="582" w:val="left"/>
        </w:tabs>
        <w:numPr>
          <w:ilvl w:val="0"/>
          <w:numId w:val="8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Total operating expenses..........</w:t>
      </w: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43,515 -- (6,257) 32 37,290</w:t>
      </w:r>
    </w:p>
    <w:p>
      <w:pPr>
        <w:spacing w:after="0" w:line="8"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income</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940" w:type="dxa"/>
            <w:vAlign w:val="bottom"/>
          </w:tcPr>
          <w:p>
            <w:pPr>
              <w:spacing w:after="0"/>
              <w:rPr>
                <w:sz w:val="20"/>
                <w:szCs w:val="20"/>
                <w:color w:val="auto"/>
              </w:rPr>
            </w:pPr>
            <w:r>
              <w:rPr>
                <w:rFonts w:ascii="Courier New" w:cs="Courier New" w:eastAsia="Courier New" w:hAnsi="Courier New"/>
                <w:sz w:val="12"/>
                <w:szCs w:val="12"/>
                <w:color w:val="auto"/>
                <w:w w:val="75"/>
              </w:rPr>
              <w:t>(loss)...........</w:t>
            </w:r>
          </w:p>
        </w:tc>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11,458 -- 1,177</w:t>
            </w:r>
          </w:p>
        </w:tc>
      </w:tr>
      <w:tr>
        <w:trPr>
          <w:trHeight w:val="201"/>
        </w:trPr>
        <w:tc>
          <w:tcPr>
            <w:tcW w:w="346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-- 12,635 Other income</w:t>
            </w:r>
          </w:p>
        </w:tc>
      </w:tr>
      <w:tr>
        <w:trPr>
          <w:trHeight w:val="201"/>
        </w:trPr>
        <w:tc>
          <w:tcPr>
            <w:tcW w:w="940" w:type="dxa"/>
            <w:vAlign w:val="bottom"/>
          </w:tcPr>
          <w:p>
            <w:pPr>
              <w:spacing w:after="0"/>
              <w:rPr>
                <w:sz w:val="20"/>
                <w:szCs w:val="20"/>
                <w:color w:val="auto"/>
              </w:rPr>
            </w:pPr>
            <w:r>
              <w:rPr>
                <w:rFonts w:ascii="Courier New" w:cs="Courier New" w:eastAsia="Courier New" w:hAnsi="Courier New"/>
                <w:sz w:val="10"/>
                <w:szCs w:val="10"/>
                <w:color w:val="auto"/>
                <w:w w:val="72"/>
              </w:rPr>
              <w:t>(expense)............</w:t>
            </w:r>
          </w:p>
        </w:tc>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826 -- (50)</w:t>
            </w:r>
          </w:p>
        </w:tc>
      </w:tr>
      <w:tr>
        <w:trPr>
          <w:trHeight w:val="201"/>
        </w:trPr>
        <w:tc>
          <w:tcPr>
            <w:tcW w:w="940" w:type="dxa"/>
            <w:vAlign w:val="bottom"/>
          </w:tcPr>
          <w:p>
            <w:pPr>
              <w:spacing w:after="0"/>
              <w:rPr>
                <w:sz w:val="17"/>
                <w:szCs w:val="17"/>
                <w:color w:val="auto"/>
              </w:rPr>
            </w:pPr>
          </w:p>
        </w:tc>
        <w:tc>
          <w:tcPr>
            <w:tcW w:w="25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-- 776 Interest</w:t>
            </w:r>
          </w:p>
        </w:tc>
      </w:tr>
      <w:tr>
        <w:trPr>
          <w:trHeight w:val="201"/>
        </w:trPr>
        <w:tc>
          <w:tcPr>
            <w:tcW w:w="940" w:type="dxa"/>
            <w:vAlign w:val="bottom"/>
          </w:tcPr>
          <w:p>
            <w:pPr>
              <w:spacing w:after="0"/>
              <w:rPr>
                <w:sz w:val="20"/>
                <w:szCs w:val="20"/>
                <w:color w:val="auto"/>
              </w:rPr>
            </w:pPr>
            <w:r>
              <w:rPr>
                <w:rFonts w:ascii="Courier New" w:cs="Courier New" w:eastAsia="Courier New" w:hAnsi="Courier New"/>
                <w:sz w:val="8"/>
                <w:szCs w:val="8"/>
                <w:color w:val="auto"/>
                <w:w w:val="76"/>
              </w:rPr>
              <w:t>expense..................</w:t>
            </w:r>
          </w:p>
        </w:tc>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1,503 -</w:t>
            </w:r>
          </w:p>
        </w:tc>
      </w:tr>
    </w:tbl>
    <w:p>
      <w:pPr>
        <w:spacing w:after="0" w:line="4" w:lineRule="exact"/>
        <w:rPr>
          <w:sz w:val="20"/>
          <w:szCs w:val="20"/>
          <w:color w:val="auto"/>
        </w:rPr>
      </w:pPr>
    </w:p>
    <w:p>
      <w:pPr>
        <w:ind w:left="320" w:right="6959" w:firstLine="105"/>
        <w:spacing w:after="0" w:line="251" w:lineRule="auto"/>
        <w:tabs>
          <w:tab w:leader="none" w:pos="634" w:val="left"/>
        </w:tabs>
        <w:numPr>
          <w:ilvl w:val="0"/>
          <w:numId w:val="8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(705) -- 798 Income from continuing operations before income taxes and earnings (losses) from equity</w:t>
      </w:r>
    </w:p>
    <w:p>
      <w:pPr>
        <w:ind w:left="120"/>
        <w:spacing w:after="0"/>
        <w:rPr>
          <w:sz w:val="20"/>
          <w:szCs w:val="20"/>
          <w:color w:val="auto"/>
        </w:rPr>
      </w:pPr>
      <w:r>
        <w:rPr>
          <w:rFonts w:ascii="Courier New" w:cs="Courier New" w:eastAsia="Courier New" w:hAnsi="Courier New"/>
          <w:sz w:val="17"/>
          <w:szCs w:val="17"/>
          <w:color w:val="auto"/>
        </w:rPr>
        <w:t>investments.....................</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10,781 -- 1,832 -- 12,613</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Provision (benefit) for 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taxes...........................</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4,016 -- 465 -- 4,481 Minority</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interest income</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(expense).......................</w:t>
      </w:r>
    </w:p>
    <w:p>
      <w:pPr>
        <w:spacing w:after="0" w:line="9" w:lineRule="exact"/>
        <w:rPr>
          <w:sz w:val="20"/>
          <w:szCs w:val="20"/>
          <w:color w:val="auto"/>
        </w:rPr>
      </w:pPr>
    </w:p>
    <w:p>
      <w:pPr>
        <w:ind w:left="220" w:right="6859" w:firstLine="257"/>
        <w:spacing w:after="0" w:line="251" w:lineRule="auto"/>
        <w:tabs>
          <w:tab w:leader="none" w:pos="1110" w:val="left"/>
        </w:tabs>
        <w:numPr>
          <w:ilvl w:val="0"/>
          <w:numId w:val="8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-- 126 -- -- Equity (losses) earnings from Liberty</w:t>
      </w:r>
    </w:p>
    <w:p>
      <w:pPr>
        <w:jc w:val="center"/>
        <w:ind w:right="6659"/>
        <w:spacing w:after="0"/>
        <w:rPr>
          <w:sz w:val="20"/>
          <w:szCs w:val="20"/>
          <w:color w:val="auto"/>
        </w:rPr>
      </w:pPr>
      <w:r>
        <w:rPr>
          <w:rFonts w:ascii="Courier New" w:cs="Courier New" w:eastAsia="Courier New" w:hAnsi="Courier New"/>
          <w:sz w:val="17"/>
          <w:szCs w:val="17"/>
          <w:color w:val="auto"/>
        </w:rPr>
        <w:t>Media Group............. (2,022)</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2,022 -- -- -- Net (losses)</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earnings from other equity</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investments.............. (756) -</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- 707 -- (49) ------- ------ ----</w:t>
      </w:r>
    </w:p>
    <w:p>
      <w:pPr>
        <w:spacing w:after="0" w:line="9" w:lineRule="exact"/>
        <w:rPr>
          <w:sz w:val="20"/>
          <w:szCs w:val="20"/>
          <w:color w:val="auto"/>
        </w:rPr>
      </w:pPr>
    </w:p>
    <w:p>
      <w:pPr>
        <w:ind w:left="680" w:right="6819" w:hanging="517"/>
        <w:spacing w:after="0" w:line="251" w:lineRule="auto"/>
        <w:tabs>
          <w:tab w:leader="none" w:pos="575" w:val="left"/>
        </w:tabs>
        <w:numPr>
          <w:ilvl w:val="0"/>
          <w:numId w:val="8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Net income from continuing operations</w:t>
      </w:r>
    </w:p>
    <w:tbl>
      <w:tblPr>
        <w:tblLayout w:type="fixed"/>
        <w:tblInd w:w="60" w:type="dxa"/>
        <w:tblCellMar>
          <w:top w:w="0" w:type="dxa"/>
          <w:left w:w="0" w:type="dxa"/>
          <w:bottom w:w="0" w:type="dxa"/>
          <w:right w:w="0" w:type="dxa"/>
        </w:tblCellMar>
      </w:tblPr>
      <w:tr>
        <w:trPr>
          <w:trHeight w:val="197"/>
        </w:trPr>
        <w:tc>
          <w:tcPr>
            <w:tcW w:w="1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attributable</w:t>
            </w:r>
          </w:p>
        </w:tc>
        <w:tc>
          <w:tcPr>
            <w:tcW w:w="1520" w:type="dxa"/>
            <w:vAlign w:val="bottom"/>
          </w:tcPr>
          <w:p>
            <w:pPr>
              <w:spacing w:after="0"/>
              <w:rPr>
                <w:sz w:val="20"/>
                <w:szCs w:val="20"/>
                <w:color w:val="auto"/>
              </w:rPr>
            </w:pPr>
            <w:r>
              <w:rPr>
                <w:rFonts w:ascii="Courier New" w:cs="Courier New" w:eastAsia="Courier New" w:hAnsi="Courier New"/>
                <w:sz w:val="17"/>
                <w:szCs w:val="17"/>
                <w:color w:val="auto"/>
              </w:rPr>
              <w:t>to common</w:t>
            </w:r>
          </w:p>
        </w:tc>
      </w:tr>
      <w:tr>
        <w:trPr>
          <w:trHeight w:val="201"/>
        </w:trPr>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w w:val="75"/>
              </w:rPr>
              <w:t>shareowners..............</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$ 3,861</w:t>
            </w:r>
          </w:p>
        </w:tc>
      </w:tr>
      <w:tr>
        <w:trPr>
          <w:trHeight w:val="201"/>
        </w:trPr>
        <w:tc>
          <w:tcPr>
            <w:tcW w:w="1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$2,022 $ 2,200</w:t>
            </w:r>
          </w:p>
        </w:tc>
        <w:tc>
          <w:tcPr>
            <w:tcW w:w="1520" w:type="dxa"/>
            <w:vAlign w:val="bottom"/>
          </w:tcPr>
          <w:p>
            <w:pPr>
              <w:spacing w:after="0"/>
              <w:rPr>
                <w:sz w:val="20"/>
                <w:szCs w:val="20"/>
                <w:color w:val="auto"/>
              </w:rPr>
            </w:pPr>
            <w:r>
              <w:rPr>
                <w:rFonts w:ascii="Courier New" w:cs="Courier New" w:eastAsia="Courier New" w:hAnsi="Courier New"/>
                <w:sz w:val="17"/>
                <w:szCs w:val="17"/>
                <w:color w:val="auto"/>
              </w:rPr>
              <w:t>$-- $ 8,083</w:t>
            </w:r>
          </w:p>
        </w:tc>
      </w:tr>
      <w:tr>
        <w:trPr>
          <w:trHeight w:val="201"/>
        </w:trPr>
        <w:tc>
          <w:tcPr>
            <w:tcW w:w="1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w:t>
            </w:r>
          </w:p>
        </w:tc>
        <w:tc>
          <w:tcPr>
            <w:tcW w:w="1520" w:type="dxa"/>
            <w:vAlign w:val="bottom"/>
          </w:tcPr>
          <w:p>
            <w:pPr>
              <w:spacing w:after="0"/>
              <w:rPr>
                <w:sz w:val="20"/>
                <w:szCs w:val="20"/>
                <w:color w:val="auto"/>
              </w:rPr>
            </w:pPr>
            <w:r>
              <w:rPr>
                <w:rFonts w:ascii="Courier New" w:cs="Courier New" w:eastAsia="Courier New" w:hAnsi="Courier New"/>
                <w:sz w:val="17"/>
                <w:szCs w:val="17"/>
                <w:color w:val="auto"/>
              </w:rPr>
              <w:t>======= ===</w:t>
            </w:r>
          </w:p>
        </w:tc>
      </w:tr>
    </w:tbl>
    <w:p>
      <w:pPr>
        <w:spacing w:after="0" w:line="4"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 AT&amp;T COMMON STOCK GROUP:</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Earnings from continuing</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ind w:left="260" w:right="6919" w:firstLine="112"/>
        <w:spacing w:after="0" w:line="251" w:lineRule="auto"/>
        <w:tabs>
          <w:tab w:leader="none" w:pos="574" w:val="left"/>
        </w:tabs>
        <w:numPr>
          <w:ilvl w:val="0"/>
          <w:numId w:val="8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5,883 $ 3,450(h) Weighted average shares outstanding --</w:t>
      </w:r>
    </w:p>
    <w:p>
      <w:pPr>
        <w:jc w:val="center"/>
        <w:ind w:right="6659"/>
        <w:spacing w:after="0"/>
        <w:rPr>
          <w:sz w:val="20"/>
          <w:szCs w:val="20"/>
          <w:color w:val="auto"/>
        </w:rPr>
      </w:pPr>
      <w:r>
        <w:rPr>
          <w:rFonts w:ascii="Courier New" w:cs="Courier New" w:eastAsia="Courier New" w:hAnsi="Courier New"/>
          <w:sz w:val="17"/>
          <w:szCs w:val="17"/>
          <w:color w:val="auto"/>
        </w:rPr>
        <w:t>basic............ 3,082 3,115</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Basic earnings per</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share.......... 1.91 1.11</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Earnings from continuing</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5,909 3,450(h) Weighted average</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shares outstanding --</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diluted.......... 3,152 3,152</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Diluted earnings per</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share........ 1.87 1.09(i)</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LIBERTY MEDIA GROUP: Basic and</w:t>
      </w:r>
    </w:p>
    <w:p>
      <w:pPr>
        <w:spacing w:after="0" w:line="9" w:lineRule="exact"/>
        <w:rPr>
          <w:sz w:val="20"/>
          <w:szCs w:val="20"/>
          <w:color w:val="auto"/>
        </w:rPr>
      </w:pPr>
    </w:p>
    <w:p>
      <w:pPr>
        <w:jc w:val="center"/>
        <w:ind w:right="6659"/>
        <w:spacing w:after="0"/>
        <w:rPr>
          <w:sz w:val="20"/>
          <w:szCs w:val="20"/>
          <w:color w:val="auto"/>
        </w:rPr>
      </w:pPr>
      <w:r>
        <w:rPr>
          <w:rFonts w:ascii="Courier New" w:cs="Courier New" w:eastAsia="Courier New" w:hAnsi="Courier New"/>
          <w:sz w:val="17"/>
          <w:szCs w:val="17"/>
          <w:color w:val="auto"/>
        </w:rPr>
        <w:t>diluted loss per</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share...........................</w:t>
      </w:r>
    </w:p>
    <w:p>
      <w:pPr>
        <w:spacing w:after="0" w:line="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 (0.80)</w:t>
      </w:r>
    </w:p>
    <w:p>
      <w:pPr>
        <w:sectPr>
          <w:pgSz w:w="11900" w:h="16838" w:orient="portrait"/>
          <w:cols w:equalWidth="0" w:num="1">
            <w:col w:w="10219"/>
          </w:cols>
          <w:pgMar w:left="240" w:top="719" w:right="1440" w:bottom="0" w:gutter="0" w:footer="0" w:header="0"/>
        </w:sectPr>
      </w:pPr>
    </w:p>
    <w:bookmarkStart w:id="820" w:name="page821"/>
    <w:bookmarkEnd w:id="820"/>
    <w:p>
      <w:pPr>
        <w:spacing w:after="0"/>
        <w:rPr>
          <w:sz w:val="20"/>
          <w:szCs w:val="20"/>
          <w:color w:val="auto"/>
        </w:rPr>
      </w:pPr>
      <w:r>
        <w:rPr>
          <w:rFonts w:ascii="Courier New" w:cs="Courier New" w:eastAsia="Courier New" w:hAnsi="Courier New"/>
          <w:sz w:val="17"/>
          <w:szCs w:val="17"/>
          <w:color w:val="auto"/>
        </w:rPr>
        <w:t>See Notes To AT&amp;T Unaudited Pro Forma Combined Condensed Financial Statements</w:t>
      </w:r>
    </w:p>
    <w:p>
      <w:pPr>
        <w:sectPr>
          <w:pgSz w:w="11900" w:h="16838" w:orient="portrait"/>
          <w:cols w:equalWidth="0" w:num="1">
            <w:col w:w="10099"/>
          </w:cols>
          <w:pgMar w:left="360" w:top="545" w:right="1440" w:bottom="1440" w:gutter="0" w:footer="0" w:header="0"/>
        </w:sectPr>
      </w:pPr>
    </w:p>
    <w:p>
      <w:pPr>
        <w:spacing w:after="0" w:line="21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L-200</w:t>
      </w:r>
    </w:p>
    <w:p>
      <w:pPr>
        <w:sectPr>
          <w:pgSz w:w="11900" w:h="16838" w:orient="portrait"/>
          <w:cols w:equalWidth="0" w:num="1">
            <w:col w:w="10099"/>
          </w:cols>
          <w:pgMar w:left="360" w:top="545" w:right="1440" w:bottom="1440" w:gutter="0" w:footer="0" w:header="0"/>
          <w:type w:val="continuous"/>
        </w:sectPr>
      </w:pPr>
    </w:p>
    <w:bookmarkStart w:id="821" w:name="page822"/>
    <w:bookmarkEnd w:id="821"/>
    <w:p>
      <w:pPr>
        <w:ind w:left="2200"/>
        <w:spacing w:after="0"/>
        <w:rPr>
          <w:sz w:val="20"/>
          <w:szCs w:val="20"/>
          <w:color w:val="auto"/>
        </w:rPr>
      </w:pPr>
      <w:r>
        <w:rPr>
          <w:rFonts w:ascii="Courier New" w:cs="Courier New" w:eastAsia="Courier New" w:hAnsi="Courier New"/>
          <w:sz w:val="17"/>
          <w:szCs w:val="17"/>
          <w:color w:val="auto"/>
        </w:rPr>
        <w:t>NOTES TO UNAUDITED PRO FORMA COMBINED</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CONDENSED FINANCIAL STATEMENTS</w:t>
      </w:r>
    </w:p>
    <w:p>
      <w:pPr>
        <w:spacing w:after="0" w:line="210" w:lineRule="exact"/>
        <w:rPr>
          <w:sz w:val="20"/>
          <w:szCs w:val="20"/>
          <w:color w:val="auto"/>
        </w:rPr>
      </w:pPr>
    </w:p>
    <w:p>
      <w:pPr>
        <w:ind w:right="2679" w:firstLine="531"/>
        <w:spacing w:after="0" w:line="257" w:lineRule="auto"/>
        <w:tabs>
          <w:tab w:leader="none" w:pos="1047" w:val="left"/>
        </w:tabs>
        <w:numPr>
          <w:ilvl w:val="0"/>
          <w:numId w:val="8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columns reflect the historical results of operations and financial position of AT&amp;T Corp.</w:t>
      </w:r>
    </w:p>
    <w:p>
      <w:pPr>
        <w:spacing w:after="0" w:line="191" w:lineRule="exact"/>
        <w:rPr>
          <w:rFonts w:ascii="Courier New" w:cs="Courier New" w:eastAsia="Courier New" w:hAnsi="Courier New"/>
          <w:sz w:val="17"/>
          <w:szCs w:val="17"/>
          <w:color w:val="auto"/>
        </w:rPr>
      </w:pPr>
    </w:p>
    <w:p>
      <w:pPr>
        <w:ind w:right="2039" w:firstLine="531"/>
        <w:spacing w:after="0" w:line="257" w:lineRule="auto"/>
        <w:tabs>
          <w:tab w:leader="none" w:pos="1047" w:val="left"/>
        </w:tabs>
        <w:numPr>
          <w:ilvl w:val="0"/>
          <w:numId w:val="8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adjustments deduct the historical results of operations of Liberty Media Group to reflect the split-off of Liberty Media Group from AT&amp;T.</w:t>
      </w:r>
    </w:p>
    <w:p>
      <w:pPr>
        <w:spacing w:after="0" w:line="191" w:lineRule="exact"/>
        <w:rPr>
          <w:rFonts w:ascii="Courier New" w:cs="Courier New" w:eastAsia="Courier New" w:hAnsi="Courier New"/>
          <w:sz w:val="17"/>
          <w:szCs w:val="17"/>
          <w:color w:val="auto"/>
        </w:rPr>
      </w:pPr>
    </w:p>
    <w:p>
      <w:pPr>
        <w:ind w:right="1839" w:firstLine="531"/>
        <w:spacing w:after="0" w:line="251" w:lineRule="auto"/>
        <w:tabs>
          <w:tab w:leader="none" w:pos="1047" w:val="left"/>
        </w:tabs>
        <w:numPr>
          <w:ilvl w:val="0"/>
          <w:numId w:val="8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entry reflects the fair value adjustment for accounting purposes which will be recorded upon the distribution of AT&amp;T Broadband Group. Since AT&amp;T intends to create and distribute the AT&amp;T Consumer Services Group tracking stock prior to the distribution of AT&amp;T Broadband Group, and since shareowners of the AT&amp;T Consumer Services Group tracking stock will not receive shares of AT&amp;T Broadband Group, the distribution of AT&amp;T Broadband Group will be a non pro-rata transaction. For this reason, the distribution will be accounted for at fair value and will result in a nonrecurring loss or gain upon distribution equal to the deficiency or excess of the fair value of AT&amp;T Broadband Group over AT&amp;T's carrying value of the net assets of AT&amp;T Broadband Group to be distributed. The actual loss or gain will be determined upon distribution based on the stock price of the Comcast shares received pursuant to the merger agreement. Based on the share price of Comcast Corp. on February 7, 2002, the distribution results in a loss. Due to the fact that the loss is a one-time event, its effects have not been included as a pro forma adjustment to the income statement; however it has been included as a pro forma adjustment to retained earnings on the pro forma balance sheet. The estimated loss is calculated as follows (dollars in millions):</w:t>
      </w:r>
    </w:p>
    <w:p>
      <w:pPr>
        <w:spacing w:after="0" w:line="200" w:lineRule="exact"/>
        <w:rPr>
          <w:sz w:val="20"/>
          <w:szCs w:val="20"/>
          <w:color w:val="auto"/>
        </w:rPr>
      </w:pPr>
    </w:p>
    <w:p>
      <w:pPr>
        <w:spacing w:after="0" w:line="203" w:lineRule="exact"/>
        <w:rPr>
          <w:sz w:val="20"/>
          <w:szCs w:val="20"/>
          <w:color w:val="auto"/>
        </w:rPr>
      </w:pPr>
    </w:p>
    <w:p>
      <w:pPr>
        <w:jc w:val="center"/>
        <w:ind w:right="4139"/>
        <w:spacing w:after="0" w:line="251" w:lineRule="auto"/>
        <w:rPr>
          <w:sz w:val="20"/>
          <w:szCs w:val="20"/>
          <w:color w:val="auto"/>
        </w:rPr>
      </w:pPr>
      <w:r>
        <w:rPr>
          <w:rFonts w:ascii="Courier New" w:cs="Courier New" w:eastAsia="Courier New" w:hAnsi="Courier New"/>
          <w:sz w:val="17"/>
          <w:szCs w:val="17"/>
          <w:color w:val="auto"/>
        </w:rPr>
        <w:t>Fair value of Comcast Corp. shares to be received in the transaction (1,235,000,000 shares at a closing stock price of 33.34 per share on February 7,</w:t>
      </w:r>
    </w:p>
    <w:p>
      <w:pPr>
        <w:jc w:val="center"/>
        <w:ind w:right="4139"/>
        <w:spacing w:after="0"/>
        <w:rPr>
          <w:sz w:val="20"/>
          <w:szCs w:val="20"/>
          <w:color w:val="auto"/>
        </w:rPr>
      </w:pPr>
      <w:r>
        <w:rPr>
          <w:rFonts w:ascii="Courier New" w:cs="Courier New" w:eastAsia="Courier New" w:hAnsi="Courier New"/>
          <w:sz w:val="17"/>
          <w:szCs w:val="17"/>
          <w:color w:val="auto"/>
        </w:rPr>
        <w:t>2002)................... $41,175 Carrying value of AT&amp;T</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Broadband Group net assets to be</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distributed...............................................</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45,625 ------- Loss on</w:t>
      </w:r>
    </w:p>
    <w:p>
      <w:pPr>
        <w:spacing w:after="0" w:line="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7"/>
          <w:szCs w:val="17"/>
          <w:color w:val="auto"/>
        </w:rPr>
        <w:t>distribution........................................</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$(4,450) =======</w:t>
      </w:r>
    </w:p>
    <w:p>
      <w:pPr>
        <w:spacing w:after="0" w:line="200" w:lineRule="exact"/>
        <w:rPr>
          <w:sz w:val="20"/>
          <w:szCs w:val="20"/>
          <w:color w:val="auto"/>
        </w:rPr>
      </w:pPr>
    </w:p>
    <w:p>
      <w:pPr>
        <w:spacing w:after="0" w:line="212"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If shareholder or other approval is not obtained for the formation of the AT&amp;T Consumer Services Group tracking stock or if the tracking stock is not distributed prior to the distribution of AT&amp;T Broadband Group, the distribution of AT&amp;T Broadband Group will be a pro-rata transaction recorded at historical cost. As the loss on the distribution calculated above is not reflected as a pro forma adjustment to the income statements, this change will not have any impact on the pro forma income statements as presented.</w:t>
      </w:r>
    </w:p>
    <w:p>
      <w:pPr>
        <w:spacing w:after="0" w:line="196" w:lineRule="exact"/>
        <w:rPr>
          <w:sz w:val="20"/>
          <w:szCs w:val="20"/>
          <w:color w:val="auto"/>
        </w:rPr>
      </w:pPr>
    </w:p>
    <w:p>
      <w:pPr>
        <w:ind w:right="1839" w:firstLine="531"/>
        <w:spacing w:after="0" w:line="251" w:lineRule="auto"/>
        <w:tabs>
          <w:tab w:leader="none" w:pos="1047" w:val="left"/>
        </w:tabs>
        <w:numPr>
          <w:ilvl w:val="0"/>
          <w:numId w:val="8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entries represent adjustments to AT&amp;T Broadband Group combined attributed net assets pursuant to the Merger Agreement. The Merger Agreement calls for the redemption by AT&amp;T of $2,118 million in TCI Pacific Preferred Stock for AT&amp;T Common Stock. AT&amp;T expects to issue approximately 52 million shares of common stock (par value $1 per share) for the redemption. In addition, the Merger agreement stipulates that AT&amp;T will retain certain liabilities currently reflected in the AT&amp;T Broadband Group financial statements. Accordingly, these liabilities were transferred to AT&amp;T along with the related deferred income taxes.</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531"/>
        <w:spacing w:after="0" w:line="252" w:lineRule="auto"/>
        <w:tabs>
          <w:tab w:leader="none" w:pos="1047" w:val="left"/>
        </w:tabs>
        <w:numPr>
          <w:ilvl w:val="0"/>
          <w:numId w:val="8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adjustments deduct the historical results of operations and the historical financial position of AT&amp;T Broadband Group to reflect the spin-off of AT&amp;T Broadband from AT&amp;T. The distribution is a fair value transaction and as such the fair value of the net assets of AT&amp;T Broadband Group have been recorded as a reduction to additional paid in capital, given the deficit that exists in retained earnings.</w:t>
      </w:r>
    </w:p>
    <w:p>
      <w:pPr>
        <w:spacing w:after="0" w:line="196" w:lineRule="exact"/>
        <w:rPr>
          <w:rFonts w:ascii="Courier New" w:cs="Courier New" w:eastAsia="Courier New" w:hAnsi="Courier New"/>
          <w:sz w:val="17"/>
          <w:szCs w:val="17"/>
          <w:color w:val="auto"/>
        </w:rPr>
      </w:pPr>
    </w:p>
    <w:p>
      <w:pPr>
        <w:ind w:right="1839" w:firstLine="531"/>
        <w:spacing w:after="0" w:line="253" w:lineRule="auto"/>
        <w:tabs>
          <w:tab w:leader="none" w:pos="1047" w:val="left"/>
        </w:tabs>
        <w:numPr>
          <w:ilvl w:val="0"/>
          <w:numId w:val="8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adjustments reflect the repayment of the intercompany loan balance from AT&amp;T Broadband Group. The repayment of intercompany indebtedness is contained in the Separation and Distribution Agreement between AT&amp;T and AT&amp;T Broadband Corp.</w:t>
      </w:r>
    </w:p>
    <w:p>
      <w:pPr>
        <w:spacing w:after="0" w:line="195" w:lineRule="exact"/>
        <w:rPr>
          <w:rFonts w:ascii="Courier New" w:cs="Courier New" w:eastAsia="Courier New" w:hAnsi="Courier New"/>
          <w:sz w:val="17"/>
          <w:szCs w:val="17"/>
          <w:color w:val="auto"/>
        </w:rPr>
      </w:pPr>
    </w:p>
    <w:p>
      <w:pPr>
        <w:ind w:right="1839" w:firstLine="531"/>
        <w:spacing w:after="0" w:line="252" w:lineRule="auto"/>
        <w:tabs>
          <w:tab w:leader="none" w:pos="1047" w:val="left"/>
        </w:tabs>
        <w:numPr>
          <w:ilvl w:val="0"/>
          <w:numId w:val="8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certain Inter-Group transactions appropriately reflected in the separate financial statements of AT&amp;T after excluding the AT&amp;T Broadband Group on a pro forma basis that were eliminated in the AT&amp;T consolidated financial statements and were therefore not reflected in AT&amp;T's historical results and financial position. These transactions include adjustments to properly reflect the standalone tax rates of AT&amp;T subsequent to the distribution of the AT&amp;T Broadband Group. These</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L-201</w:t>
      </w:r>
    </w:p>
    <w:p>
      <w:pPr>
        <w:sectPr>
          <w:pgSz w:w="11900" w:h="16838" w:orient="portrait"/>
          <w:cols w:equalWidth="0" w:num="1">
            <w:col w:w="10219"/>
          </w:cols>
          <w:pgMar w:left="240" w:top="720" w:right="1440" w:bottom="0" w:gutter="0" w:footer="0" w:header="0"/>
        </w:sectPr>
      </w:pPr>
    </w:p>
    <w:bookmarkStart w:id="822" w:name="page823"/>
    <w:bookmarkEnd w:id="822"/>
    <w:p>
      <w:pPr>
        <w:ind w:right="2679"/>
        <w:spacing w:after="0" w:line="257" w:lineRule="auto"/>
        <w:rPr>
          <w:sz w:val="20"/>
          <w:szCs w:val="20"/>
          <w:color w:val="auto"/>
        </w:rPr>
      </w:pPr>
      <w:r>
        <w:rPr>
          <w:rFonts w:ascii="Courier New" w:cs="Courier New" w:eastAsia="Courier New" w:hAnsi="Courier New"/>
          <w:sz w:val="17"/>
          <w:szCs w:val="17"/>
          <w:color w:val="auto"/>
        </w:rPr>
        <w:t>entries also reflect the reclassification of certain items appropriately reflected on the separate financial statements of AT&amp;T Broadband.</w:t>
      </w:r>
    </w:p>
    <w:p>
      <w:pPr>
        <w:spacing w:after="0" w:line="192" w:lineRule="exact"/>
        <w:rPr>
          <w:sz w:val="20"/>
          <w:szCs w:val="20"/>
          <w:color w:val="auto"/>
        </w:rPr>
      </w:pPr>
    </w:p>
    <w:p>
      <w:pPr>
        <w:ind w:right="2139" w:firstLine="531"/>
        <w:spacing w:after="0" w:line="252" w:lineRule="auto"/>
        <w:tabs>
          <w:tab w:leader="none" w:pos="1047" w:val="left"/>
        </w:tabs>
        <w:numPr>
          <w:ilvl w:val="0"/>
          <w:numId w:val="8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attributable to the AT&amp;T Common Stock Group shareholders has been reduced by $2,243, $4,112 and $4,633 for the nine months ended September 30, 2001 and the years ended December 31, 2000 and 1999, respectively, to reflect the income attributable to the AT&amp;T Consumer Services Group tracking stock shareholders.</w:t>
      </w:r>
    </w:p>
    <w:p>
      <w:pPr>
        <w:spacing w:after="0" w:line="197"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8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the merger agreement, prior to the AT&amp;T Broadband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spin-off, shares of AT&amp;T common stock held by Comcast (currently 83.5 million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will be exchanged on a one-for-one basis into a newly created series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exchangeable preferred stock. The AT&amp;T exchangeable preferred stock will be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mandatorily exchangeable after the closing of the Comcast merger into shares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common stock utilizing a conversion formula. The conversion formula will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provide Comcast with an interest in AT&amp;T that is equal in value to the interest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held in AT&amp;T prior to the Comcast merger, subject to a maximum 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issuance of 10% of the outstanding shares of AT&amp;T common stock. The conversion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formula is computed as the combination of average post closing AT&amp;T Comcast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Class A common stock and AT&amp;T common stock trading values divided by average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common stock trading values utilizing ten randomly selected trading days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after the closing of the Comcast merger. At September 30, 2001, the maximum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shares that Comcast could receive would be approximately 270 million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resulting in (loss) earnings per diluted share of $(0.66), $1.02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$1.01 for the nine months ended September 30, 2001 and the years ended December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 2000 and 1999, respectively.</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L-202</w:t>
      </w:r>
    </w:p>
    <w:p>
      <w:pPr>
        <w:sectPr>
          <w:pgSz w:w="11900" w:h="16838" w:orient="portrait"/>
          <w:cols w:equalWidth="0" w:num="1">
            <w:col w:w="10219"/>
          </w:cols>
          <w:pgMar w:left="240" w:top="720" w:right="1440" w:bottom="1440" w:gutter="0" w:footer="0" w:header="0"/>
        </w:sectPr>
      </w:pPr>
    </w:p>
    <w:bookmarkStart w:id="823" w:name="page824"/>
    <w:bookmarkEnd w:id="823"/>
    <w:p>
      <w:pPr>
        <w:ind w:left="2740"/>
        <w:spacing w:after="0"/>
        <w:rPr>
          <w:sz w:val="20"/>
          <w:szCs w:val="20"/>
          <w:color w:val="auto"/>
        </w:rPr>
      </w:pPr>
      <w:r>
        <w:rPr>
          <w:rFonts w:ascii="Courier New" w:cs="Courier New" w:eastAsia="Courier New" w:hAnsi="Courier New"/>
          <w:sz w:val="17"/>
          <w:szCs w:val="17"/>
          <w:color w:val="auto"/>
        </w:rPr>
        <w:t>INDEPENDENT AUDITORS' REPORT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 and Stockholders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w:t>
      </w:r>
    </w:p>
    <w:p>
      <w:pPr>
        <w:spacing w:after="0" w:line="210"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We have audited the accompanying balance sheet of AT&amp;T Comcast Corporation as of December 7, 2001. This financial statement is the responsibility of the Company's management. Our responsibility is to express an opinion on this financial statement based on our audit.</w:t>
      </w:r>
    </w:p>
    <w:p>
      <w:pPr>
        <w:spacing w:after="0" w:line="195"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We conducted our audit in accordance with auditing standards generally accepted in the United States of America.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provides a reasonable basis for our opinion.</w:t>
      </w:r>
    </w:p>
    <w:p>
      <w:pPr>
        <w:spacing w:after="0" w:line="200" w:lineRule="exact"/>
        <w:rPr>
          <w:sz w:val="20"/>
          <w:szCs w:val="20"/>
          <w:color w:val="auto"/>
        </w:rPr>
      </w:pPr>
    </w:p>
    <w:p>
      <w:pPr>
        <w:spacing w:after="0" w:line="203"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In our opinion, such balance sheet presents fairly, in all material respects, the financial position of AT&amp;T Comcast Corporation as of December 7, 2001, in conformity with accounting principles generally accepted in the United States of America.</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7, 2002</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L-203</w:t>
      </w:r>
    </w:p>
    <w:p>
      <w:pPr>
        <w:sectPr>
          <w:pgSz w:w="11900" w:h="16838" w:orient="portrait"/>
          <w:cols w:equalWidth="0" w:num="1">
            <w:col w:w="10219"/>
          </w:cols>
          <w:pgMar w:left="240" w:top="719" w:right="1440" w:bottom="1440" w:gutter="0" w:footer="0" w:header="0"/>
        </w:sectPr>
      </w:pPr>
    </w:p>
    <w:bookmarkStart w:id="824" w:name="page825"/>
    <w:bookmarkEnd w:id="824"/>
    <w:p>
      <w:pPr>
        <w:ind w:left="2940"/>
        <w:spacing w:after="0"/>
        <w:rPr>
          <w:sz w:val="20"/>
          <w:szCs w:val="20"/>
          <w:color w:val="auto"/>
        </w:rPr>
      </w:pPr>
      <w:r>
        <w:rPr>
          <w:rFonts w:ascii="Courier New" w:cs="Courier New" w:eastAsia="Courier New" w:hAnsi="Courier New"/>
          <w:sz w:val="17"/>
          <w:szCs w:val="17"/>
          <w:color w:val="auto"/>
        </w:rPr>
        <w:t>AT&amp;T COMCAST CORPORATION</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BALANCE SHEET</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DECEMBER 7, 2001</w:t>
      </w:r>
    </w:p>
    <w:p>
      <w:pPr>
        <w:sectPr>
          <w:pgSz w:w="11900" w:h="16838" w:orient="portrait"/>
          <w:cols w:equalWidth="0" w:num="1">
            <w:col w:w="10219"/>
          </w:cols>
          <w:pgMar w:left="240" w:top="7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ectPr>
          <w:pgSz w:w="11900" w:h="16838" w:orient="portrait"/>
          <w:cols w:equalWidth="0" w:num="2">
            <w:col w:w="6300" w:space="200"/>
            <w:col w:w="3719"/>
          </w:cols>
          <w:pgMar w:left="240" w:top="719"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Stockholders' Equity</w:t>
      </w:r>
    </w:p>
    <w:p>
      <w:pPr>
        <w:sectPr>
          <w:pgSz w:w="11900" w:h="16838" w:orient="portrait"/>
          <w:cols w:equalWidth="0" w:num="1">
            <w:col w:w="10219"/>
          </w:cols>
          <w:pgMar w:left="240" w:top="719" w:right="1440" w:bottom="1440" w:gutter="0" w:footer="0" w:header="0"/>
          <w:type w:val="continuous"/>
        </w:sectPr>
      </w:pP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Stock subscription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($2)</w:t>
      </w:r>
    </w:p>
    <w:p>
      <w:pPr>
        <w:spacing w:after="0" w:line="9" w:lineRule="exact"/>
        <w:rPr>
          <w:sz w:val="20"/>
          <w:szCs w:val="20"/>
          <w:color w:val="auto"/>
        </w:rPr>
      </w:pPr>
    </w:p>
    <w:p>
      <w:pPr>
        <w:sectPr>
          <w:pgSz w:w="11900" w:h="16838" w:orient="portrait"/>
          <w:cols w:equalWidth="0" w:num="2">
            <w:col w:w="6300" w:space="200"/>
            <w:col w:w="3719"/>
          </w:cols>
          <w:pgMar w:left="240" w:top="719" w:right="1440" w:bottom="1440" w:gutter="0" w:footer="0" w:header="0"/>
          <w:type w:val="continuous"/>
        </w:sectPr>
      </w:pPr>
    </w:p>
    <w:p>
      <w:pPr>
        <w:ind w:left="220"/>
        <w:spacing w:after="0"/>
        <w:rPr>
          <w:sz w:val="20"/>
          <w:szCs w:val="20"/>
          <w:color w:val="auto"/>
        </w:rPr>
      </w:pPr>
      <w:r>
        <w:rPr>
          <w:rFonts w:ascii="Courier New" w:cs="Courier New" w:eastAsia="Courier New" w:hAnsi="Courier New"/>
          <w:sz w:val="17"/>
          <w:szCs w:val="17"/>
          <w:color w:val="auto"/>
        </w:rPr>
        <w:t>Common stock, $.01 par value, authorized 100 shares; 2</w:t>
      </w:r>
    </w:p>
    <w:p>
      <w:pPr>
        <w:sectPr>
          <w:pgSz w:w="11900" w:h="16838" w:orient="portrait"/>
          <w:cols w:equalWidth="0" w:num="1">
            <w:col w:w="10219"/>
          </w:cols>
          <w:pgMar w:left="240" w:top="719" w:right="1440" w:bottom="1440" w:gutter="0" w:footer="0" w:header="0"/>
          <w:type w:val="continuous"/>
        </w:sectPr>
      </w:pP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shares issued and outstanding..........................</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Additional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6300" w:space="200"/>
            <w:col w:w="3719"/>
          </w:cols>
          <w:pgMar w:left="240" w:top="719" w:right="1440"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balance sheet.</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L-204</w:t>
      </w:r>
    </w:p>
    <w:p>
      <w:pPr>
        <w:sectPr>
          <w:pgSz w:w="11900" w:h="16838" w:orient="portrait"/>
          <w:cols w:equalWidth="0" w:num="1">
            <w:col w:w="10219"/>
          </w:cols>
          <w:pgMar w:left="240" w:top="719" w:right="1440" w:bottom="1440" w:gutter="0" w:footer="0" w:header="0"/>
          <w:type w:val="continuous"/>
        </w:sectPr>
      </w:pPr>
    </w:p>
    <w:bookmarkStart w:id="825" w:name="page826"/>
    <w:bookmarkEnd w:id="825"/>
    <w:p>
      <w:pPr>
        <w:jc w:val="center"/>
        <w:ind w:right="1839"/>
        <w:spacing w:after="0"/>
        <w:rPr>
          <w:sz w:val="20"/>
          <w:szCs w:val="20"/>
          <w:color w:val="auto"/>
        </w:rPr>
      </w:pPr>
      <w:r>
        <w:rPr>
          <w:rFonts w:ascii="Courier New" w:cs="Courier New" w:eastAsia="Courier New" w:hAnsi="Courier New"/>
          <w:sz w:val="17"/>
          <w:szCs w:val="17"/>
          <w:color w:val="auto"/>
        </w:rPr>
        <w:t>AT&amp;T COMCAST CORPORATION</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NOTES TO BALANCE SHEET</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DECEMBER 7, 2001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ORGANIZATION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businesses currently conducted by Comcast and AT&amp;T Broadband. Upon completion of the combination of Comcast and AT&amp;T Broadband (see Note 2), Comcast and an entity which will then own AT&amp;T Broadband will be wholly-owned subsidiaries of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SUBSEQUENT EVENT</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25.5% interest in Time Warner Entertainment. The transaction is subject to customary closing conditions and shareholder and regulatory approvals and is expected to close by the end of 2002.</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L-205</w:t>
      </w:r>
    </w:p>
    <w:p>
      <w:pPr>
        <w:sectPr>
          <w:pgSz w:w="11900" w:h="16838" w:orient="portrait"/>
          <w:cols w:equalWidth="0" w:num="1">
            <w:col w:w="10219"/>
          </w:cols>
          <w:pgMar w:left="240" w:top="720" w:right="1440" w:bottom="1440" w:gutter="0" w:footer="0" w:header="0"/>
        </w:sectPr>
      </w:pPr>
    </w:p>
    <w:bookmarkStart w:id="826" w:name="page827"/>
    <w:bookmarkEnd w:id="826"/>
    <w:p>
      <w:pPr>
        <w:jc w:val="right"/>
        <w:ind w:right="1839"/>
        <w:spacing w:after="0"/>
        <w:rPr>
          <w:sz w:val="20"/>
          <w:szCs w:val="20"/>
          <w:color w:val="auto"/>
        </w:rPr>
      </w:pPr>
      <w:r>
        <w:rPr>
          <w:rFonts w:ascii="Courier New" w:cs="Courier New" w:eastAsia="Courier New" w:hAnsi="Courier New"/>
          <w:sz w:val="17"/>
          <w:szCs w:val="17"/>
          <w:color w:val="auto"/>
        </w:rPr>
        <w:t>ANNEX M</w:t>
      </w:r>
    </w:p>
    <w:p>
      <w:pPr>
        <w:spacing w:after="0" w:line="21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FORM OF</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CERTIFICATE OF AMENDMENT OF THE CERTIFICATE OF INCORPORATION</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UNDER SECTION 805 OF THE NEW YORK STATE</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BUSINESS CORPORATION LAW</w:t>
      </w:r>
    </w:p>
    <w:p>
      <w:pPr>
        <w:spacing w:after="0" w:line="210"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We, the undersigned, being a Vice President and an Assistant Secretary respectively, of AT&amp;T Corp., do hereby certify as follows:</w:t>
      </w:r>
    </w:p>
    <w:p>
      <w:pPr>
        <w:spacing w:after="0" w:line="192"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FIRST: The name of the corporation is AT&amp;T Corp.</w:t>
      </w:r>
    </w:p>
    <w:p>
      <w:pPr>
        <w:spacing w:after="0" w:line="210" w:lineRule="exact"/>
        <w:rPr>
          <w:sz w:val="20"/>
          <w:szCs w:val="20"/>
          <w:color w:val="auto"/>
        </w:rPr>
      </w:pPr>
    </w:p>
    <w:p>
      <w:pPr>
        <w:ind w:left="540" w:right="1939" w:firstLine="524"/>
        <w:spacing w:after="0" w:line="257" w:lineRule="auto"/>
        <w:rPr>
          <w:sz w:val="20"/>
          <w:szCs w:val="20"/>
          <w:color w:val="auto"/>
        </w:rPr>
      </w:pPr>
      <w:r>
        <w:rPr>
          <w:rFonts w:ascii="Courier New" w:cs="Courier New" w:eastAsia="Courier New" w:hAnsi="Courier New"/>
          <w:sz w:val="17"/>
          <w:szCs w:val="17"/>
          <w:color w:val="auto"/>
        </w:rPr>
        <w:t>SECOND: The Certificate of Incorporation of the corporation was filed by the Department of State on March 3, 1885.</w:t>
      </w:r>
    </w:p>
    <w:p>
      <w:pPr>
        <w:spacing w:after="0" w:line="192" w:lineRule="exact"/>
        <w:rPr>
          <w:sz w:val="20"/>
          <w:szCs w:val="20"/>
          <w:color w:val="auto"/>
        </w:rPr>
      </w:pPr>
    </w:p>
    <w:p>
      <w:pPr>
        <w:ind w:left="540" w:right="2359" w:firstLine="524"/>
        <w:spacing w:after="0" w:line="253" w:lineRule="auto"/>
        <w:rPr>
          <w:sz w:val="20"/>
          <w:szCs w:val="20"/>
          <w:color w:val="auto"/>
        </w:rPr>
      </w:pPr>
      <w:r>
        <w:rPr>
          <w:rFonts w:ascii="Courier New" w:cs="Courier New" w:eastAsia="Courier New" w:hAnsi="Courier New"/>
          <w:sz w:val="17"/>
          <w:szCs w:val="17"/>
          <w:color w:val="auto"/>
        </w:rPr>
        <w:t>THIRD: (a) The Certificate of Incorporation of the corporation is hereby amended to create one new class of common stock, AT&amp;T Consumer Services Group common stock, having the number, designation, relative rights, preferences, and limitations as set forth herein.</w:t>
      </w:r>
    </w:p>
    <w:p>
      <w:pPr>
        <w:spacing w:after="0" w:line="195" w:lineRule="exact"/>
        <w:rPr>
          <w:sz w:val="20"/>
          <w:szCs w:val="20"/>
          <w:color w:val="auto"/>
        </w:rPr>
      </w:pPr>
    </w:p>
    <w:p>
      <w:pPr>
        <w:ind w:left="540" w:right="2039" w:firstLine="515"/>
        <w:spacing w:after="0" w:line="253" w:lineRule="auto"/>
        <w:tabs>
          <w:tab w:leader="none" w:pos="1483" w:val="left"/>
        </w:tabs>
        <w:numPr>
          <w:ilvl w:val="0"/>
          <w:numId w:val="8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 of Incorporation of the corporation is hereby amended to remove all references to the Wireless Group tracking stock, to each class of Liberty Media Group tracking stock and to the AT&amp;T Wireless Group preferred tracking stock.</w:t>
      </w:r>
    </w:p>
    <w:p>
      <w:pPr>
        <w:spacing w:after="0" w:line="195" w:lineRule="exact"/>
        <w:rPr>
          <w:rFonts w:ascii="Courier New" w:cs="Courier New" w:eastAsia="Courier New" w:hAnsi="Courier New"/>
          <w:sz w:val="17"/>
          <w:szCs w:val="17"/>
          <w:color w:val="auto"/>
        </w:rPr>
      </w:pPr>
    </w:p>
    <w:p>
      <w:pPr>
        <w:ind w:left="540" w:right="2139" w:firstLine="515"/>
        <w:spacing w:after="0" w:line="257" w:lineRule="auto"/>
        <w:tabs>
          <w:tab w:leader="none" w:pos="1483" w:val="left"/>
        </w:tabs>
        <w:numPr>
          <w:ilvl w:val="0"/>
          <w:numId w:val="8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effect the foregoing, and certain related technical changes, ARTICLE THIRD is hereby amended as set forth in Exhibit A hereto.</w:t>
      </w:r>
    </w:p>
    <w:p>
      <w:pPr>
        <w:spacing w:after="0" w:line="192" w:lineRule="exact"/>
        <w:rPr>
          <w:sz w:val="20"/>
          <w:szCs w:val="20"/>
          <w:color w:val="auto"/>
        </w:rPr>
      </w:pPr>
    </w:p>
    <w:p>
      <w:pPr>
        <w:ind w:left="540" w:right="2039" w:firstLine="524"/>
        <w:spacing w:after="0" w:line="252" w:lineRule="auto"/>
        <w:rPr>
          <w:sz w:val="20"/>
          <w:szCs w:val="20"/>
          <w:color w:val="auto"/>
        </w:rPr>
      </w:pPr>
      <w:r>
        <w:rPr>
          <w:rFonts w:ascii="Courier New" w:cs="Courier New" w:eastAsia="Courier New" w:hAnsi="Courier New"/>
          <w:sz w:val="17"/>
          <w:szCs w:val="17"/>
          <w:color w:val="auto"/>
        </w:rPr>
        <w:t>FOURTH: The manner in which the foregoing amendment of said Certificate of Incorporation of the corporation was authorized was by the vote of the holders of a majority of all outstanding shares of the corporation entitled to vote thereon at a meeting of shareholders, subsequent to the unanimous vote of our board of directors.</w:t>
      </w:r>
    </w:p>
    <w:p>
      <w:pPr>
        <w:spacing w:after="0" w:line="197"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6320" w:type="dxa"/>
            <w:vAlign w:val="bottom"/>
          </w:tcPr>
          <w:p>
            <w:pPr>
              <w:spacing w:after="0"/>
              <w:rPr>
                <w:sz w:val="20"/>
                <w:szCs w:val="20"/>
                <w:color w:val="auto"/>
              </w:rPr>
            </w:pPr>
            <w:r>
              <w:rPr>
                <w:rFonts w:ascii="Courier New" w:cs="Courier New" w:eastAsia="Courier New" w:hAnsi="Courier New"/>
                <w:sz w:val="17"/>
                <w:szCs w:val="17"/>
                <w:color w:val="auto"/>
              </w:rPr>
              <w:t>IN WITNESS WHEREOF, we have subscribed this document on</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 2002</w:t>
            </w:r>
          </w:p>
        </w:tc>
      </w:tr>
    </w:tbl>
    <w:p>
      <w:pPr>
        <w:spacing w:after="0" w:line="4"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and do hereby affirm, under the penalties of perjury, that the statements contained herein have been examined by us and are true and correct.</w:t>
      </w:r>
    </w:p>
    <w:p>
      <w:pPr>
        <w:spacing w:after="0" w:line="192"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Name: Marilyn J. Wasser</w:t>
      </w:r>
    </w:p>
    <w:p>
      <w:pPr>
        <w:spacing w:after="0" w:line="9" w:lineRule="exact"/>
        <w:rPr>
          <w:sz w:val="20"/>
          <w:szCs w:val="20"/>
          <w:color w:val="auto"/>
        </w:rPr>
      </w:pPr>
    </w:p>
    <w:p>
      <w:pPr>
        <w:ind w:left="4720"/>
        <w:spacing w:after="0"/>
        <w:tabs>
          <w:tab w:leader="none" w:pos="5540" w:val="left"/>
        </w:tabs>
        <w:rPr>
          <w:sz w:val="20"/>
          <w:szCs w:val="20"/>
          <w:color w:val="auto"/>
        </w:rPr>
      </w:pPr>
      <w:r>
        <w:rPr>
          <w:rFonts w:ascii="Courier New" w:cs="Courier New" w:eastAsia="Courier New" w:hAnsi="Courier New"/>
          <w:sz w:val="17"/>
          <w:szCs w:val="17"/>
          <w:color w:val="auto"/>
        </w:rPr>
        <w:t>Title:</w:t>
        <w:tab/>
        <w:t>Vice President -- Law and</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Secretary</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Name: Robert S. Feit</w:t>
      </w:r>
    </w:p>
    <w:p>
      <w:pPr>
        <w:spacing w:after="0" w:line="9" w:lineRule="exact"/>
        <w:rPr>
          <w:sz w:val="20"/>
          <w:szCs w:val="20"/>
          <w:color w:val="auto"/>
        </w:rPr>
      </w:pPr>
    </w:p>
    <w:p>
      <w:pPr>
        <w:ind w:left="4720"/>
        <w:spacing w:after="0"/>
        <w:tabs>
          <w:tab w:leader="none" w:pos="5540" w:val="left"/>
        </w:tabs>
        <w:rPr>
          <w:sz w:val="20"/>
          <w:szCs w:val="20"/>
          <w:color w:val="auto"/>
        </w:rPr>
      </w:pPr>
      <w:r>
        <w:rPr>
          <w:rFonts w:ascii="Courier New" w:cs="Courier New" w:eastAsia="Courier New" w:hAnsi="Courier New"/>
          <w:sz w:val="17"/>
          <w:szCs w:val="17"/>
          <w:color w:val="auto"/>
        </w:rPr>
        <w:t>Title:</w:t>
        <w:tab/>
        <w:t>Assistant Secretary</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M-1</w:t>
      </w:r>
    </w:p>
    <w:p>
      <w:pPr>
        <w:sectPr>
          <w:pgSz w:w="11900" w:h="16838" w:orient="portrait"/>
          <w:cols w:equalWidth="0" w:num="1">
            <w:col w:w="10219"/>
          </w:cols>
          <w:pgMar w:left="240" w:top="719" w:right="1440" w:bottom="1440" w:gutter="0" w:footer="0" w:header="0"/>
        </w:sectPr>
      </w:pPr>
    </w:p>
    <w:bookmarkStart w:id="827" w:name="page828"/>
    <w:bookmarkEnd w:id="827"/>
    <w:p>
      <w:pPr>
        <w:ind w:left="3460"/>
        <w:spacing w:after="0"/>
        <w:rPr>
          <w:sz w:val="20"/>
          <w:szCs w:val="20"/>
          <w:color w:val="auto"/>
        </w:rPr>
      </w:pPr>
      <w:r>
        <w:rPr>
          <w:rFonts w:ascii="Courier New" w:cs="Courier New" w:eastAsia="Courier New" w:hAnsi="Courier New"/>
          <w:sz w:val="17"/>
          <w:szCs w:val="17"/>
          <w:color w:val="auto"/>
        </w:rPr>
        <w:t>ARTICLE THIRD</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CAPITAL STOCK</w:t>
      </w:r>
    </w:p>
    <w:p>
      <w:pPr>
        <w:spacing w:after="0" w:line="210" w:lineRule="exact"/>
        <w:rPr>
          <w:sz w:val="20"/>
          <w:szCs w:val="20"/>
          <w:color w:val="auto"/>
        </w:rPr>
      </w:pPr>
    </w:p>
    <w:p>
      <w:pPr>
        <w:ind w:right="2559" w:firstLine="524"/>
        <w:spacing w:after="0" w:line="257" w:lineRule="auto"/>
        <w:rPr>
          <w:sz w:val="20"/>
          <w:szCs w:val="20"/>
          <w:color w:val="auto"/>
        </w:rPr>
      </w:pPr>
      <w:r>
        <w:rPr>
          <w:rFonts w:ascii="Courier New" w:cs="Courier New" w:eastAsia="Courier New" w:hAnsi="Courier New"/>
          <w:sz w:val="17"/>
          <w:szCs w:val="17"/>
          <w:color w:val="auto"/>
        </w:rPr>
        <w:t>PART A of ARTICLE THIRD is hereby amended to read in its entirety as follows:</w:t>
      </w:r>
    </w:p>
    <w:p>
      <w:pPr>
        <w:spacing w:after="0" w:line="192"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476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The aggregate number of shares which the</w:t>
            </w:r>
          </w:p>
        </w:tc>
        <w:tc>
          <w:tcPr>
            <w:tcW w:w="1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corporation is</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authorized to</w:t>
            </w:r>
          </w:p>
        </w:tc>
      </w:tr>
      <w:tr>
        <w:trPr>
          <w:trHeight w:val="201"/>
        </w:trPr>
        <w:tc>
          <w:tcPr>
            <w:tcW w:w="1140" w:type="dxa"/>
            <w:vAlign w:val="bottom"/>
          </w:tcPr>
          <w:p>
            <w:pPr>
              <w:spacing w:after="0"/>
              <w:rPr>
                <w:sz w:val="20"/>
                <w:szCs w:val="20"/>
                <w:color w:val="auto"/>
              </w:rPr>
            </w:pPr>
            <w:r>
              <w:rPr>
                <w:rFonts w:ascii="Courier New" w:cs="Courier New" w:eastAsia="Courier New" w:hAnsi="Courier New"/>
                <w:sz w:val="17"/>
                <w:szCs w:val="17"/>
                <w:color w:val="auto"/>
              </w:rPr>
              <w:t>issue is</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9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shares, consisting of</w:t>
            </w:r>
          </w:p>
        </w:tc>
        <w:tc>
          <w:tcPr>
            <w:tcW w:w="320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one hundred million</w:t>
            </w:r>
          </w:p>
        </w:tc>
      </w:tr>
      <w:tr>
        <w:trPr>
          <w:trHeight w:val="201"/>
        </w:trPr>
        <w:tc>
          <w:tcPr>
            <w:tcW w:w="3180" w:type="dxa"/>
            <w:vAlign w:val="bottom"/>
            <w:gridSpan w:val="4"/>
          </w:tcPr>
          <w:p>
            <w:pPr>
              <w:spacing w:after="0"/>
              <w:rPr>
                <w:sz w:val="20"/>
                <w:szCs w:val="20"/>
                <w:color w:val="auto"/>
              </w:rPr>
            </w:pPr>
            <w:r>
              <w:rPr>
                <w:rFonts w:ascii="Courier New" w:cs="Courier New" w:eastAsia="Courier New" w:hAnsi="Courier New"/>
                <w:sz w:val="17"/>
                <w:szCs w:val="17"/>
                <w:color w:val="auto"/>
              </w:rPr>
              <w:t>(100,000,000) preferred shares</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having a par</w:t>
            </w:r>
          </w:p>
        </w:tc>
        <w:tc>
          <w:tcPr>
            <w:tcW w:w="6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value</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of $1.00</w:t>
            </w:r>
          </w:p>
        </w:tc>
        <w:tc>
          <w:tcPr>
            <w:tcW w:w="1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per share</w:t>
            </w:r>
          </w:p>
        </w:tc>
      </w:tr>
      <w:tr>
        <w:trPr>
          <w:trHeight w:val="201"/>
        </w:trPr>
        <w:tc>
          <w:tcPr>
            <w:tcW w:w="2720" w:type="dxa"/>
            <w:vAlign w:val="bottom"/>
            <w:gridSpan w:val="3"/>
          </w:tcPr>
          <w:p>
            <w:pPr>
              <w:spacing w:after="0"/>
              <w:rPr>
                <w:sz w:val="20"/>
                <w:szCs w:val="20"/>
                <w:color w:val="auto"/>
              </w:rPr>
            </w:pPr>
            <w:r>
              <w:rPr>
                <w:rFonts w:ascii="Courier New" w:cs="Courier New" w:eastAsia="Courier New" w:hAnsi="Courier New"/>
                <w:sz w:val="17"/>
                <w:szCs w:val="17"/>
                <w:color w:val="auto"/>
              </w:rPr>
              <w:t>("Preferred Stock") and</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common</w:t>
            </w:r>
          </w:p>
        </w:tc>
        <w:tc>
          <w:tcPr>
            <w:tcW w:w="178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shares, of which</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six billion</w:t>
            </w:r>
          </w:p>
        </w:tc>
      </w:tr>
      <w:tr>
        <w:trPr>
          <w:trHeight w:val="201"/>
        </w:trPr>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(6,000,000,000)</w:t>
            </w:r>
          </w:p>
        </w:tc>
        <w:tc>
          <w:tcPr>
            <w:tcW w:w="314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common shares shall be Common</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Stock having</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a</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par value of</w:t>
            </w:r>
          </w:p>
        </w:tc>
      </w:tr>
      <w:tr>
        <w:trPr>
          <w:trHeight w:val="201"/>
        </w:trPr>
        <w:tc>
          <w:tcPr>
            <w:tcW w:w="1620" w:type="dxa"/>
            <w:vAlign w:val="bottom"/>
            <w:gridSpan w:val="2"/>
          </w:tcPr>
          <w:p>
            <w:pPr>
              <w:spacing w:after="0"/>
              <w:rPr>
                <w:sz w:val="20"/>
                <w:szCs w:val="20"/>
                <w:color w:val="auto"/>
              </w:rPr>
            </w:pPr>
            <w:r>
              <w:rPr>
                <w:rFonts w:ascii="Courier New" w:cs="Courier New" w:eastAsia="Courier New" w:hAnsi="Courier New"/>
                <w:sz w:val="17"/>
                <w:szCs w:val="17"/>
                <w:color w:val="auto"/>
              </w:rPr>
              <w:t>$1.00 per share</w:t>
            </w:r>
          </w:p>
        </w:tc>
        <w:tc>
          <w:tcPr>
            <w:tcW w:w="24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("Common Stock") and</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5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common shares shall be</w:t>
            </w:r>
          </w:p>
        </w:tc>
      </w:tr>
      <w:tr>
        <w:trPr>
          <w:trHeight w:val="201"/>
        </w:trPr>
        <w:tc>
          <w:tcPr>
            <w:tcW w:w="3180" w:type="dxa"/>
            <w:vAlign w:val="bottom"/>
            <w:gridSpan w:val="4"/>
          </w:tcPr>
          <w:p>
            <w:pPr>
              <w:spacing w:after="0"/>
              <w:rPr>
                <w:sz w:val="20"/>
                <w:szCs w:val="20"/>
                <w:color w:val="auto"/>
              </w:rPr>
            </w:pPr>
            <w:r>
              <w:rPr>
                <w:rFonts w:ascii="Courier New" w:cs="Courier New" w:eastAsia="Courier New" w:hAnsi="Courier New"/>
                <w:sz w:val="17"/>
                <w:szCs w:val="17"/>
                <w:color w:val="auto"/>
              </w:rPr>
              <w:t>Consumer Services Group Common</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Stock having</w:t>
            </w:r>
          </w:p>
        </w:tc>
        <w:tc>
          <w:tcPr>
            <w:tcW w:w="220" w:type="dxa"/>
            <w:vAlign w:val="bottom"/>
          </w:tcPr>
          <w:p>
            <w:pPr>
              <w:ind w:left="60"/>
              <w:spacing w:after="0"/>
              <w:rPr>
                <w:sz w:val="20"/>
                <w:szCs w:val="20"/>
                <w:color w:val="auto"/>
              </w:rPr>
            </w:pPr>
            <w:r>
              <w:rPr>
                <w:rFonts w:ascii="Courier New" w:cs="Courier New" w:eastAsia="Courier New" w:hAnsi="Courier New"/>
                <w:sz w:val="17"/>
                <w:szCs w:val="17"/>
                <w:color w:val="auto"/>
              </w:rPr>
              <w:t>a</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par</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value of</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ind w:left="680"/>
              <w:spacing w:after="0"/>
              <w:rPr>
                <w:sz w:val="20"/>
                <w:szCs w:val="20"/>
                <w:color w:val="auto"/>
              </w:rPr>
            </w:pPr>
            <w:r>
              <w:rPr>
                <w:rFonts w:ascii="Courier New" w:cs="Courier New" w:eastAsia="Courier New" w:hAnsi="Courier New"/>
                <w:sz w:val="17"/>
                <w:szCs w:val="17"/>
                <w:color w:val="auto"/>
              </w:rPr>
              <w:t>per</w:t>
            </w:r>
          </w:p>
        </w:tc>
      </w:tr>
    </w:tbl>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share ("Consumer Services Group Common Stock").</w:t>
      </w:r>
    </w:p>
    <w:p>
      <w:pPr>
        <w:spacing w:after="0" w:line="210"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PART B of ARTICLE THIRD is hereby amended to read in its entirety as set forth below, and PART C of ARTICLE THIRD is hereby deleted in its entirety. PART D of ARTICLE THIRD shall remain unchanged, except that it shall be redesignated as PART C of ARTICLE THIRD.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B -- COMMON STOCK AND CONSUMER SERVICES GROUP COMMON STOCK</w:t>
      </w:r>
    </w:p>
    <w:p>
      <w:pPr>
        <w:spacing w:after="0" w:line="210" w:lineRule="exact"/>
        <w:rPr>
          <w:sz w:val="20"/>
          <w:szCs w:val="20"/>
          <w:color w:val="auto"/>
        </w:rPr>
      </w:pPr>
    </w:p>
    <w:p>
      <w:pPr>
        <w:ind w:left="420" w:hanging="413"/>
        <w:spacing w:after="0"/>
        <w:tabs>
          <w:tab w:leader="none" w:pos="420" w:val="left"/>
        </w:tabs>
        <w:numPr>
          <w:ilvl w:val="0"/>
          <w:numId w:val="8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RIGHTS.</w:t>
      </w:r>
    </w:p>
    <w:p>
      <w:pPr>
        <w:spacing w:after="0" w:line="210"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8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paragraph 1(c) of this Part B of this Article Third, holders of Common Stock shall be entitled to one vote for each share of such stock held and holders of Consumer Services Group Common Stock shall be entitled to</w:t>
      </w:r>
    </w:p>
    <w:p>
      <w:pPr>
        <w:ind w:right="2139" w:firstLine="1047"/>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a vote per share of such stock held, on all matters presented to such shareholders.</w:t>
      </w:r>
    </w:p>
    <w:p>
      <w:pPr>
        <w:spacing w:after="0" w:line="191"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8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may otherwise be required by the laws of the State of New York or, with respect to additional or special voting rights (which may include, without limitation, rights of any such holders of any such class or series to elect one or more directors voting separately as a class) of any class or series of Preferred Stock or any other class of common shares, except as may be required by this Certificate of Incorporation of the corporation, as the same may be amended from time to time (this "Certificate") (including the terms of any class or series of Preferred Stock and any resolution or resolutions providing for the establishment of such class or series pursuant to authority vested in the Board of Directors by this Certificate and the terms of any other class of common shares), the holders of shares of Common Stock, the holders of shares of Consumer Services Group Common Stock, the holders of shares of each other class of common shares, if any, entitled to vote thereon, and the holders of shares of each class or series of Preferred Stock, if any, entitled to vote thereon, shall vote as one class with respect to all matters to be voted on by shareholders of the corporation, and no separate vote or consent of the holders of shares of Common Stock, the holders of shares of Consumer Services Group Common Stock, or the holders of shares of any such class of common shares or any such class or series of Preferred Stock shall be required for the approval of any such matter.</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8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corporation shall in any manner subdivide (by stock split or otherwise) or combine (by reverse stock split or otherwise) the outstanding shares of Common Stock, Consumer Services Group Common Stock or any other class of common stock, or pay a stock dividend in shares of any class to holders of that class or shall otherwise effect a share distribution (as defined in paragraph 3 of this Part B of this Article Third) of Common Stock, Consumer Services Group Common Stock or any other class of common stock, the per share voting rights of Common Stock specified in paragraph 1(a) of this Part B of this Article Third, the per share voting rights of Consumer Services Group Common Stock specified in paragraph 1(a) of this Part B of this Article Third and the per share voting rights of any other class of common stock shall be appropriately adjusted so as to avoid any dilution in the aggregate voting rights of any one class relative to the other classes.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M-2</w:t>
      </w:r>
    </w:p>
    <w:p>
      <w:pPr>
        <w:sectPr>
          <w:pgSz w:w="11900" w:h="16838" w:orient="portrait"/>
          <w:cols w:equalWidth="0" w:num="1">
            <w:col w:w="10219"/>
          </w:cols>
          <w:pgMar w:left="240" w:top="720" w:right="1440" w:bottom="1440" w:gutter="0" w:footer="0" w:header="0"/>
        </w:sectPr>
      </w:pPr>
    </w:p>
    <w:bookmarkStart w:id="828" w:name="page829"/>
    <w:bookmarkEnd w:id="828"/>
    <w:p>
      <w:pPr>
        <w:ind w:left="420" w:hanging="413"/>
        <w:spacing w:after="0"/>
        <w:tabs>
          <w:tab w:leader="none" w:pos="420" w:val="left"/>
        </w:tabs>
        <w:numPr>
          <w:ilvl w:val="0"/>
          <w:numId w:val="8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w:t>
      </w:r>
    </w:p>
    <w:p>
      <w:pPr>
        <w:spacing w:after="0" w:line="210" w:lineRule="exact"/>
        <w:rPr>
          <w:rFonts w:ascii="Courier New" w:cs="Courier New" w:eastAsia="Courier New" w:hAnsi="Courier New"/>
          <w:sz w:val="17"/>
          <w:szCs w:val="17"/>
          <w:color w:val="auto"/>
        </w:rPr>
      </w:pPr>
    </w:p>
    <w:p>
      <w:pPr>
        <w:ind w:right="1939" w:firstLine="531"/>
        <w:spacing w:after="0" w:line="252" w:lineRule="auto"/>
        <w:tabs>
          <w:tab w:leader="none" w:pos="943" w:val="left"/>
        </w:tabs>
        <w:numPr>
          <w:ilvl w:val="1"/>
          <w:numId w:val="8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on Common Stock. Dividends on Common Stock may be declared and paid only to the extent of (i) the assets of the corporation legally available therefor minus (ii) the Consumer Services Group Available Dividend Amount. (Such amount available for the payment of dividends on Common Stock is referred to in this Part B of this Article Third as the "Common Stock Available Dividend Amount.")</w:t>
      </w:r>
    </w:p>
    <w:p>
      <w:pPr>
        <w:spacing w:after="0" w:line="196" w:lineRule="exact"/>
        <w:rPr>
          <w:rFonts w:ascii="Courier New" w:cs="Courier New" w:eastAsia="Courier New" w:hAnsi="Courier New"/>
          <w:sz w:val="17"/>
          <w:szCs w:val="17"/>
          <w:color w:val="auto"/>
        </w:rPr>
      </w:pPr>
    </w:p>
    <w:p>
      <w:pPr>
        <w:ind w:right="1939" w:firstLine="531"/>
        <w:spacing w:after="0" w:line="251" w:lineRule="auto"/>
        <w:tabs>
          <w:tab w:leader="none" w:pos="943" w:val="left"/>
        </w:tabs>
        <w:numPr>
          <w:ilvl w:val="1"/>
          <w:numId w:val="8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on Consumer Services Group Common Stock. Dividends on Consumer Services Group Common Stock may be declared and paid only out of the lesser of (i) the assets of the corporation legally available therefor and (ii) the Consumer Services Group Available Dividend Amount. Concurrently with the payment of any dividend on shares of Consumer Services Group Common Stock, at the election of the Board of Directors, either (x) the Common Stock Group shall receive from the Consumer Services Group an aggregate payment of the same kind of cash and/or property that is the subject of such dividend, which payment shall be equal to the excess, if any, of (i) the quotient obtained by dividing</w:t>
      </w:r>
    </w:p>
    <w:p>
      <w:pPr>
        <w:ind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the aggregate amount of such dividend, as determined by the Board of Directors, by (B) the Consumer Services Group Allocation Fraction, over (ii) the aggregate amount of such dividend, as so determined, or (y) the Consumer Services Group Allocation Fraction will be adjusted as described in paragraph 8 of this Part B of this Article Third. The payment to be made to the Common Stock Group pursuant to the preceding sentence may, at the discretion of the Board of Directors, be reflected by an allocation or by a direct transfer of cash or other property.</w:t>
      </w:r>
    </w:p>
    <w:p>
      <w:pPr>
        <w:spacing w:after="0" w:line="201"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8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Discrimination Between or Among Classes of Common Shares. The Board of Directors, subject to the provisions of paragraphs 2(a) and 2(b) of this Part B of this Article Third, shall have the sole authority and discretion to declare and pay dividends (or to refrain from declaring or paying the same) exclusively to the holders of Common Stock, exclusively to the holders of Consumer Services Group Common Stock, exclusively to the holders of any other class of common shares or to the holders of any two or more of such classes in equal or unequal amounts, notwithstanding the relationship between the Common Stock Available Dividend Amount, the Consumer Services Group Available Dividend Amount, the respective amounts of prior dividends declared on, or the liquidation rights of, Common Stock, Consumer Services Group Common Stock or any other factor.</w:t>
      </w:r>
    </w:p>
    <w:p>
      <w:pPr>
        <w:spacing w:after="0" w:line="20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8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DISTRIBUTIONS.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corporation may declare and pay a distribution consisting of shares of Common Stock, Consumer Services Group Common Stock or any other securities of the corporation, any Subsidiary of the corporation or any other Person (hereinafter sometimes called a "share distribution") to holders of Common Stock or Consumer Services Group Common Stock in accordance with this paragraph 3 of this Part B of this Article Third.</w:t>
      </w:r>
    </w:p>
    <w:p>
      <w:pPr>
        <w:spacing w:after="0" w:line="197" w:lineRule="exact"/>
        <w:rPr>
          <w:sz w:val="20"/>
          <w:szCs w:val="20"/>
          <w:color w:val="auto"/>
        </w:rPr>
      </w:pPr>
    </w:p>
    <w:p>
      <w:pPr>
        <w:ind w:right="1939" w:firstLine="531"/>
        <w:spacing w:after="0" w:line="251" w:lineRule="auto"/>
        <w:tabs>
          <w:tab w:leader="none" w:pos="943" w:val="left"/>
        </w:tabs>
        <w:numPr>
          <w:ilvl w:val="0"/>
          <w:numId w:val="8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on Common Stock or Consumer Services Group Common Stock. The corporation may declare and pay a share distribution to holders of Common Stock, Consumer Services Group Common Stock or any other class of common shares consisting of any securities of the corporation, any Subsidiary of the corporation, or any other Person, including, without limitation, a share distribution consisting of shares of any class or series of Preferred Stock or shares of Common Stock, Consumer Services Group Common Stock or any other class of common shares (or Convertible Securities convertible into or exercisable or exchangeable for shares of any class or series of Preferred Stock or shares of Common Stock, Consumer Services Group Common Stock or any other class of common shares).</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Concurrently with the making of any share distribution with respect to Consumer Services Group Common Stock, at the election of the Board of Directors, either (x) the Common Stock Group shall receive from the Consumer Services Group an aggregate payment of the same kind of property that is the subject of such distribution, which payment shall be equal to the excess, if any, of (i) the quotient obtained by dividing (A) the aggregate amount of such distribution, as determined by the Board of</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M-3</w:t>
      </w:r>
    </w:p>
    <w:p>
      <w:pPr>
        <w:sectPr>
          <w:pgSz w:w="11900" w:h="16838" w:orient="portrait"/>
          <w:cols w:equalWidth="0" w:num="1">
            <w:col w:w="10219"/>
          </w:cols>
          <w:pgMar w:left="240" w:top="718" w:right="1440" w:bottom="1440" w:gutter="0" w:footer="0" w:header="0"/>
        </w:sectPr>
      </w:pPr>
    </w:p>
    <w:bookmarkStart w:id="829" w:name="page830"/>
    <w:bookmarkEnd w:id="829"/>
    <w:p>
      <w:pPr>
        <w:ind w:right="1839"/>
        <w:spacing w:after="0" w:line="252" w:lineRule="auto"/>
        <w:rPr>
          <w:sz w:val="20"/>
          <w:szCs w:val="20"/>
          <w:color w:val="auto"/>
        </w:rPr>
      </w:pPr>
      <w:r>
        <w:rPr>
          <w:rFonts w:ascii="Courier New" w:cs="Courier New" w:eastAsia="Courier New" w:hAnsi="Courier New"/>
          <w:sz w:val="17"/>
          <w:szCs w:val="17"/>
          <w:color w:val="auto"/>
        </w:rPr>
        <w:t>Directors, by (B) the Consumer Services Group Allocation Fraction, over (ii) the aggregate amount of such dividend, as so determined, or (y) the Consumer Services Group Allocation Fraction shall be adjusted as described in paragraph 8 of this Part B of this Article Third. Any payment to be made to the Common Stock Group pursuant to the preceding sentence may, at the discretion of the Board of Directors, be reflected by an allocation or by a direct transfer of cash or other property.</w:t>
      </w:r>
    </w:p>
    <w:p>
      <w:pPr>
        <w:spacing w:after="0" w:line="196" w:lineRule="exact"/>
        <w:rPr>
          <w:sz w:val="20"/>
          <w:szCs w:val="20"/>
          <w:color w:val="auto"/>
        </w:rPr>
      </w:pPr>
    </w:p>
    <w:p>
      <w:pPr>
        <w:ind w:right="1839" w:firstLine="531"/>
        <w:spacing w:after="0" w:line="251" w:lineRule="auto"/>
        <w:tabs>
          <w:tab w:leader="none" w:pos="943" w:val="left"/>
        </w:tabs>
        <w:numPr>
          <w:ilvl w:val="1"/>
          <w:numId w:val="8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Discrimination Between or Among Classes of Common Shares. The Board of Directors, subject to the foregoing provisions of this paragraph 3 of this Part B of this Article Third, shall have the sole authority and discretion to declare and pay (or to refrain from declaring or paying) share distributions exclusively to holders of Common Stock, exclusively to holders of Consumer Services Group Common Stock, exclusively to the holders of any other class of common shares or to holders of any two or more of such classes in equal or unequal amounts, notwithstanding the relationship between the Common Stock Available Dividend Amount, the Consumer Services Group Available Dividend Amount, the respective amounts of prior share distributions declared on, or the liquidation rights of, Common Stock, Consumer Services Group Common Stock or any other factor.</w:t>
      </w:r>
    </w:p>
    <w:p>
      <w:pPr>
        <w:spacing w:after="0" w:line="20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8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OF CONSUMER SERVICES GROUP COMMON STOCK.</w:t>
      </w:r>
    </w:p>
    <w:p>
      <w:pPr>
        <w:spacing w:after="0" w:line="210"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8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at Option of Board of Directors. (I) At any time, the Board of Directors may exchange all outstanding shares of Consumer Services Group Common Stock for shares of a new class of common stock or preferred stock of another Person or entity ("Rollover Shares") that owns, holds or is subject to, directly or indirectly, all or substantially all of the assets and liabilities of the Consumer Services Group as of immediately prior to the date fixed for the redemption, provided that (A) this new class of common stock or preferred stock has substantially the same terms (except as may arise as a result of different law governing the other Person or as a result of provisions of the other Person's governing documents of general applicability to all classes of common stock) as those governing Consumer Services Group Common Stock as provided for in this Part B of this Article Third, including with regard to the definition of "Consumer Services Group," (B) the number of shares of this new class of common stock or preferred stock issued per share of Consumer Services Group Common Stock is intended to represent the same proportionate interest in the Consumer Services Group as a share of Consumer Services Group Common Stock and (C) the per share voting rights of this new class of common stock or preferred stock shall be based on the ratio of the initial trading prices of this new class of common stock or preferred stock to the trading prices of the common stock of such other entity over a fixed number of Trading Days (not to exceed 25), such number of Trading Days to be determined by the Board of Directors prior to or at the time of such redemption. If the Board of Directors determines to exercise its option pursuant to this clause (I), such transaction shall be referred to as a "Rollover Transaction."</w:t>
      </w:r>
    </w:p>
    <w:p>
      <w:pPr>
        <w:spacing w:after="0" w:line="202" w:lineRule="exact"/>
        <w:rPr>
          <w:sz w:val="20"/>
          <w:szCs w:val="20"/>
          <w:color w:val="auto"/>
        </w:rPr>
      </w:pPr>
    </w:p>
    <w:p>
      <w:pPr>
        <w:ind w:right="1839" w:firstLine="531"/>
        <w:spacing w:after="0" w:line="251" w:lineRule="auto"/>
        <w:tabs>
          <w:tab w:leader="none" w:pos="1047" w:val="left"/>
        </w:tabs>
        <w:numPr>
          <w:ilvl w:val="0"/>
          <w:numId w:val="8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the Board of Directors, in its sole discretion, may, at any time, effect a recapitalization of the corporation (a "Board Required Exchange") by declaring that all of the outstanding shares of Consumer Services Group Common Stock shall be exchanged for fully paid and nonassessable shares of Common Stock in accordance with the Exchange Rate. In addition, at any time, as long as all of the assets and liabilities included in the Consumer Services Group are held, directly or indirectly, by one or more Qualifying Subsidiaries of the corporation that hold no other material assets or liabilities (the "Consumer Services Group Subsidiaries"), the Board of Directors may, subject to the availability of assets of the corporation legally available therefor, effect a Board Required Exchange by exchanging, on a pro rata basis, all of the outstanding shares of Consumer Services Group Common Stock in exchange for an aggregate number of outstanding fully paid and nonassessable shares of common stock of such Consumer Services Group Subsidiary or Subsidiaries at the applicable Exchange Rate, provided that no such exchange may occur unless the exchange is tax free to the holders of Consumer Services Group Common Stock (except with respect to any cash received by such holders in lieu of fractional shares).</w:t>
      </w:r>
    </w:p>
    <w:p>
      <w:pPr>
        <w:spacing w:after="0" w:line="200" w:lineRule="exact"/>
        <w:rPr>
          <w:sz w:val="20"/>
          <w:szCs w:val="20"/>
          <w:color w:val="auto"/>
        </w:rPr>
      </w:pPr>
    </w:p>
    <w:p>
      <w:pPr>
        <w:spacing w:after="0" w:line="203" w:lineRule="exact"/>
        <w:rPr>
          <w:sz w:val="20"/>
          <w:szCs w:val="20"/>
          <w:color w:val="auto"/>
        </w:rPr>
      </w:pPr>
    </w:p>
    <w:p>
      <w:pPr>
        <w:jc w:val="both"/>
        <w:ind w:right="1939" w:firstLine="531"/>
        <w:spacing w:after="0" w:line="253" w:lineRule="auto"/>
        <w:tabs>
          <w:tab w:leader="none" w:pos="1152" w:val="left"/>
        </w:tabs>
        <w:numPr>
          <w:ilvl w:val="0"/>
          <w:numId w:val="8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paragraph 4 of this Part B of this Article Third, the term "Exchange Shares" shall mean the shares of Common Stock or shares of the one or more Consumer Services Group Subsidiaries, as the case may be, into which shares of Consumer Services Group Common Stock may be</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M-4</w:t>
      </w:r>
    </w:p>
    <w:p>
      <w:pPr>
        <w:sectPr>
          <w:pgSz w:w="11900" w:h="16838" w:orient="portrait"/>
          <w:cols w:equalWidth="0" w:num="1">
            <w:col w:w="10219"/>
          </w:cols>
          <w:pgMar w:left="240" w:top="720" w:right="1440" w:bottom="1061" w:gutter="0" w:footer="0" w:header="0"/>
        </w:sectPr>
      </w:pPr>
    </w:p>
    <w:bookmarkStart w:id="830" w:name="page831"/>
    <w:bookmarkEnd w:id="830"/>
    <w:p>
      <w:pPr>
        <w:ind w:right="1839"/>
        <w:spacing w:after="0" w:line="252" w:lineRule="auto"/>
        <w:rPr>
          <w:sz w:val="20"/>
          <w:szCs w:val="20"/>
          <w:color w:val="auto"/>
        </w:rPr>
      </w:pPr>
      <w:r>
        <w:rPr>
          <w:rFonts w:ascii="Courier New" w:cs="Courier New" w:eastAsia="Courier New" w:hAnsi="Courier New"/>
          <w:sz w:val="17"/>
          <w:szCs w:val="17"/>
          <w:color w:val="auto"/>
        </w:rPr>
        <w:t>exchanged pursuant to paragraph (II) above. With regard to any redemption or exchange pursuant to paragraph (I) or (II) above, the Board of Directors may, in its sole discretion, condition the redemption or exchange on the occurrence or failure to occur of certain events, and the Board of Directors may, in its sole discretion, waive any of these conditions.</w:t>
      </w:r>
    </w:p>
    <w:p>
      <w:pPr>
        <w:spacing w:after="0" w:line="197" w:lineRule="exact"/>
        <w:rPr>
          <w:sz w:val="20"/>
          <w:szCs w:val="20"/>
          <w:color w:val="auto"/>
        </w:rPr>
      </w:pPr>
    </w:p>
    <w:p>
      <w:pPr>
        <w:ind w:right="1839" w:firstLine="531"/>
        <w:spacing w:after="0" w:line="251" w:lineRule="auto"/>
        <w:tabs>
          <w:tab w:leader="none" w:pos="943" w:val="left"/>
        </w:tabs>
        <w:numPr>
          <w:ilvl w:val="1"/>
          <w:numId w:val="8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in Connection with Certain Significant Transactions. In the event of a Disposition (other than a Rollover Transaction, a Consumer Services Group Related Business Transaction or a transaction as a result of which the corporation or its successor continues to hold directly or indirectly all or substantially all the properties and assests (as defined below) of the Consumer Services Group) by the corporation in a transaction or series of related transactions of all or substantially all of the properties and assets of the Consumer Services Group to any Person(s) or group(s) of which the corporation is not a majority owner (whether by merger, consolidation, sale of assets or stock, liquidation, dissolution, winding up or otherwise) (a "Significant Transaction"), effective upon the consummation of such sale, transfer, assignment or other disposition and automatically without any action on the part of the corporation or the Board of Directors or on the part of the holders of shares of Consumer Services Group Common Stock, the corporation shall be recapitalized (a "Significant Transaction Exchange") by exchanging all outstanding shares of Consumer Services Group Common Stock for, at the sole discretion of the Board of Directors, either (i) fully paid and nonassessable shares of Common Stock at the Exchange Rate or (ii) other consideration, as described in paragraph 4(c) of this Part B of this Article Third. Notwithstanding the preceding sentence, the corporation shall be under no obligation to effect a Significant Transaction Exchange that it might otherwise be required to effect pursuant to such sentence (and the Exchange Rate shall not apply) if (i) the underlying Significant Transaction is conditioned upon the affirmative vote of a majority of the holders of Consumer Services Group Common Stock, voting as a separate class, (ii) in connection with a spin-off or similar distribution of the corporation's entire interest in the Consumer Services Group to the holders of Consumer Services Group Common Stock, including any such distribution that is made in connection with a Board Required Exchange, (iii) in connection with the liquidation, dissolution or winding up of the corporation, whether voluntary or involuntary, or (iv) in connection with the underlying Significant Transaction, the Board of Directors determine to exercise its option pursuant to paragraph 4(a)(I) of this Part B of this Article Third.</w:t>
      </w:r>
    </w:p>
    <w:p>
      <w:pPr>
        <w:spacing w:after="0" w:line="201"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8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Alternate Consideration in Connection with Significant Transaction Exchange. In connection with any Significant Transaction Exchange, the corporation may, at the sole discretion of the Board of Directors, (i) in lieu of issuing shares of Common Stock in exchange for shares of Consumer Services Group Common Stock, either (x) subject to the limitations described in paragraph 2(b) of this Part B of this Article Third and to the other provisions described in this paragraph 4(c) of this Part B of this Article Third, declare and pay a dividend in cash and/or in securities or other property (determined as provided below) to holders of the outstanding shares of Consumer Services Group Common Stock equally on a share for share basis in an aggregate amount equal to the Consumer Services Group Net Proceeds of such Significant Transaction; or (y) provided that there are assets of the corporation legally available therefor and to the extent the Consumer Services Group Available Dividend Amount would have been sufficient to pay a dividend in lieu thereof as described in clause (x) of this paragraph 4(c) of this Part B of this Article Third, then (A) if such Significant Transaction involves the Disposition of all (not merely substantially all) of the properties and assets of the Consumer Services Group, redeem all outstanding shares of Consumer Services Group Common Stock in exchange for cash and/or securities or other property (determined as provided below) in an aggregate amount equal to the Consumer Services Group Net Proceeds;</w:t>
      </w:r>
    </w:p>
    <w:p>
      <w:pPr>
        <w:ind w:right="1839" w:firstLine="7"/>
        <w:spacing w:after="0" w:line="251" w:lineRule="auto"/>
        <w:tabs>
          <w:tab w:leader="none" w:pos="419" w:val="left"/>
        </w:tabs>
        <w:numPr>
          <w:ilvl w:val="0"/>
          <w:numId w:val="8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such Significant Transaction involves the Disposition of substantially all (but not all) of the properties and assets of the Consumer Services Group, apply an aggregate amount of cash and/or securities or other property (determined as provided below) equal to the Consumer Services Group Net Proceeds to the redemption of outstanding shares of Consumer Services Group Common Stock, the number of shares to be redeemed to equal the lesser of (1) the whole number nearest the number determined by dividing the aggregate amount so allocated to the redemption of Consumer Services Group Common Stock by the average Market Value of one share of Consumer Services Group Common Stock during the 10 Trading-Day period beginning on the 15th Trading Day following the consummation of such</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M-5</w:t>
      </w:r>
    </w:p>
    <w:p>
      <w:pPr>
        <w:sectPr>
          <w:pgSz w:w="11900" w:h="16838" w:orient="portrait"/>
          <w:cols w:equalWidth="0" w:num="1">
            <w:col w:w="10219"/>
          </w:cols>
          <w:pgMar w:left="240" w:top="719" w:right="1440" w:bottom="1062" w:gutter="0" w:footer="0" w:header="0"/>
        </w:sectPr>
      </w:pPr>
    </w:p>
    <w:bookmarkStart w:id="831" w:name="page832"/>
    <w:bookmarkEnd w:id="831"/>
    <w:p>
      <w:pPr>
        <w:ind w:right="1839"/>
        <w:spacing w:after="0" w:line="251" w:lineRule="auto"/>
        <w:rPr>
          <w:sz w:val="20"/>
          <w:szCs w:val="20"/>
          <w:color w:val="auto"/>
        </w:rPr>
      </w:pPr>
      <w:r>
        <w:rPr>
          <w:rFonts w:ascii="Courier New" w:cs="Courier New" w:eastAsia="Courier New" w:hAnsi="Courier New"/>
          <w:sz w:val="17"/>
          <w:szCs w:val="17"/>
          <w:color w:val="auto"/>
        </w:rPr>
        <w:t>Disposition, and (2) the number of shares of Consumer Services Group Common Stock outstanding; and (ii) in lieu of issuing solely shares of Common Stock in exchange for shares of Consumer Services Group Common Stock, subject to the limitations described in paragraph 2(b) of this Part B of this Article Third and to the other provisions described in paragraph 4(c) of this Part B of this Article Third, combine the issuance of shares of Common Stock in exchange for shares of Consumer Services Group Common Stock with the payment of a dividend on or the redemption of shares of Consumer Services Group Common Stock for cash and/or other securities or other property as described below.</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 the event that the Board of Directors elects the option described in</w:t>
      </w:r>
    </w:p>
    <w:p>
      <w:pPr>
        <w:spacing w:after="0" w:line="9" w:lineRule="exact"/>
        <w:rPr>
          <w:sz w:val="20"/>
          <w:szCs w:val="20"/>
          <w:color w:val="auto"/>
        </w:rPr>
      </w:pPr>
    </w:p>
    <w:p>
      <w:pPr>
        <w:ind w:right="1839" w:firstLine="7"/>
        <w:spacing w:after="0" w:line="251" w:lineRule="auto"/>
        <w:tabs>
          <w:tab w:leader="none" w:pos="524" w:val="left"/>
        </w:tabs>
        <w:numPr>
          <w:ilvl w:val="0"/>
          <w:numId w:val="8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preceding paragraph, the outstanding shares of Consumer Services Group Common Stock exchanged for fully paid and nonassessable shares of Common Stock shall be exchanged at the Exchange Rate and a dividend shall be paid on all the remaining shares of Consumer Services Group Common Stock equally on a share for share basis, or some or all of the remaining outstanding shares of Consumer Services Group Common Stock shall be exchanged for cash and/or other securities or other property, as follows. The aggregate amount of such dividend, in the case of a dividend, or the portion of the Consumer Services Group Net Proceeds to be applied to such an exchange, in the case of an exchange, shall equal (A) an amount equal to the total Consumer Services Group Net Proceeds multiplied by (B) one minus a fraction, the numerator of which shall be the number of shares of Consumer Services Group Common Stock exchanged for shares of Common Stock and the denominator of which shall be the total number of outstanding shares of Consumer Services Group Common Stock. In the event of an exchange, if the Significant Transaction involves the Disposition of all (not merely substantially all) of the properties and assets of the Consumer Services Group, then all remaining outstanding shares of Consumer Services Group Common Stock will be redeemed in exchange for cash and/or securities or other property in an aggregate amount equal to the portion of the Consumer Services Group Net Proceeds to be applied to the exchange. If the Significant Transaction involves the Disposition of substantially all (but not all) of the properties and assets of the Consumer Services Group, then the portion of the Consumer Services Group Net Proceeds to be applied to the exchange will be used to redeem a number of shares equal to the lesser of (1) the whole number nearest the number determined by dividing the aggregate amount so allocated to the redemption of Consumer Services Group Common Stock by the average Market Value of one share of Consumer Services Group Common Stock during the 10-Trading Day period beginning on the 15th Trading Day following consummation of the Disposition, and (2) the number of shares of Consumer Services Group Common Stock outstanding.</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For purposes of this paragraph 4 of this Part B of this Article Third, in the case of a Significant Transaction involving a Disposition of properties and assets in a series of related transactions, such Disposition shall not be deemed to have been consummated until the consummation of the last of such transactions. Any exchange described in this paragraph 4 of this Part B of this Article Third shall be effected in accordance with the applicable provisions set forth in paragraph 5 of this Part B of this Article Third. In the event that, at the time of any Significant Transaction, there are outstanding any Convertible Securities convertible into or exercisable for shares of Consumer Services Group Common Stock that would give the holders rights to receive any dividend or exchange consideration related to the Significant Transaction upon exercise, conversion or otherwise, or would adjust as a result of such dividend or exchange to give the holder equivalent economic rights, then the shares of Consumer Services Group Common Stock underlying such Convertible Securities will be taken into account for purposes of determining the terms of any dividend payment or exchange effected in lieu of a Significant Transaction Exchange.</w:t>
      </w:r>
    </w:p>
    <w:p>
      <w:pPr>
        <w:spacing w:after="0" w:line="202" w:lineRule="exact"/>
        <w:rPr>
          <w:sz w:val="20"/>
          <w:szCs w:val="20"/>
          <w:color w:val="auto"/>
        </w:rPr>
      </w:pPr>
    </w:p>
    <w:p>
      <w:pPr>
        <w:ind w:right="1939" w:firstLine="531"/>
        <w:spacing w:after="0" w:line="251" w:lineRule="auto"/>
        <w:tabs>
          <w:tab w:leader="none" w:pos="943" w:val="left"/>
        </w:tabs>
        <w:numPr>
          <w:ilvl w:val="0"/>
          <w:numId w:val="8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to Common Stock Group. Concurrently with the payment of any dividend referred to in paragraph 4(c) of this Part B of this Article Third, at the election of the Board of Directors, either (A) the Common Stock Group shall receive from the Consumer Services Group an aggregate payment of the same kind of property that is the subject of such dividend, which payment shall be equal to the excess of (i) the quotient obtained by dividing (x) the aggregate amount of such dividend, as determined by the Board of Directors, by (y) the Consumer Services Group Allocation Fraction, over (ii) the aggregate amount of such dividend, as so determined, or (B) the Consumer Services Group Allocation Fraction will</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M-6</w:t>
      </w:r>
    </w:p>
    <w:p>
      <w:pPr>
        <w:sectPr>
          <w:pgSz w:w="11900" w:h="16838" w:orient="portrait"/>
          <w:cols w:equalWidth="0" w:num="1">
            <w:col w:w="10219"/>
          </w:cols>
          <w:pgMar w:left="240" w:top="720" w:right="1440" w:bottom="1440" w:gutter="0" w:footer="0" w:header="0"/>
        </w:sectPr>
      </w:pPr>
    </w:p>
    <w:bookmarkStart w:id="832" w:name="page833"/>
    <w:bookmarkEnd w:id="832"/>
    <w:p>
      <w:pPr>
        <w:ind w:right="2139"/>
        <w:spacing w:after="0" w:line="253" w:lineRule="auto"/>
        <w:rPr>
          <w:sz w:val="20"/>
          <w:szCs w:val="20"/>
          <w:color w:val="auto"/>
        </w:rPr>
      </w:pPr>
      <w:r>
        <w:rPr>
          <w:rFonts w:ascii="Courier New" w:cs="Courier New" w:eastAsia="Courier New" w:hAnsi="Courier New"/>
          <w:sz w:val="17"/>
          <w:szCs w:val="17"/>
          <w:color w:val="auto"/>
        </w:rPr>
        <w:t>be adjusted as described in paragraph 8 of this Part B of this Article Third. Any payment to be made to the Common Stock Group pursuant to the preceding sentence may, at the discretion of the Board of Directors, be reflected by an allocation or by a direct transfer of cash or other property.</w:t>
      </w:r>
    </w:p>
    <w:p>
      <w:pPr>
        <w:spacing w:after="0" w:line="195" w:lineRule="exact"/>
        <w:rPr>
          <w:sz w:val="20"/>
          <w:szCs w:val="20"/>
          <w:color w:val="auto"/>
        </w:rPr>
      </w:pPr>
    </w:p>
    <w:p>
      <w:pPr>
        <w:ind w:right="1839" w:firstLine="531"/>
        <w:spacing w:after="0" w:line="251" w:lineRule="auto"/>
        <w:tabs>
          <w:tab w:leader="none" w:pos="943" w:val="left"/>
        </w:tabs>
        <w:numPr>
          <w:ilvl w:val="0"/>
          <w:numId w:val="9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Rate. For purposes of this paragraph 4 of this Part B of this Article Third, the term "Exchange Rate" shall mean the number of Exchange Shares for which each share of Consumer Services Group Common Stock shall be exchangeable pursuant to a Board Required Exchange or a Significant Transaction Exchange, determined as follows. If the shares of Consumer Services Group Common Stock are to be exchanged for shares of Common Stock, each share of Consumer Services Group Common Stock shall be exchangeable for such number of shares of Common Stock (calculated to the nearest 1/10,000), subject to paragraph 5 below,</w:t>
      </w:r>
    </w:p>
    <w:p>
      <w:pPr>
        <w:ind w:right="1839"/>
        <w:spacing w:after="0" w:line="251" w:lineRule="auto"/>
        <w:rPr>
          <w:sz w:val="20"/>
          <w:szCs w:val="20"/>
          <w:color w:val="auto"/>
        </w:rPr>
      </w:pPr>
      <w:r>
        <w:rPr>
          <w:rFonts w:ascii="Courier New" w:cs="Courier New" w:eastAsia="Courier New" w:hAnsi="Courier New"/>
          <w:sz w:val="17"/>
          <w:szCs w:val="17"/>
          <w:color w:val="auto"/>
        </w:rPr>
        <w:t>equal to % of the ratio of the Average Market Price Per Share of such Consumer Services Group Common Stock to the Average Market Price Per Share of Common Stock. For purposes of computing the Exchange Rate, the "Average Market Price Per Share" of Common Stock or Consumer Services Group Common Stock, as the case may be, shall mean in the case of a Significant Transaction Exchange, the average of the daily Market Value per share for such Common Stock or Consumer Services Group Common Stock for the 10 consecutive Trading Days beginning on the 15th Trading Day prior to consummation of the Significant Transaction. If the shares of Consumer Services Group Common Stock are to be exchanged for shares of one or more Consumer Services Group Subsidiaries, such shares of Consumer Services Group Common Stock shall be exchanged, on a pro rata basis, for an aggregate number of outstanding fully paid and nonassessable shares of common stock of each such Consumer Services Group Subsidiary equal to the number of outstanding shares of common stock of such Subsidiary held by the corporation multiplied by the Consumer Services Group Allocation Fraction and, if the Board of Directors so determines, the remaining shares of such Subsidiary shall be distributed on a pro rata basis to the holders of shares of Common Stock (or shares of Common Stock shall be exchanged for such remaining shares of such Subsidiary); provided that no such distribution (or mandatory exchange) may occur unless the distribution (or mandatory exchange) is tax free to the holders of Common Stock (except with respect to any cash received by such holders in lieu of fractional shares). If at the time of such an exchange for shares of one or more Consumer Services Group Subsidiaries, there are outstanding any Convertible Securities convertible into or exercisable for shares of Consumer Services Group Common Stock that would become exercisable or convertible for shares of one or more Consumer Services Group Subsidiaries as a result of such exchange, and the obligation to issue such shares under such options, warrants, convertible securities or similar rights is not assumed or otherwise provided for by one or more Consumer Services Group Subsidiaries, then the shares of Consumer Services Group Common Stock underlying such Convertible Securities will be taken into account for purposes of determining the Exchange Rate for such exchange.</w:t>
      </w:r>
    </w:p>
    <w:p>
      <w:pPr>
        <w:spacing w:after="0" w:line="200" w:lineRule="exact"/>
        <w:rPr>
          <w:sz w:val="20"/>
          <w:szCs w:val="20"/>
          <w:color w:val="auto"/>
        </w:rPr>
      </w:pPr>
    </w:p>
    <w:p>
      <w:pPr>
        <w:spacing w:after="0" w:line="203"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For purposes of this paragraph 4 of this Part B of this Article Third, "substantially all of the properties and assets" of the Consumer Services Group as of any date shall mean a portion of such properties and assets that represents at least 80% of the Fair Value of the properties and assets attributed to the Consumer Services Group as of such date.</w:t>
      </w:r>
    </w:p>
    <w:p>
      <w:pPr>
        <w:spacing w:after="0" w:line="197" w:lineRule="exact"/>
        <w:rPr>
          <w:sz w:val="20"/>
          <w:szCs w:val="20"/>
          <w:color w:val="auto"/>
        </w:rPr>
      </w:pPr>
    </w:p>
    <w:p>
      <w:pPr>
        <w:ind w:left="420" w:hanging="413"/>
        <w:spacing w:after="0"/>
        <w:tabs>
          <w:tab w:leader="none" w:pos="420" w:val="left"/>
        </w:tabs>
        <w:numPr>
          <w:ilvl w:val="0"/>
          <w:numId w:val="9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PROCEDURES RELATING TO EXCHANGES</w:t>
      </w:r>
    </w:p>
    <w:p>
      <w:pPr>
        <w:spacing w:after="0" w:line="210"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9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may, in its sole discretion, elect to issue fractional Rollover Shares or Exchange Shares or to make a cash payment in lieu of fractional shares, as described below. If the Board of Directors elects not to issue fractional Rollover Shares or Exchange Shares, then no such fractional shares shall be issued in connection with the exchange or redemption of shares of Consumer Services Group Common Stock into Rollover Shares or Exchange Shares, as the case may be, and, in lieu thereof, each holder of Consumer Services Group Common Stock who would otherwise be entitled to a fractional interest of a Rollover Share or an Exchange Share shall, upon surrender of such holder's certificate or certificates representing shares of Consumer Services Group Common Stock, receive a cash payment (without interest) (the "Fractional Payment") equal to (i) in the case of an exchange for shares of Common Stock, the product resulting from multiplying (A) the fraction of a share of Common Stock to</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M-7</w:t>
      </w:r>
    </w:p>
    <w:p>
      <w:pPr>
        <w:sectPr>
          <w:pgSz w:w="11900" w:h="16838" w:orient="portrait"/>
          <w:cols w:equalWidth="0" w:num="1">
            <w:col w:w="10219"/>
          </w:cols>
          <w:pgMar w:left="240" w:top="719" w:right="1440" w:bottom="1440" w:gutter="0" w:footer="0" w:header="0"/>
        </w:sectPr>
      </w:pPr>
    </w:p>
    <w:bookmarkStart w:id="833" w:name="page834"/>
    <w:bookmarkEnd w:id="833"/>
    <w:p>
      <w:pPr>
        <w:ind w:right="1939"/>
        <w:spacing w:after="0" w:line="252" w:lineRule="auto"/>
        <w:rPr>
          <w:sz w:val="20"/>
          <w:szCs w:val="20"/>
          <w:color w:val="auto"/>
        </w:rPr>
      </w:pPr>
      <w:r>
        <w:rPr>
          <w:rFonts w:ascii="Courier New" w:cs="Courier New" w:eastAsia="Courier New" w:hAnsi="Courier New"/>
          <w:sz w:val="17"/>
          <w:szCs w:val="17"/>
          <w:color w:val="auto"/>
        </w:rPr>
        <w:t>which such holder would otherwise have been entitled by (B) the Average Market Price Per Share of Common Stock on the Exchange Date, or (ii) in the case of an exchange or redemption for Rollover Shares or shares of one or more Consumer Services Group Subsidiaries, such value as is determined by the Board of Directors.</w:t>
      </w:r>
    </w:p>
    <w:p>
      <w:pPr>
        <w:spacing w:after="0" w:line="197" w:lineRule="exact"/>
        <w:rPr>
          <w:sz w:val="20"/>
          <w:szCs w:val="20"/>
          <w:color w:val="auto"/>
        </w:rPr>
      </w:pPr>
    </w:p>
    <w:p>
      <w:pPr>
        <w:ind w:right="1839" w:firstLine="531"/>
        <w:spacing w:after="0" w:line="251" w:lineRule="auto"/>
        <w:tabs>
          <w:tab w:leader="none" w:pos="943" w:val="left"/>
        </w:tabs>
        <w:numPr>
          <w:ilvl w:val="0"/>
          <w:numId w:val="9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adjustments in respect of dividends shall be made upon the exchange of any shares of Consumer Services Group Common Stock; provided, however, that, if the Exchange Date with respect to Consumer Services Group Common Stock shall be subsequent to the record date for the payment of a dividend or other distribution thereon or with respect thereto but prior to the payment or distribution thereof, the registered holders of such shares at the close of business on such record date shall be entitled to receive the dividend or other distribution payable on such shares on the date set for payment of such dividend or other distribution, notwithstanding the exchange of such shares or the corporation's default in payment of the dividend or distribution due on such date.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9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such time or times as the corporation exercises its right to cause an exchange pursuant to paragraph 4(a)(I) or 4(a)(II) of this Part B of this Article Third or to cause a Board Required Exchange, and at the time of any Significant Transaction Exchange, the corporation shall give notice of such exchange to the holders of Consumer Services Group Common Stock whose shares are to be exchanged, by mailing by first-class mail a notice of such exchange (an "Exchange Notice"), in the case of an exchange at the discretion of the Board of Directors, not less than 15 nor more than 90 days prior to the date fixed for such exchange (which date may be a specified date or a date determined by reference to the occurrence of specified events) (the "Exchange Date"), and, in the case of any other required exchange, as soon as practicable before or after the Exchange Date, in either case, to their last addresses as they appear upon the corporation's books. Each such Exchange Notice shall specify 1) the Exchange Date, 2) the Exchange Rate applicable to, or a description of the consideration to be received in, such exchange, and 3) any conditions to the occurrence of such exchange as set forth by the Board of Directors (which conditions may be waived by the Board of Directors in its sole discretion), and shall state that issuance of certificates representing the applicable type of Rollover Shares or Exchange Shares to be received upon exchange of shares of Consumer Services Group Common Stock shall be upon surrender of certificates representing such shares of Consumer Services Group Common Stock. Without limiting the alternatives available to the corporation, in the case of any Rollover Transaction, the redemption of the Consumer Services Group Common Stock contemplated hereby may be effected pursuant to the terms of any merger, business combination or similar transaction and/or the Board of Directors may elect to make the date of consummation of such transaction the Exchange Date.</w:t>
      </w:r>
    </w:p>
    <w:p>
      <w:pPr>
        <w:spacing w:after="0" w:line="201"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0"/>
          <w:numId w:val="9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any holder of shares of Consumer Services Group Common Stock shall be entitled to receive certificates representing such Rollover Shares or Exchange Shares, such holder must surrender, at such office as the corporation shall specify, certificates for such shares of Consumer Services Group Common Stock duly endorsed to the corporation or in blank or accompanied by proper instruments of transfer to the Corporation or in blank, unless the corporation shall waive such requirement. The corporation shall, as soon as practicable after such surrender of certificates representing such shares of Consumer Services Group Common Stock, issue and deliver, at the office of the transfer agent representing Rollover Shares or Exchange Shares, to the holder for whose account such shares of Consumer Services Group Common Stock were so surrendered, or to such holder's nominee or nominees, certificates representing the number of Rollover Shares or Exchange Shares to which such holder shall be entitled, together with the Fractional Payment, if any.</w:t>
      </w:r>
    </w:p>
    <w:p>
      <w:pPr>
        <w:spacing w:after="0" w:line="201" w:lineRule="exact"/>
        <w:rPr>
          <w:rFonts w:ascii="Courier New" w:cs="Courier New" w:eastAsia="Courier New" w:hAnsi="Courier New"/>
          <w:sz w:val="17"/>
          <w:szCs w:val="17"/>
          <w:color w:val="auto"/>
        </w:rPr>
      </w:pPr>
    </w:p>
    <w:p>
      <w:pPr>
        <w:ind w:right="2039" w:firstLine="531"/>
        <w:spacing w:after="0" w:line="251" w:lineRule="auto"/>
        <w:tabs>
          <w:tab w:leader="none" w:pos="943" w:val="left"/>
        </w:tabs>
        <w:numPr>
          <w:ilvl w:val="0"/>
          <w:numId w:val="9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and after any Exchange Date, all rights of a holder of shares of Consumer Services Group Common Stock shall cease except for the right, upon surrender of the certificates representing such shares of Consumer Services Group Common Stock, to receive certificates representing Rollover Shares or Exchange Shares together with a Fractional Payment, if any, as described in paragraphs 5(a) and 5(d) of this Part B of this Article Third and rights to dividends as described in paragraph 5(b) of this Part B of this Article Third. No holder of a certificate that immediately prior to the applicable Exchange Date represented shares of Consumer Services Group Common Stock shall be entitled to receive any dividend</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M-8</w:t>
      </w:r>
    </w:p>
    <w:p>
      <w:pPr>
        <w:sectPr>
          <w:pgSz w:w="11900" w:h="16838" w:orient="portrait"/>
          <w:cols w:equalWidth="0" w:num="1">
            <w:col w:w="10219"/>
          </w:cols>
          <w:pgMar w:left="240" w:top="719" w:right="1440" w:bottom="1062" w:gutter="0" w:footer="0" w:header="0"/>
        </w:sectPr>
      </w:pPr>
    </w:p>
    <w:bookmarkStart w:id="834" w:name="page835"/>
    <w:bookmarkEnd w:id="834"/>
    <w:p>
      <w:pPr>
        <w:ind w:right="1839"/>
        <w:spacing w:after="0" w:line="251" w:lineRule="auto"/>
        <w:rPr>
          <w:sz w:val="20"/>
          <w:szCs w:val="20"/>
          <w:color w:val="auto"/>
        </w:rPr>
      </w:pPr>
      <w:r>
        <w:rPr>
          <w:rFonts w:ascii="Courier New" w:cs="Courier New" w:eastAsia="Courier New" w:hAnsi="Courier New"/>
          <w:sz w:val="17"/>
          <w:szCs w:val="17"/>
          <w:color w:val="auto"/>
        </w:rPr>
        <w:t>or other distribution with respect to Rollover Shares or Exchange Shares, as the case may be, until surrender of such holder's certificate for a certificate or certificates representing Rollover Shares or Exchange Shares, as the case may be. Upon surrender, the holder shall receive the amount of any dividends or other distributions (without interest) that were payable with respect to a record date after the Exchange Date, but that were not paid by reason of the foregoing with respect to the number of Rollover Shares or Exchange Shares, as the case may be, represented by the certificate or certificates issued upon such surrender. From and after an Exchange Date applicable to Consumer Services Group Common Stock, the corporation shall, however, be entitled to treat certificates for Consumer Services Group Common Stock that have not yet been surrendered for exchange as evidencing the ownership of the number of Rollover Shares or Exchange Shares for which the shares of Consumer Services Group Common Stock represented by such certificates have been exchanged, notwithstanding the failure to surrender such certificates.</w:t>
      </w:r>
    </w:p>
    <w:p>
      <w:pPr>
        <w:spacing w:after="0" w:line="202" w:lineRule="exact"/>
        <w:rPr>
          <w:sz w:val="20"/>
          <w:szCs w:val="20"/>
          <w:color w:val="auto"/>
        </w:rPr>
      </w:pPr>
    </w:p>
    <w:p>
      <w:pPr>
        <w:ind w:right="1839" w:firstLine="531"/>
        <w:spacing w:after="0" w:line="251" w:lineRule="auto"/>
        <w:tabs>
          <w:tab w:leader="none" w:pos="943" w:val="left"/>
        </w:tabs>
        <w:numPr>
          <w:ilvl w:val="1"/>
          <w:numId w:val="9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certificate for Rollover Shares or Exchange Shares, as the case may be, is to be issued in a name other than that in which the certificate representing shares of Consumer Services Group Common Stock surrendered in exchange therefor is registered, it shall be a condition of such issuance that the person requesting the issuance pays any transfer or other taxes required by reason of the issuance of certificates for such Rollover Shares or Exchange Shares, as the case may be, in a name other than that of the record holder of the certificate surrendered, or establishes, to the satisfaction of the corporation or its agent, that such tax has been paid or is not applicable. Under no circumstances shall the corporation be liable to a holder of shares of Consumer Services Group Common Stock for any Rollover Shares or Exchange Shares or dividends or distributions thereon delivered to a public official pursuant to any applicable abandoned property, escheat or similar law.</w:t>
      </w:r>
    </w:p>
    <w:p>
      <w:pPr>
        <w:spacing w:after="0" w:line="201"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9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time an Exchange Notice is delivered with respect to any shares of Consumer Services Group Common Stock, or at the time of the Exchange Date, if earlier, the corporation shall have reserved and kept available, solely for the purpose of issuance upon exchange of the outstanding shares of Consumer Services Group Common Stock, such number of Exchange Shares as shall be issuable upon the exchange of the number of shares of Consumer Services Group Common Stock specified or to be specified in the applicable Exchange Notice, provided that the corporation shall not under any circumstances be precluded from satisfying its obligation in respect of the exchange of the outstanding shares of Consumer Services Group Common Stock by delivery of purchased Exchange Shares that are held in the treasury of the corporation.</w:t>
      </w:r>
    </w:p>
    <w:p>
      <w:pPr>
        <w:spacing w:after="0" w:line="20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9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LIQUIDATION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event of a liquidation, dissolution or winding up of the corporation, whether voluntary or involuntary, after payment or provision for payment of the debts and other liabilities of the corporation and subject to the prior payment in full of the preferential amounts to which any class or series of Preferred Stock is entitled, (a) the holders of the shares of Common Stock shall share in the aggregate, on a share for share basis, in a percentage of the funds of the corporation remaining for distribution to its common shareholders equal to 100% multiplied by the average daily ratio (expressed as a decimal) of X/Z for the 20-Trading Day period ending on the Trading Day prior to the date of the public announcement of such liquidation, dissolution or winding up, (b) the holders of the shares of Consumer Services Group Common Stock shall share in the aggregate in a percentage of the funds of the corporation remaining for distribution to its common shareholders equal to 100% multiplied by the average daily ratio (expressed as a decimal) of C/Z for such 20-Trading Day period, and</w:t>
      </w:r>
    </w:p>
    <w:p>
      <w:pPr>
        <w:ind w:right="1839" w:firstLine="7"/>
        <w:spacing w:after="0" w:line="251" w:lineRule="auto"/>
        <w:tabs>
          <w:tab w:leader="none" w:pos="419" w:val="left"/>
        </w:tabs>
        <w:numPr>
          <w:ilvl w:val="0"/>
          <w:numId w:val="9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applicable, the holders of the shares of any other class of common shares of the corporation (other than Common Stock and Consumer Services Group Common Stock), on the basis that may be set forth in this Certificate with respect to any such shares, shall share in the aggregate in a percentage of the funds of the corporation remaining for distribution to its common shareholders equal to 100% multiplied by the average daily ratio (expressed as a decimal) of Y/Z for such 20-Trading Day period, where X is the aggregate Market Capitalization of the Common Stock, C is the aggregate Market Capitalization of Consumer Services Group Common Stock,</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M-9</w:t>
      </w:r>
    </w:p>
    <w:p>
      <w:pPr>
        <w:sectPr>
          <w:pgSz w:w="11900" w:h="16838" w:orient="portrait"/>
          <w:cols w:equalWidth="0" w:num="1">
            <w:col w:w="10219"/>
          </w:cols>
          <w:pgMar w:left="240" w:top="719" w:right="1440" w:bottom="1440" w:gutter="0" w:footer="0" w:header="0"/>
        </w:sectPr>
      </w:pPr>
    </w:p>
    <w:bookmarkStart w:id="835" w:name="page836"/>
    <w:bookmarkEnd w:id="835"/>
    <w:p>
      <w:pPr>
        <w:ind w:right="2039"/>
        <w:spacing w:after="0" w:line="251" w:lineRule="auto"/>
        <w:rPr>
          <w:sz w:val="20"/>
          <w:szCs w:val="20"/>
          <w:color w:val="auto"/>
        </w:rPr>
      </w:pPr>
      <w:r>
        <w:rPr>
          <w:rFonts w:ascii="Courier New" w:cs="Courier New" w:eastAsia="Courier New" w:hAnsi="Courier New"/>
          <w:sz w:val="17"/>
          <w:szCs w:val="17"/>
          <w:color w:val="auto"/>
        </w:rPr>
        <w:t>Y is the aggregate Market Capitalization, if applicable, of any other class of common shares (other than Common Stock and Consumer Services Group Common Stock), and Z is the aggregate Market Capitalization of (i) the Common Stock,</w:t>
      </w:r>
    </w:p>
    <w:p>
      <w:pPr>
        <w:ind w:right="1839" w:firstLine="7"/>
        <w:spacing w:after="0" w:line="251" w:lineRule="auto"/>
        <w:tabs>
          <w:tab w:leader="none" w:pos="524" w:val="left"/>
        </w:tabs>
        <w:numPr>
          <w:ilvl w:val="0"/>
          <w:numId w:val="9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Consumer Services Group Common Stock, and (iii) any other class of common shares of the corporation (other than Common Stock and Consumer Services Group Common Stock). Neither the consolidation or merger of the corporation with or into any other corporation or corporations nor the sale, transfer or lease of all or substantially all of the assets of the corporation shall itself be deemed to be a liquidation, dissolution or winding up of the corporation within the meaning of this paragraph 6 of this Part B of this Article Third. Notwithstanding the foregoing, any transaction or series of related transactions that results in all of the assets and liabilities included in the Consumer Services Group being held by one or more Consumer Services Group Subsidiaries, and the distribution of some or all of the shares of such Consumer Services Group Subsidiaries (and no other material assets or liabilities) to the holders of the outstanding Consumer Services Group Common Stock shall not constitute a voluntary or involuntary liquidation, dissolution or winding up of the corporation for purposes of this paragraph 6 of this Part E of this Article Third, but shall be subject to paragraph 4 of this Part B of this Article Third.</w:t>
      </w:r>
    </w:p>
    <w:p>
      <w:pPr>
        <w:spacing w:after="0" w:line="202" w:lineRule="exact"/>
        <w:rPr>
          <w:sz w:val="20"/>
          <w:szCs w:val="20"/>
          <w:color w:val="auto"/>
        </w:rPr>
      </w:pPr>
    </w:p>
    <w:p>
      <w:pPr>
        <w:ind w:left="420" w:hanging="413"/>
        <w:spacing w:after="0"/>
        <w:tabs>
          <w:tab w:leader="none" w:pos="420" w:val="left"/>
        </w:tabs>
        <w:numPr>
          <w:ilvl w:val="0"/>
          <w:numId w:val="9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DETERMINATIONS BY THE BOARD OF DIRECTORS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Any determinations made by the Board of Directors under any provision of this Part B of this Article Third shall be final and binding on all shareholders of the corporation, except as may otherwise be required by law. The corporation shall prepare a statement of any determination by the Board of Directors, respecting the fair market value of any properties, assets or securities, and shall file such statement with the Secretary of the corporation. Without limiting the generality of the foregoing, each holder of shares of Common Stock and/or shares of Consumer Services Group Common Stock, by acquiring or holding either such security, shall be deemed to acknowledge and agree to the maximum extent permitted by law, that (a) the terms of the Consumer Services Group Common Stock grant to the Board of Directors discretion to select among different exchange, redemption or other options, more than one of which may be available at a particular time or in connection with a particular transaction, including without limitation a Rollover Transaction, a Board Required Exchange (whether for Common Stock or stock of the specified other entities) or a Significant Transaction Exchange (whether for Common Stock or other consideration), (b) that the selection of an alternative, if any, shall be a matter solely within the discretion of the Board of Directors and that the Board of Directors has no duty to select the alternative that will result in the best economic treatment for holders of either the Consumer Services Group Common Stock or the Common Stock, and (c) that no holder of any shares of Consumer Services Group Common Stock or Common Stock will have any claim based on which alternative the Board of Directors may elect, even if the holders of the classes of stock are not treated equally.</w:t>
      </w:r>
    </w:p>
    <w:p>
      <w:pPr>
        <w:spacing w:after="0" w:line="200" w:lineRule="exact"/>
        <w:rPr>
          <w:sz w:val="20"/>
          <w:szCs w:val="20"/>
          <w:color w:val="auto"/>
        </w:rPr>
      </w:pPr>
    </w:p>
    <w:p>
      <w:pPr>
        <w:spacing w:after="0" w:line="203" w:lineRule="exact"/>
        <w:rPr>
          <w:sz w:val="20"/>
          <w:szCs w:val="20"/>
          <w:color w:val="auto"/>
        </w:rPr>
      </w:pPr>
    </w:p>
    <w:p>
      <w:pPr>
        <w:ind w:left="420" w:hanging="413"/>
        <w:spacing w:after="0"/>
        <w:tabs>
          <w:tab w:leader="none" w:pos="420" w:val="left"/>
        </w:tabs>
        <w:numPr>
          <w:ilvl w:val="0"/>
          <w:numId w:val="9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OF THE CONSUMER SERVICES GROUP ALLOCATION FRACTION</w:t>
      </w:r>
    </w:p>
    <w:p>
      <w:pPr>
        <w:spacing w:after="0" w:line="210"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9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denominator of the Consumer Services Group Allocation Fraction shall be adjusted from time to time as deemed appropriate by the Board of Directors (i) to reflect subdivisions (by stock split or otherwise) and combinations (by reverse stock split or otherwise) of Consumer Services Group Common Stock and stock dividends payable in shares of Consumer Services Group Common Stock, (ii) to reflect the fair market value of contributions or allocations by the corporation of cash or property or other assets or liabilities from the Common Stock Group to the Consumer Services Group (or vice versa), or of cash or property or other assets or liabilities of the Common Stock Group to, or for the benefit of, employees of the Consumer Services Group in connection with employee benefit plans or arrangements of the corporation or any of its subsidiaries (or vice versa), (iii) to reflect the number of shares of capital stock of the corporation contributed to, or for the benefit of, employees of the Consumer Services Group in connection with benefit plans or arrangements of the corporation or any of its Subsidiaries, (iv) to reflect repurchases by the corporation of shares of Consumer Services Group Common Stock for the account of the Consumer Services Group, (v) to reflect issuances of Consumer Services Group Common Stock for the account of the Consumer Services Group, (vi) to reflect dividends or other distributions to holders of</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M-10</w:t>
      </w:r>
    </w:p>
    <w:p>
      <w:pPr>
        <w:sectPr>
          <w:pgSz w:w="11900" w:h="16838" w:orient="portrait"/>
          <w:cols w:equalWidth="0" w:num="1">
            <w:col w:w="10219"/>
          </w:cols>
          <w:pgMar w:left="240" w:top="720" w:right="1440" w:bottom="1440" w:gutter="0" w:footer="0" w:header="0"/>
        </w:sectPr>
      </w:pPr>
    </w:p>
    <w:bookmarkStart w:id="836" w:name="page837"/>
    <w:bookmarkEnd w:id="836"/>
    <w:p>
      <w:pPr>
        <w:ind w:right="1839"/>
        <w:spacing w:after="0" w:line="251" w:lineRule="auto"/>
        <w:rPr>
          <w:sz w:val="20"/>
          <w:szCs w:val="20"/>
          <w:color w:val="auto"/>
        </w:rPr>
      </w:pPr>
      <w:r>
        <w:rPr>
          <w:rFonts w:ascii="Courier New" w:cs="Courier New" w:eastAsia="Courier New" w:hAnsi="Courier New"/>
          <w:sz w:val="17"/>
          <w:szCs w:val="17"/>
          <w:color w:val="auto"/>
        </w:rPr>
        <w:t>the Consumer Services Group Common Stock to the extent no payment is made to the Common Stock Group, and (vii) under such other circumstances as the Board of Directors determines appropriate to reflect the economic substance of any other event or circumstance, provided that, in each case, the adjustment shall be made in a manner that is fair and equitable to holders of Common Stock and Consumer Services Group Common Stock. Any adjustment made by the Board of Directors pursuant to the preceding sentence shall, subject to the foregoing, be at the sole discretion of the Board of Directors, and all such determinations shall be final and binding on all shareholders of the corporation. For purposes of this paragraph 8 of this Part B of this Article Third, the consideration paid by the Common Stock Group to acquire any assets or other property or contributed or allocated to the Consumer Services Group shall be presumed to be the "fair market value" as of its acquisition.</w:t>
      </w:r>
    </w:p>
    <w:p>
      <w:pPr>
        <w:spacing w:after="0" w:line="201" w:lineRule="exact"/>
        <w:rPr>
          <w:sz w:val="20"/>
          <w:szCs w:val="20"/>
          <w:color w:val="auto"/>
        </w:rPr>
      </w:pPr>
    </w:p>
    <w:p>
      <w:pPr>
        <w:ind w:right="1839" w:firstLine="531"/>
        <w:spacing w:after="0" w:line="252" w:lineRule="auto"/>
        <w:tabs>
          <w:tab w:leader="none" w:pos="943" w:val="left"/>
        </w:tabs>
        <w:numPr>
          <w:ilvl w:val="1"/>
          <w:numId w:val="9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duplication of any adjustment pursuant to paragraph 8(a) of this Part B of this Article Third, in the event that the corporation shall issue shares of Consumer Services Group Common Stock for the account of the Consumer Services Group, then the denominator of the Consumer Services Group Allocation Fraction shall be increased by the number of shares of Consumer Services Group Common Stock so issued.</w:t>
      </w:r>
    </w:p>
    <w:p>
      <w:pPr>
        <w:spacing w:after="0" w:line="196" w:lineRule="exact"/>
        <w:rPr>
          <w:rFonts w:ascii="Courier New" w:cs="Courier New" w:eastAsia="Courier New" w:hAnsi="Courier New"/>
          <w:sz w:val="17"/>
          <w:szCs w:val="17"/>
          <w:color w:val="auto"/>
        </w:rPr>
      </w:pPr>
    </w:p>
    <w:p>
      <w:pPr>
        <w:ind w:right="1939" w:firstLine="531"/>
        <w:spacing w:after="0" w:line="251" w:lineRule="auto"/>
        <w:tabs>
          <w:tab w:leader="none" w:pos="943" w:val="left"/>
        </w:tabs>
        <w:numPr>
          <w:ilvl w:val="1"/>
          <w:numId w:val="9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duplication of any adjustment pursuant to paragraph 8(a) of this Part B of this Article Third, if, in connection with any share issuance described in paragraph 8(b) of this Part B of this Article Third, or otherwise, the corporation contributes or allocates cash or other property or assets from the Common Stock Group to the Consumer Services Group, the denominator of the Consumer Services Group Allocation Fraction shall be increased (or further increased) by an amount obtained by dividing (i) the fair market value of such cash, property or assets (as determined by the Board of Directors) by (ii) the net per share offering price of the Consumer Services Group Common Stock.</w:t>
      </w:r>
    </w:p>
    <w:p>
      <w:pPr>
        <w:spacing w:after="0" w:line="20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9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DEFINITIONS.</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Unless the context otherwise requires, the terms defined in this paragraph 9 of this Part E of this Article Third shall have, for all purposes of this Part B of this Article Third, the meanings herein specified:</w:t>
      </w:r>
    </w:p>
    <w:p>
      <w:pPr>
        <w:spacing w:after="0" w:line="194" w:lineRule="exact"/>
        <w:rPr>
          <w:sz w:val="20"/>
          <w:szCs w:val="20"/>
          <w:color w:val="auto"/>
        </w:rPr>
      </w:pPr>
    </w:p>
    <w:p>
      <w:pPr>
        <w:ind w:left="540" w:right="2039" w:firstLine="524"/>
        <w:spacing w:after="0" w:line="252" w:lineRule="auto"/>
        <w:rPr>
          <w:sz w:val="20"/>
          <w:szCs w:val="20"/>
          <w:color w:val="auto"/>
        </w:rPr>
      </w:pPr>
      <w:r>
        <w:rPr>
          <w:rFonts w:ascii="Courier New" w:cs="Courier New" w:eastAsia="Courier New" w:hAnsi="Courier New"/>
          <w:sz w:val="17"/>
          <w:szCs w:val="17"/>
          <w:color w:val="auto"/>
        </w:rPr>
        <w:t>"Common Stock Group" shall mean, as of any date, the interest of the corporation in all of the businesses in which the corporation is or has been engaged, directly or indirectly (either itself or through direct or indirect subsidiaries, affiliates, joint ventures or other investments or any of their predecessors or successors), and the respective assets and liabilities of the corporation therein, other than the Consumer Services Group Allocated Portion of the Consumer Services Group.</w:t>
      </w:r>
    </w:p>
    <w:p>
      <w:pPr>
        <w:spacing w:after="0" w:line="196" w:lineRule="exact"/>
        <w:rPr>
          <w:sz w:val="20"/>
          <w:szCs w:val="20"/>
          <w:color w:val="auto"/>
        </w:rPr>
      </w:pPr>
    </w:p>
    <w:p>
      <w:pPr>
        <w:ind w:left="540" w:right="1839" w:firstLine="524"/>
        <w:spacing w:after="0" w:line="251" w:lineRule="auto"/>
        <w:rPr>
          <w:sz w:val="20"/>
          <w:szCs w:val="20"/>
          <w:color w:val="auto"/>
        </w:rPr>
      </w:pPr>
      <w:r>
        <w:rPr>
          <w:rFonts w:ascii="Courier New" w:cs="Courier New" w:eastAsia="Courier New" w:hAnsi="Courier New"/>
          <w:sz w:val="17"/>
          <w:szCs w:val="17"/>
          <w:color w:val="auto"/>
        </w:rPr>
        <w:t>"Consumer Services Group" shall mean, as of any date that any shares of Consumer Services Group Common Stock have been issued and continue to be outstanding, without duplication, the direct or indirect interest of the corporation (either itself or through direct or indirect subsidiaries, affiliates, joint ventures or other investments, or any of their predecessors or successors) (a) in all of the businesses, assets and liabilities reflected in the financial statements of the Consumer Services</w:t>
      </w:r>
    </w:p>
    <w:tbl>
      <w:tblPr>
        <w:tblLayout w:type="fixed"/>
        <w:tblInd w:w="540" w:type="dxa"/>
        <w:tblCellMar>
          <w:top w:w="0" w:type="dxa"/>
          <w:left w:w="0" w:type="dxa"/>
          <w:bottom w:w="0" w:type="dxa"/>
          <w:right w:w="0" w:type="dxa"/>
        </w:tblCellMar>
      </w:tblPr>
      <w:tr>
        <w:trPr>
          <w:trHeight w:val="197"/>
        </w:trPr>
        <w:tc>
          <w:tcPr>
            <w:tcW w:w="1720" w:type="dxa"/>
            <w:vAlign w:val="bottom"/>
          </w:tcPr>
          <w:p>
            <w:pPr>
              <w:spacing w:after="0"/>
              <w:rPr>
                <w:sz w:val="20"/>
                <w:szCs w:val="20"/>
                <w:color w:val="auto"/>
              </w:rPr>
            </w:pPr>
            <w:r>
              <w:rPr>
                <w:rFonts w:ascii="Courier New" w:cs="Courier New" w:eastAsia="Courier New" w:hAnsi="Courier New"/>
                <w:sz w:val="17"/>
                <w:szCs w:val="17"/>
                <w:color w:val="auto"/>
              </w:rPr>
              <w:t>Group dated</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520" w:type="dxa"/>
            <w:vAlign w:val="bottom"/>
          </w:tcPr>
          <w:p>
            <w:pPr>
              <w:ind w:left="260"/>
              <w:spacing w:after="0"/>
              <w:rPr>
                <w:sz w:val="20"/>
                <w:szCs w:val="20"/>
                <w:color w:val="auto"/>
              </w:rPr>
            </w:pPr>
            <w:r>
              <w:rPr>
                <w:rFonts w:ascii="Courier New" w:cs="Courier New" w:eastAsia="Courier New" w:hAnsi="Courier New"/>
                <w:sz w:val="17"/>
                <w:szCs w:val="17"/>
                <w:color w:val="auto"/>
              </w:rPr>
              <w:t>publicly filed by the</w:t>
            </w:r>
          </w:p>
        </w:tc>
        <w:tc>
          <w:tcPr>
            <w:tcW w:w="13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corporation,</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including</w:t>
            </w:r>
          </w:p>
        </w:tc>
      </w:tr>
      <w:tr>
        <w:trPr>
          <w:trHeight w:val="201"/>
        </w:trPr>
        <w:tc>
          <w:tcPr>
            <w:tcW w:w="5800" w:type="dxa"/>
            <w:vAlign w:val="bottom"/>
            <w:gridSpan w:val="4"/>
          </w:tcPr>
          <w:p>
            <w:pPr>
              <w:spacing w:after="0"/>
              <w:rPr>
                <w:sz w:val="20"/>
                <w:szCs w:val="20"/>
                <w:color w:val="auto"/>
              </w:rPr>
            </w:pPr>
            <w:r>
              <w:rPr>
                <w:rFonts w:ascii="Courier New" w:cs="Courier New" w:eastAsia="Courier New" w:hAnsi="Courier New"/>
                <w:sz w:val="17"/>
                <w:szCs w:val="17"/>
                <w:color w:val="auto"/>
              </w:rPr>
              <w:t>any successor to the Consumer Services Group by merger,</w:t>
            </w:r>
          </w:p>
        </w:tc>
        <w:tc>
          <w:tcPr>
            <w:tcW w:w="17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consolidation or</w:t>
            </w:r>
          </w:p>
        </w:tc>
      </w:tr>
      <w:tr>
        <w:trPr>
          <w:trHeight w:val="201"/>
        </w:trPr>
        <w:tc>
          <w:tcPr>
            <w:tcW w:w="5800" w:type="dxa"/>
            <w:vAlign w:val="bottom"/>
            <w:gridSpan w:val="4"/>
          </w:tcPr>
          <w:p>
            <w:pPr>
              <w:spacing w:after="0"/>
              <w:rPr>
                <w:sz w:val="20"/>
                <w:szCs w:val="20"/>
                <w:color w:val="auto"/>
              </w:rPr>
            </w:pPr>
            <w:r>
              <w:rPr>
                <w:rFonts w:ascii="Courier New" w:cs="Courier New" w:eastAsia="Courier New" w:hAnsi="Courier New"/>
                <w:sz w:val="17"/>
                <w:szCs w:val="17"/>
                <w:color w:val="auto"/>
              </w:rPr>
              <w:t>sale of all or substantially all of its assets (whether</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or</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not</w:t>
            </w:r>
          </w:p>
        </w:tc>
        <w:tc>
          <w:tcPr>
            <w:tcW w:w="100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in</w:t>
            </w:r>
          </w:p>
        </w:tc>
      </w:tr>
      <w:tr>
        <w:trPr>
          <w:trHeight w:val="201"/>
        </w:trPr>
        <w:tc>
          <w:tcPr>
            <w:tcW w:w="5180" w:type="dxa"/>
            <w:vAlign w:val="bottom"/>
            <w:gridSpan w:val="3"/>
          </w:tcPr>
          <w:p>
            <w:pPr>
              <w:spacing w:after="0"/>
              <w:rPr>
                <w:sz w:val="20"/>
                <w:szCs w:val="20"/>
                <w:color w:val="auto"/>
              </w:rPr>
            </w:pPr>
            <w:r>
              <w:rPr>
                <w:rFonts w:ascii="Courier New" w:cs="Courier New" w:eastAsia="Courier New" w:hAnsi="Courier New"/>
                <w:sz w:val="17"/>
                <w:szCs w:val="17"/>
                <w:color w:val="auto"/>
              </w:rPr>
              <w:t>connection with a Consumer Services Group Related</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Business</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Transaction),</w:t>
            </w:r>
          </w:p>
        </w:tc>
      </w:tr>
    </w:tbl>
    <w:p>
      <w:pPr>
        <w:spacing w:after="0" w:line="4" w:lineRule="exact"/>
        <w:rPr>
          <w:sz w:val="20"/>
          <w:szCs w:val="20"/>
          <w:color w:val="auto"/>
        </w:rPr>
      </w:pPr>
    </w:p>
    <w:p>
      <w:pPr>
        <w:ind w:left="540" w:right="1839" w:hanging="9"/>
        <w:spacing w:after="0" w:line="251" w:lineRule="auto"/>
        <w:tabs>
          <w:tab w:leader="none" w:pos="959" w:val="left"/>
        </w:tabs>
        <w:numPr>
          <w:ilvl w:val="0"/>
          <w:numId w:val="9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other assets and liabilities (contingent or otherwise) of the corporation and its Subsidiaries primarily related to the businesses, assets and liabilities described in clause (a) and all net income and net losses arising in respect thereof after such date, (c) all assets, liabilities and businesses acquired by the Consumer Services Group or acquired by the corporation or any of its Subsidiaries for the account of, or contributed, allocated or otherwise transferred to, the Consumer Services Group (including the net proceeds of any new issuance for the account of the Consumer Services Group of any new shares of Consumer Services Group Common Stock or Convertible Securities), in each case, after the date of such financial statements and as determined by the Board of Directors in accordance with the provisions of paragraphs 7 and 8 of this Part B of this Article Third, and (d) the proceeds of</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M-11</w:t>
      </w:r>
    </w:p>
    <w:p>
      <w:pPr>
        <w:sectPr>
          <w:pgSz w:w="11900" w:h="16838" w:orient="portrait"/>
          <w:cols w:equalWidth="0" w:num="1">
            <w:col w:w="10219"/>
          </w:cols>
          <w:pgMar w:left="240" w:top="719" w:right="1440" w:bottom="1440" w:gutter="0" w:footer="0" w:header="0"/>
        </w:sectPr>
      </w:pPr>
    </w:p>
    <w:bookmarkStart w:id="837" w:name="page838"/>
    <w:bookmarkEnd w:id="837"/>
    <w:p>
      <w:pPr>
        <w:ind w:left="9" w:right="1939"/>
        <w:spacing w:after="0" w:line="251" w:lineRule="auto"/>
        <w:rPr>
          <w:sz w:val="20"/>
          <w:szCs w:val="20"/>
          <w:color w:val="auto"/>
        </w:rPr>
      </w:pPr>
      <w:r>
        <w:rPr>
          <w:rFonts w:ascii="Courier New" w:cs="Courier New" w:eastAsia="Courier New" w:hAnsi="Courier New"/>
          <w:sz w:val="17"/>
          <w:szCs w:val="17"/>
          <w:color w:val="auto"/>
        </w:rPr>
        <w:t>any Disposition of any of the foregoing; provided, however, that the Consumer Services Group shall not include (a) any assets, liabilities or businesses disposed of after the date of such financial statements or (b) any assets, liabilities or businesses allocated to the Common Stock Group or otherwise distributed or otherwise transferred from the Consumer Services Group, whether to the Common Stock Group, to holders of shares of Consumer Services Group Common Stock or otherwise, in each case after the date of such financial statements and as determined by the Board of Directors in accordance with the provisions of paragraphs 7 and 8 of this Part B of this Article Third.</w:t>
      </w:r>
    </w:p>
    <w:p>
      <w:pPr>
        <w:spacing w:after="0" w:line="201" w:lineRule="exact"/>
        <w:rPr>
          <w:sz w:val="20"/>
          <w:szCs w:val="20"/>
          <w:color w:val="auto"/>
        </w:rPr>
      </w:pPr>
    </w:p>
    <w:p>
      <w:pPr>
        <w:ind w:left="9" w:right="1839" w:firstLine="524"/>
        <w:spacing w:after="0" w:line="251" w:lineRule="auto"/>
        <w:rPr>
          <w:sz w:val="20"/>
          <w:szCs w:val="20"/>
          <w:color w:val="auto"/>
        </w:rPr>
      </w:pPr>
      <w:r>
        <w:rPr>
          <w:rFonts w:ascii="Courier New" w:cs="Courier New" w:eastAsia="Courier New" w:hAnsi="Courier New"/>
          <w:sz w:val="17"/>
          <w:szCs w:val="17"/>
          <w:color w:val="auto"/>
        </w:rPr>
        <w:t>"Consumer Services Group Allocated Portion" shall mean, with respect to the Consumer Services Group as a whole, or any dividend, distribution, payment, consideration or other amount or allocation requiring apportionment between the holders of Consumer Services Group Common Stock (other than the corporation and its Subsidiaries), on the one hand, and the Common Stock Group, on the other hand, the following: (a) in the case of the Consumer Services Group as a whole, the proportion of such Group represented by the Consumer Services Group Allocation Fraction, and (b) in the case of any other amount or allocation, the product of (i) such amount or allocation and (ii) the Consumer Services Group Allocation Fraction.</w:t>
      </w:r>
    </w:p>
    <w:p>
      <w:pPr>
        <w:spacing w:after="0" w:line="201" w:lineRule="exact"/>
        <w:rPr>
          <w:sz w:val="20"/>
          <w:szCs w:val="20"/>
          <w:color w:val="auto"/>
        </w:rPr>
      </w:pPr>
    </w:p>
    <w:p>
      <w:pPr>
        <w:ind w:left="9" w:right="1839" w:firstLine="524"/>
        <w:spacing w:after="0" w:line="251" w:lineRule="auto"/>
        <w:rPr>
          <w:sz w:val="20"/>
          <w:szCs w:val="20"/>
          <w:color w:val="auto"/>
        </w:rPr>
      </w:pPr>
      <w:r>
        <w:rPr>
          <w:rFonts w:ascii="Courier New" w:cs="Courier New" w:eastAsia="Courier New" w:hAnsi="Courier New"/>
          <w:sz w:val="17"/>
          <w:szCs w:val="17"/>
          <w:color w:val="auto"/>
        </w:rPr>
        <w:t>"Consumer Services Group Allocation Fraction" shall mean, as of any date of determination, a fraction, the numerator of which shall be the number of shares of Consumer Services Group Common Stock outstanding on such date and the denominator of which shall be a number initially determined by the Board of Directors, in its sole discretion, prior to the date of the initial issuance of any shares of Consumer Services Group Common Stock, subject to adjustment from time to time as described in paragraph 8 of this Part B of this Article Third, provided that such fraction shall in no event be greater than one. If the holders of any securities of the corporation or any other Person that are convertible into or exercisable or exchangeable for shares of Consumer Services Group Common Stock are entitled to participate in any dividend or other distribution with respect to the Consumer Services Group Common Stock, such shares so issuable upon such conversion, exercise or exchange shall be taken into account in calculating the Consumer Services Group Allocation Fraction and any amount payable to the Common Stock Group in such manner as the Board of Directors determines to be appropriate.</w:t>
      </w:r>
    </w:p>
    <w:p>
      <w:pPr>
        <w:spacing w:after="0" w:line="202" w:lineRule="exact"/>
        <w:rPr>
          <w:sz w:val="20"/>
          <w:szCs w:val="20"/>
          <w:color w:val="auto"/>
        </w:rPr>
      </w:pPr>
    </w:p>
    <w:p>
      <w:pPr>
        <w:ind w:left="9" w:right="1939" w:firstLine="524"/>
        <w:spacing w:after="0" w:line="251" w:lineRule="auto"/>
        <w:rPr>
          <w:sz w:val="20"/>
          <w:szCs w:val="20"/>
          <w:color w:val="auto"/>
        </w:rPr>
      </w:pPr>
      <w:r>
        <w:rPr>
          <w:rFonts w:ascii="Courier New" w:cs="Courier New" w:eastAsia="Courier New" w:hAnsi="Courier New"/>
          <w:sz w:val="17"/>
          <w:szCs w:val="17"/>
          <w:color w:val="auto"/>
        </w:rPr>
        <w:t>"Consumer Services Group Available Dividend Amount" shall mean, as of any date, the Consumer Services Group Allocated Portion of the excess of</w:t>
      </w:r>
    </w:p>
    <w:p>
      <w:pPr>
        <w:ind w:left="429" w:hanging="429"/>
        <w:spacing w:after="0"/>
        <w:tabs>
          <w:tab w:leader="none" w:pos="429" w:val="left"/>
        </w:tabs>
        <w:numPr>
          <w:ilvl w:val="0"/>
          <w:numId w:val="9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by which the total assets of the Consumer Services Group</w:t>
      </w:r>
    </w:p>
    <w:p>
      <w:pPr>
        <w:spacing w:after="0" w:line="8" w:lineRule="exact"/>
        <w:rPr>
          <w:rFonts w:ascii="Courier New" w:cs="Courier New" w:eastAsia="Courier New" w:hAnsi="Courier New"/>
          <w:sz w:val="17"/>
          <w:szCs w:val="17"/>
          <w:color w:val="auto"/>
        </w:rPr>
      </w:pPr>
    </w:p>
    <w:p>
      <w:pPr>
        <w:ind w:left="9"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exceed the total liabilities of the Consumer Services Group as of such date over (b) the sum of (i) the par value of all issued shares of Consumer Services Group Common Stock and each class or series of Preferred Stock attributed to the Consumer Services Group, (ii) the amount of the consideration received for any shares of Preferred Stock attributed to the Consumer Services Group without par value that have been issued, except such part of the consideration therefor as may have been allocated to surplus in a manner permitted by law, and (iii) any amount not included in subclauses (i) and (ii) above that the corporation (by appropriate action of the Board of Directors) has transferred to stated capital specifically in respect of Consumer Services Group Common Stock, minus (c) all reductions from such sums set forth in clauses (i), (ii) and (iii) above as have been effected in a manner permitted by law; provided, however, that, in the event that the law governing the corporation changes from that governing the corporation on the date the adoption of the Amendment to this Certificate pursuant to which the Consumer Services Group Common Stock was authorized (whether because of amendment of the applicable law or because of a change in the jurisdiction of incorporation of the corporation through merger or otherwise), the Consumer Services Group Available Dividend Amount shall mean the amount of dividends, as determined by the Board of Directors, that could be paid by a corporation (governed under such applicable law) having the assets and liabilities of the Consumer Services Group, an amount of outstanding common stock (and having an aggregate par value) equal to the amount (and aggregate par value) of the outstanding Consumer Services Group Common Stock and of each class or series of Preferred Stock attributed to the Consumer Services Group and having an amount of earnings or loss</w:t>
      </w:r>
    </w:p>
    <w:p>
      <w:pPr>
        <w:spacing w:after="0" w:line="200" w:lineRule="exact"/>
        <w:rPr>
          <w:sz w:val="20"/>
          <w:szCs w:val="20"/>
          <w:color w:val="auto"/>
        </w:rPr>
      </w:pPr>
    </w:p>
    <w:p>
      <w:pPr>
        <w:spacing w:after="0" w:line="203"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M-12</w:t>
      </w:r>
    </w:p>
    <w:p>
      <w:pPr>
        <w:sectPr>
          <w:pgSz w:w="11900" w:h="16838" w:orient="portrait"/>
          <w:cols w:equalWidth="0" w:num="1">
            <w:col w:w="9688"/>
          </w:cols>
          <w:pgMar w:left="771" w:top="720" w:right="1440" w:bottom="1061" w:gutter="0" w:footer="0" w:header="0"/>
        </w:sectPr>
      </w:pPr>
    </w:p>
    <w:bookmarkStart w:id="838" w:name="page839"/>
    <w:bookmarkEnd w:id="838"/>
    <w:p>
      <w:pPr>
        <w:ind w:left="9" w:right="1939"/>
        <w:spacing w:after="0" w:line="254" w:lineRule="auto"/>
        <w:rPr>
          <w:sz w:val="20"/>
          <w:szCs w:val="20"/>
          <w:color w:val="auto"/>
        </w:rPr>
      </w:pPr>
      <w:r>
        <w:rPr>
          <w:rFonts w:ascii="Courier New" w:cs="Courier New" w:eastAsia="Courier New" w:hAnsi="Courier New"/>
          <w:sz w:val="17"/>
          <w:szCs w:val="17"/>
          <w:color w:val="auto"/>
        </w:rPr>
        <w:t>or other relevant corporate attributes as reasonably determined by the Board of Directors in light of all factors deemed relevant by the Board of Directors.</w:t>
      </w:r>
    </w:p>
    <w:p>
      <w:pPr>
        <w:spacing w:after="0" w:line="194" w:lineRule="exact"/>
        <w:rPr>
          <w:sz w:val="20"/>
          <w:szCs w:val="20"/>
          <w:color w:val="auto"/>
        </w:rPr>
      </w:pPr>
    </w:p>
    <w:p>
      <w:pPr>
        <w:ind w:left="9" w:right="1839" w:firstLine="524"/>
        <w:spacing w:after="0" w:line="251" w:lineRule="auto"/>
        <w:rPr>
          <w:sz w:val="20"/>
          <w:szCs w:val="20"/>
          <w:color w:val="auto"/>
        </w:rPr>
      </w:pPr>
      <w:r>
        <w:rPr>
          <w:rFonts w:ascii="Courier New" w:cs="Courier New" w:eastAsia="Courier New" w:hAnsi="Courier New"/>
          <w:sz w:val="17"/>
          <w:szCs w:val="17"/>
          <w:color w:val="auto"/>
        </w:rPr>
        <w:t>"Consumer Services Group Net Proceeds" shall mean, as of any date, with respect to any Disposition of any of the properties and assets of the Consumer Services Group, an amount, if any, equal to the Consumer Services Group Allocated Portion of the gross proceeds of such Disposition after any payment of, or reasonable provision for, (a) any taxes payable by the corporation or any other member of the Common Stock Group in respect of such Disposition or in respect of any mandatory dividend or redemption resulting from such Disposition (or that would have been payable but for the utilization of tax benefits attributable to the Common Stock Group),</w:t>
      </w:r>
    </w:p>
    <w:p>
      <w:pPr>
        <w:ind w:left="429" w:hanging="429"/>
        <w:spacing w:after="0"/>
        <w:tabs>
          <w:tab w:leader="none" w:pos="429" w:val="left"/>
        </w:tabs>
        <w:numPr>
          <w:ilvl w:val="0"/>
          <w:numId w:val="9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transaction costs borne by the Common Stock Group in connection</w:t>
      </w:r>
    </w:p>
    <w:p>
      <w:pPr>
        <w:spacing w:after="0" w:line="8" w:lineRule="exact"/>
        <w:rPr>
          <w:rFonts w:ascii="Courier New" w:cs="Courier New" w:eastAsia="Courier New" w:hAnsi="Courier New"/>
          <w:sz w:val="17"/>
          <w:szCs w:val="17"/>
          <w:color w:val="auto"/>
        </w:rPr>
      </w:pPr>
    </w:p>
    <w:p>
      <w:pPr>
        <w:ind w:left="9"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such Disposition, including, without limitation, any legal, investment banking and accounting fees and expenses borne by the Common Stock Group in connection with such Disposition, (c) any liabilities and other obligations (contingent or otherwise) of the Consumer Services Group borne by the Common Stock Group in connection with such Disposition, including, without limitation, any indemnity or guarantee obligations incurred by the Common Stock Group in connection with the Disposition or any liabilities assumed by the Common Stock Group for future purchase price adjustments, and (d) any preferential amounts, accumulated and unpaid dividends and other obligations in respect of Preferred Stock attributed to the Consumer Services Group. To the extent the proceeds of any Disposition include any securities or other property other than cash, the Board of Directors shall determine the value of such securities or property; provided that the value of any marketable securities included in such proceeds shall be the average of the daily Market Value of such securities for the 10 consecutive Trading Days beginning on the 15th Trading Day following consummation of the Disposition.</w:t>
      </w:r>
    </w:p>
    <w:p>
      <w:pPr>
        <w:spacing w:after="0" w:line="200" w:lineRule="exact"/>
        <w:rPr>
          <w:sz w:val="20"/>
          <w:szCs w:val="20"/>
          <w:color w:val="auto"/>
        </w:rPr>
      </w:pPr>
    </w:p>
    <w:p>
      <w:pPr>
        <w:spacing w:after="0" w:line="203" w:lineRule="exact"/>
        <w:rPr>
          <w:sz w:val="20"/>
          <w:szCs w:val="20"/>
          <w:color w:val="auto"/>
        </w:rPr>
      </w:pPr>
    </w:p>
    <w:p>
      <w:pPr>
        <w:ind w:left="9" w:right="1839" w:firstLine="524"/>
        <w:spacing w:after="0" w:line="251" w:lineRule="auto"/>
        <w:rPr>
          <w:sz w:val="20"/>
          <w:szCs w:val="20"/>
          <w:color w:val="auto"/>
        </w:rPr>
      </w:pPr>
      <w:r>
        <w:rPr>
          <w:rFonts w:ascii="Courier New" w:cs="Courier New" w:eastAsia="Courier New" w:hAnsi="Courier New"/>
          <w:sz w:val="17"/>
          <w:szCs w:val="17"/>
          <w:color w:val="auto"/>
        </w:rPr>
        <w:t>"Consumer Services Group Related Business Transaction" shall mean any Disposition of all or substantially all the properties and assets attributed to the Consumer Services Group in a transaction or series of related transactions that results in the corporation or one or more of its Subsidiaries receiving in consideration of such properties and assets primarily equity securities (including, without limitation, capital stock, debt securities convertible into or exchangeable for equity securities or interests in a general or limited partnership or limited liability company, without regard to the voting power or other management or governance rights associated therewith) of any entity that (a) acquires such properties or assets or succeeds (by merger, formation of a joint venture or otherwise) to the business conducted with such properties or assets or controls such acquiror or successor, and (b) which the Board of Directors determines is primarily engaged or proposes to engage primarily in one or more businesses similar or complementary to the businesses conducted by the Consumer Services Group prior to such Disposition.</w:t>
      </w:r>
    </w:p>
    <w:p>
      <w:pPr>
        <w:spacing w:after="0" w:line="202" w:lineRule="exact"/>
        <w:rPr>
          <w:sz w:val="20"/>
          <w:szCs w:val="20"/>
          <w:color w:val="auto"/>
        </w:rPr>
      </w:pPr>
    </w:p>
    <w:p>
      <w:pPr>
        <w:ind w:left="9" w:right="1939" w:firstLine="524"/>
        <w:spacing w:after="0" w:line="252" w:lineRule="auto"/>
        <w:rPr>
          <w:sz w:val="20"/>
          <w:szCs w:val="20"/>
          <w:color w:val="auto"/>
        </w:rPr>
      </w:pPr>
      <w:r>
        <w:rPr>
          <w:rFonts w:ascii="Courier New" w:cs="Courier New" w:eastAsia="Courier New" w:hAnsi="Courier New"/>
          <w:sz w:val="17"/>
          <w:szCs w:val="17"/>
          <w:color w:val="auto"/>
        </w:rPr>
        <w:t>"Convertible Securities" shall mean any securities of the corporation or any Subsidiary of the corporation that are convertible into, exchangeable for or evidence the right to purchase any shares of Common Stock, Consumer Services Group Common Stock, whether upon conversion, exercise or exchange, or pursuant to anti-dilution provisions of such securities or otherwise.</w:t>
      </w:r>
    </w:p>
    <w:p>
      <w:pPr>
        <w:spacing w:after="0" w:line="197" w:lineRule="exact"/>
        <w:rPr>
          <w:sz w:val="20"/>
          <w:szCs w:val="20"/>
          <w:color w:val="auto"/>
        </w:rPr>
      </w:pPr>
    </w:p>
    <w:p>
      <w:pPr>
        <w:ind w:left="9" w:right="1839" w:firstLine="524"/>
        <w:spacing w:after="0" w:line="251" w:lineRule="auto"/>
        <w:rPr>
          <w:sz w:val="20"/>
          <w:szCs w:val="20"/>
          <w:color w:val="auto"/>
        </w:rPr>
      </w:pPr>
      <w:r>
        <w:rPr>
          <w:rFonts w:ascii="Courier New" w:cs="Courier New" w:eastAsia="Courier New" w:hAnsi="Courier New"/>
          <w:sz w:val="17"/>
          <w:szCs w:val="17"/>
          <w:color w:val="auto"/>
        </w:rPr>
        <w:t>"Disposition" shall mean the sale, transfer, assignment or other disposition (whether by merger, consolidation, sale or contribution of assets or stock, or otherwise) by the corporation (or its successors) or any of its Subsidiaries or properties or assets. Disposition shall not include a merger, consolidation, exchange of shares or other business combination transaction involving the corporation in which the corporation (or its successors) continues, immediately following such transaction, to hold the same, direct and indirect, interest in the business, assets and liabilities comprising the Consumer Services Group that it held immediately prior to such transaction (other than as a result of any action by any Person included in the Consumer Services Group).</w:t>
      </w:r>
    </w:p>
    <w:p>
      <w:pPr>
        <w:spacing w:after="0" w:line="201" w:lineRule="exact"/>
        <w:rPr>
          <w:sz w:val="20"/>
          <w:szCs w:val="20"/>
          <w:color w:val="auto"/>
        </w:rPr>
      </w:pPr>
    </w:p>
    <w:p>
      <w:pPr>
        <w:ind w:left="9" w:right="1839" w:firstLine="524"/>
        <w:spacing w:after="0" w:line="253" w:lineRule="auto"/>
        <w:rPr>
          <w:sz w:val="20"/>
          <w:szCs w:val="20"/>
          <w:color w:val="auto"/>
        </w:rPr>
      </w:pPr>
      <w:r>
        <w:rPr>
          <w:rFonts w:ascii="Courier New" w:cs="Courier New" w:eastAsia="Courier New" w:hAnsi="Courier New"/>
          <w:sz w:val="17"/>
          <w:szCs w:val="17"/>
          <w:color w:val="auto"/>
        </w:rPr>
        <w:t>"Fair Value" shall mean, in the case of equity securities or debt securities of a class that has previously been publicly traded for a period of at least three months, the Market Value thereof (if such Market Value, as so defined, can be determined) or, in the case of an equity security or debt</w:t>
      </w:r>
    </w:p>
    <w:p>
      <w:pPr>
        <w:spacing w:after="0" w:line="396"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M-13</w:t>
      </w:r>
    </w:p>
    <w:p>
      <w:pPr>
        <w:sectPr>
          <w:pgSz w:w="11900" w:h="16838" w:orient="portrait"/>
          <w:cols w:equalWidth="0" w:num="1">
            <w:col w:w="9688"/>
          </w:cols>
          <w:pgMar w:left="771" w:top="719" w:right="1440" w:bottom="458" w:gutter="0" w:footer="0" w:header="0"/>
        </w:sectPr>
      </w:pPr>
    </w:p>
    <w:bookmarkStart w:id="839" w:name="page840"/>
    <w:bookmarkEnd w:id="839"/>
    <w:p>
      <w:pPr>
        <w:ind w:left="9" w:right="1839"/>
        <w:spacing w:after="0" w:line="251" w:lineRule="auto"/>
        <w:rPr>
          <w:sz w:val="20"/>
          <w:szCs w:val="20"/>
          <w:color w:val="auto"/>
        </w:rPr>
      </w:pPr>
      <w:r>
        <w:rPr>
          <w:rFonts w:ascii="Courier New" w:cs="Courier New" w:eastAsia="Courier New" w:hAnsi="Courier New"/>
          <w:sz w:val="17"/>
          <w:szCs w:val="17"/>
          <w:color w:val="auto"/>
        </w:rPr>
        <w:t>security that has not been publicly traded for at least such period, means the fair value per share of stock or per other unit of such other security, on a fully distributed basis, as determined by an independent investment banking firm experienced in the valuation of securities selected in good faith by the Board of Directors; provided, however, that, in the case of property other than securities, the "Fair Value" thereof shall be determined in good faith by the Board of Directors based upon such appraisals or valuation reports of such independent experts as the Board of Directors shall in good faith determine to be appropriate in accordance with good business practice. Any such determination of Fair Value shall be described in a statement filed with the records of the actions of the Board of Directors.</w:t>
      </w:r>
    </w:p>
    <w:p>
      <w:pPr>
        <w:spacing w:after="0" w:line="201" w:lineRule="exact"/>
        <w:rPr>
          <w:sz w:val="20"/>
          <w:szCs w:val="20"/>
          <w:color w:val="auto"/>
        </w:rPr>
      </w:pPr>
    </w:p>
    <w:p>
      <w:pPr>
        <w:ind w:left="9" w:right="2259" w:firstLine="524"/>
        <w:spacing w:after="0" w:line="257" w:lineRule="auto"/>
        <w:rPr>
          <w:sz w:val="20"/>
          <w:szCs w:val="20"/>
          <w:color w:val="auto"/>
        </w:rPr>
      </w:pPr>
      <w:r>
        <w:rPr>
          <w:rFonts w:ascii="Courier New" w:cs="Courier New" w:eastAsia="Courier New" w:hAnsi="Courier New"/>
          <w:sz w:val="17"/>
          <w:szCs w:val="17"/>
          <w:color w:val="auto"/>
        </w:rPr>
        <w:t>"Group" shall mean the Common Stock Group or the Consumer Services Group.</w:t>
      </w:r>
    </w:p>
    <w:p>
      <w:pPr>
        <w:spacing w:after="0" w:line="192" w:lineRule="exact"/>
        <w:rPr>
          <w:sz w:val="20"/>
          <w:szCs w:val="20"/>
          <w:color w:val="auto"/>
        </w:rPr>
      </w:pPr>
    </w:p>
    <w:p>
      <w:pPr>
        <w:ind w:left="9" w:right="1839" w:firstLine="524"/>
        <w:spacing w:after="0" w:line="253" w:lineRule="auto"/>
        <w:rPr>
          <w:sz w:val="20"/>
          <w:szCs w:val="20"/>
          <w:color w:val="auto"/>
        </w:rPr>
      </w:pPr>
      <w:r>
        <w:rPr>
          <w:rFonts w:ascii="Courier New" w:cs="Courier New" w:eastAsia="Courier New" w:hAnsi="Courier New"/>
          <w:sz w:val="17"/>
          <w:szCs w:val="17"/>
          <w:color w:val="auto"/>
        </w:rPr>
        <w:t>"Market Capitalization" of any class or series of capital stock of the corporation on any Trading Day shall mean the product of (a) the Market Value of one share of such class or series on such Trading Day and (b) the number of shares of such class or series outstanding on such Trading Day.</w:t>
      </w:r>
    </w:p>
    <w:p>
      <w:pPr>
        <w:spacing w:after="0" w:line="195" w:lineRule="exact"/>
        <w:rPr>
          <w:sz w:val="20"/>
          <w:szCs w:val="20"/>
          <w:color w:val="auto"/>
        </w:rPr>
      </w:pPr>
    </w:p>
    <w:p>
      <w:pPr>
        <w:ind w:left="9" w:right="1839" w:firstLine="524"/>
        <w:spacing w:after="0" w:line="251" w:lineRule="auto"/>
        <w:rPr>
          <w:sz w:val="20"/>
          <w:szCs w:val="20"/>
          <w:color w:val="auto"/>
        </w:rPr>
      </w:pPr>
      <w:r>
        <w:rPr>
          <w:rFonts w:ascii="Courier New" w:cs="Courier New" w:eastAsia="Courier New" w:hAnsi="Courier New"/>
          <w:sz w:val="17"/>
          <w:szCs w:val="17"/>
          <w:color w:val="auto"/>
        </w:rPr>
        <w:t>"Market Value" of any class or series of capital stock of the corporation on any day shall mean the average of the high and low reported sales prices regular way of a share of such class or series on such day (if such day is a Trading Day, and, if such day is not a Trading Day, on the Trading Day immediately preceding such day), or, in case no such reported sale takes place on such Trading Day, the average of the reported closing bid and asked prices regular way of a share of such class or series on such Trading Day, in either case, on the New York Stock Exchange or, if the shares of such class or series are not quoted on the New York Stock Exchange on such Trading Day, on the Nasdaq National Market, or, if the shares of such class or series are not quoted on the Nasdaq National Market on such Trading Day, the average of the closing bid and asked prices of a share of such class or series in the over-the-counter market on such Trading Day as furnished by any New York Stock Exchange member firm selected from time to time by the corporation, or, if such closing bid and asked prices are not made available by any such New York Stock Exchange member firm on such Trading Day (including, without limitation, because such securities are not publicly held), the market value of a share of such class or series as determined by the Board of Directors; provided that, for purposes of determining the ratios set forth in paragraph 6 of this Part B of this Article Third, (a) the "Market Value" of any share of Common Stock or Consumer Services Group Common Stock on any day prior to the "ex" date or any similar date for any dividend or distribution paid or to be paid with respect to Common Stock or Consumer Services Group Common Stock, as applicable, shall be reduced by the fair market value of the per share amount of such dividend or distribution as determined by the Board of Directors, and (b) the "Market Value" of any share of Common Stock or any share of Consumer Services Group Common Stock on any day prior to (i) the effective date of any subdivision (by stock split or otherwise) or combination (by reverse stock split or otherwise) of outstanding shares of Common Stock or Consumer Services Group Common Stock, as applicable, or</w:t>
      </w:r>
    </w:p>
    <w:p>
      <w:pPr>
        <w:ind w:left="9" w:right="1839" w:hanging="9"/>
        <w:spacing w:after="0" w:line="252" w:lineRule="auto"/>
        <w:tabs>
          <w:tab w:leader="none" w:pos="533" w:val="left"/>
        </w:tabs>
        <w:numPr>
          <w:ilvl w:val="0"/>
          <w:numId w:val="9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 date or any similar date for any dividend or distribution with respect to the Common Stock or Consumer Services Group Common Stock in shares of Common Stock or Consumer Services Group Common Stock, as applicable, shall be appropriately adjusted to reflect such subdivision, combination, dividend or distribution.</w:t>
      </w:r>
    </w:p>
    <w:p>
      <w:pPr>
        <w:spacing w:after="0" w:line="197" w:lineRule="exact"/>
        <w:rPr>
          <w:sz w:val="20"/>
          <w:szCs w:val="20"/>
          <w:color w:val="auto"/>
        </w:rPr>
      </w:pPr>
    </w:p>
    <w:p>
      <w:pPr>
        <w:ind w:left="9" w:right="1939" w:firstLine="524"/>
        <w:spacing w:after="0" w:line="252" w:lineRule="auto"/>
        <w:rPr>
          <w:sz w:val="20"/>
          <w:szCs w:val="20"/>
          <w:color w:val="auto"/>
        </w:rPr>
      </w:pPr>
      <w:r>
        <w:rPr>
          <w:rFonts w:ascii="Courier New" w:cs="Courier New" w:eastAsia="Courier New" w:hAnsi="Courier New"/>
          <w:sz w:val="17"/>
          <w:szCs w:val="17"/>
          <w:color w:val="auto"/>
        </w:rPr>
        <w:t>"Person" shall mean any individual, corporation, partnership, limited liability company, joint venture, association, joint stock company, trust, unincorporated organization, government or agency or political subdivision thereof, or other entity, whether acting in an individual, fiduciary or other capacity.</w:t>
      </w:r>
    </w:p>
    <w:p>
      <w:pPr>
        <w:spacing w:after="0" w:line="197" w:lineRule="exact"/>
        <w:rPr>
          <w:sz w:val="20"/>
          <w:szCs w:val="20"/>
          <w:color w:val="auto"/>
        </w:rPr>
      </w:pPr>
    </w:p>
    <w:p>
      <w:pPr>
        <w:ind w:left="9" w:right="1839" w:firstLine="524"/>
        <w:spacing w:after="0" w:line="252" w:lineRule="auto"/>
        <w:rPr>
          <w:sz w:val="20"/>
          <w:szCs w:val="20"/>
          <w:color w:val="auto"/>
        </w:rPr>
      </w:pPr>
      <w:r>
        <w:rPr>
          <w:rFonts w:ascii="Courier New" w:cs="Courier New" w:eastAsia="Courier New" w:hAnsi="Courier New"/>
          <w:sz w:val="17"/>
          <w:szCs w:val="17"/>
          <w:color w:val="auto"/>
        </w:rPr>
        <w:t>"Qualifying Subsidiary" of a Person shall mean a Subsidiary of such Person in which such Person's ownership and voting interest is sufficient to satisfy the ownership and voting requirements of the Internal Revenue Code of 1986, as amended, and the regulations thereunder, for a distribution of such Person's interest in such Subsidiary to the holders of Consumer Services Group Common Stock and, in the event that the Consumer Services Group Allocation Fraction is less than one, the holders</w:t>
      </w:r>
    </w:p>
    <w:p>
      <w:pPr>
        <w:spacing w:after="0" w:line="196" w:lineRule="exact"/>
        <w:rPr>
          <w:sz w:val="20"/>
          <w:szCs w:val="20"/>
          <w:color w:val="auto"/>
        </w:rPr>
      </w:pPr>
    </w:p>
    <w:p>
      <w:pPr>
        <w:ind w:left="3569"/>
        <w:spacing w:after="0"/>
        <w:rPr>
          <w:sz w:val="20"/>
          <w:szCs w:val="20"/>
          <w:color w:val="auto"/>
        </w:rPr>
      </w:pPr>
      <w:r>
        <w:rPr>
          <w:rFonts w:ascii="Courier New" w:cs="Courier New" w:eastAsia="Courier New" w:hAnsi="Courier New"/>
          <w:sz w:val="17"/>
          <w:szCs w:val="17"/>
          <w:color w:val="auto"/>
        </w:rPr>
        <w:t>M-14</w:t>
      </w:r>
    </w:p>
    <w:p>
      <w:pPr>
        <w:sectPr>
          <w:pgSz w:w="11900" w:h="16838" w:orient="portrait"/>
          <w:cols w:equalWidth="0" w:num="1">
            <w:col w:w="9688"/>
          </w:cols>
          <w:pgMar w:left="771" w:top="719" w:right="1440" w:bottom="860" w:gutter="0" w:footer="0" w:header="0"/>
        </w:sectPr>
      </w:pPr>
    </w:p>
    <w:bookmarkStart w:id="840" w:name="page841"/>
    <w:bookmarkEnd w:id="840"/>
    <w:p>
      <w:pPr>
        <w:ind w:left="540" w:right="1939"/>
        <w:spacing w:after="0" w:line="253" w:lineRule="auto"/>
        <w:rPr>
          <w:sz w:val="20"/>
          <w:szCs w:val="20"/>
          <w:color w:val="auto"/>
        </w:rPr>
      </w:pPr>
      <w:r>
        <w:rPr>
          <w:rFonts w:ascii="Courier New" w:cs="Courier New" w:eastAsia="Courier New" w:hAnsi="Courier New"/>
          <w:sz w:val="17"/>
          <w:szCs w:val="17"/>
          <w:color w:val="auto"/>
        </w:rPr>
        <w:t>of Common Stock (or any such securities into which the Consumer Services Group Common Stock or the Common Stock may have been converted, reclassified or changed or for which they may have been exchanged), as the case may be, to be tax free to such holders.</w:t>
      </w:r>
    </w:p>
    <w:p>
      <w:pPr>
        <w:spacing w:after="0" w:line="195" w:lineRule="exact"/>
        <w:rPr>
          <w:sz w:val="20"/>
          <w:szCs w:val="20"/>
          <w:color w:val="auto"/>
        </w:rPr>
      </w:pPr>
    </w:p>
    <w:p>
      <w:pPr>
        <w:jc w:val="both"/>
        <w:ind w:left="540" w:right="1939" w:firstLine="524"/>
        <w:spacing w:after="0" w:line="253" w:lineRule="auto"/>
        <w:rPr>
          <w:sz w:val="20"/>
          <w:szCs w:val="20"/>
          <w:color w:val="auto"/>
        </w:rPr>
      </w:pPr>
      <w:r>
        <w:rPr>
          <w:rFonts w:ascii="Courier New" w:cs="Courier New" w:eastAsia="Courier New" w:hAnsi="Courier New"/>
          <w:sz w:val="17"/>
          <w:szCs w:val="17"/>
          <w:color w:val="auto"/>
        </w:rPr>
        <w:t>"Subsidiary" shall mean, with respect to any Person, any corporation, limited liability company or partnership 50% or more of whose outstanding voting securities or membership or partnership interests, as the case may be, are, directly or indirectly, owned by such Person.</w:t>
      </w:r>
    </w:p>
    <w:p>
      <w:pPr>
        <w:spacing w:after="0" w:line="195" w:lineRule="exact"/>
        <w:rPr>
          <w:sz w:val="20"/>
          <w:szCs w:val="20"/>
          <w:color w:val="auto"/>
        </w:rPr>
      </w:pPr>
    </w:p>
    <w:p>
      <w:pPr>
        <w:ind w:left="540" w:right="1839" w:firstLine="524"/>
        <w:spacing w:after="0" w:line="253" w:lineRule="auto"/>
        <w:rPr>
          <w:sz w:val="20"/>
          <w:szCs w:val="20"/>
          <w:color w:val="auto"/>
        </w:rPr>
      </w:pPr>
      <w:r>
        <w:rPr>
          <w:rFonts w:ascii="Courier New" w:cs="Courier New" w:eastAsia="Courier New" w:hAnsi="Courier New"/>
          <w:sz w:val="17"/>
          <w:szCs w:val="17"/>
          <w:color w:val="auto"/>
        </w:rPr>
        <w:t>"Trading Day" shall mean each weekday other than any day on which any relevant class or series of capital stock of the corporation is not available for trading on the New York Stock Exchange or the Nasdaq National Market or in the over-the-counter market.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CERTAIN TRANSACTIONS INVOLVING THE CORPORATION AS A WHOLE.</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Notwithstanding anything to the contrary, in the event of a Disposition of all or substantially all of the properties and assets of the corporation to an entity not directly controlled by the corporation or shareholders of the corporation, the provisions of paragraph 4(b) of this Part B of this Article Third shall not apply if, as part of such Disposition, each share of Consumer Services Group Common Stock is entitled to receive the same consideration (both in type and amount) as such share of Consumer Services Group Common Stock would have received had it been exchanged for Common Stock.</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M-15</w:t>
      </w:r>
    </w:p>
    <w:p>
      <w:pPr>
        <w:sectPr>
          <w:pgSz w:w="11900" w:h="16838" w:orient="portrait"/>
          <w:cols w:equalWidth="0" w:num="1">
            <w:col w:w="10219"/>
          </w:cols>
          <w:pgMar w:left="240" w:top="719" w:right="1440" w:bottom="1440" w:gutter="0" w:footer="0" w:header="0"/>
        </w:sectPr>
      </w:pPr>
    </w:p>
    <w:bookmarkStart w:id="841" w:name="page842"/>
    <w:bookmarkEnd w:id="841"/>
    <w:p>
      <w:pPr>
        <w:jc w:val="right"/>
        <w:ind w:right="1839"/>
        <w:spacing w:after="0"/>
        <w:rPr>
          <w:sz w:val="20"/>
          <w:szCs w:val="20"/>
          <w:color w:val="auto"/>
        </w:rPr>
      </w:pPr>
      <w:r>
        <w:rPr>
          <w:rFonts w:ascii="Courier New" w:cs="Courier New" w:eastAsia="Courier New" w:hAnsi="Courier New"/>
          <w:sz w:val="17"/>
          <w:szCs w:val="17"/>
          <w:color w:val="auto"/>
        </w:rPr>
        <w:t>ANNEX N</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FORM OF BY-LAW AMENDMENT</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[NOTE: THE AT&amp;T GROUPS CAPITAL STOCK COMMITTEE BY-LAW WILL REPLACE THE LAST TWO PARAGRAPHS OF THE BY-LAW PROVISION ESTABLISHING STANDING COMMITTEES SUCH AS THE AUDIT COMMITTEE AND THE COMPENSATION COMMITTEE. THESE PARAGRAPHS CURRENTLY RELATE TO THE LIBERTY MEDIA GROUP CAPITAL STOCK COMMITTEE AND THE AT&amp;T WIRELESS GROUP CAPITAL STOCK COMMITTEE.]</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 Groups Capital Stock Committee. The Board of Directors shall form an AT&amp;T Groups Capital Stock Committee, the members of which shall be selected by the Board of Directors of the company. The Board of Directors of the company shall delegate to the AT&amp;T Groups Capital Stock Committee the authority to, and the AT&amp;T Groups Capital Stock Committee will have the authority to, (i) interpret, make determinations under, and oversee the implementation of the policies set forth in the Policy Statement Regarding AT&amp;T Groups Tracking Stock Matters; (ii) review the policies, programs and practices of the company relating to (a) the business and financial relationships between the company or any of its units and AT&amp;T Consumer Services Group, and (b) any matters arising in connection therewith, all to the extent the AT&amp;T Groups Capital Stock Committee may deem appropriate; and (iii) recommend such changes in such policies, programs and practices as the AT&amp;T Groups Capital Stock Committee may deem appropriate. In performing this function, the AT&amp;T Groups Capital Stock Committee's role shall not be to make decisions concerning matters referred to its attention, but, rather, to oversee the process by which decisions concerning such matters are made. The AT&amp;T Groups Capital Stock Committee shall have and may exercise such other powers, authority and responsibilities as may be determined from time to time by the Board of Directors of the company.</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N-1</w:t>
      </w:r>
    </w:p>
    <w:p>
      <w:pPr>
        <w:sectPr>
          <w:pgSz w:w="11900" w:h="16838" w:orient="portrait"/>
          <w:cols w:equalWidth="0" w:num="1">
            <w:col w:w="10219"/>
          </w:cols>
          <w:pgMar w:left="240" w:top="720" w:right="1440" w:bottom="1440" w:gutter="0" w:footer="0" w:header="0"/>
        </w:sectPr>
      </w:pPr>
    </w:p>
    <w:bookmarkStart w:id="842" w:name="page843"/>
    <w:bookmarkEnd w:id="842"/>
    <w:p>
      <w:pPr>
        <w:jc w:val="right"/>
        <w:ind w:right="1839"/>
        <w:spacing w:after="0"/>
        <w:rPr>
          <w:sz w:val="20"/>
          <w:szCs w:val="20"/>
          <w:color w:val="auto"/>
        </w:rPr>
      </w:pPr>
      <w:r>
        <w:rPr>
          <w:rFonts w:ascii="Courier New" w:cs="Courier New" w:eastAsia="Courier New" w:hAnsi="Courier New"/>
          <w:sz w:val="17"/>
          <w:szCs w:val="17"/>
          <w:color w:val="auto"/>
        </w:rPr>
        <w:t>ANNEX O</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AT&amp;T CORP.</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BOARD OF DIRECTORS</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POLICY STATEMENT REGARDING</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AT&amp;T GROUPS TRACKING STOCK MATTERS</w:t>
      </w:r>
    </w:p>
    <w:p>
      <w:pPr>
        <w:spacing w:after="0" w:line="210" w:lineRule="exact"/>
        <w:rPr>
          <w:sz w:val="20"/>
          <w:szCs w:val="20"/>
          <w:color w:val="auto"/>
        </w:rPr>
      </w:pPr>
    </w:p>
    <w:p>
      <w:pPr>
        <w:ind w:left="420" w:hanging="413"/>
        <w:spacing w:after="0"/>
        <w:tabs>
          <w:tab w:leader="none" w:pos="420" w:val="left"/>
        </w:tabs>
        <w:numPr>
          <w:ilvl w:val="0"/>
          <w:numId w:val="9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POLICY.</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It is the policy of the Board of Directors (the "Board") of AT&amp;T Corp.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that:</w:t>
      </w:r>
    </w:p>
    <w:p>
      <w:pPr>
        <w:spacing w:after="0" w:line="210" w:lineRule="exact"/>
        <w:rPr>
          <w:sz w:val="20"/>
          <w:szCs w:val="20"/>
          <w:color w:val="auto"/>
        </w:rPr>
      </w:pPr>
    </w:p>
    <w:p>
      <w:pPr>
        <w:ind w:left="540" w:right="1939" w:firstLine="515"/>
        <w:spacing w:after="0" w:line="251" w:lineRule="auto"/>
        <w:tabs>
          <w:tab w:leader="none" w:pos="1483" w:val="left"/>
        </w:tabs>
        <w:numPr>
          <w:ilvl w:val="1"/>
          <w:numId w:val="9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material matters as to which the holders of the Common Stock and the holders and/or Consumer Services Group Common Stock may have potentially divergent interests shall be resolved in a manner that the Board (or the Groups Capital Stock Committee) determines to be in the best interests of AT&amp;T and all of its common shareholders as a whole, after giving fair consideration to the potentially divergent interests and all other relevant interests of the holders of the separate classes of common stock of AT&amp;T; and</w:t>
      </w:r>
    </w:p>
    <w:p>
      <w:pPr>
        <w:spacing w:after="0" w:line="201" w:lineRule="exact"/>
        <w:rPr>
          <w:rFonts w:ascii="Courier New" w:cs="Courier New" w:eastAsia="Courier New" w:hAnsi="Courier New"/>
          <w:sz w:val="17"/>
          <w:szCs w:val="17"/>
          <w:color w:val="auto"/>
        </w:rPr>
      </w:pPr>
    </w:p>
    <w:p>
      <w:pPr>
        <w:ind w:left="540" w:right="1839" w:firstLine="515"/>
        <w:spacing w:after="0" w:line="254" w:lineRule="auto"/>
        <w:tabs>
          <w:tab w:leader="none" w:pos="1483" w:val="left"/>
        </w:tabs>
        <w:numPr>
          <w:ilvl w:val="1"/>
          <w:numId w:val="9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process of fair dealing will govern the relationship between the Common Stock Group and the Consumer Services Group and the means by which the terms of any material transaction between them will be determined.</w:t>
      </w:r>
    </w:p>
    <w:p>
      <w:pPr>
        <w:spacing w:after="0" w:line="194"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9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RELATIONSHIP BETWEEN THE GROUPS.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AT&amp;T will seek to manage the AT&amp;T Groups in a manner that maximizes the operational performance and value of all Groups taken as a whole even though in certain circumstances actions could disproportionately impact an individual Group; provided, however, that such disproportionate actions will not, in the aggregate, have an adverse material impact on the results of operations or financial position of either Group.</w:t>
      </w:r>
    </w:p>
    <w:p>
      <w:pPr>
        <w:spacing w:after="0" w:line="197" w:lineRule="exact"/>
        <w:rPr>
          <w:sz w:val="20"/>
          <w:szCs w:val="20"/>
          <w:color w:val="auto"/>
        </w:rPr>
      </w:pPr>
    </w:p>
    <w:p>
      <w:pPr>
        <w:ind w:right="1939" w:firstLine="531"/>
        <w:spacing w:after="0" w:line="252" w:lineRule="auto"/>
        <w:tabs>
          <w:tab w:leader="none" w:pos="943" w:val="left"/>
        </w:tabs>
        <w:numPr>
          <w:ilvl w:val="1"/>
          <w:numId w:val="9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Subject to special arrangements or existing commercial arrangements in effect at the time this policy statement is adopted (and renewals or extensions thereof), except as otherwise provided in this policy statement, all material commercial transactions between the Common Stock Group and the Consumer Services Group will be on commercially reasonable terms taken as a whole and will be subject to the review and approval of the Groups Capital Stock Committee.</w:t>
      </w:r>
    </w:p>
    <w:p>
      <w:pPr>
        <w:spacing w:after="0" w:line="195" w:lineRule="exact"/>
        <w:rPr>
          <w:rFonts w:ascii="Courier New" w:cs="Courier New" w:eastAsia="Courier New" w:hAnsi="Courier New"/>
          <w:sz w:val="17"/>
          <w:szCs w:val="17"/>
          <w:color w:val="auto"/>
        </w:rPr>
      </w:pPr>
    </w:p>
    <w:p>
      <w:pPr>
        <w:ind w:right="2139" w:firstLine="531"/>
        <w:spacing w:after="0" w:line="253" w:lineRule="auto"/>
        <w:tabs>
          <w:tab w:leader="none" w:pos="943" w:val="left"/>
        </w:tabs>
        <w:numPr>
          <w:ilvl w:val="1"/>
          <w:numId w:val="9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Inter-group Borrowing. The Groups may make loans to each other on terms and conditions substantially equivalent to the interest rates and terms and conditions that the groups would be able to obtain from third parties without the benefit of support or guarantee by AT&amp;T.</w:t>
      </w:r>
    </w:p>
    <w:p>
      <w:pPr>
        <w:spacing w:after="0" w:line="195" w:lineRule="exact"/>
        <w:rPr>
          <w:rFonts w:ascii="Courier New" w:cs="Courier New" w:eastAsia="Courier New" w:hAnsi="Courier New"/>
          <w:sz w:val="17"/>
          <w:szCs w:val="17"/>
          <w:color w:val="auto"/>
        </w:rPr>
      </w:pPr>
    </w:p>
    <w:p>
      <w:pPr>
        <w:ind w:right="1839" w:firstLine="531"/>
        <w:spacing w:after="0" w:line="251" w:lineRule="auto"/>
        <w:tabs>
          <w:tab w:leader="none" w:pos="943" w:val="left"/>
        </w:tabs>
        <w:numPr>
          <w:ilvl w:val="1"/>
          <w:numId w:val="9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Allocation of Corporate Overhead and Support Services. With respect to shared corporate services that arise as a result of being part of a combined entity (e.g., securities filing and financial reporting services), costs relating to such services will be directly attributed to the Group utilizing such services, and to the extent such costs are not directly attributable, allocated between the Groups on a fair and reasonable basis as determined by the Board. With respect to other support services, the Groups will seek to achieve enterprise efficiencies to reduce the aggregate costs incurred by the Groups on a combined basis.</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2039" w:firstLine="531"/>
        <w:spacing w:after="0" w:line="257" w:lineRule="auto"/>
        <w:tabs>
          <w:tab w:leader="none" w:pos="943" w:val="left"/>
        </w:tabs>
        <w:numPr>
          <w:ilvl w:val="1"/>
          <w:numId w:val="9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Inter-Group Interest in Common Stock Group. The Consumer Services Group shall not acquire an Inter-Group Interest in the Common Stock Group.</w:t>
      </w:r>
    </w:p>
    <w:p>
      <w:pPr>
        <w:spacing w:after="0" w:line="19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9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OPPORTUNITIES.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Board will allocate any business opportunities and operations, any acquired assets and businesses and any assumed liabilities between the Groups, in whole or in part, as it considers to be in the best interests of AT&amp;T and its shareholders as a whole and as contemplated by the provisions of these policies. To the extent a business opportunity or operation, an acquired asset or business, or an assumed liability</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O-1</w:t>
      </w:r>
    </w:p>
    <w:p>
      <w:pPr>
        <w:sectPr>
          <w:pgSz w:w="11900" w:h="16838" w:orient="portrait"/>
          <w:cols w:equalWidth="0" w:num="1">
            <w:col w:w="10219"/>
          </w:cols>
          <w:pgMar w:left="240" w:top="720" w:right="1440" w:bottom="1440" w:gutter="0" w:footer="0" w:header="0"/>
        </w:sectPr>
      </w:pPr>
    </w:p>
    <w:bookmarkStart w:id="843" w:name="page844"/>
    <w:bookmarkEnd w:id="843"/>
    <w:p>
      <w:pPr>
        <w:ind w:right="1939"/>
        <w:spacing w:after="0" w:line="251" w:lineRule="auto"/>
        <w:rPr>
          <w:sz w:val="20"/>
          <w:szCs w:val="20"/>
          <w:color w:val="auto"/>
        </w:rPr>
      </w:pPr>
      <w:r>
        <w:rPr>
          <w:rFonts w:ascii="Courier New" w:cs="Courier New" w:eastAsia="Courier New" w:hAnsi="Courier New"/>
          <w:sz w:val="17"/>
          <w:szCs w:val="17"/>
          <w:color w:val="auto"/>
        </w:rPr>
        <w:t>would be suitable to be undertaken by or allocated to more than one Group, it will be allocated by the Board in its business judgment or in accordance with procedures adopted by the Board from time to time to ensure that decisions will be made in the best interests of AT&amp;T and its shareholders as a whole. Any such allocation may involve the consideration of a number of factors that the Board determines to be relevant, including, without limitation, whether the business opportunity or operation, the acquired asset or business, or the assumed liability is principally within the existing scope of a Group's business and whether a Group is better positioned to undertake or have allocated to it such business opportunity or operation, acquired assets or business or assumed liability.</w:t>
      </w:r>
    </w:p>
    <w:p>
      <w:pPr>
        <w:spacing w:after="0" w:line="201" w:lineRule="exact"/>
        <w:rPr>
          <w:sz w:val="20"/>
          <w:szCs w:val="20"/>
          <w:color w:val="auto"/>
        </w:rPr>
      </w:pPr>
    </w:p>
    <w:p>
      <w:pPr>
        <w:ind w:left="420" w:hanging="413"/>
        <w:spacing w:after="0"/>
        <w:tabs>
          <w:tab w:leader="none" w:pos="420" w:val="left"/>
        </w:tabs>
        <w:numPr>
          <w:ilvl w:val="0"/>
          <w:numId w:val="9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 POLICY.</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Subject to the limitations set forth in the Charter, including any preferential rights of any series of preferred stock of AT&amp;T, and to the limitations of applicable law, holders of shares of Common Stock and/or Consumer Services Group Common Stock will be entitled to receive dividends on such stock when, as and if authorized and declared by the Board. The payment of dividends on the Common Stock will be a business decision to be made by the Board from time to time based upon the results of operations, financial condition, capital requirements and future prospects of AT&amp;T and such other factors as the Board considers relevant. Payment of dividends on the Common Stock may be restricted by loan agreements, indentures and other transactions entered into by AT&amp;T from time to time.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With respect to the Consumer Services Group Common Stock, it is currently expected that one-third of the current regular dividend payable on the Common Stock will be allocated to the Common Stock and that two-thirds of that dividend will be allocated to the Consumer Services Group Common Stock. The declaration of dividends by AT&amp;T and the amount thereof will, however, be in the discretion of the Board and will depend upon each of our groups' financial performance, the dividend policies and capital structures of comparable companies and each group's ongoing capital needs. If and when the Board does determine to pay any dividends on shares of Consumer Services Group Common Stock, any such determination will also be subject to factors similar to those described above with respect to the payment of dividends on the Common Stock.</w:t>
      </w:r>
    </w:p>
    <w:p>
      <w:pPr>
        <w:spacing w:after="0" w:line="201" w:lineRule="exact"/>
        <w:rPr>
          <w:sz w:val="20"/>
          <w:szCs w:val="20"/>
          <w:color w:val="auto"/>
        </w:rPr>
      </w:pPr>
    </w:p>
    <w:p>
      <w:pPr>
        <w:ind w:left="420" w:hanging="413"/>
        <w:spacing w:after="0"/>
        <w:tabs>
          <w:tab w:leader="none" w:pos="420" w:val="left"/>
        </w:tabs>
        <w:numPr>
          <w:ilvl w:val="0"/>
          <w:numId w:val="9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GROUPS CAPITAL STOCK COMMITTEE.</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AT&amp;T's by-laws will provide for a standing committee of the Board to be known as the AT&amp;T Groups Capital Stock Committee. The Groups Capital Stock Committee will have and exercise such powers, authority and responsibilities as the Board may delegate to such Committee, which will initially include authority to (a) interpret, make determinations under, and oversee the implementation of these policies, other than as they relate to dividends, with respect to which all determinations will be made solely by the Board, (b) adopt additional general policies governing the relationship between the Groups, and (c) engage the services of accountants, investment bankers, appraisers, attorneys and other service providers to assist it in discharging its duties. In making determinations in connection with these policies, the members of the Board and the AT&amp;T Groups Capital Stock Committee will act in a fiduciary capacity and pursuant to legal guidance concerning their respective obligations under applicable law. The delegation of responsibilities to the AT&amp;T Groups Capital Stock Committee will be subject to such changes as may be determined by the Board.</w:t>
      </w:r>
    </w:p>
    <w:p>
      <w:pPr>
        <w:spacing w:after="0" w:line="200" w:lineRule="exact"/>
        <w:rPr>
          <w:sz w:val="20"/>
          <w:szCs w:val="20"/>
          <w:color w:val="auto"/>
        </w:rPr>
      </w:pPr>
    </w:p>
    <w:p>
      <w:pPr>
        <w:spacing w:after="0" w:line="203" w:lineRule="exact"/>
        <w:rPr>
          <w:sz w:val="20"/>
          <w:szCs w:val="20"/>
          <w:color w:val="auto"/>
        </w:rPr>
      </w:pPr>
    </w:p>
    <w:p>
      <w:pPr>
        <w:ind w:left="420" w:hanging="413"/>
        <w:spacing w:after="0"/>
        <w:tabs>
          <w:tab w:leader="none" w:pos="420" w:val="left"/>
        </w:tabs>
        <w:numPr>
          <w:ilvl w:val="0"/>
          <w:numId w:val="9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w:t>
      </w:r>
    </w:p>
    <w:p>
      <w:pPr>
        <w:spacing w:after="0" w:line="210"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Capitalized terms not defined in this policy statement shall have the meanings set forth in the Charter. References throughout this policy statement to "ARTICLES," set in all capital letters, are references to ARTICLES in the Charter.</w:t>
      </w:r>
    </w:p>
    <w:p>
      <w:pPr>
        <w:spacing w:after="0" w:line="195" w:lineRule="exact"/>
        <w:rPr>
          <w:sz w:val="20"/>
          <w:szCs w:val="20"/>
          <w:color w:val="auto"/>
        </w:rPr>
      </w:pPr>
    </w:p>
    <w:p>
      <w:pPr>
        <w:ind w:left="840"/>
        <w:spacing w:after="0"/>
        <w:tabs>
          <w:tab w:leader="none" w:pos="1340" w:val="left"/>
        </w:tabs>
        <w:rPr>
          <w:sz w:val="20"/>
          <w:szCs w:val="20"/>
          <w:color w:val="auto"/>
        </w:rPr>
      </w:pPr>
      <w:r>
        <w:rPr>
          <w:rFonts w:ascii="Courier New" w:cs="Courier New" w:eastAsia="Courier New" w:hAnsi="Courier New"/>
          <w:sz w:val="17"/>
          <w:szCs w:val="17"/>
          <w:color w:val="auto"/>
        </w:rPr>
        <w:t>6.1</w:t>
        <w:tab/>
        <w:t>Charter.</w:t>
      </w:r>
    </w:p>
    <w:p>
      <w:pPr>
        <w:spacing w:after="0" w:line="210" w:lineRule="exact"/>
        <w:rPr>
          <w:sz w:val="20"/>
          <w:szCs w:val="20"/>
          <w:color w:val="auto"/>
        </w:rPr>
      </w:pPr>
    </w:p>
    <w:p>
      <w:pPr>
        <w:ind w:left="540" w:right="1939" w:firstLine="524"/>
        <w:spacing w:after="0" w:line="257" w:lineRule="auto"/>
        <w:rPr>
          <w:sz w:val="20"/>
          <w:szCs w:val="20"/>
          <w:color w:val="auto"/>
        </w:rPr>
      </w:pPr>
      <w:r>
        <w:rPr>
          <w:rFonts w:ascii="Courier New" w:cs="Courier New" w:eastAsia="Courier New" w:hAnsi="Courier New"/>
          <w:sz w:val="17"/>
          <w:szCs w:val="17"/>
          <w:color w:val="auto"/>
        </w:rPr>
        <w:t>"Charter" means the Restated Certificate of Incorporation of AT&amp;T, as amended from time to time.</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O-2</w:t>
      </w:r>
    </w:p>
    <w:p>
      <w:pPr>
        <w:sectPr>
          <w:pgSz w:w="11900" w:h="16838" w:orient="portrait"/>
          <w:cols w:equalWidth="0" w:num="1">
            <w:col w:w="10219"/>
          </w:cols>
          <w:pgMar w:left="240" w:top="719" w:right="1440" w:bottom="1440" w:gutter="0" w:footer="0" w:header="0"/>
        </w:sectPr>
      </w:pPr>
    </w:p>
    <w:bookmarkStart w:id="844" w:name="page845"/>
    <w:bookmarkEnd w:id="844"/>
    <w:p>
      <w:pPr>
        <w:ind w:left="840"/>
        <w:spacing w:after="0"/>
        <w:tabs>
          <w:tab w:leader="none" w:pos="1340" w:val="left"/>
        </w:tabs>
        <w:rPr>
          <w:sz w:val="20"/>
          <w:szCs w:val="20"/>
          <w:color w:val="auto"/>
        </w:rPr>
      </w:pPr>
      <w:r>
        <w:rPr>
          <w:rFonts w:ascii="Courier New" w:cs="Courier New" w:eastAsia="Courier New" w:hAnsi="Courier New"/>
          <w:sz w:val="17"/>
          <w:szCs w:val="17"/>
          <w:color w:val="auto"/>
        </w:rPr>
        <w:t>6.2</w:t>
        <w:tab/>
        <w:t>Common Stock.</w:t>
      </w:r>
    </w:p>
    <w:p>
      <w:pPr>
        <w:spacing w:after="0" w:line="210" w:lineRule="exact"/>
        <w:rPr>
          <w:sz w:val="20"/>
          <w:szCs w:val="20"/>
          <w:color w:val="auto"/>
        </w:rPr>
      </w:pPr>
    </w:p>
    <w:p>
      <w:pPr>
        <w:ind w:left="540" w:right="1939" w:firstLine="524"/>
        <w:spacing w:after="0" w:line="257" w:lineRule="auto"/>
        <w:rPr>
          <w:sz w:val="20"/>
          <w:szCs w:val="20"/>
          <w:color w:val="auto"/>
        </w:rPr>
      </w:pPr>
      <w:r>
        <w:rPr>
          <w:rFonts w:ascii="Courier New" w:cs="Courier New" w:eastAsia="Courier New" w:hAnsi="Courier New"/>
          <w:sz w:val="17"/>
          <w:szCs w:val="17"/>
          <w:color w:val="auto"/>
        </w:rPr>
        <w:t>"Common Stock" means the Common Stock as defined in Part A of ARTICLE THIRD of the Charter.</w:t>
      </w:r>
    </w:p>
    <w:p>
      <w:pPr>
        <w:spacing w:after="0" w:line="192" w:lineRule="exact"/>
        <w:rPr>
          <w:sz w:val="20"/>
          <w:szCs w:val="20"/>
          <w:color w:val="auto"/>
        </w:rPr>
      </w:pPr>
    </w:p>
    <w:p>
      <w:pPr>
        <w:ind w:left="840"/>
        <w:spacing w:after="0"/>
        <w:tabs>
          <w:tab w:leader="none" w:pos="1340" w:val="left"/>
        </w:tabs>
        <w:rPr>
          <w:sz w:val="20"/>
          <w:szCs w:val="20"/>
          <w:color w:val="auto"/>
        </w:rPr>
      </w:pPr>
      <w:r>
        <w:rPr>
          <w:rFonts w:ascii="Courier New" w:cs="Courier New" w:eastAsia="Courier New" w:hAnsi="Courier New"/>
          <w:sz w:val="17"/>
          <w:szCs w:val="17"/>
          <w:color w:val="auto"/>
        </w:rPr>
        <w:t>6.3</w:t>
        <w:tab/>
        <w:t>Common Stock Group.</w:t>
      </w:r>
    </w:p>
    <w:p>
      <w:pPr>
        <w:spacing w:after="0" w:line="210" w:lineRule="exact"/>
        <w:rPr>
          <w:sz w:val="20"/>
          <w:szCs w:val="20"/>
          <w:color w:val="auto"/>
        </w:rPr>
      </w:pPr>
    </w:p>
    <w:p>
      <w:pPr>
        <w:ind w:left="540" w:right="1839" w:firstLine="524"/>
        <w:spacing w:after="0" w:line="257" w:lineRule="auto"/>
        <w:rPr>
          <w:sz w:val="20"/>
          <w:szCs w:val="20"/>
          <w:color w:val="auto"/>
        </w:rPr>
      </w:pPr>
      <w:r>
        <w:rPr>
          <w:rFonts w:ascii="Courier New" w:cs="Courier New" w:eastAsia="Courier New" w:hAnsi="Courier New"/>
          <w:sz w:val="17"/>
          <w:szCs w:val="17"/>
          <w:color w:val="auto"/>
        </w:rPr>
        <w:t>"Common Stock Group" means the Common Stock Group as defined in Part B of ARTICLE THIRD of the Charter.</w:t>
      </w:r>
    </w:p>
    <w:p>
      <w:pPr>
        <w:spacing w:after="0" w:line="192" w:lineRule="exact"/>
        <w:rPr>
          <w:sz w:val="20"/>
          <w:szCs w:val="20"/>
          <w:color w:val="auto"/>
        </w:rPr>
      </w:pPr>
    </w:p>
    <w:p>
      <w:pPr>
        <w:ind w:left="840"/>
        <w:spacing w:after="0"/>
        <w:tabs>
          <w:tab w:leader="none" w:pos="1340" w:val="left"/>
        </w:tabs>
        <w:rPr>
          <w:sz w:val="20"/>
          <w:szCs w:val="20"/>
          <w:color w:val="auto"/>
        </w:rPr>
      </w:pPr>
      <w:r>
        <w:rPr>
          <w:rFonts w:ascii="Courier New" w:cs="Courier New" w:eastAsia="Courier New" w:hAnsi="Courier New"/>
          <w:sz w:val="17"/>
          <w:szCs w:val="17"/>
          <w:color w:val="auto"/>
        </w:rPr>
        <w:t>6.4</w:t>
        <w:tab/>
        <w:t>Consumer Services Group.</w:t>
      </w:r>
    </w:p>
    <w:p>
      <w:pPr>
        <w:spacing w:after="0" w:line="210" w:lineRule="exact"/>
        <w:rPr>
          <w:sz w:val="20"/>
          <w:szCs w:val="20"/>
          <w:color w:val="auto"/>
        </w:rPr>
      </w:pPr>
    </w:p>
    <w:p>
      <w:pPr>
        <w:ind w:left="540" w:right="1839" w:firstLine="524"/>
        <w:spacing w:after="0" w:line="257" w:lineRule="auto"/>
        <w:rPr>
          <w:sz w:val="20"/>
          <w:szCs w:val="20"/>
          <w:color w:val="auto"/>
        </w:rPr>
      </w:pPr>
      <w:r>
        <w:rPr>
          <w:rFonts w:ascii="Courier New" w:cs="Courier New" w:eastAsia="Courier New" w:hAnsi="Courier New"/>
          <w:sz w:val="17"/>
          <w:szCs w:val="17"/>
          <w:color w:val="auto"/>
        </w:rPr>
        <w:t>"Consumer Services Group" means the Consumer Services Group as defined in Part B of ARTICLE THIRD of the Charter.</w:t>
      </w:r>
    </w:p>
    <w:p>
      <w:pPr>
        <w:spacing w:after="0" w:line="192" w:lineRule="exact"/>
        <w:rPr>
          <w:sz w:val="20"/>
          <w:szCs w:val="20"/>
          <w:color w:val="auto"/>
        </w:rPr>
      </w:pPr>
    </w:p>
    <w:p>
      <w:pPr>
        <w:ind w:left="840"/>
        <w:spacing w:after="0"/>
        <w:tabs>
          <w:tab w:leader="none" w:pos="1340" w:val="left"/>
        </w:tabs>
        <w:rPr>
          <w:sz w:val="20"/>
          <w:szCs w:val="20"/>
          <w:color w:val="auto"/>
        </w:rPr>
      </w:pPr>
      <w:r>
        <w:rPr>
          <w:rFonts w:ascii="Courier New" w:cs="Courier New" w:eastAsia="Courier New" w:hAnsi="Courier New"/>
          <w:sz w:val="17"/>
          <w:szCs w:val="17"/>
          <w:color w:val="auto"/>
        </w:rPr>
        <w:t>6.5</w:t>
        <w:tab/>
        <w:t>Consumer Services Group Common Stock.</w:t>
      </w:r>
    </w:p>
    <w:p>
      <w:pPr>
        <w:spacing w:after="0" w:line="210" w:lineRule="exact"/>
        <w:rPr>
          <w:sz w:val="20"/>
          <w:szCs w:val="20"/>
          <w:color w:val="auto"/>
        </w:rPr>
      </w:pPr>
    </w:p>
    <w:p>
      <w:pPr>
        <w:ind w:left="540" w:right="2139" w:firstLine="524"/>
        <w:spacing w:after="0" w:line="257" w:lineRule="auto"/>
        <w:rPr>
          <w:sz w:val="20"/>
          <w:szCs w:val="20"/>
          <w:color w:val="auto"/>
        </w:rPr>
      </w:pPr>
      <w:r>
        <w:rPr>
          <w:rFonts w:ascii="Courier New" w:cs="Courier New" w:eastAsia="Courier New" w:hAnsi="Courier New"/>
          <w:sz w:val="17"/>
          <w:szCs w:val="17"/>
          <w:color w:val="auto"/>
        </w:rPr>
        <w:t>"Consumer Services Group Common Stock" means the Consumer Services Group Common Stock as defined in Part A of ARTICLE THIRD of the Charter.</w:t>
      </w:r>
    </w:p>
    <w:p>
      <w:pPr>
        <w:spacing w:after="0" w:line="192" w:lineRule="exact"/>
        <w:rPr>
          <w:sz w:val="20"/>
          <w:szCs w:val="20"/>
          <w:color w:val="auto"/>
        </w:rPr>
      </w:pPr>
    </w:p>
    <w:p>
      <w:pPr>
        <w:ind w:left="420" w:hanging="413"/>
        <w:spacing w:after="0"/>
        <w:tabs>
          <w:tab w:leader="none" w:pos="420" w:val="left"/>
        </w:tabs>
        <w:numPr>
          <w:ilvl w:val="0"/>
          <w:numId w:val="9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MODIFICATION OF THESE POLICIES.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These policies and any resolution implementing the provisions hereof may at any time and from time to time be amended, modified or rescinded by the Board, and the Board may adopt additional or other policies or make exceptions with respect to the application of these policies in connection with particular facts and circumstances, all as the Board may determine, consistent with its fiduciary duties to AT&amp;T and all of its shareholders.</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O-3</w:t>
      </w:r>
    </w:p>
    <w:p>
      <w:pPr>
        <w:sectPr>
          <w:pgSz w:w="11900" w:h="16838" w:orient="portrait"/>
          <w:cols w:equalWidth="0" w:num="1">
            <w:col w:w="10219"/>
          </w:cols>
          <w:pgMar w:left="240" w:top="719" w:right="1440" w:bottom="1440" w:gutter="0" w:footer="0" w:header="0"/>
        </w:sectPr>
      </w:pPr>
    </w:p>
    <w:bookmarkStart w:id="845" w:name="page846"/>
    <w:bookmarkEnd w:id="845"/>
    <w:p>
      <w:pPr>
        <w:ind w:left="7120"/>
        <w:spacing w:after="0"/>
        <w:rPr>
          <w:sz w:val="20"/>
          <w:szCs w:val="20"/>
          <w:color w:val="auto"/>
        </w:rPr>
      </w:pPr>
      <w:r>
        <w:rPr>
          <w:rFonts w:ascii="Courier New" w:cs="Courier New" w:eastAsia="Courier New" w:hAnsi="Courier New"/>
          <w:sz w:val="17"/>
          <w:szCs w:val="17"/>
          <w:color w:val="auto"/>
        </w:rPr>
        <w:t>EXHIBIT 99.6</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[FORM OF COMCAST PROXY CARD]</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[FORM OF PROXY -- CLASS A]</w:t>
      </w:r>
    </w:p>
    <w:p>
      <w:pPr>
        <w:spacing w:after="0" w:line="210"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THIS PROXY IS SOLICITED ON BEHALF OF THE BOARD</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OF DIRECTORS OF COMCAST CORPORATION</w:t>
      </w:r>
    </w:p>
    <w:p>
      <w:pPr>
        <w:spacing w:after="0" w:line="200" w:lineRule="exact"/>
        <w:rPr>
          <w:sz w:val="20"/>
          <w:szCs w:val="20"/>
          <w:color w:val="auto"/>
        </w:rPr>
      </w:pPr>
    </w:p>
    <w:p>
      <w:pPr>
        <w:spacing w:after="0" w:line="212"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undersigned, a holder of Class A Common Stock of COMCAST CORPORATION (the "Company"), hereby constitutes and appoints RALPH J. ROBERTS and STANLEY WANG, and each of them acting individually, as the attorney and proxy of the undersigned, with full power of substitution, for and in the name and stead of the undersigned, to attend the Special Meeting of Shareholders of the Company to be held on , , 2002 at a.m., local time, at the offices of the Company, 1500 Market Street, West Tower, 9th Floor, Philadelphia, Pennsylvania, and any adjournment or postponement thereof, and thereat to vote all shares of Class A Common Stock which the undersigned would be entitled to vote if personally present, as follows:</w:t>
      </w:r>
    </w:p>
    <w:p>
      <w:pPr>
        <w:spacing w:after="0" w:line="200" w:lineRule="exact"/>
        <w:rPr>
          <w:sz w:val="20"/>
          <w:szCs w:val="20"/>
          <w:color w:val="auto"/>
        </w:rPr>
      </w:pPr>
    </w:p>
    <w:p>
      <w:pPr>
        <w:spacing w:after="0" w:line="203"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Unless otherwise specified, the shares will be voted "FOR" the proposals set forth on the reverse side. This Proxy also delegates discretionary authority to vote with respect to any other business which may properly come before the meeting and any adjournment or postponement thereof.</w:t>
      </w:r>
    </w:p>
    <w:p>
      <w:pPr>
        <w:spacing w:after="0" w:line="195"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THE UNDERSIGNED HEREBY ACKNOWLEDGES RECEIPT OF THE NOTICE OF SPECIAL MEETING AND PROXY STATEMENT FOR THE SPECIAL MEETING.</w:t>
      </w:r>
    </w:p>
    <w:p>
      <w:pPr>
        <w:spacing w:after="0" w:line="393"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(Continued and to be dated and signed on the reverse side)</w:t>
      </w:r>
    </w:p>
    <w:p>
      <w:pPr>
        <w:spacing w:after="0" w:line="9" w:lineRule="exact"/>
        <w:rPr>
          <w:sz w:val="20"/>
          <w:szCs w:val="20"/>
          <w:color w:val="auto"/>
        </w:rPr>
      </w:pPr>
    </w:p>
    <w:p>
      <w:pPr>
        <w:ind w:left="220" w:hanging="213"/>
        <w:spacing w:after="0"/>
        <w:tabs>
          <w:tab w:leader="none" w:pos="220" w:val="left"/>
        </w:tabs>
        <w:numPr>
          <w:ilvl w:val="0"/>
          <w:numId w:val="9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3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FOLD AND DETACH HERE</w:t>
      </w:r>
    </w:p>
    <w:p>
      <w:pPr>
        <w:sectPr>
          <w:pgSz w:w="11900" w:h="16838" w:orient="portrait"/>
          <w:cols w:equalWidth="0" w:num="1">
            <w:col w:w="10219"/>
          </w:cols>
          <w:pgMar w:left="240" w:top="518" w:right="1440" w:bottom="1440" w:gutter="0" w:footer="0" w:header="0"/>
        </w:sectPr>
      </w:pPr>
    </w:p>
    <w:bookmarkStart w:id="846" w:name="page847"/>
    <w:bookmarkEnd w:id="846"/>
    <w:p>
      <w:pPr>
        <w:ind w:left="540"/>
        <w:spacing w:after="0"/>
        <w:rPr>
          <w:sz w:val="20"/>
          <w:szCs w:val="20"/>
          <w:color w:val="auto"/>
        </w:rPr>
      </w:pPr>
      <w:r>
        <w:rPr>
          <w:rFonts w:ascii="Courier New" w:cs="Courier New" w:eastAsia="Courier New" w:hAnsi="Courier New"/>
          <w:sz w:val="17"/>
          <w:szCs w:val="17"/>
          <w:color w:val="auto"/>
        </w:rPr>
        <w:t>[X] Please mark your votes as in this example.</w:t>
      </w:r>
    </w:p>
    <w:p>
      <w:pPr>
        <w:spacing w:after="0" w:line="210" w:lineRule="exact"/>
        <w:rPr>
          <w:sz w:val="20"/>
          <w:szCs w:val="20"/>
          <w:color w:val="auto"/>
        </w:rPr>
      </w:pPr>
    </w:p>
    <w:p>
      <w:pPr>
        <w:ind w:left="1580" w:right="2139" w:hanging="525"/>
        <w:spacing w:after="0" w:line="257" w:lineRule="auto"/>
        <w:tabs>
          <w:tab w:leader="none" w:pos="1580" w:val="left"/>
        </w:tabs>
        <w:numPr>
          <w:ilvl w:val="0"/>
          <w:numId w:val="9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and adopt the merger agreement and the transactions contemplated by the merger agreement.</w:t>
      </w:r>
    </w:p>
    <w:p>
      <w:pPr>
        <w:spacing w:after="0" w:line="192" w:lineRule="exact"/>
        <w:rPr>
          <w:sz w:val="20"/>
          <w:szCs w:val="20"/>
          <w:color w:val="auto"/>
        </w:rPr>
      </w:pPr>
    </w:p>
    <w:p>
      <w:pPr>
        <w:ind w:left="1580"/>
        <w:spacing w:after="0"/>
        <w:tabs>
          <w:tab w:leader="none" w:pos="3540" w:val="left"/>
          <w:tab w:leader="none" w:pos="564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7"/>
          <w:szCs w:val="17"/>
          <w:color w:val="auto"/>
        </w:rPr>
        <w:t>[ ] ABSTAIN</w:t>
      </w:r>
    </w:p>
    <w:p>
      <w:pPr>
        <w:spacing w:after="0" w:line="210" w:lineRule="exact"/>
        <w:rPr>
          <w:sz w:val="20"/>
          <w:szCs w:val="20"/>
          <w:color w:val="auto"/>
        </w:rPr>
      </w:pPr>
    </w:p>
    <w:p>
      <w:pPr>
        <w:ind w:left="1580" w:right="2139" w:hanging="525"/>
        <w:spacing w:after="0" w:line="254" w:lineRule="auto"/>
        <w:tabs>
          <w:tab w:leader="none" w:pos="1580" w:val="left"/>
        </w:tabs>
        <w:numPr>
          <w:ilvl w:val="0"/>
          <w:numId w:val="9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and adopt an amendment to the Company's articles of incorporation to allow the implementation of the Preferred Structure (as described in the proxy statement).</w:t>
      </w:r>
    </w:p>
    <w:p>
      <w:pPr>
        <w:spacing w:after="0" w:line="194" w:lineRule="exact"/>
        <w:rPr>
          <w:sz w:val="20"/>
          <w:szCs w:val="20"/>
          <w:color w:val="auto"/>
        </w:rPr>
      </w:pPr>
    </w:p>
    <w:p>
      <w:pPr>
        <w:ind w:left="1580"/>
        <w:spacing w:after="0"/>
        <w:tabs>
          <w:tab w:leader="none" w:pos="3540" w:val="left"/>
          <w:tab w:leader="none" w:pos="564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7"/>
          <w:szCs w:val="17"/>
          <w:color w:val="auto"/>
        </w:rPr>
        <w:t>[ ] ABSTAIN</w:t>
      </w:r>
    </w:p>
    <w:p>
      <w:pPr>
        <w:spacing w:after="0" w:line="210" w:lineRule="exact"/>
        <w:rPr>
          <w:sz w:val="20"/>
          <w:szCs w:val="20"/>
          <w:color w:val="auto"/>
        </w:rPr>
      </w:pPr>
    </w:p>
    <w:p>
      <w:pPr>
        <w:ind w:left="1580" w:right="2259" w:hanging="525"/>
        <w:spacing w:after="0" w:line="257" w:lineRule="auto"/>
        <w:tabs>
          <w:tab w:leader="none" w:pos="1580" w:val="left"/>
        </w:tabs>
        <w:numPr>
          <w:ilvl w:val="0"/>
          <w:numId w:val="9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vote on such other business which may properly come before the meeting.</w:t>
      </w:r>
    </w:p>
    <w:p>
      <w:pPr>
        <w:spacing w:after="0" w:line="200" w:lineRule="exact"/>
        <w:rPr>
          <w:sz w:val="20"/>
          <w:szCs w:val="20"/>
          <w:color w:val="auto"/>
        </w:rPr>
      </w:pPr>
    </w:p>
    <w:p>
      <w:pPr>
        <w:spacing w:after="0" w:line="395"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Change of address and/or comments mark here [ ]</w:t>
      </w:r>
    </w:p>
    <w:p>
      <w:pPr>
        <w:spacing w:after="0" w:line="210"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The signer hereby revokes all previous proxies given by the signer to vote at the Special Meeting or any adjournments thereof.</w:t>
      </w:r>
    </w:p>
    <w:p>
      <w:pPr>
        <w:spacing w:after="0" w:line="19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NOTE: Please sign this proxy card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ectPr>
          <w:pgSz w:w="11900" w:h="16838" w:orient="portrait"/>
          <w:cols w:equalWidth="0" w:num="1">
            <w:col w:w="10219"/>
          </w:cols>
          <w:pgMar w:left="240" w:top="518" w:right="1440" w:bottom="1440" w:gutter="0" w:footer="0" w:header="0"/>
        </w:sectPr>
      </w:pPr>
    </w:p>
    <w:p>
      <w:pPr>
        <w:spacing w:after="0" w:line="197" w:lineRule="exact"/>
        <w:rPr>
          <w:sz w:val="20"/>
          <w:szCs w:val="20"/>
          <w:color w:val="auto"/>
        </w:rPr>
      </w:pPr>
    </w:p>
    <w:p>
      <w:pPr>
        <w:ind w:right="120"/>
        <w:spacing w:after="0" w:line="257" w:lineRule="auto"/>
        <w:rPr>
          <w:sz w:val="20"/>
          <w:szCs w:val="20"/>
          <w:color w:val="auto"/>
        </w:rPr>
      </w:pPr>
      <w:r>
        <w:rPr>
          <w:rFonts w:ascii="Courier New" w:cs="Courier New" w:eastAsia="Courier New" w:hAnsi="Courier New"/>
          <w:sz w:val="17"/>
          <w:szCs w:val="17"/>
          <w:color w:val="auto"/>
        </w:rPr>
        <w:t>- ---------------------------------- SIGNATURE(S)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18" w:lineRule="exact"/>
        <w:rPr>
          <w:sz w:val="20"/>
          <w:szCs w:val="20"/>
          <w:color w:val="auto"/>
        </w:rPr>
      </w:pPr>
    </w:p>
    <w:p>
      <w:pPr>
        <w:sectPr>
          <w:pgSz w:w="11900" w:h="16838" w:orient="portrait"/>
          <w:cols w:equalWidth="0" w:num="2">
            <w:col w:w="3900" w:space="720"/>
            <w:col w:w="5599"/>
          </w:cols>
          <w:pgMar w:left="240" w:top="518" w:right="1440" w:bottom="1440" w:gutter="0" w:footer="0" w:header="0"/>
          <w:type w:val="continuous"/>
        </w:sectPr>
      </w:pPr>
    </w:p>
    <w:p>
      <w:pPr>
        <w:spacing w:after="0" w:line="193" w:lineRule="exact"/>
        <w:rPr>
          <w:sz w:val="20"/>
          <w:szCs w:val="20"/>
          <w:color w:val="auto"/>
        </w:rPr>
      </w:pPr>
    </w:p>
    <w:p>
      <w:pPr>
        <w:ind w:left="220" w:hanging="213"/>
        <w:spacing w:after="0"/>
        <w:tabs>
          <w:tab w:leader="none" w:pos="220" w:val="left"/>
        </w:tabs>
        <w:numPr>
          <w:ilvl w:val="0"/>
          <w:numId w:val="9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18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CASTING VOTES BY MAIL, DETACH HERE AND RETURN PROPERLY EXECUTED PROXY CARD IN ENCLOSED POSTAGE-PREPAID ENVELOPE</w:t>
      </w:r>
    </w:p>
    <w:p>
      <w:pPr>
        <w:sectPr>
          <w:pgSz w:w="11900" w:h="16838" w:orient="portrait"/>
          <w:cols w:equalWidth="0" w:num="1">
            <w:col w:w="10219"/>
          </w:cols>
          <w:pgMar w:left="240" w:top="518" w:right="1440" w:bottom="1440" w:gutter="0" w:footer="0" w:header="0"/>
          <w:type w:val="continuous"/>
        </w:sectPr>
      </w:pPr>
    </w:p>
    <w:bookmarkStart w:id="847" w:name="page848"/>
    <w:bookmarkEnd w:id="847"/>
    <w:p>
      <w:pPr>
        <w:spacing w:after="0"/>
        <w:rPr>
          <w:sz w:val="20"/>
          <w:szCs w:val="20"/>
          <w:color w:val="auto"/>
        </w:rPr>
      </w:pPr>
      <w:r>
        <w:rPr>
          <w:rFonts w:ascii="Courier New" w:cs="Courier New" w:eastAsia="Courier New" w:hAnsi="Courier New"/>
          <w:sz w:val="17"/>
          <w:szCs w:val="17"/>
          <w:color w:val="auto"/>
        </w:rPr>
        <w:t>[logo of Comcast Corporation appears here]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Comcast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 Box 11059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N.Y. 10203-0059</w:t>
      </w:r>
    </w:p>
    <w:p>
      <w:pPr>
        <w:spacing w:after="0" w:line="200" w:lineRule="exact"/>
        <w:rPr>
          <w:sz w:val="20"/>
          <w:szCs w:val="20"/>
          <w:color w:val="auto"/>
        </w:rPr>
      </w:pPr>
    </w:p>
    <w:p>
      <w:pPr>
        <w:sectPr>
          <w:pgSz w:w="11900" w:h="16838" w:orient="portrait"/>
          <w:cols w:equalWidth="0" w:num="2">
            <w:col w:w="4420" w:space="720"/>
            <w:col w:w="5079"/>
          </w:cols>
          <w:pgMar w:left="240" w:top="519" w:right="1440" w:bottom="1440" w:gutter="0" w:footer="0" w:header="0"/>
        </w:sectPr>
      </w:pPr>
    </w:p>
    <w:p>
      <w:pPr>
        <w:spacing w:after="0" w:line="212"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THERE ARE THREE WAYS TO VOTE YOUR PROXY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 BY TELEPHONE</w:t>
      </w:r>
    </w:p>
    <w:p>
      <w:pPr>
        <w:spacing w:after="0" w:line="210"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7"/>
          <w:szCs w:val="17"/>
          <w:color w:val="auto"/>
        </w:rPr>
        <w:t>Call toll-free [</w:t>
      </w:r>
      <w:r>
        <w:rPr>
          <w:sz w:val="20"/>
          <w:szCs w:val="20"/>
          <w:color w:val="auto"/>
        </w:rPr>
        <w:tab/>
      </w:r>
      <w:r>
        <w:rPr>
          <w:rFonts w:ascii="Courier New" w:cs="Courier New" w:eastAsia="Courier New" w:hAnsi="Courier New"/>
          <w:sz w:val="17"/>
          <w:szCs w:val="17"/>
          <w:color w:val="auto"/>
        </w:rPr>
        <w:t>].</w:t>
      </w:r>
    </w:p>
    <w:p>
      <w:pPr>
        <w:spacing w:after="0" w:line="210"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Have your proxy card in hand when you call. You will be prompted to enter your control number, located in the box above, to create an electronic ballot.</w:t>
      </w:r>
    </w:p>
    <w:p>
      <w:pPr>
        <w:spacing w:after="0" w:line="192"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Your telephone vote authorizes the named proxies to vote your shares in the same manner as if you marked, signed and returned the proxy card.</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 BY INTERNET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http://</w:t>
      </w:r>
    </w:p>
    <w:p>
      <w:pPr>
        <w:spacing w:after="0" w:line="210" w:lineRule="exact"/>
        <w:rPr>
          <w:sz w:val="20"/>
          <w:szCs w:val="20"/>
          <w:color w:val="auto"/>
        </w:rPr>
      </w:pPr>
    </w:p>
    <w:p>
      <w:pPr>
        <w:jc w:val="both"/>
        <w:ind w:right="1939"/>
        <w:spacing w:after="0" w:line="254" w:lineRule="auto"/>
        <w:rPr>
          <w:sz w:val="20"/>
          <w:szCs w:val="20"/>
          <w:color w:val="auto"/>
        </w:rPr>
      </w:pPr>
      <w:r>
        <w:rPr>
          <w:rFonts w:ascii="Courier New" w:cs="Courier New" w:eastAsia="Courier New" w:hAnsi="Courier New"/>
          <w:sz w:val="17"/>
          <w:szCs w:val="17"/>
          <w:color w:val="auto"/>
        </w:rPr>
        <w:t>Have your proxy card in hand when you access the website. You will be prompted to enter your control number, located in the box above, to create an electronic ballot.</w:t>
      </w:r>
    </w:p>
    <w:p>
      <w:pPr>
        <w:spacing w:after="0" w:line="194" w:lineRule="exact"/>
        <w:rPr>
          <w:sz w:val="20"/>
          <w:szCs w:val="20"/>
          <w:color w:val="auto"/>
        </w:rPr>
      </w:pPr>
    </w:p>
    <w:p>
      <w:pPr>
        <w:jc w:val="both"/>
        <w:ind w:right="1939"/>
        <w:spacing w:after="0" w:line="257" w:lineRule="auto"/>
        <w:rPr>
          <w:sz w:val="20"/>
          <w:szCs w:val="20"/>
          <w:color w:val="auto"/>
        </w:rPr>
      </w:pPr>
      <w:r>
        <w:rPr>
          <w:rFonts w:ascii="Courier New" w:cs="Courier New" w:eastAsia="Courier New" w:hAnsi="Courier New"/>
          <w:sz w:val="17"/>
          <w:szCs w:val="17"/>
          <w:color w:val="auto"/>
        </w:rPr>
        <w:t>Your Internet vote authorizes the named proxies to vote your shares in the same manner as if you marked, signed and returned the proxy card.</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 BY MAIL</w:t>
      </w:r>
    </w:p>
    <w:p>
      <w:pPr>
        <w:spacing w:after="0" w:line="210" w:lineRule="exact"/>
        <w:rPr>
          <w:sz w:val="20"/>
          <w:szCs w:val="20"/>
          <w:color w:val="auto"/>
        </w:rPr>
      </w:pPr>
    </w:p>
    <w:p>
      <w:pPr>
        <w:jc w:val="both"/>
        <w:ind w:right="1939"/>
        <w:spacing w:after="0" w:line="257" w:lineRule="auto"/>
        <w:rPr>
          <w:sz w:val="20"/>
          <w:szCs w:val="20"/>
          <w:color w:val="auto"/>
        </w:rPr>
      </w:pPr>
      <w:r>
        <w:rPr>
          <w:rFonts w:ascii="Courier New" w:cs="Courier New" w:eastAsia="Courier New" w:hAnsi="Courier New"/>
          <w:sz w:val="17"/>
          <w:szCs w:val="17"/>
          <w:color w:val="auto"/>
        </w:rPr>
        <w:t>Mark, sign and date your proxy card and return it in the postage- paid envelope we have provided.</w:t>
      </w:r>
    </w:p>
    <w:p>
      <w:pPr>
        <w:spacing w:after="0" w:line="192"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If you have submitted your vote by telephone or by the Internet there is no need for you to mail back your proxy card.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Do not return your proxy card if you are voting by telephone or Internet.</w:t>
      </w:r>
    </w:p>
    <w:p>
      <w:pPr>
        <w:spacing w:after="0" w:line="210"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Please note that all votes cast via the telephone or Internet must be cast prior to 5:00 p.m. eastern time on , 2002.</w:t>
      </w:r>
    </w:p>
    <w:sectPr>
      <w:pgSz w:w="11900" w:h="16838" w:orient="portrait"/>
      <w:cols w:equalWidth="0" w:num="1">
        <w:col w:w="10219"/>
      </w:cols>
      <w:pgMar w:left="240" w:top="5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C30361"/>
    <w:multiLevelType w:val="hybridMultilevel"/>
    <w:lvl w:ilvl="0">
      <w:lvlJc w:val="left"/>
      <w:lvlText w:val="-"/>
      <w:numFmt w:val="bullet"/>
      <w:start w:val="1"/>
    </w:lvl>
  </w:abstractNum>
  <w:abstractNum w:abstractNumId="1">
    <w:nsid w:val="632099E0"/>
    <w:multiLevelType w:val="hybridMultilevel"/>
    <w:lvl w:ilvl="0">
      <w:lvlJc w:val="left"/>
      <w:lvlText w:val="[%1]"/>
      <w:numFmt w:val="upperLetter"/>
      <w:start w:val="24"/>
    </w:lvl>
  </w:abstractNum>
  <w:abstractNum w:abstractNumId="2">
    <w:nsid w:val="24639756"/>
    <w:multiLevelType w:val="hybridMultilevel"/>
    <w:lvl w:ilvl="0">
      <w:lvlJc w:val="left"/>
      <w:lvlText w:val="["/>
      <w:numFmt w:val="bullet"/>
      <w:start w:val="1"/>
    </w:lvl>
    <w:lvl w:ilvl="1">
      <w:lvlJc w:val="left"/>
      <w:lvlText w:val="(%2)"/>
      <w:numFmt w:val="decimal"/>
      <w:start w:val="1"/>
    </w:lvl>
  </w:abstractNum>
  <w:abstractNum w:abstractNumId="3">
    <w:nsid w:val="9D30DFD"/>
    <w:multiLevelType w:val="hybridMultilevel"/>
    <w:lvl w:ilvl="0">
      <w:lvlJc w:val="left"/>
      <w:lvlText w:val="(%1)"/>
      <w:numFmt w:val="decimal"/>
      <w:start w:val="4"/>
    </w:lvl>
  </w:abstractNum>
  <w:abstractNum w:abstractNumId="4">
    <w:nsid w:val="70A42016"/>
    <w:multiLevelType w:val="hybridMultilevel"/>
    <w:lvl w:ilvl="0">
      <w:lvlJc w:val="left"/>
      <w:lvlText w:val="["/>
      <w:numFmt w:val="bullet"/>
      <w:start w:val="1"/>
    </w:lvl>
    <w:lvl w:ilvl="1">
      <w:lvlJc w:val="left"/>
      <w:lvlText w:val="(%2)"/>
      <w:numFmt w:val="decimal"/>
      <w:start w:val="1"/>
    </w:lvl>
  </w:abstractNum>
  <w:abstractNum w:abstractNumId="5">
    <w:nsid w:val="161BC243"/>
    <w:multiLevelType w:val="hybridMultilevel"/>
    <w:lvl w:ilvl="0">
      <w:lvlJc w:val="left"/>
      <w:lvlText w:val="-"/>
      <w:numFmt w:val="bullet"/>
      <w:start w:val="1"/>
    </w:lvl>
  </w:abstractNum>
  <w:abstractNum w:abstractNumId="6">
    <w:nsid w:val="16E908C8"/>
    <w:multiLevelType w:val="hybridMultilevel"/>
    <w:lvl w:ilvl="0">
      <w:lvlJc w:val="left"/>
      <w:lvlText w:val="-"/>
      <w:numFmt w:val="bullet"/>
      <w:start w:val="1"/>
    </w:lvl>
  </w:abstractNum>
  <w:abstractNum w:abstractNumId="7">
    <w:nsid w:val="2E0D7671"/>
    <w:multiLevelType w:val="hybridMultilevel"/>
    <w:lvl w:ilvl="0">
      <w:lvlJc w:val="left"/>
      <w:lvlText w:val="-"/>
      <w:numFmt w:val="bullet"/>
      <w:start w:val="1"/>
    </w:lvl>
  </w:abstractNum>
  <w:abstractNum w:abstractNumId="8">
    <w:nsid w:val="38B59EFF"/>
    <w:multiLevelType w:val="hybridMultilevel"/>
    <w:lvl w:ilvl="0">
      <w:lvlJc w:val="left"/>
      <w:lvlText w:val="-"/>
      <w:numFmt w:val="bullet"/>
      <w:start w:val="1"/>
    </w:lvl>
  </w:abstractNum>
  <w:abstractNum w:abstractNumId="9">
    <w:nsid w:val="307995CA"/>
    <w:multiLevelType w:val="hybridMultilevel"/>
    <w:lvl w:ilvl="0">
      <w:lvlJc w:val="left"/>
      <w:lvlText w:val="%1:"/>
      <w:numFmt w:val="upperLetter"/>
      <w:start w:val="17"/>
    </w:lvl>
  </w:abstractNum>
  <w:abstractNum w:abstractNumId="10">
    <w:nsid w:val="52E2024D"/>
    <w:multiLevelType w:val="hybridMultilevel"/>
    <w:lvl w:ilvl="0">
      <w:lvlJc w:val="left"/>
      <w:lvlText w:val="%1:"/>
      <w:numFmt w:val="upperLetter"/>
      <w:start w:val="17"/>
    </w:lvl>
  </w:abstractNum>
  <w:abstractNum w:abstractNumId="11">
    <w:nsid w:val="CE344B5"/>
    <w:multiLevelType w:val="hybridMultilevel"/>
    <w:lvl w:ilvl="0">
      <w:lvlJc w:val="left"/>
      <w:lvlText w:val="%1:"/>
      <w:numFmt w:val="upperLetter"/>
      <w:start w:val="1"/>
    </w:lvl>
    <w:lvl w:ilvl="1">
      <w:lvlJc w:val="left"/>
      <w:lvlText w:val="-"/>
      <w:numFmt w:val="bullet"/>
      <w:start w:val="1"/>
    </w:lvl>
  </w:abstractNum>
  <w:abstractNum w:abstractNumId="12">
    <w:nsid w:val="29B0E9A8"/>
    <w:multiLevelType w:val="hybridMultilevel"/>
    <w:lvl w:ilvl="0">
      <w:lvlJc w:val="left"/>
      <w:lvlText w:val="-"/>
      <w:numFmt w:val="bullet"/>
      <w:start w:val="1"/>
    </w:lvl>
  </w:abstractNum>
  <w:abstractNum w:abstractNumId="13">
    <w:nsid w:val="6F49CD8A"/>
    <w:multiLevelType w:val="hybridMultilevel"/>
    <w:lvl w:ilvl="0">
      <w:lvlJc w:val="left"/>
      <w:lvlText w:val="-"/>
      <w:numFmt w:val="bullet"/>
      <w:start w:val="1"/>
    </w:lvl>
  </w:abstractNum>
  <w:abstractNum w:abstractNumId="14">
    <w:nsid w:val="4DC5D907"/>
    <w:multiLevelType w:val="hybridMultilevel"/>
    <w:lvl w:ilvl="0">
      <w:lvlJc w:val="left"/>
      <w:lvlText w:val="%1:"/>
      <w:numFmt w:val="upperLetter"/>
      <w:start w:val="16"/>
    </w:lvl>
    <w:lvl w:ilvl="1">
      <w:lvlJc w:val="left"/>
      <w:lvlText w:val="-"/>
      <w:numFmt w:val="bullet"/>
      <w:start w:val="1"/>
    </w:lvl>
  </w:abstractNum>
  <w:abstractNum w:abstractNumId="15">
    <w:nsid w:val="D55945E"/>
    <w:multiLevelType w:val="hybridMultilevel"/>
    <w:lvl w:ilvl="0">
      <w:lvlJc w:val="left"/>
      <w:lvlText w:val="%1:"/>
      <w:numFmt w:val="upperLetter"/>
      <w:start w:val="1"/>
    </w:lvl>
  </w:abstractNum>
  <w:abstractNum w:abstractNumId="16">
    <w:nsid w:val="672417E1"/>
    <w:multiLevelType w:val="hybridMultilevel"/>
    <w:lvl w:ilvl="0">
      <w:lvlJc w:val="left"/>
      <w:lvlText w:val="%1:"/>
      <w:numFmt w:val="upperLetter"/>
      <w:start w:val="17"/>
    </w:lvl>
  </w:abstractNum>
  <w:abstractNum w:abstractNumId="17">
    <w:nsid w:val="5FF6CA09"/>
    <w:multiLevelType w:val="hybridMultilevel"/>
    <w:lvl w:ilvl="0">
      <w:lvlJc w:val="left"/>
      <w:lvlText w:val="%1:"/>
      <w:numFmt w:val="upperLetter"/>
      <w:start w:val="1"/>
    </w:lvl>
  </w:abstractNum>
  <w:abstractNum w:abstractNumId="18">
    <w:nsid w:val="330B1333"/>
    <w:multiLevelType w:val="hybridMultilevel"/>
    <w:lvl w:ilvl="0">
      <w:lvlJc w:val="left"/>
      <w:lvlText w:val="%1:"/>
      <w:numFmt w:val="upperLetter"/>
      <w:start w:val="17"/>
    </w:lvl>
  </w:abstractNum>
  <w:abstractNum w:abstractNumId="19">
    <w:nsid w:val="2EF32EA6"/>
    <w:multiLevelType w:val="hybridMultilevel"/>
    <w:lvl w:ilvl="0">
      <w:lvlJc w:val="left"/>
      <w:lvlText w:val="%1:"/>
      <w:numFmt w:val="upperLetter"/>
      <w:start w:val="1"/>
    </w:lvl>
  </w:abstractNum>
  <w:abstractNum w:abstractNumId="20">
    <w:nsid w:val="32766A55"/>
    <w:multiLevelType w:val="hybridMultilevel"/>
    <w:lvl w:ilvl="0">
      <w:lvlJc w:val="left"/>
      <w:lvlText w:val="%1:"/>
      <w:numFmt w:val="upperLetter"/>
      <w:start w:val="17"/>
    </w:lvl>
  </w:abstractNum>
  <w:abstractNum w:abstractNumId="21">
    <w:nsid w:val="22D71957"/>
    <w:multiLevelType w:val="hybridMultilevel"/>
    <w:lvl w:ilvl="0">
      <w:lvlJc w:val="left"/>
      <w:lvlText w:val="%1:"/>
      <w:numFmt w:val="upperLetter"/>
      <w:start w:val="1"/>
    </w:lvl>
    <w:lvl w:ilvl="1">
      <w:lvlJc w:val="left"/>
      <w:lvlText w:val="-"/>
      <w:numFmt w:val="bullet"/>
      <w:start w:val="1"/>
    </w:lvl>
  </w:abstractNum>
  <w:abstractNum w:abstractNumId="22">
    <w:nsid w:val="4CC1263B"/>
    <w:multiLevelType w:val="hybridMultilevel"/>
    <w:lvl w:ilvl="0">
      <w:lvlJc w:val="left"/>
      <w:lvlText w:val="%1:"/>
      <w:numFmt w:val="upperLetter"/>
      <w:start w:val="17"/>
    </w:lvl>
  </w:abstractNum>
  <w:abstractNum w:abstractNumId="23">
    <w:nsid w:val="8BBEB1D"/>
    <w:multiLevelType w:val="hybridMultilevel"/>
    <w:lvl w:ilvl="0">
      <w:lvlJc w:val="left"/>
      <w:lvlText w:val="%1:"/>
      <w:numFmt w:val="upperLetter"/>
      <w:start w:val="1"/>
    </w:lvl>
  </w:abstractNum>
  <w:abstractNum w:abstractNumId="24">
    <w:nsid w:val="7365F1EE"/>
    <w:multiLevelType w:val="hybridMultilevel"/>
    <w:lvl w:ilvl="0">
      <w:lvlJc w:val="left"/>
      <w:lvlText w:val="%1:"/>
      <w:numFmt w:val="upperLetter"/>
      <w:start w:val="17"/>
    </w:lvl>
  </w:abstractNum>
  <w:abstractNum w:abstractNumId="25">
    <w:nsid w:val="37524CF0"/>
    <w:multiLevelType w:val="hybridMultilevel"/>
    <w:lvl w:ilvl="0">
      <w:lvlJc w:val="left"/>
      <w:lvlText w:val="%1:"/>
      <w:numFmt w:val="upperLetter"/>
      <w:start w:val="1"/>
    </w:lvl>
  </w:abstractNum>
  <w:abstractNum w:abstractNumId="26">
    <w:nsid w:val="70CC332F"/>
    <w:multiLevelType w:val="hybridMultilevel"/>
    <w:lvl w:ilvl="0">
      <w:lvlJc w:val="left"/>
      <w:lvlText w:val="%1:"/>
      <w:numFmt w:val="upperLetter"/>
      <w:start w:val="17"/>
    </w:lvl>
  </w:abstractNum>
  <w:abstractNum w:abstractNumId="27">
    <w:nsid w:val="5661786E"/>
    <w:multiLevelType w:val="hybridMultilevel"/>
    <w:lvl w:ilvl="0">
      <w:lvlJc w:val="left"/>
      <w:lvlText w:val="%1:"/>
      <w:numFmt w:val="upperLetter"/>
      <w:start w:val="1"/>
    </w:lvl>
  </w:abstractNum>
  <w:abstractNum w:abstractNumId="28">
    <w:nsid w:val="3AF6A220"/>
    <w:multiLevelType w:val="hybridMultilevel"/>
    <w:lvl w:ilvl="0">
      <w:lvlJc w:val="left"/>
      <w:lvlText w:val="%1:"/>
      <w:numFmt w:val="upperLetter"/>
      <w:start w:val="17"/>
    </w:lvl>
  </w:abstractNum>
  <w:abstractNum w:abstractNumId="29">
    <w:nsid w:val="3C5EA902"/>
    <w:multiLevelType w:val="hybridMultilevel"/>
    <w:lvl w:ilvl="0">
      <w:lvlJc w:val="left"/>
      <w:lvlText w:val="%1:"/>
      <w:numFmt w:val="upperLetter"/>
      <w:start w:val="1"/>
    </w:lvl>
  </w:abstractNum>
  <w:abstractNum w:abstractNumId="30">
    <w:nsid w:val="256E6749"/>
    <w:multiLevelType w:val="hybridMultilevel"/>
    <w:lvl w:ilvl="0">
      <w:lvlJc w:val="left"/>
      <w:lvlText w:val="%1:"/>
      <w:numFmt w:val="upperLetter"/>
      <w:start w:val="17"/>
    </w:lvl>
  </w:abstractNum>
  <w:abstractNum w:abstractNumId="31">
    <w:nsid w:val="1CB9A581"/>
    <w:multiLevelType w:val="hybridMultilevel"/>
    <w:lvl w:ilvl="0">
      <w:lvlJc w:val="left"/>
      <w:lvlText w:val="%1:"/>
      <w:numFmt w:val="upperLetter"/>
      <w:start w:val="1"/>
    </w:lvl>
  </w:abstractNum>
  <w:abstractNum w:abstractNumId="32">
    <w:nsid w:val="1F7F42E2"/>
    <w:multiLevelType w:val="hybridMultilevel"/>
    <w:lvl w:ilvl="0">
      <w:lvlJc w:val="left"/>
      <w:lvlText w:val="%1:"/>
      <w:numFmt w:val="upperLetter"/>
      <w:start w:val="17"/>
    </w:lvl>
  </w:abstractNum>
  <w:abstractNum w:abstractNumId="33">
    <w:nsid w:val="49D1FEA0"/>
    <w:multiLevelType w:val="hybridMultilevel"/>
    <w:lvl w:ilvl="0">
      <w:lvlJc w:val="left"/>
      <w:lvlText w:val="%1:"/>
      <w:numFmt w:val="upperLetter"/>
      <w:start w:val="1"/>
    </w:lvl>
    <w:lvl w:ilvl="1">
      <w:lvlJc w:val="left"/>
      <w:lvlText w:val="-"/>
      <w:numFmt w:val="bullet"/>
      <w:start w:val="1"/>
    </w:lvl>
  </w:abstractNum>
  <w:abstractNum w:abstractNumId="34">
    <w:nsid w:val="268CB37F"/>
    <w:multiLevelType w:val="hybridMultilevel"/>
    <w:lvl w:ilvl="0">
      <w:lvlJc w:val="left"/>
      <w:lvlText w:val="%1:"/>
      <w:numFmt w:val="upperLetter"/>
      <w:start w:val="17"/>
    </w:lvl>
  </w:abstractNum>
  <w:abstractNum w:abstractNumId="35">
    <w:nsid w:val="102362F8"/>
    <w:multiLevelType w:val="hybridMultilevel"/>
    <w:lvl w:ilvl="0">
      <w:lvlJc w:val="left"/>
      <w:lvlText w:val="%1:"/>
      <w:numFmt w:val="upperLetter"/>
      <w:start w:val="1"/>
    </w:lvl>
  </w:abstractNum>
  <w:abstractNum w:abstractNumId="36">
    <w:nsid w:val="5FEDC0E3"/>
    <w:multiLevelType w:val="hybridMultilevel"/>
    <w:lvl w:ilvl="0">
      <w:lvlJc w:val="left"/>
      <w:lvlText w:val="%1:"/>
      <w:numFmt w:val="upperLetter"/>
      <w:start w:val="17"/>
    </w:lvl>
  </w:abstractNum>
  <w:abstractNum w:abstractNumId="37">
    <w:nsid w:val="3D75BC47"/>
    <w:multiLevelType w:val="hybridMultilevel"/>
    <w:lvl w:ilvl="0">
      <w:lvlJc w:val="left"/>
      <w:lvlText w:val="%1:"/>
      <w:numFmt w:val="upperLetter"/>
      <w:start w:val="1"/>
    </w:lvl>
    <w:lvl w:ilvl="1">
      <w:lvlJc w:val="left"/>
      <w:lvlText w:val="-"/>
      <w:numFmt w:val="bullet"/>
      <w:start w:val="1"/>
    </w:lvl>
  </w:abstractNum>
  <w:abstractNum w:abstractNumId="38">
    <w:nsid w:val="3E30D969"/>
    <w:multiLevelType w:val="hybridMultilevel"/>
    <w:lvl w:ilvl="0">
      <w:lvlJc w:val="left"/>
      <w:lvlText w:val="%1:"/>
      <w:numFmt w:val="upperLetter"/>
      <w:start w:val="17"/>
    </w:lvl>
  </w:abstractNum>
  <w:abstractNum w:abstractNumId="39">
    <w:nsid w:val="18A35FE3"/>
    <w:multiLevelType w:val="hybridMultilevel"/>
    <w:lvl w:ilvl="0">
      <w:lvlJc w:val="left"/>
      <w:lvlText w:val="%1:"/>
      <w:numFmt w:val="upperLetter"/>
      <w:start w:val="1"/>
    </w:lvl>
  </w:abstractNum>
  <w:abstractNum w:abstractNumId="40">
    <w:nsid w:val="6DEF5211"/>
    <w:multiLevelType w:val="hybridMultilevel"/>
    <w:lvl w:ilvl="0">
      <w:lvlJc w:val="left"/>
      <w:lvlText w:val="%1:"/>
      <w:numFmt w:val="upperLetter"/>
      <w:start w:val="17"/>
    </w:lvl>
  </w:abstractNum>
  <w:abstractNum w:abstractNumId="41">
    <w:nsid w:val="1112DBB6"/>
    <w:multiLevelType w:val="hybridMultilevel"/>
    <w:lvl w:ilvl="0">
      <w:lvlJc w:val="left"/>
      <w:lvlText w:val="%1:"/>
      <w:numFmt w:val="upperLetter"/>
      <w:start w:val="1"/>
    </w:lvl>
    <w:lvl w:ilvl="1">
      <w:lvlJc w:val="left"/>
      <w:lvlText w:val="-"/>
      <w:numFmt w:val="bullet"/>
      <w:start w:val="1"/>
    </w:lvl>
  </w:abstractNum>
  <w:abstractNum w:abstractNumId="42">
    <w:nsid w:val="2586A498"/>
    <w:multiLevelType w:val="hybridMultilevel"/>
    <w:lvl w:ilvl="0">
      <w:lvlJc w:val="left"/>
      <w:lvlText w:val="%1:"/>
      <w:numFmt w:val="upperLetter"/>
      <w:start w:val="17"/>
    </w:lvl>
  </w:abstractNum>
  <w:abstractNum w:abstractNumId="43">
    <w:nsid w:val="17A03BB9"/>
    <w:multiLevelType w:val="hybridMultilevel"/>
    <w:lvl w:ilvl="0">
      <w:lvlJc w:val="left"/>
      <w:lvlText w:val="%1:"/>
      <w:numFmt w:val="upperLetter"/>
      <w:start w:val="1"/>
    </w:lvl>
  </w:abstractNum>
  <w:abstractNum w:abstractNumId="44">
    <w:nsid w:val="5CA941"/>
    <w:multiLevelType w:val="hybridMultilevel"/>
    <w:lvl w:ilvl="0">
      <w:lvlJc w:val="left"/>
      <w:lvlText w:val="%1:"/>
      <w:numFmt w:val="upperLetter"/>
      <w:start w:val="17"/>
    </w:lvl>
  </w:abstractNum>
  <w:abstractNum w:abstractNumId="45">
    <w:nsid w:val="734C7D9F"/>
    <w:multiLevelType w:val="hybridMultilevel"/>
    <w:lvl w:ilvl="0">
      <w:lvlJc w:val="left"/>
      <w:lvlText w:val="%1:"/>
      <w:numFmt w:val="upperLetter"/>
      <w:start w:val="1"/>
    </w:lvl>
  </w:abstractNum>
  <w:abstractNum w:abstractNumId="46">
    <w:nsid w:val="24F5D018"/>
    <w:multiLevelType w:val="hybridMultilevel"/>
    <w:lvl w:ilvl="0">
      <w:lvlJc w:val="left"/>
      <w:lvlText w:val="%1:"/>
      <w:numFmt w:val="upperLetter"/>
      <w:start w:val="17"/>
    </w:lvl>
  </w:abstractNum>
  <w:abstractNum w:abstractNumId="47">
    <w:nsid w:val="6780C122"/>
    <w:multiLevelType w:val="hybridMultilevel"/>
    <w:lvl w:ilvl="0">
      <w:lvlJc w:val="left"/>
      <w:lvlText w:val="%1:"/>
      <w:numFmt w:val="upperLetter"/>
      <w:start w:val="1"/>
    </w:lvl>
  </w:abstractNum>
  <w:abstractNum w:abstractNumId="48">
    <w:nsid w:val="534347A8"/>
    <w:multiLevelType w:val="hybridMultilevel"/>
    <w:lvl w:ilvl="0">
      <w:lvlJc w:val="left"/>
      <w:lvlText w:val="%1:"/>
      <w:numFmt w:val="upperLetter"/>
      <w:start w:val="17"/>
    </w:lvl>
  </w:abstractNum>
  <w:abstractNum w:abstractNumId="49">
    <w:nsid w:val="5800E34B"/>
    <w:multiLevelType w:val="hybridMultilevel"/>
    <w:lvl w:ilvl="0">
      <w:lvlJc w:val="left"/>
      <w:lvlText w:val="%1:"/>
      <w:numFmt w:val="upperLetter"/>
      <w:start w:val="1"/>
    </w:lvl>
  </w:abstractNum>
  <w:abstractNum w:abstractNumId="50">
    <w:nsid w:val="1673EFC8"/>
    <w:multiLevelType w:val="hybridMultilevel"/>
    <w:lvl w:ilvl="0">
      <w:lvlJc w:val="left"/>
      <w:lvlText w:val="(%1)"/>
      <w:numFmt w:val="decimal"/>
      <w:start w:val="215"/>
    </w:lvl>
  </w:abstractNum>
  <w:abstractNum w:abstractNumId="51">
    <w:nsid w:val="5B9B1FD"/>
    <w:multiLevelType w:val="hybridMultilevel"/>
    <w:lvl w:ilvl="0">
      <w:lvlJc w:val="left"/>
      <w:lvlText w:val="-"/>
      <w:numFmt w:val="bullet"/>
      <w:start w:val="1"/>
    </w:lvl>
  </w:abstractNum>
  <w:abstractNum w:abstractNumId="52">
    <w:nsid w:val="7AD7FCA2"/>
    <w:multiLevelType w:val="hybridMultilevel"/>
    <w:lvl w:ilvl="0">
      <w:lvlJc w:val="left"/>
      <w:lvlText w:val="(%1)"/>
      <w:numFmt w:val="decimal"/>
      <w:start w:val="212"/>
    </w:lvl>
  </w:abstractNum>
  <w:abstractNum w:abstractNumId="53">
    <w:nsid w:val="63351604"/>
    <w:multiLevelType w:val="hybridMultilevel"/>
    <w:lvl w:ilvl="0">
      <w:lvlJc w:val="left"/>
      <w:lvlText w:val="-"/>
      <w:numFmt w:val="bullet"/>
      <w:start w:val="1"/>
    </w:lvl>
  </w:abstractNum>
  <w:abstractNum w:abstractNumId="54">
    <w:nsid w:val="E759D1A"/>
    <w:multiLevelType w:val="hybridMultilevel"/>
    <w:lvl w:ilvl="0">
      <w:lvlJc w:val="left"/>
      <w:lvlText w:val="-"/>
      <w:numFmt w:val="bullet"/>
      <w:start w:val="1"/>
    </w:lvl>
  </w:abstractNum>
  <w:abstractNum w:abstractNumId="55">
    <w:nsid w:val="6E3DEE90"/>
    <w:multiLevelType w:val="hybridMultilevel"/>
    <w:lvl w:ilvl="0">
      <w:lvlJc w:val="left"/>
      <w:lvlText w:val="-"/>
      <w:numFmt w:val="bullet"/>
      <w:start w:val="1"/>
    </w:lvl>
  </w:abstractNum>
  <w:abstractNum w:abstractNumId="56">
    <w:nsid w:val="1A8762F4"/>
    <w:multiLevelType w:val="hybridMultilevel"/>
    <w:lvl w:ilvl="0">
      <w:lvlJc w:val="left"/>
      <w:lvlText w:val="-"/>
      <w:numFmt w:val="bullet"/>
      <w:start w:val="1"/>
    </w:lvl>
  </w:abstractNum>
  <w:abstractNum w:abstractNumId="57">
    <w:nsid w:val="7F41D049"/>
    <w:multiLevelType w:val="hybridMultilevel"/>
    <w:lvl w:ilvl="0">
      <w:lvlJc w:val="left"/>
      <w:lvlText w:val="-"/>
      <w:numFmt w:val="bullet"/>
      <w:start w:val="1"/>
    </w:lvl>
  </w:abstractNum>
  <w:abstractNum w:abstractNumId="58">
    <w:nsid w:val="449F66FE"/>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9">
    <w:nsid w:val="557E0515"/>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60">
    <w:nsid w:val="3BA0794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61">
    <w:nsid w:val="6A0DCE48"/>
    <w:multiLevelType w:val="hybridMultilevel"/>
    <w:lvl w:ilvl="0">
      <w:lvlJc w:val="left"/>
      <w:lvlText w:val="-"/>
      <w:numFmt w:val="bullet"/>
      <w:start w:val="1"/>
    </w:lvl>
  </w:abstractNum>
  <w:abstractNum w:abstractNumId="62">
    <w:nsid w:val="7237AA96"/>
    <w:multiLevelType w:val="hybridMultilevel"/>
    <w:lvl w:ilvl="0">
      <w:lvlJc w:val="left"/>
      <w:lvlText w:val="-"/>
      <w:numFmt w:val="bullet"/>
      <w:start w:val="1"/>
    </w:lvl>
  </w:abstractNum>
  <w:abstractNum w:abstractNumId="63">
    <w:nsid w:val="5B1FBC2D"/>
    <w:multiLevelType w:val="hybridMultilevel"/>
    <w:lvl w:ilvl="0">
      <w:lvlJc w:val="left"/>
      <w:lvlText w:val="["/>
      <w:numFmt w:val="bullet"/>
      <w:start w:val="1"/>
    </w:lvl>
  </w:abstractNum>
  <w:abstractNum w:abstractNumId="64">
    <w:nsid w:val="33DFCCE8"/>
    <w:multiLevelType w:val="hybridMultilevel"/>
    <w:lvl w:ilvl="0">
      <w:lvlJc w:val="left"/>
      <w:lvlText w:val="-"/>
      <w:numFmt w:val="bullet"/>
      <w:start w:val="1"/>
    </w:lvl>
  </w:abstractNum>
  <w:abstractNum w:abstractNumId="65">
    <w:nsid w:val="18C45E15"/>
    <w:multiLevelType w:val="hybridMultilevel"/>
    <w:lvl w:ilvl="0">
      <w:lvlJc w:val="left"/>
      <w:lvlText w:val="-"/>
      <w:numFmt w:val="bullet"/>
      <w:start w:val="1"/>
    </w:lvl>
  </w:abstractNum>
  <w:abstractNum w:abstractNumId="66">
    <w:nsid w:val="6B431F25"/>
    <w:multiLevelType w:val="hybridMultilevel"/>
    <w:lvl w:ilvl="0">
      <w:lvlJc w:val="left"/>
      <w:lvlText w:val="-"/>
      <w:numFmt w:val="bullet"/>
      <w:start w:val="1"/>
    </w:lvl>
  </w:abstractNum>
  <w:abstractNum w:abstractNumId="67">
    <w:nsid w:val="13CD8DCB"/>
    <w:multiLevelType w:val="hybridMultilevel"/>
    <w:lvl w:ilvl="0">
      <w:lvlJc w:val="left"/>
      <w:lvlText w:val="-"/>
      <w:numFmt w:val="bullet"/>
      <w:start w:val="1"/>
    </w:lvl>
  </w:abstractNum>
  <w:abstractNum w:abstractNumId="68">
    <w:nsid w:val="563A1A5C"/>
    <w:multiLevelType w:val="hybridMultilevel"/>
    <w:lvl w:ilvl="0">
      <w:lvlJc w:val="left"/>
      <w:lvlText w:val="-"/>
      <w:numFmt w:val="bullet"/>
      <w:start w:val="1"/>
    </w:lvl>
  </w:abstractNum>
  <w:abstractNum w:abstractNumId="69">
    <w:nsid w:val="2973F88F"/>
    <w:multiLevelType w:val="hybridMultilevel"/>
    <w:lvl w:ilvl="0">
      <w:lvlJc w:val="left"/>
      <w:lvlText w:val="-"/>
      <w:numFmt w:val="bullet"/>
      <w:start w:val="1"/>
    </w:lvl>
  </w:abstractNum>
  <w:abstractNum w:abstractNumId="70">
    <w:nsid w:val="2C70EDAE"/>
    <w:multiLevelType w:val="hybridMultilevel"/>
    <w:lvl w:ilvl="0">
      <w:lvlJc w:val="left"/>
      <w:lvlText w:val="["/>
      <w:numFmt w:val="bullet"/>
      <w:start w:val="1"/>
    </w:lvl>
  </w:abstractNum>
  <w:abstractNum w:abstractNumId="71">
    <w:nsid w:val="44296C6D"/>
    <w:multiLevelType w:val="hybridMultilevel"/>
    <w:lvl w:ilvl="0">
      <w:lvlJc w:val="left"/>
      <w:lvlText w:val="-"/>
      <w:numFmt w:val="bullet"/>
      <w:start w:val="1"/>
    </w:lvl>
  </w:abstractNum>
  <w:abstractNum w:abstractNumId="72">
    <w:nsid w:val="3A86D445"/>
    <w:multiLevelType w:val="hybridMultilevel"/>
    <w:lvl w:ilvl="0">
      <w:lvlJc w:val="left"/>
      <w:lvlText w:val="-"/>
      <w:numFmt w:val="bullet"/>
      <w:start w:val="1"/>
    </w:lvl>
  </w:abstractNum>
  <w:abstractNum w:abstractNumId="73">
    <w:nsid w:val="51F79246"/>
    <w:multiLevelType w:val="hybridMultilevel"/>
    <w:lvl w:ilvl="0">
      <w:lvlJc w:val="left"/>
      <w:lvlText w:val="--"/>
      <w:numFmt w:val="bullet"/>
      <w:start w:val="1"/>
    </w:lvl>
  </w:abstractNum>
  <w:abstractNum w:abstractNumId="74">
    <w:nsid w:val="5BC9A827"/>
    <w:multiLevelType w:val="hybridMultilevel"/>
    <w:lvl w:ilvl="0">
      <w:lvlJc w:val="left"/>
      <w:lvlText w:val="--"/>
      <w:numFmt w:val="bullet"/>
      <w:start w:val="1"/>
    </w:lvl>
  </w:abstractNum>
  <w:abstractNum w:abstractNumId="75">
    <w:nsid w:val="3AE37D86"/>
    <w:multiLevelType w:val="hybridMultilevel"/>
    <w:lvl w:ilvl="0">
      <w:lvlJc w:val="left"/>
      <w:lvlText w:val="-----"/>
      <w:numFmt w:val="bullet"/>
      <w:start w:val="1"/>
    </w:lvl>
    <w:lvl w:ilvl="1">
      <w:lvlJc w:val="left"/>
      <w:lvlText w:val="---"/>
      <w:numFmt w:val="bullet"/>
      <w:start w:val="1"/>
    </w:lvl>
  </w:abstractNum>
  <w:abstractNum w:abstractNumId="76">
    <w:nsid w:val="45440FE5"/>
    <w:multiLevelType w:val="hybridMultilevel"/>
    <w:lvl w:ilvl="0">
      <w:lvlJc w:val="left"/>
      <w:lvlText w:val="$"/>
      <w:numFmt w:val="bullet"/>
      <w:start w:val="1"/>
    </w:lvl>
  </w:abstractNum>
  <w:abstractNum w:abstractNumId="77">
    <w:nsid w:val="BF783F"/>
    <w:multiLevelType w:val="hybridMultilevel"/>
    <w:lvl w:ilvl="0">
      <w:lvlJc w:val="left"/>
      <w:lvlText w:val="$"/>
      <w:numFmt w:val="bullet"/>
      <w:start w:val="1"/>
    </w:lvl>
  </w:abstractNum>
  <w:abstractNum w:abstractNumId="78">
    <w:nsid w:val="22643EA9"/>
    <w:multiLevelType w:val="hybridMultilevel"/>
    <w:lvl w:ilvl="0">
      <w:lvlJc w:val="left"/>
      <w:lvlText w:val="-----"/>
      <w:numFmt w:val="bullet"/>
      <w:start w:val="1"/>
    </w:lvl>
    <w:lvl w:ilvl="1">
      <w:lvlJc w:val="left"/>
      <w:lvlText w:val="---"/>
      <w:numFmt w:val="bullet"/>
      <w:start w:val="1"/>
    </w:lvl>
  </w:abstractNum>
  <w:abstractNum w:abstractNumId="79">
    <w:nsid w:val="1887578D"/>
    <w:multiLevelType w:val="hybridMultilevel"/>
    <w:lvl w:ilvl="0">
      <w:lvlJc w:val="left"/>
      <w:lvlText w:val="$"/>
      <w:numFmt w:val="bullet"/>
      <w:start w:val="1"/>
    </w:lvl>
  </w:abstractNum>
  <w:abstractNum w:abstractNumId="80">
    <w:nsid w:val="58C05B8A"/>
    <w:multiLevelType w:val="hybridMultilevel"/>
    <w:lvl w:ilvl="0">
      <w:lvlJc w:val="left"/>
      <w:lvlText w:val="-"/>
      <w:numFmt w:val="bullet"/>
      <w:start w:val="1"/>
    </w:lvl>
    <w:lvl w:ilvl="1">
      <w:lvlJc w:val="left"/>
      <w:lvlText w:val="----"/>
      <w:numFmt w:val="bullet"/>
      <w:start w:val="1"/>
    </w:lvl>
  </w:abstractNum>
  <w:abstractNum w:abstractNumId="81">
    <w:nsid w:val="38D82E71"/>
    <w:multiLevelType w:val="hybridMultilevel"/>
    <w:lvl w:ilvl="0">
      <w:lvlJc w:val="left"/>
      <w:lvlText w:val="(%1)"/>
      <w:numFmt w:val="decimal"/>
      <w:start w:val="1"/>
    </w:lvl>
  </w:abstractNum>
  <w:abstractNum w:abstractNumId="82">
    <w:nsid w:val="1E41098A"/>
    <w:multiLevelType w:val="hybridMultilevel"/>
    <w:lvl w:ilvl="0">
      <w:lvlJc w:val="left"/>
      <w:lvlText w:val="(%1)"/>
      <w:numFmt w:val="decimal"/>
      <w:start w:val="6"/>
    </w:lvl>
  </w:abstractNum>
  <w:abstractNum w:abstractNumId="83">
    <w:nsid w:val="5398582C"/>
    <w:multiLevelType w:val="hybridMultilevel"/>
    <w:lvl w:ilvl="0">
      <w:lvlJc w:val="left"/>
      <w:lvlText w:val="-"/>
      <w:numFmt w:val="bullet"/>
      <w:start w:val="1"/>
    </w:lvl>
    <w:lvl w:ilvl="1">
      <w:lvlJc w:val="left"/>
      <w:lvlText w:val="(%2)"/>
      <w:numFmt w:val="decimal"/>
      <w:start w:val="1"/>
    </w:lvl>
  </w:abstractNum>
  <w:abstractNum w:abstractNumId="84">
    <w:nsid w:val="1C0D4475"/>
    <w:multiLevelType w:val="hybridMultilevel"/>
    <w:lvl w:ilvl="0">
      <w:lvlJc w:val="left"/>
      <w:lvlText w:val="$"/>
      <w:numFmt w:val="bullet"/>
      <w:start w:val="1"/>
    </w:lvl>
  </w:abstractNum>
  <w:abstractNum w:abstractNumId="85">
    <w:nsid w:val="2CB6A6A4"/>
    <w:multiLevelType w:val="hybridMultilevel"/>
    <w:lvl w:ilvl="0">
      <w:lvlJc w:val="left"/>
      <w:lvlText w:val="-"/>
      <w:numFmt w:val="bullet"/>
      <w:start w:val="1"/>
    </w:lvl>
    <w:lvl w:ilvl="1">
      <w:lvlJc w:val="left"/>
      <w:lvlText w:val="$"/>
      <w:numFmt w:val="bullet"/>
      <w:start w:val="1"/>
    </w:lvl>
  </w:abstractNum>
  <w:abstractNum w:abstractNumId="86">
    <w:nsid w:val="41D646BC"/>
    <w:multiLevelType w:val="hybridMultilevel"/>
    <w:lvl w:ilvl="0">
      <w:lvlJc w:val="left"/>
      <w:lvlText w:val="(%1)"/>
      <w:numFmt w:val="decimal"/>
      <w:start w:val="1"/>
    </w:lvl>
  </w:abstractNum>
  <w:abstractNum w:abstractNumId="87">
    <w:nsid w:val="3694A76A"/>
    <w:multiLevelType w:val="hybridMultilevel"/>
    <w:lvl w:ilvl="0">
      <w:lvlJc w:val="left"/>
      <w:lvlText w:val="-"/>
      <w:numFmt w:val="bullet"/>
      <w:start w:val="1"/>
    </w:lvl>
  </w:abstractNum>
  <w:abstractNum w:abstractNumId="88">
    <w:nsid w:val="2BF876EE"/>
    <w:multiLevelType w:val="hybridMultilevel"/>
    <w:lvl w:ilvl="0">
      <w:lvlJc w:val="left"/>
      <w:lvlText w:val="--"/>
      <w:numFmt w:val="bullet"/>
      <w:start w:val="1"/>
    </w:lvl>
  </w:abstractNum>
  <w:abstractNum w:abstractNumId="89">
    <w:nsid w:val="675ADBA"/>
    <w:multiLevelType w:val="hybridMultilevel"/>
    <w:lvl w:ilvl="0">
      <w:lvlJc w:val="left"/>
      <w:lvlText w:val="-"/>
      <w:numFmt w:val="bullet"/>
      <w:start w:val="1"/>
    </w:lvl>
    <w:lvl w:ilvl="1">
      <w:lvlJc w:val="left"/>
      <w:lvlText w:val="--"/>
      <w:numFmt w:val="bullet"/>
      <w:start w:val="1"/>
    </w:lvl>
  </w:abstractNum>
  <w:abstractNum w:abstractNumId="90">
    <w:nsid w:val="C12AC7F"/>
    <w:multiLevelType w:val="hybridMultilevel"/>
    <w:lvl w:ilvl="0">
      <w:lvlJc w:val="left"/>
      <w:lvlText w:val="-"/>
      <w:numFmt w:val="bullet"/>
      <w:start w:val="1"/>
    </w:lvl>
  </w:abstractNum>
  <w:abstractNum w:abstractNumId="91">
    <w:nsid w:val="6798F039"/>
    <w:multiLevelType w:val="hybridMultilevel"/>
    <w:lvl w:ilvl="0">
      <w:lvlJc w:val="left"/>
      <w:lvlText w:val="-"/>
      <w:numFmt w:val="bullet"/>
      <w:start w:val="1"/>
    </w:lvl>
  </w:abstractNum>
  <w:abstractNum w:abstractNumId="92">
    <w:nsid w:val="70837C02"/>
    <w:multiLevelType w:val="hybridMultilevel"/>
    <w:lvl w:ilvl="0">
      <w:lvlJc w:val="left"/>
      <w:lvlText w:val="-"/>
      <w:numFmt w:val="bullet"/>
      <w:start w:val="1"/>
    </w:lvl>
  </w:abstractNum>
  <w:abstractNum w:abstractNumId="93">
    <w:nsid w:val="7E4A5715"/>
    <w:multiLevelType w:val="hybridMultilevel"/>
    <w:lvl w:ilvl="0">
      <w:lvlJc w:val="left"/>
      <w:lvlText w:val="-"/>
      <w:numFmt w:val="bullet"/>
      <w:start w:val="1"/>
    </w:lvl>
  </w:abstractNum>
  <w:abstractNum w:abstractNumId="94">
    <w:nsid w:val="42B8AC67"/>
    <w:multiLevelType w:val="hybridMultilevel"/>
    <w:lvl w:ilvl="0">
      <w:lvlJc w:val="left"/>
      <w:lvlText w:val="-"/>
      <w:numFmt w:val="bullet"/>
      <w:start w:val="1"/>
    </w:lvl>
  </w:abstractNum>
  <w:abstractNum w:abstractNumId="95">
    <w:nsid w:val="246348EA"/>
    <w:multiLevelType w:val="hybridMultilevel"/>
    <w:lvl w:ilvl="0">
      <w:lvlJc w:val="left"/>
      <w:lvlText w:val="-"/>
      <w:numFmt w:val="bullet"/>
      <w:start w:val="1"/>
    </w:lvl>
  </w:abstractNum>
  <w:abstractNum w:abstractNumId="96">
    <w:nsid w:val="170EB52B"/>
    <w:multiLevelType w:val="hybridMultilevel"/>
    <w:lvl w:ilvl="0">
      <w:lvlJc w:val="left"/>
      <w:lvlText w:val="["/>
      <w:numFmt w:val="bullet"/>
      <w:start w:val="1"/>
    </w:lvl>
  </w:abstractNum>
  <w:abstractNum w:abstractNumId="97">
    <w:nsid w:val="2DFBCB8C"/>
    <w:multiLevelType w:val="hybridMultilevel"/>
    <w:lvl w:ilvl="0">
      <w:lvlJc w:val="left"/>
      <w:lvlText w:val="-"/>
      <w:numFmt w:val="bullet"/>
      <w:start w:val="1"/>
    </w:lvl>
  </w:abstractNum>
  <w:abstractNum w:abstractNumId="98">
    <w:nsid w:val="3830D6B6"/>
    <w:multiLevelType w:val="hybridMultilevel"/>
    <w:lvl w:ilvl="0">
      <w:lvlJc w:val="left"/>
      <w:lvlText w:val="-"/>
      <w:numFmt w:val="bullet"/>
      <w:start w:val="1"/>
    </w:lvl>
  </w:abstractNum>
  <w:abstractNum w:abstractNumId="99">
    <w:nsid w:val="6D48CF87"/>
    <w:multiLevelType w:val="hybridMultilevel"/>
    <w:lvl w:ilvl="0">
      <w:lvlJc w:val="left"/>
      <w:lvlText w:val="-"/>
      <w:numFmt w:val="bullet"/>
      <w:start w:val="1"/>
    </w:lvl>
  </w:abstractNum>
  <w:abstractNum w:abstractNumId="100">
    <w:nsid w:val="576FC41B"/>
    <w:multiLevelType w:val="hybridMultilevel"/>
    <w:lvl w:ilvl="0">
      <w:lvlJc w:val="left"/>
      <w:lvlText w:val="-"/>
      <w:numFmt w:val="bullet"/>
      <w:start w:val="1"/>
    </w:lvl>
  </w:abstractNum>
  <w:abstractNum w:abstractNumId="101">
    <w:nsid w:val="64A1C464"/>
    <w:multiLevelType w:val="hybridMultilevel"/>
    <w:lvl w:ilvl="0">
      <w:lvlJc w:val="left"/>
      <w:lvlText w:val="-"/>
      <w:numFmt w:val="bullet"/>
      <w:start w:val="1"/>
    </w:lvl>
  </w:abstractNum>
  <w:abstractNum w:abstractNumId="102">
    <w:nsid w:val="31723BF5"/>
    <w:multiLevelType w:val="hybridMultilevel"/>
    <w:lvl w:ilvl="0">
      <w:lvlJc w:val="left"/>
      <w:lvlText w:val="-"/>
      <w:numFmt w:val="bullet"/>
      <w:start w:val="1"/>
    </w:lvl>
  </w:abstractNum>
  <w:abstractNum w:abstractNumId="103">
    <w:nsid w:val="11F69861"/>
    <w:multiLevelType w:val="hybridMultilevel"/>
    <w:lvl w:ilvl="0">
      <w:lvlJc w:val="left"/>
      <w:lvlText w:val="-"/>
      <w:numFmt w:val="bullet"/>
      <w:start w:val="1"/>
    </w:lvl>
  </w:abstractNum>
  <w:abstractNum w:abstractNumId="104">
    <w:nsid w:val="369956AB"/>
    <w:multiLevelType w:val="hybridMultilevel"/>
    <w:lvl w:ilvl="0">
      <w:lvlJc w:val="left"/>
      <w:lvlText w:val="-"/>
      <w:numFmt w:val="bullet"/>
      <w:start w:val="1"/>
    </w:lvl>
  </w:abstractNum>
  <w:abstractNum w:abstractNumId="105">
    <w:nsid w:val="D3BE41C"/>
    <w:multiLevelType w:val="hybridMultilevel"/>
    <w:lvl w:ilvl="0">
      <w:lvlJc w:val="left"/>
      <w:lvlText w:val="-"/>
      <w:numFmt w:val="bullet"/>
      <w:start w:val="1"/>
    </w:lvl>
    <w:lvl w:ilvl="1">
      <w:lvlJc w:val="left"/>
      <w:lvlText w:val="(%2)"/>
      <w:numFmt w:val="decimal"/>
      <w:start w:val="1"/>
    </w:lvl>
  </w:abstractNum>
  <w:abstractNum w:abstractNumId="106">
    <w:nsid w:val="4CDA15E7"/>
    <w:multiLevelType w:val="hybridMultilevel"/>
    <w:lvl w:ilvl="0">
      <w:lvlJc w:val="left"/>
      <w:lvlText w:val="-"/>
      <w:numFmt w:val="bullet"/>
      <w:start w:val="1"/>
    </w:lvl>
  </w:abstractNum>
  <w:abstractNum w:abstractNumId="107">
    <w:nsid w:val="7BDD6690"/>
    <w:multiLevelType w:val="hybridMultilevel"/>
    <w:lvl w:ilvl="0">
      <w:lvlJc w:val="left"/>
      <w:lvlText w:val="-"/>
      <w:numFmt w:val="bullet"/>
      <w:start w:val="1"/>
    </w:lvl>
  </w:abstractNum>
  <w:abstractNum w:abstractNumId="108">
    <w:nsid w:val="DFB5C5B"/>
    <w:multiLevelType w:val="hybridMultilevel"/>
    <w:lvl w:ilvl="0">
      <w:lvlJc w:val="left"/>
      <w:lvlText w:val="-"/>
      <w:numFmt w:val="bullet"/>
      <w:start w:val="1"/>
    </w:lvl>
  </w:abstractNum>
  <w:abstractNum w:abstractNumId="109">
    <w:nsid w:val="6F3E5490"/>
    <w:multiLevelType w:val="hybridMultilevel"/>
    <w:lvl w:ilvl="0">
      <w:lvlJc w:val="left"/>
      <w:lvlText w:val="-"/>
      <w:numFmt w:val="bullet"/>
      <w:start w:val="1"/>
    </w:lvl>
  </w:abstractNum>
  <w:abstractNum w:abstractNumId="110">
    <w:nsid w:val="1464BE1E"/>
    <w:multiLevelType w:val="hybridMultilevel"/>
    <w:lvl w:ilvl="0">
      <w:lvlJc w:val="left"/>
      <w:lvlText w:val="-"/>
      <w:numFmt w:val="bullet"/>
      <w:start w:val="1"/>
    </w:lvl>
  </w:abstractNum>
  <w:abstractNum w:abstractNumId="111">
    <w:nsid w:val="66BBB7E5"/>
    <w:multiLevelType w:val="hybridMultilevel"/>
    <w:lvl w:ilvl="0">
      <w:lvlJc w:val="left"/>
      <w:lvlText w:val="-"/>
      <w:numFmt w:val="bullet"/>
      <w:start w:val="1"/>
    </w:lvl>
  </w:abstractNum>
  <w:abstractNum w:abstractNumId="112">
    <w:nsid w:val="28168302"/>
    <w:multiLevelType w:val="hybridMultilevel"/>
    <w:lvl w:ilvl="0">
      <w:lvlJc w:val="left"/>
      <w:lvlText w:val="-"/>
      <w:numFmt w:val="bullet"/>
      <w:start w:val="1"/>
    </w:lvl>
  </w:abstractNum>
  <w:abstractNum w:abstractNumId="113">
    <w:nsid w:val="32A5C7A8"/>
    <w:multiLevelType w:val="hybridMultilevel"/>
    <w:lvl w:ilvl="0">
      <w:lvlJc w:val="left"/>
      <w:lvlText w:val="-"/>
      <w:numFmt w:val="bullet"/>
      <w:start w:val="1"/>
    </w:lvl>
  </w:abstractNum>
  <w:abstractNum w:abstractNumId="114">
    <w:nsid w:val="3A541011"/>
    <w:multiLevelType w:val="hybridMultilevel"/>
    <w:lvl w:ilvl="0">
      <w:lvlJc w:val="left"/>
      <w:lvlText w:val="-"/>
      <w:numFmt w:val="bullet"/>
      <w:start w:val="1"/>
    </w:lvl>
  </w:abstractNum>
  <w:abstractNum w:abstractNumId="115">
    <w:nsid w:val="4423C777"/>
    <w:multiLevelType w:val="hybridMultilevel"/>
    <w:lvl w:ilvl="0">
      <w:lvlJc w:val="left"/>
      <w:lvlText w:val="-"/>
      <w:numFmt w:val="bullet"/>
      <w:start w:val="1"/>
    </w:lvl>
  </w:abstractNum>
  <w:abstractNum w:abstractNumId="116">
    <w:nsid w:val="5F5C6E4D"/>
    <w:multiLevelType w:val="hybridMultilevel"/>
    <w:lvl w:ilvl="0">
      <w:lvlJc w:val="left"/>
      <w:lvlText w:val="-"/>
      <w:numFmt w:val="bullet"/>
      <w:start w:val="1"/>
    </w:lvl>
    <w:lvl w:ilvl="1">
      <w:lvlJc w:val="left"/>
      <w:lvlText w:val="--"/>
      <w:numFmt w:val="bullet"/>
      <w:start w:val="1"/>
    </w:lvl>
  </w:abstractNum>
  <w:abstractNum w:abstractNumId="117">
    <w:nsid w:val="7C2A56CD"/>
    <w:multiLevelType w:val="hybridMultilevel"/>
    <w:lvl w:ilvl="0">
      <w:lvlJc w:val="left"/>
      <w:lvlText w:val="-"/>
      <w:numFmt w:val="bullet"/>
      <w:start w:val="1"/>
    </w:lvl>
  </w:abstractNum>
  <w:abstractNum w:abstractNumId="118">
    <w:nsid w:val="7AB86EE1"/>
    <w:multiLevelType w:val="hybridMultilevel"/>
    <w:lvl w:ilvl="0">
      <w:lvlJc w:val="left"/>
      <w:lvlText w:val="---"/>
      <w:numFmt w:val="bullet"/>
      <w:start w:val="1"/>
    </w:lvl>
  </w:abstractNum>
  <w:abstractNum w:abstractNumId="119">
    <w:nsid w:val="B54E53B"/>
    <w:multiLevelType w:val="hybridMultilevel"/>
    <w:lvl w:ilvl="0">
      <w:lvlJc w:val="left"/>
      <w:lvlText w:val="----"/>
      <w:numFmt w:val="bullet"/>
      <w:start w:val="1"/>
    </w:lvl>
  </w:abstractNum>
  <w:abstractNum w:abstractNumId="120">
    <w:nsid w:val="2A00487"/>
    <w:multiLevelType w:val="hybridMultilevel"/>
    <w:lvl w:ilvl="0">
      <w:lvlJc w:val="left"/>
      <w:lvlText w:val="--"/>
      <w:numFmt w:val="bullet"/>
      <w:start w:val="1"/>
    </w:lvl>
  </w:abstractNum>
  <w:abstractNum w:abstractNumId="121">
    <w:nsid w:val="6CB1B60"/>
    <w:multiLevelType w:val="hybridMultilevel"/>
    <w:lvl w:ilvl="0">
      <w:lvlJc w:val="left"/>
      <w:lvlText w:val="---"/>
      <w:numFmt w:val="bullet"/>
      <w:start w:val="1"/>
    </w:lvl>
  </w:abstractNum>
  <w:abstractNum w:abstractNumId="122">
    <w:nsid w:val="72EDD574"/>
    <w:multiLevelType w:val="hybridMultilevel"/>
    <w:lvl w:ilvl="0">
      <w:lvlJc w:val="left"/>
      <w:lvlText w:val="$"/>
      <w:numFmt w:val="bullet"/>
      <w:start w:val="1"/>
    </w:lvl>
  </w:abstractNum>
  <w:abstractNum w:abstractNumId="123">
    <w:nsid w:val="7323808A"/>
    <w:multiLevelType w:val="hybridMultilevel"/>
    <w:lvl w:ilvl="0">
      <w:lvlJc w:val="left"/>
      <w:lvlText w:val="----"/>
      <w:numFmt w:val="bullet"/>
      <w:start w:val="1"/>
    </w:lvl>
  </w:abstractNum>
  <w:abstractNum w:abstractNumId="124">
    <w:nsid w:val="5157276"/>
    <w:multiLevelType w:val="hybridMultilevel"/>
    <w:lvl w:ilvl="0">
      <w:lvlJc w:val="left"/>
      <w:lvlText w:val="---"/>
      <w:numFmt w:val="bullet"/>
      <w:start w:val="1"/>
    </w:lvl>
  </w:abstractNum>
  <w:abstractNum w:abstractNumId="125">
    <w:nsid w:val="35A681DB"/>
    <w:multiLevelType w:val="hybridMultilevel"/>
    <w:lvl w:ilvl="0">
      <w:lvlJc w:val="left"/>
      <w:lvlText w:val="(%1)"/>
      <w:numFmt w:val="lowerLetter"/>
      <w:start w:val="1"/>
    </w:lvl>
  </w:abstractNum>
  <w:abstractNum w:abstractNumId="126">
    <w:nsid w:val="1786C974"/>
    <w:multiLevelType w:val="hybridMultilevel"/>
    <w:lvl w:ilvl="0">
      <w:lvlJc w:val="left"/>
      <w:lvlText w:val="--"/>
      <w:numFmt w:val="bullet"/>
      <w:start w:val="1"/>
    </w:lvl>
  </w:abstractNum>
  <w:abstractNum w:abstractNumId="127">
    <w:nsid w:val="1C2427A1"/>
    <w:multiLevelType w:val="hybridMultilevel"/>
    <w:lvl w:ilvl="0">
      <w:lvlJc w:val="left"/>
      <w:lvlText w:val="----"/>
      <w:numFmt w:val="bullet"/>
      <w:start w:val="1"/>
    </w:lvl>
  </w:abstractNum>
  <w:abstractNum w:abstractNumId="128">
    <w:nsid w:val="63A24D68"/>
    <w:multiLevelType w:val="hybridMultilevel"/>
    <w:lvl w:ilvl="0">
      <w:lvlJc w:val="left"/>
      <w:lvlText w:val="--"/>
      <w:numFmt w:val="bullet"/>
      <w:start w:val="1"/>
    </w:lvl>
  </w:abstractNum>
  <w:abstractNum w:abstractNumId="129">
    <w:nsid w:val="4FB7A02A"/>
    <w:multiLevelType w:val="hybridMultilevel"/>
    <w:lvl w:ilvl="0">
      <w:lvlJc w:val="left"/>
      <w:lvlText w:val="--"/>
      <w:numFmt w:val="bullet"/>
      <w:start w:val="1"/>
    </w:lvl>
  </w:abstractNum>
  <w:abstractNum w:abstractNumId="130">
    <w:nsid w:val="96CF728"/>
    <w:multiLevelType w:val="hybridMultilevel"/>
    <w:lvl w:ilvl="0">
      <w:lvlJc w:val="left"/>
      <w:lvlText w:val="--"/>
      <w:numFmt w:val="bullet"/>
      <w:start w:val="1"/>
    </w:lvl>
  </w:abstractNum>
  <w:abstractNum w:abstractNumId="131">
    <w:nsid w:val="3B121183"/>
    <w:multiLevelType w:val="hybridMultilevel"/>
    <w:lvl w:ilvl="0">
      <w:lvlJc w:val="left"/>
      <w:lvlText w:val="-----"/>
      <w:numFmt w:val="bullet"/>
      <w:start w:val="1"/>
    </w:lvl>
  </w:abstractNum>
  <w:abstractNum w:abstractNumId="132">
    <w:nsid w:val="3459648F"/>
    <w:multiLevelType w:val="hybridMultilevel"/>
    <w:lvl w:ilvl="0">
      <w:lvlJc w:val="left"/>
      <w:lvlText w:val="----"/>
      <w:numFmt w:val="bullet"/>
      <w:start w:val="1"/>
    </w:lvl>
  </w:abstractNum>
  <w:abstractNum w:abstractNumId="133">
    <w:nsid w:val="3ADF331D"/>
    <w:multiLevelType w:val="hybridMultilevel"/>
    <w:lvl w:ilvl="0">
      <w:lvlJc w:val="left"/>
      <w:lvlText w:val="---"/>
      <w:numFmt w:val="bullet"/>
      <w:start w:val="1"/>
    </w:lvl>
  </w:abstractNum>
  <w:abstractNum w:abstractNumId="134">
    <w:nsid w:val="4D08A9E4"/>
    <w:multiLevelType w:val="hybridMultilevel"/>
    <w:lvl w:ilvl="0">
      <w:lvlJc w:val="left"/>
      <w:lvlText w:val="$"/>
      <w:numFmt w:val="bullet"/>
      <w:start w:val="1"/>
    </w:lvl>
  </w:abstractNum>
  <w:abstractNum w:abstractNumId="135">
    <w:nsid w:val="6AF2BB3A"/>
    <w:multiLevelType w:val="hybridMultilevel"/>
    <w:lvl w:ilvl="0">
      <w:lvlJc w:val="left"/>
      <w:lvlText w:val="----"/>
      <w:numFmt w:val="bullet"/>
      <w:start w:val="1"/>
    </w:lvl>
  </w:abstractNum>
  <w:abstractNum w:abstractNumId="136">
    <w:nsid w:val="481B1739"/>
    <w:multiLevelType w:val="hybridMultilevel"/>
    <w:lvl w:ilvl="0">
      <w:lvlJc w:val="left"/>
      <w:lvlText w:val="--"/>
      <w:numFmt w:val="bullet"/>
      <w:start w:val="1"/>
    </w:lvl>
  </w:abstractNum>
  <w:abstractNum w:abstractNumId="137">
    <w:nsid w:val="19E2BFCC"/>
    <w:multiLevelType w:val="hybridMultilevel"/>
    <w:lvl w:ilvl="0">
      <w:lvlJc w:val="left"/>
      <w:lvlText w:val="-"/>
      <w:numFmt w:val="bullet"/>
      <w:start w:val="1"/>
    </w:lvl>
  </w:abstractNum>
  <w:abstractNum w:abstractNumId="138">
    <w:nsid w:val="66D021CA"/>
    <w:multiLevelType w:val="hybridMultilevel"/>
    <w:lvl w:ilvl="0">
      <w:lvlJc w:val="left"/>
      <w:lvlText w:val="(%1)"/>
      <w:numFmt w:val="lowerLetter"/>
      <w:start w:val="1"/>
    </w:lvl>
  </w:abstractNum>
  <w:abstractNum w:abstractNumId="139">
    <w:nsid w:val="56167394"/>
    <w:multiLevelType w:val="hybridMultilevel"/>
    <w:lvl w:ilvl="0">
      <w:lvlJc w:val="left"/>
      <w:lvlText w:val="(%1)"/>
      <w:numFmt w:val="lowerLetter"/>
      <w:start w:val="4"/>
    </w:lvl>
    <w:lvl w:ilvl="1">
      <w:lvlJc w:val="left"/>
      <w:lvlText w:val="(%2)"/>
      <w:numFmt w:val="lowerLetter"/>
      <w:start w:val="8"/>
    </w:lvl>
  </w:abstractNum>
  <w:abstractNum w:abstractNumId="140">
    <w:nsid w:val="921145C"/>
    <w:multiLevelType w:val="hybridMultilevel"/>
    <w:lvl w:ilvl="0">
      <w:lvlJc w:val="left"/>
      <w:lvlText w:val="(%1)"/>
      <w:numFmt w:val="lowerLetter"/>
      <w:start w:val="11"/>
    </w:lvl>
  </w:abstractNum>
  <w:abstractNum w:abstractNumId="141">
    <w:nsid w:val="7B34DFE8"/>
    <w:multiLevelType w:val="hybridMultilevel"/>
    <w:lvl w:ilvl="0">
      <w:lvlJc w:val="left"/>
      <w:lvlText w:val="-"/>
      <w:numFmt w:val="bullet"/>
      <w:start w:val="1"/>
    </w:lvl>
  </w:abstractNum>
  <w:abstractNum w:abstractNumId="142">
    <w:nsid w:val="3CD22B79"/>
    <w:multiLevelType w:val="hybridMultilevel"/>
    <w:lvl w:ilvl="0">
      <w:lvlJc w:val="left"/>
      <w:lvlText w:val="-"/>
      <w:numFmt w:val="bullet"/>
      <w:start w:val="1"/>
    </w:lvl>
  </w:abstractNum>
  <w:abstractNum w:abstractNumId="143">
    <w:nsid w:val="3137975E"/>
    <w:multiLevelType w:val="hybridMultilevel"/>
    <w:lvl w:ilvl="0">
      <w:lvlJc w:val="left"/>
      <w:lvlText w:val="-"/>
      <w:numFmt w:val="bullet"/>
      <w:start w:val="1"/>
    </w:lvl>
  </w:abstractNum>
  <w:abstractNum w:abstractNumId="144">
    <w:nsid w:val="2DDAA791"/>
    <w:multiLevelType w:val="hybridMultilevel"/>
    <w:lvl w:ilvl="0">
      <w:lvlJc w:val="left"/>
      <w:lvlText w:val="-"/>
      <w:numFmt w:val="bullet"/>
      <w:start w:val="1"/>
    </w:lvl>
  </w:abstractNum>
  <w:abstractNum w:abstractNumId="145">
    <w:nsid w:val="77263B8A"/>
    <w:multiLevelType w:val="hybridMultilevel"/>
    <w:lvl w:ilvl="0">
      <w:lvlJc w:val="left"/>
      <w:lvlText w:val="%1"/>
      <w:numFmt w:val="decimal"/>
      <w:start w:val="99"/>
    </w:lvl>
  </w:abstractNum>
  <w:abstractNum w:abstractNumId="146">
    <w:nsid w:val="755B5ED6"/>
    <w:multiLevelType w:val="hybridMultilevel"/>
    <w:lvl w:ilvl="0">
      <w:lvlJc w:val="left"/>
      <w:lvlText w:val="%1"/>
      <w:numFmt w:val="decimal"/>
    </w:lvl>
  </w:abstractNum>
  <w:abstractNum w:abstractNumId="147">
    <w:nsid w:val="D3715DE"/>
    <w:multiLevelType w:val="hybridMultilevel"/>
    <w:lvl w:ilvl="0">
      <w:lvlJc w:val="left"/>
      <w:lvlText w:val="-"/>
      <w:numFmt w:val="bullet"/>
      <w:start w:val="1"/>
    </w:lvl>
  </w:abstractNum>
  <w:abstractNum w:abstractNumId="148">
    <w:nsid w:val="73509257"/>
    <w:multiLevelType w:val="hybridMultilevel"/>
    <w:lvl w:ilvl="0">
      <w:lvlJc w:val="left"/>
      <w:lvlText w:val="-"/>
      <w:numFmt w:val="bullet"/>
      <w:start w:val="1"/>
    </w:lvl>
  </w:abstractNum>
  <w:abstractNum w:abstractNumId="149">
    <w:nsid w:val="7013CDB7"/>
    <w:multiLevelType w:val="hybridMultilevel"/>
    <w:lvl w:ilvl="0">
      <w:lvlJc w:val="left"/>
      <w:lvlText w:val="-"/>
      <w:numFmt w:val="bullet"/>
      <w:start w:val="1"/>
    </w:lvl>
  </w:abstractNum>
  <w:abstractNum w:abstractNumId="150">
    <w:nsid w:val="188BFB19"/>
    <w:multiLevelType w:val="hybridMultilevel"/>
    <w:lvl w:ilvl="0">
      <w:lvlJc w:val="left"/>
      <w:lvlText w:val="-"/>
      <w:numFmt w:val="bullet"/>
      <w:start w:val="1"/>
    </w:lvl>
  </w:abstractNum>
  <w:abstractNum w:abstractNumId="151">
    <w:nsid w:val="75F096DF"/>
    <w:multiLevelType w:val="hybridMultilevel"/>
    <w:lvl w:ilvl="0">
      <w:lvlJc w:val="left"/>
      <w:lvlText w:val="-"/>
      <w:numFmt w:val="bullet"/>
      <w:start w:val="1"/>
    </w:lvl>
  </w:abstractNum>
  <w:abstractNum w:abstractNumId="152">
    <w:nsid w:val="76DEE918"/>
    <w:multiLevelType w:val="hybridMultilevel"/>
    <w:lvl w:ilvl="0">
      <w:lvlJc w:val="left"/>
      <w:lvlText w:val="-"/>
      <w:numFmt w:val="bullet"/>
      <w:start w:val="1"/>
    </w:lvl>
  </w:abstractNum>
  <w:abstractNum w:abstractNumId="153">
    <w:nsid w:val="B79D08D"/>
    <w:multiLevelType w:val="hybridMultilevel"/>
    <w:lvl w:ilvl="0">
      <w:lvlJc w:val="left"/>
      <w:lvlText w:val="-"/>
      <w:numFmt w:val="bullet"/>
      <w:start w:val="1"/>
    </w:lvl>
  </w:abstractNum>
  <w:abstractNum w:abstractNumId="154">
    <w:nsid w:val="69141769"/>
    <w:multiLevelType w:val="hybridMultilevel"/>
    <w:lvl w:ilvl="0">
      <w:lvlJc w:val="left"/>
      <w:lvlText w:val="-"/>
      <w:numFmt w:val="bullet"/>
      <w:start w:val="1"/>
    </w:lvl>
  </w:abstractNum>
  <w:abstractNum w:abstractNumId="155">
    <w:nsid w:val="7BF45B8E"/>
    <w:multiLevelType w:val="hybridMultilevel"/>
    <w:lvl w:ilvl="0">
      <w:lvlJc w:val="left"/>
      <w:lvlText w:val="-"/>
      <w:numFmt w:val="bullet"/>
      <w:start w:val="1"/>
    </w:lvl>
  </w:abstractNum>
  <w:abstractNum w:abstractNumId="156">
    <w:nsid w:val="41205269"/>
    <w:multiLevelType w:val="hybridMultilevel"/>
    <w:lvl w:ilvl="0">
      <w:lvlJc w:val="left"/>
      <w:lvlText w:val="-"/>
      <w:numFmt w:val="bullet"/>
      <w:start w:val="1"/>
    </w:lvl>
  </w:abstractNum>
  <w:abstractNum w:abstractNumId="157">
    <w:nsid w:val="9AE0DD"/>
    <w:multiLevelType w:val="hybridMultilevel"/>
    <w:lvl w:ilvl="0">
      <w:lvlJc w:val="left"/>
      <w:lvlText w:val="-"/>
      <w:numFmt w:val="bullet"/>
      <w:start w:val="1"/>
    </w:lvl>
  </w:abstractNum>
  <w:abstractNum w:abstractNumId="158">
    <w:nsid w:val="1818832F"/>
    <w:multiLevelType w:val="hybridMultilevel"/>
    <w:lvl w:ilvl="0">
      <w:lvlJc w:val="left"/>
      <w:lvlText w:val="-"/>
      <w:numFmt w:val="bullet"/>
      <w:start w:val="1"/>
    </w:lvl>
  </w:abstractNum>
  <w:abstractNum w:abstractNumId="159">
    <w:nsid w:val="24C29FD1"/>
    <w:multiLevelType w:val="hybridMultilevel"/>
    <w:lvl w:ilvl="0">
      <w:lvlJc w:val="left"/>
      <w:lvlText w:val="--"/>
      <w:numFmt w:val="bullet"/>
      <w:start w:val="1"/>
    </w:lvl>
  </w:abstractNum>
  <w:abstractNum w:abstractNumId="160">
    <w:nsid w:val="50528108"/>
    <w:multiLevelType w:val="hybridMultilevel"/>
    <w:lvl w:ilvl="0">
      <w:lvlJc w:val="left"/>
      <w:lvlText w:val="-----"/>
      <w:numFmt w:val="bullet"/>
      <w:start w:val="1"/>
    </w:lvl>
  </w:abstractNum>
  <w:abstractNum w:abstractNumId="161">
    <w:nsid w:val="21857A57"/>
    <w:multiLevelType w:val="hybridMultilevel"/>
    <w:lvl w:ilvl="0">
      <w:lvlJc w:val="left"/>
      <w:lvlText w:val="--"/>
      <w:numFmt w:val="bullet"/>
      <w:start w:val="1"/>
    </w:lvl>
  </w:abstractNum>
  <w:abstractNum w:abstractNumId="162">
    <w:nsid w:val="5FD4B154"/>
    <w:multiLevelType w:val="hybridMultilevel"/>
    <w:lvl w:ilvl="0">
      <w:lvlJc w:val="left"/>
      <w:lvlText w:val="-"/>
      <w:numFmt w:val="bullet"/>
      <w:start w:val="1"/>
    </w:lvl>
    <w:lvl w:ilvl="1">
      <w:lvlJc w:val="left"/>
      <w:lvlText w:val="-"/>
      <w:numFmt w:val="bullet"/>
      <w:start w:val="1"/>
    </w:lvl>
  </w:abstractNum>
  <w:abstractNum w:abstractNumId="163">
    <w:nsid w:val="4ABE597"/>
    <w:multiLevelType w:val="hybridMultilevel"/>
    <w:lvl w:ilvl="0">
      <w:lvlJc w:val="left"/>
      <w:lvlText w:val="-"/>
      <w:numFmt w:val="bullet"/>
      <w:start w:val="1"/>
    </w:lvl>
  </w:abstractNum>
  <w:abstractNum w:abstractNumId="164">
    <w:nsid w:val="5C64AD75"/>
    <w:multiLevelType w:val="hybridMultilevel"/>
    <w:lvl w:ilvl="0">
      <w:lvlJc w:val="left"/>
      <w:lvlText w:val="-"/>
      <w:numFmt w:val="bullet"/>
      <w:start w:val="1"/>
    </w:lvl>
  </w:abstractNum>
  <w:abstractNum w:abstractNumId="165">
    <w:nsid w:val="2CDD5B39"/>
    <w:multiLevelType w:val="hybridMultilevel"/>
    <w:lvl w:ilvl="0">
      <w:lvlJc w:val="left"/>
      <w:lvlText w:val="-"/>
      <w:numFmt w:val="bullet"/>
      <w:start w:val="1"/>
    </w:lvl>
    <w:lvl w:ilvl="1">
      <w:lvlJc w:val="left"/>
      <w:lvlText w:val="(%2)"/>
      <w:numFmt w:val="lowerRoman"/>
      <w:start w:val="2"/>
    </w:lvl>
  </w:abstractNum>
  <w:abstractNum w:abstractNumId="166">
    <w:nsid w:val="6F9EA0D1"/>
    <w:multiLevelType w:val="hybridMultilevel"/>
    <w:lvl w:ilvl="0">
      <w:lvlJc w:val="left"/>
      <w:lvlText w:val="-"/>
      <w:numFmt w:val="bullet"/>
      <w:start w:val="1"/>
    </w:lvl>
  </w:abstractNum>
  <w:abstractNum w:abstractNumId="167">
    <w:nsid w:val="247FC4AE"/>
    <w:multiLevelType w:val="hybridMultilevel"/>
    <w:lvl w:ilvl="0">
      <w:lvlJc w:val="left"/>
      <w:lvlText w:val="-"/>
      <w:numFmt w:val="bullet"/>
      <w:start w:val="1"/>
    </w:lvl>
  </w:abstractNum>
  <w:abstractNum w:abstractNumId="168">
    <w:nsid w:val="46C01B05"/>
    <w:multiLevelType w:val="hybridMultilevel"/>
    <w:lvl w:ilvl="0">
      <w:lvlJc w:val="left"/>
      <w:lvlText w:val="-"/>
      <w:numFmt w:val="bullet"/>
      <w:start w:val="1"/>
    </w:lvl>
  </w:abstractNum>
  <w:abstractNum w:abstractNumId="169">
    <w:nsid w:val="566EC29B"/>
    <w:multiLevelType w:val="hybridMultilevel"/>
    <w:lvl w:ilvl="0">
      <w:lvlJc w:val="left"/>
      <w:lvlText w:val="-"/>
      <w:numFmt w:val="bullet"/>
      <w:start w:val="1"/>
    </w:lvl>
  </w:abstractNum>
  <w:abstractNum w:abstractNumId="170">
    <w:nsid w:val="7A963843"/>
    <w:multiLevelType w:val="hybridMultilevel"/>
    <w:lvl w:ilvl="0">
      <w:lvlJc w:val="left"/>
      <w:lvlText w:val="-"/>
      <w:numFmt w:val="bullet"/>
      <w:start w:val="1"/>
    </w:lvl>
  </w:abstractNum>
  <w:abstractNum w:abstractNumId="171">
    <w:nsid w:val="4FE12F61"/>
    <w:multiLevelType w:val="hybridMultilevel"/>
    <w:lvl w:ilvl="0">
      <w:lvlJc w:val="left"/>
      <w:lvlText w:val="--"/>
      <w:numFmt w:val="bullet"/>
      <w:start w:val="1"/>
    </w:lvl>
    <w:lvl w:ilvl="1">
      <w:lvlJc w:val="left"/>
      <w:lvlText w:val="--"/>
      <w:numFmt w:val="bullet"/>
      <w:start w:val="1"/>
    </w:lvl>
  </w:abstractNum>
  <w:abstractNum w:abstractNumId="172">
    <w:nsid w:val="51A3A284"/>
    <w:multiLevelType w:val="hybridMultilevel"/>
    <w:lvl w:ilvl="0">
      <w:lvlJc w:val="left"/>
      <w:lvlText w:val="-"/>
      <w:numFmt w:val="bullet"/>
      <w:start w:val="1"/>
    </w:lvl>
  </w:abstractNum>
  <w:abstractNum w:abstractNumId="173">
    <w:nsid w:val="376863BC"/>
    <w:multiLevelType w:val="hybridMultilevel"/>
    <w:lvl w:ilvl="0">
      <w:lvlJc w:val="left"/>
      <w:lvlText w:val="-"/>
      <w:numFmt w:val="bullet"/>
      <w:start w:val="1"/>
    </w:lvl>
  </w:abstractNum>
  <w:abstractNum w:abstractNumId="174">
    <w:nsid w:val="118C6C0"/>
    <w:multiLevelType w:val="hybridMultilevel"/>
    <w:lvl w:ilvl="0">
      <w:lvlJc w:val="left"/>
      <w:lvlText w:val="-"/>
      <w:numFmt w:val="bullet"/>
      <w:start w:val="1"/>
    </w:lvl>
  </w:abstractNum>
  <w:abstractNum w:abstractNumId="175">
    <w:nsid w:val="7F7E4A15"/>
    <w:multiLevelType w:val="hybridMultilevel"/>
    <w:lvl w:ilvl="0">
      <w:lvlJc w:val="left"/>
      <w:lvlText w:val="-"/>
      <w:numFmt w:val="bullet"/>
      <w:start w:val="1"/>
    </w:lvl>
  </w:abstractNum>
  <w:abstractNum w:abstractNumId="176">
    <w:nsid w:val="2E8E9F47"/>
    <w:multiLevelType w:val="hybridMultilevel"/>
    <w:lvl w:ilvl="0">
      <w:lvlJc w:val="left"/>
      <w:lvlText w:val="-"/>
      <w:numFmt w:val="bullet"/>
      <w:start w:val="1"/>
    </w:lvl>
  </w:abstractNum>
  <w:abstractNum w:abstractNumId="177">
    <w:nsid w:val="76742596"/>
    <w:multiLevelType w:val="hybridMultilevel"/>
    <w:lvl w:ilvl="0">
      <w:lvlJc w:val="left"/>
      <w:lvlText w:val="-"/>
      <w:numFmt w:val="bullet"/>
      <w:start w:val="1"/>
    </w:lvl>
  </w:abstractNum>
  <w:abstractNum w:abstractNumId="178">
    <w:nsid w:val="CB55FF3"/>
    <w:multiLevelType w:val="hybridMultilevel"/>
    <w:lvl w:ilvl="0">
      <w:lvlJc w:val="left"/>
      <w:lvlText w:val="-"/>
      <w:numFmt w:val="bullet"/>
      <w:start w:val="1"/>
    </w:lvl>
  </w:abstractNum>
  <w:abstractNum w:abstractNumId="179">
    <w:nsid w:val="21DF319E"/>
    <w:multiLevelType w:val="hybridMultilevel"/>
    <w:lvl w:ilvl="0">
      <w:lvlJc w:val="left"/>
      <w:lvlText w:val="-"/>
      <w:numFmt w:val="bullet"/>
      <w:start w:val="1"/>
    </w:lvl>
  </w:abstractNum>
  <w:abstractNum w:abstractNumId="180">
    <w:nsid w:val="6687F34D"/>
    <w:multiLevelType w:val="hybridMultilevel"/>
    <w:lvl w:ilvl="0">
      <w:lvlJc w:val="left"/>
      <w:lvlText w:val="-"/>
      <w:numFmt w:val="bullet"/>
      <w:start w:val="1"/>
    </w:lvl>
  </w:abstractNum>
  <w:abstractNum w:abstractNumId="181">
    <w:nsid w:val="25415B0C"/>
    <w:multiLevelType w:val="hybridMultilevel"/>
    <w:lvl w:ilvl="0">
      <w:lvlJc w:val="left"/>
      <w:lvlText w:val="-"/>
      <w:numFmt w:val="bullet"/>
      <w:start w:val="1"/>
    </w:lvl>
  </w:abstractNum>
  <w:abstractNum w:abstractNumId="182">
    <w:nsid w:val="17CFC87D"/>
    <w:multiLevelType w:val="hybridMultilevel"/>
    <w:lvl w:ilvl="0">
      <w:lvlJc w:val="left"/>
      <w:lvlText w:val="-"/>
      <w:numFmt w:val="bullet"/>
      <w:start w:val="1"/>
    </w:lvl>
  </w:abstractNum>
  <w:abstractNum w:abstractNumId="183">
    <w:nsid w:val="5D66DC65"/>
    <w:multiLevelType w:val="hybridMultilevel"/>
    <w:lvl w:ilvl="0">
      <w:lvlJc w:val="left"/>
      <w:lvlText w:val="-"/>
      <w:numFmt w:val="bullet"/>
      <w:start w:val="1"/>
    </w:lvl>
  </w:abstractNum>
  <w:abstractNum w:abstractNumId="184">
    <w:nsid w:val="30BB2B99"/>
    <w:multiLevelType w:val="hybridMultilevel"/>
    <w:lvl w:ilvl="0">
      <w:lvlJc w:val="left"/>
      <w:lvlText w:val="-"/>
      <w:numFmt w:val="bullet"/>
      <w:start w:val="1"/>
    </w:lvl>
    <w:lvl w:ilvl="1">
      <w:lvlJc w:val="left"/>
      <w:lvlText w:val="--"/>
      <w:numFmt w:val="bullet"/>
      <w:start w:val="1"/>
    </w:lvl>
  </w:abstractNum>
  <w:abstractNum w:abstractNumId="185">
    <w:nsid w:val="E3DFE6"/>
    <w:multiLevelType w:val="hybridMultilevel"/>
    <w:lvl w:ilvl="0">
      <w:lvlJc w:val="left"/>
      <w:lvlText w:val="-"/>
      <w:numFmt w:val="bullet"/>
      <w:start w:val="1"/>
    </w:lvl>
  </w:abstractNum>
  <w:abstractNum w:abstractNumId="186">
    <w:nsid w:val="595B37F3"/>
    <w:multiLevelType w:val="hybridMultilevel"/>
    <w:lvl w:ilvl="0">
      <w:lvlJc w:val="left"/>
      <w:lvlText w:val="(%1)"/>
      <w:numFmt w:val="decimal"/>
      <w:start w:val="4"/>
    </w:lvl>
  </w:abstractNum>
  <w:abstractNum w:abstractNumId="187">
    <w:nsid w:val="71DB7E02"/>
    <w:multiLevelType w:val="hybridMultilevel"/>
    <w:lvl w:ilvl="0">
      <w:lvlJc w:val="left"/>
      <w:lvlText w:val="-"/>
      <w:numFmt w:val="bullet"/>
      <w:start w:val="1"/>
    </w:lvl>
  </w:abstractNum>
  <w:abstractNum w:abstractNumId="188">
    <w:nsid w:val="17EC0C4"/>
    <w:multiLevelType w:val="hybridMultilevel"/>
    <w:lvl w:ilvl="0">
      <w:lvlJc w:val="left"/>
      <w:lvlText w:val="-"/>
      <w:numFmt w:val="bullet"/>
      <w:start w:val="1"/>
    </w:lvl>
  </w:abstractNum>
  <w:abstractNum w:abstractNumId="189">
    <w:nsid w:val="7173BB22"/>
    <w:multiLevelType w:val="hybridMultilevel"/>
    <w:lvl w:ilvl="0">
      <w:lvlJc w:val="left"/>
      <w:lvlText w:val="-"/>
      <w:numFmt w:val="bullet"/>
      <w:start w:val="1"/>
    </w:lvl>
  </w:abstractNum>
  <w:abstractNum w:abstractNumId="190">
    <w:nsid w:val="169E1DD3"/>
    <w:multiLevelType w:val="hybridMultilevel"/>
    <w:lvl w:ilvl="0">
      <w:lvlJc w:val="left"/>
      <w:lvlText w:val="-"/>
      <w:numFmt w:val="bullet"/>
      <w:start w:val="1"/>
    </w:lvl>
  </w:abstractNum>
  <w:abstractNum w:abstractNumId="191">
    <w:nsid w:val="51D141CC"/>
    <w:multiLevelType w:val="hybridMultilevel"/>
    <w:lvl w:ilvl="0">
      <w:lvlJc w:val="left"/>
      <w:lvlText w:val="-"/>
      <w:numFmt w:val="bullet"/>
      <w:start w:val="1"/>
    </w:lvl>
  </w:abstractNum>
  <w:abstractNum w:abstractNumId="192">
    <w:nsid w:val="12F9357A"/>
    <w:multiLevelType w:val="hybridMultilevel"/>
    <w:lvl w:ilvl="0">
      <w:lvlJc w:val="left"/>
      <w:lvlText w:val="-"/>
      <w:numFmt w:val="bullet"/>
      <w:start w:val="1"/>
    </w:lvl>
  </w:abstractNum>
  <w:abstractNum w:abstractNumId="193">
    <w:nsid w:val="7672CF28"/>
    <w:multiLevelType w:val="hybridMultilevel"/>
    <w:lvl w:ilvl="0">
      <w:lvlJc w:val="left"/>
      <w:lvlText w:val="-"/>
      <w:numFmt w:val="bullet"/>
      <w:start w:val="1"/>
    </w:lvl>
  </w:abstractNum>
  <w:abstractNum w:abstractNumId="194">
    <w:nsid w:val="567D2763"/>
    <w:multiLevelType w:val="hybridMultilevel"/>
    <w:lvl w:ilvl="0">
      <w:lvlJc w:val="left"/>
      <w:lvlText w:val="-"/>
      <w:numFmt w:val="bullet"/>
      <w:start w:val="1"/>
    </w:lvl>
  </w:abstractNum>
  <w:abstractNum w:abstractNumId="195">
    <w:nsid w:val="6F5DE2EF"/>
    <w:multiLevelType w:val="hybridMultilevel"/>
    <w:lvl w:ilvl="0">
      <w:lvlJc w:val="left"/>
      <w:lvlText w:val="-"/>
      <w:numFmt w:val="bullet"/>
      <w:start w:val="1"/>
    </w:lvl>
  </w:abstractNum>
  <w:abstractNum w:abstractNumId="196">
    <w:nsid w:val="23502A61"/>
    <w:multiLevelType w:val="hybridMultilevel"/>
    <w:lvl w:ilvl="0">
      <w:lvlJc w:val="left"/>
      <w:lvlText w:val="-"/>
      <w:numFmt w:val="bullet"/>
      <w:start w:val="1"/>
    </w:lvl>
  </w:abstractNum>
  <w:abstractNum w:abstractNumId="197">
    <w:nsid w:val="461BC834"/>
    <w:multiLevelType w:val="hybridMultilevel"/>
    <w:lvl w:ilvl="0">
      <w:lvlJc w:val="left"/>
      <w:lvlText w:val="-"/>
      <w:numFmt w:val="bullet"/>
      <w:start w:val="1"/>
    </w:lvl>
  </w:abstractNum>
  <w:abstractNum w:abstractNumId="198">
    <w:nsid w:val="13DDA79D"/>
    <w:multiLevelType w:val="hybridMultilevel"/>
    <w:lvl w:ilvl="0">
      <w:lvlJc w:val="left"/>
      <w:lvlText w:val="-"/>
      <w:numFmt w:val="bullet"/>
      <w:start w:val="1"/>
    </w:lvl>
    <w:lvl w:ilvl="1">
      <w:lvlJc w:val="left"/>
      <w:lvlText w:val="--"/>
      <w:numFmt w:val="bullet"/>
      <w:start w:val="1"/>
    </w:lvl>
  </w:abstractNum>
  <w:abstractNum w:abstractNumId="199">
    <w:nsid w:val="6A104566"/>
    <w:multiLevelType w:val="hybridMultilevel"/>
    <w:lvl w:ilvl="0">
      <w:lvlJc w:val="left"/>
      <w:lvlText w:val="-"/>
      <w:numFmt w:val="bullet"/>
      <w:start w:val="1"/>
    </w:lvl>
  </w:abstractNum>
  <w:abstractNum w:abstractNumId="200">
    <w:nsid w:val="1C8A8ACF"/>
    <w:multiLevelType w:val="hybridMultilevel"/>
    <w:lvl w:ilvl="0">
      <w:lvlJc w:val="left"/>
      <w:lvlText w:val="-"/>
      <w:numFmt w:val="bullet"/>
      <w:start w:val="1"/>
    </w:lvl>
  </w:abstractNum>
  <w:abstractNum w:abstractNumId="201">
    <w:nsid w:val="E73DFE0"/>
    <w:multiLevelType w:val="hybridMultilevel"/>
    <w:lvl w:ilvl="0">
      <w:lvlJc w:val="left"/>
      <w:lvlText w:val="$"/>
      <w:numFmt w:val="bullet"/>
      <w:start w:val="1"/>
    </w:lvl>
  </w:abstractNum>
  <w:abstractNum w:abstractNumId="202">
    <w:nsid w:val="39F174C7"/>
    <w:multiLevelType w:val="hybridMultilevel"/>
    <w:lvl w:ilvl="0">
      <w:lvlJc w:val="left"/>
      <w:lvlText w:val="---"/>
      <w:numFmt w:val="bullet"/>
      <w:start w:val="1"/>
    </w:lvl>
  </w:abstractNum>
  <w:abstractNum w:abstractNumId="203">
    <w:nsid w:val="6E2E2D53"/>
    <w:multiLevelType w:val="hybridMultilevel"/>
    <w:lvl w:ilvl="0">
      <w:lvlJc w:val="left"/>
      <w:lvlText w:val="----"/>
      <w:numFmt w:val="bullet"/>
      <w:start w:val="1"/>
    </w:lvl>
  </w:abstractNum>
  <w:abstractNum w:abstractNumId="204">
    <w:nsid w:val="45DC439D"/>
    <w:multiLevelType w:val="hybridMultilevel"/>
    <w:lvl w:ilvl="0">
      <w:lvlJc w:val="left"/>
      <w:lvlText w:val="-"/>
      <w:numFmt w:val="bullet"/>
      <w:start w:val="1"/>
    </w:lvl>
  </w:abstractNum>
  <w:abstractNum w:abstractNumId="205">
    <w:nsid w:val="3B0A3B87"/>
    <w:multiLevelType w:val="hybridMultilevel"/>
    <w:lvl w:ilvl="0">
      <w:lvlJc w:val="left"/>
      <w:lvlText w:val="----"/>
      <w:numFmt w:val="bullet"/>
      <w:start w:val="1"/>
    </w:lvl>
  </w:abstractNum>
  <w:abstractNum w:abstractNumId="206">
    <w:nsid w:val="6DAC7768"/>
    <w:multiLevelType w:val="hybridMultilevel"/>
    <w:lvl w:ilvl="0">
      <w:lvlJc w:val="left"/>
      <w:lvlText w:val="---"/>
      <w:numFmt w:val="bullet"/>
      <w:start w:val="1"/>
    </w:lvl>
  </w:abstractNum>
  <w:abstractNum w:abstractNumId="207">
    <w:nsid w:val="746AE2E4"/>
    <w:multiLevelType w:val="hybridMultilevel"/>
    <w:lvl w:ilvl="0">
      <w:lvlJc w:val="left"/>
      <w:lvlText w:val="-"/>
      <w:numFmt w:val="bullet"/>
      <w:start w:val="1"/>
    </w:lvl>
    <w:lvl w:ilvl="1">
      <w:lvlJc w:val="left"/>
      <w:lvlText w:val="--"/>
      <w:numFmt w:val="bullet"/>
      <w:start w:val="1"/>
    </w:lvl>
  </w:abstractNum>
  <w:abstractNum w:abstractNumId="208">
    <w:nsid w:val="317E611D"/>
    <w:multiLevelType w:val="hybridMultilevel"/>
    <w:lvl w:ilvl="0">
      <w:lvlJc w:val="left"/>
      <w:lvlText w:val="----"/>
      <w:numFmt w:val="bullet"/>
      <w:start w:val="1"/>
    </w:lvl>
  </w:abstractNum>
  <w:abstractNum w:abstractNumId="209">
    <w:nsid w:val="7A61D75B"/>
    <w:multiLevelType w:val="hybridMultilevel"/>
    <w:lvl w:ilvl="0">
      <w:lvlJc w:val="left"/>
      <w:lvlText w:val="----"/>
      <w:numFmt w:val="bullet"/>
      <w:start w:val="1"/>
    </w:lvl>
    <w:lvl w:ilvl="1">
      <w:lvlJc w:val="left"/>
      <w:lvlText w:val="----"/>
      <w:numFmt w:val="bullet"/>
      <w:start w:val="1"/>
    </w:lvl>
  </w:abstractNum>
  <w:abstractNum w:abstractNumId="210">
    <w:nsid w:val="164A1482"/>
    <w:multiLevelType w:val="hybridMultilevel"/>
    <w:lvl w:ilvl="0">
      <w:lvlJc w:val="left"/>
      <w:lvlText w:val="-"/>
      <w:numFmt w:val="bullet"/>
      <w:start w:val="1"/>
    </w:lvl>
  </w:abstractNum>
  <w:abstractNum w:abstractNumId="211">
    <w:nsid w:val="1806546B"/>
    <w:multiLevelType w:val="hybridMultilevel"/>
    <w:lvl w:ilvl="0">
      <w:lvlJc w:val="left"/>
      <w:lvlText w:val="----"/>
      <w:numFmt w:val="bullet"/>
      <w:start w:val="1"/>
    </w:lvl>
  </w:abstractNum>
  <w:abstractNum w:abstractNumId="212">
    <w:nsid w:val="1FA33267"/>
    <w:multiLevelType w:val="hybridMultilevel"/>
    <w:lvl w:ilvl="0">
      <w:lvlJc w:val="left"/>
      <w:lvlText w:val="----"/>
      <w:numFmt w:val="bullet"/>
      <w:start w:val="1"/>
    </w:lvl>
    <w:lvl w:ilvl="1">
      <w:lvlJc w:val="left"/>
      <w:lvlText w:val="---"/>
      <w:numFmt w:val="bullet"/>
      <w:start w:val="1"/>
    </w:lvl>
  </w:abstractNum>
  <w:abstractNum w:abstractNumId="213">
    <w:nsid w:val="2E19DD00"/>
    <w:multiLevelType w:val="hybridMultilevel"/>
    <w:lvl w:ilvl="0">
      <w:lvlJc w:val="left"/>
      <w:lvlText w:val="-"/>
      <w:numFmt w:val="bullet"/>
      <w:start w:val="1"/>
    </w:lvl>
    <w:lvl w:ilvl="1">
      <w:lvlJc w:val="left"/>
      <w:lvlText w:val="-"/>
      <w:numFmt w:val="bullet"/>
      <w:start w:val="1"/>
    </w:lvl>
  </w:abstractNum>
  <w:abstractNum w:abstractNumId="214">
    <w:nsid w:val="756D30D0"/>
    <w:multiLevelType w:val="hybridMultilevel"/>
    <w:lvl w:ilvl="0">
      <w:lvlJc w:val="left"/>
      <w:lvlText w:val="-"/>
      <w:numFmt w:val="bullet"/>
      <w:start w:val="1"/>
    </w:lvl>
  </w:abstractNum>
  <w:abstractNum w:abstractNumId="215">
    <w:nsid w:val="505E5E01"/>
    <w:multiLevelType w:val="hybridMultilevel"/>
    <w:lvl w:ilvl="0">
      <w:lvlJc w:val="left"/>
      <w:lvlText w:val="$"/>
      <w:numFmt w:val="bullet"/>
      <w:start w:val="1"/>
    </w:lvl>
  </w:abstractNum>
  <w:abstractNum w:abstractNumId="216">
    <w:nsid w:val="2EFDBCE6"/>
    <w:multiLevelType w:val="hybridMultilevel"/>
    <w:lvl w:ilvl="0">
      <w:lvlJc w:val="left"/>
      <w:lvlText w:val="*"/>
      <w:numFmt w:val="bullet"/>
      <w:start w:val="1"/>
    </w:lvl>
  </w:abstractNum>
  <w:abstractNum w:abstractNumId="217">
    <w:nsid w:val="4EC868C4"/>
    <w:multiLevelType w:val="hybridMultilevel"/>
    <w:lvl w:ilvl="0">
      <w:lvlJc w:val="left"/>
      <w:lvlText w:val="-"/>
      <w:numFmt w:val="bullet"/>
      <w:start w:val="1"/>
    </w:lvl>
  </w:abstractNum>
  <w:abstractNum w:abstractNumId="218">
    <w:nsid w:val="4239DC03"/>
    <w:multiLevelType w:val="hybridMultilevel"/>
    <w:lvl w:ilvl="0">
      <w:lvlJc w:val="left"/>
      <w:lvlText w:val="----"/>
      <w:numFmt w:val="bullet"/>
      <w:start w:val="1"/>
    </w:lvl>
  </w:abstractNum>
  <w:abstractNum w:abstractNumId="219">
    <w:nsid w:val="307C7DAA"/>
    <w:multiLevelType w:val="hybridMultilevel"/>
    <w:lvl w:ilvl="0">
      <w:lvlJc w:val="left"/>
      <w:lvlText w:val="-----"/>
      <w:numFmt w:val="bullet"/>
      <w:start w:val="1"/>
    </w:lvl>
    <w:lvl w:ilvl="1">
      <w:lvlJc w:val="left"/>
      <w:lvlText w:val="-----"/>
      <w:numFmt w:val="bullet"/>
      <w:start w:val="1"/>
    </w:lvl>
  </w:abstractNum>
  <w:abstractNum w:abstractNumId="220">
    <w:nsid w:val="403C23E6"/>
    <w:multiLevelType w:val="hybridMultilevel"/>
    <w:lvl w:ilvl="0">
      <w:lvlJc w:val="left"/>
      <w:lvlText w:val="--"/>
      <w:numFmt w:val="bullet"/>
      <w:start w:val="1"/>
    </w:lvl>
  </w:abstractNum>
  <w:abstractNum w:abstractNumId="221">
    <w:nsid w:val="58D7F9D7"/>
    <w:multiLevelType w:val="hybridMultilevel"/>
    <w:lvl w:ilvl="0">
      <w:lvlJc w:val="left"/>
      <w:lvlText w:val="-----"/>
      <w:numFmt w:val="bullet"/>
      <w:start w:val="1"/>
    </w:lvl>
  </w:abstractNum>
  <w:abstractNum w:abstractNumId="222">
    <w:nsid w:val="24DBF76"/>
    <w:multiLevelType w:val="hybridMultilevel"/>
    <w:lvl w:ilvl="0">
      <w:lvlJc w:val="left"/>
      <w:lvlText w:val="----"/>
      <w:numFmt w:val="bullet"/>
      <w:start w:val="1"/>
    </w:lvl>
  </w:abstractNum>
  <w:abstractNum w:abstractNumId="223">
    <w:nsid w:val="53355960"/>
    <w:multiLevelType w:val="hybridMultilevel"/>
    <w:lvl w:ilvl="0">
      <w:lvlJc w:val="left"/>
      <w:lvlText w:val="---"/>
      <w:numFmt w:val="bullet"/>
      <w:start w:val="1"/>
    </w:lvl>
  </w:abstractNum>
  <w:abstractNum w:abstractNumId="224">
    <w:nsid w:val="4F4AC8FF"/>
    <w:multiLevelType w:val="hybridMultilevel"/>
    <w:lvl w:ilvl="0">
      <w:lvlJc w:val="left"/>
      <w:lvlText w:val="-"/>
      <w:numFmt w:val="bullet"/>
      <w:start w:val="1"/>
    </w:lvl>
  </w:abstractNum>
  <w:abstractNum w:abstractNumId="225">
    <w:nsid w:val="58CAE6D9"/>
    <w:multiLevelType w:val="hybridMultilevel"/>
    <w:lvl w:ilvl="0">
      <w:lvlJc w:val="left"/>
      <w:lvlText w:val="-"/>
      <w:numFmt w:val="bullet"/>
      <w:start w:val="1"/>
    </w:lvl>
  </w:abstractNum>
  <w:abstractNum w:abstractNumId="226">
    <w:nsid w:val="42933C4F"/>
    <w:multiLevelType w:val="hybridMultilevel"/>
    <w:lvl w:ilvl="0">
      <w:lvlJc w:val="left"/>
      <w:lvlText w:val="--"/>
      <w:numFmt w:val="bullet"/>
      <w:start w:val="1"/>
    </w:lvl>
  </w:abstractNum>
  <w:abstractNum w:abstractNumId="227">
    <w:nsid w:val="729AF360"/>
    <w:multiLevelType w:val="hybridMultilevel"/>
    <w:lvl w:ilvl="0">
      <w:lvlJc w:val="left"/>
      <w:lvlText w:val="*"/>
      <w:numFmt w:val="bullet"/>
      <w:start w:val="1"/>
    </w:lvl>
  </w:abstractNum>
  <w:abstractNum w:abstractNumId="228">
    <w:nsid w:val="1EE6AF0D"/>
    <w:multiLevelType w:val="hybridMultilevel"/>
    <w:lvl w:ilvl="0">
      <w:lvlJc w:val="left"/>
      <w:lvlText w:val="-"/>
      <w:numFmt w:val="bullet"/>
      <w:start w:val="1"/>
    </w:lvl>
  </w:abstractNum>
  <w:abstractNum w:abstractNumId="229">
    <w:nsid w:val="5670E3ED"/>
    <w:multiLevelType w:val="hybridMultilevel"/>
    <w:lvl w:ilvl="0">
      <w:lvlJc w:val="left"/>
      <w:lvlText w:val="(%1)"/>
      <w:numFmt w:val="decimal"/>
      <w:start w:val="35"/>
    </w:lvl>
  </w:abstractNum>
  <w:abstractNum w:abstractNumId="230">
    <w:nsid w:val="5CAB38C6"/>
    <w:multiLevelType w:val="hybridMultilevel"/>
    <w:lvl w:ilvl="0">
      <w:lvlJc w:val="left"/>
      <w:lvlText w:val="---"/>
      <w:numFmt w:val="bullet"/>
      <w:start w:val="1"/>
    </w:lvl>
  </w:abstractNum>
  <w:abstractNum w:abstractNumId="231">
    <w:nsid w:val="3B7139DD"/>
    <w:multiLevelType w:val="hybridMultilevel"/>
    <w:lvl w:ilvl="0">
      <w:lvlJc w:val="left"/>
      <w:lvlText w:val="-"/>
      <w:numFmt w:val="bullet"/>
      <w:start w:val="1"/>
    </w:lvl>
  </w:abstractNum>
  <w:abstractNum w:abstractNumId="232">
    <w:nsid w:val="64E4C3CD"/>
    <w:multiLevelType w:val="hybridMultilevel"/>
    <w:lvl w:ilvl="0">
      <w:lvlJc w:val="left"/>
      <w:lvlText w:val="-"/>
      <w:numFmt w:val="bullet"/>
      <w:start w:val="1"/>
    </w:lvl>
  </w:abstractNum>
  <w:abstractNum w:abstractNumId="233">
    <w:nsid w:val="169CAD8D"/>
    <w:multiLevelType w:val="hybridMultilevel"/>
    <w:lvl w:ilvl="0">
      <w:lvlJc w:val="left"/>
      <w:lvlText w:val="-"/>
      <w:numFmt w:val="bullet"/>
      <w:start w:val="1"/>
    </w:lvl>
  </w:abstractNum>
  <w:abstractNum w:abstractNumId="234">
    <w:nsid w:val="299F6730"/>
    <w:multiLevelType w:val="hybridMultilevel"/>
    <w:lvl w:ilvl="0">
      <w:lvlJc w:val="left"/>
      <w:lvlText w:val="-"/>
      <w:numFmt w:val="bullet"/>
      <w:start w:val="1"/>
    </w:lvl>
  </w:abstractNum>
  <w:abstractNum w:abstractNumId="235">
    <w:nsid w:val="2AC1076A"/>
    <w:multiLevelType w:val="hybridMultilevel"/>
    <w:lvl w:ilvl="0">
      <w:lvlJc w:val="left"/>
      <w:lvlText w:val="%1"/>
      <w:numFmt w:val="decimal"/>
      <w:start w:val="750"/>
    </w:lvl>
  </w:abstractNum>
  <w:abstractNum w:abstractNumId="236">
    <w:nsid w:val="51A6E915"/>
    <w:multiLevelType w:val="hybridMultilevel"/>
    <w:lvl w:ilvl="0">
      <w:lvlJc w:val="left"/>
      <w:lvlText w:val="----"/>
      <w:numFmt w:val="bullet"/>
      <w:start w:val="1"/>
    </w:lvl>
  </w:abstractNum>
  <w:abstractNum w:abstractNumId="237">
    <w:nsid w:val="174BDE99"/>
    <w:multiLevelType w:val="hybridMultilevel"/>
    <w:lvl w:ilvl="0">
      <w:lvlJc w:val="left"/>
      <w:lvlText w:val="-"/>
      <w:numFmt w:val="bullet"/>
      <w:start w:val="1"/>
    </w:lvl>
  </w:abstractNum>
  <w:abstractNum w:abstractNumId="238">
    <w:nsid w:val="1F2BEA4E"/>
    <w:multiLevelType w:val="hybridMultilevel"/>
    <w:lvl w:ilvl="0">
      <w:lvlJc w:val="left"/>
      <w:lvlText w:val="-"/>
      <w:numFmt w:val="bullet"/>
      <w:start w:val="1"/>
    </w:lvl>
  </w:abstractNum>
  <w:abstractNum w:abstractNumId="239">
    <w:nsid w:val="3254A32"/>
    <w:multiLevelType w:val="hybridMultilevel"/>
    <w:lvl w:ilvl="0">
      <w:lvlJc w:val="left"/>
      <w:lvlText w:val="-"/>
      <w:numFmt w:val="bullet"/>
      <w:start w:val="1"/>
    </w:lvl>
  </w:abstractNum>
  <w:abstractNum w:abstractNumId="240">
    <w:nsid w:val="11ADB5F4"/>
    <w:multiLevelType w:val="hybridMultilevel"/>
    <w:lvl w:ilvl="0">
      <w:lvlJc w:val="left"/>
      <w:lvlText w:val="----"/>
      <w:numFmt w:val="bullet"/>
      <w:start w:val="1"/>
    </w:lvl>
  </w:abstractNum>
  <w:abstractNum w:abstractNumId="241">
    <w:nsid w:val="3575FED1"/>
    <w:multiLevelType w:val="hybridMultilevel"/>
    <w:lvl w:ilvl="0">
      <w:lvlJc w:val="left"/>
      <w:lvlText w:val="---"/>
      <w:numFmt w:val="bullet"/>
      <w:start w:val="1"/>
    </w:lvl>
  </w:abstractNum>
  <w:abstractNum w:abstractNumId="242">
    <w:nsid w:val="1B2B9E9D"/>
    <w:multiLevelType w:val="hybridMultilevel"/>
    <w:lvl w:ilvl="0">
      <w:lvlJc w:val="left"/>
      <w:lvlText w:val="--"/>
      <w:numFmt w:val="bullet"/>
      <w:start w:val="1"/>
    </w:lvl>
  </w:abstractNum>
  <w:abstractNum w:abstractNumId="243">
    <w:nsid w:val="3150E85C"/>
    <w:multiLevelType w:val="hybridMultilevel"/>
    <w:lvl w:ilvl="0">
      <w:lvlJc w:val="left"/>
      <w:lvlText w:val="(%1)"/>
      <w:numFmt w:val="decimal"/>
      <w:start w:val="1"/>
    </w:lvl>
  </w:abstractNum>
  <w:abstractNum w:abstractNumId="244">
    <w:nsid w:val="638FDBD1"/>
    <w:multiLevelType w:val="hybridMultilevel"/>
    <w:lvl w:ilvl="0">
      <w:lvlJc w:val="left"/>
      <w:lvlText w:val="-"/>
      <w:numFmt w:val="bullet"/>
      <w:start w:val="1"/>
    </w:lvl>
  </w:abstractNum>
  <w:abstractNum w:abstractNumId="245">
    <w:nsid w:val="1098CF6E"/>
    <w:multiLevelType w:val="hybridMultilevel"/>
    <w:lvl w:ilvl="0">
      <w:lvlJc w:val="left"/>
      <w:lvlText w:val="-"/>
      <w:numFmt w:val="bullet"/>
      <w:start w:val="1"/>
    </w:lvl>
  </w:abstractNum>
  <w:abstractNum w:abstractNumId="246">
    <w:nsid w:val="1AF465D"/>
    <w:multiLevelType w:val="hybridMultilevel"/>
    <w:lvl w:ilvl="0">
      <w:lvlJc w:val="left"/>
      <w:lvlText w:val="-"/>
      <w:numFmt w:val="bullet"/>
      <w:start w:val="1"/>
    </w:lvl>
  </w:abstractNum>
  <w:abstractNum w:abstractNumId="247">
    <w:nsid w:val="128D98B7"/>
    <w:multiLevelType w:val="hybridMultilevel"/>
    <w:lvl w:ilvl="0">
      <w:lvlJc w:val="left"/>
      <w:lvlText w:val="-"/>
      <w:numFmt w:val="bullet"/>
      <w:start w:val="1"/>
    </w:lvl>
  </w:abstractNum>
  <w:abstractNum w:abstractNumId="248">
    <w:nsid w:val="5F613832"/>
    <w:multiLevelType w:val="hybridMultilevel"/>
    <w:lvl w:ilvl="0">
      <w:lvlJc w:val="left"/>
      <w:lvlText w:val="-"/>
      <w:numFmt w:val="bullet"/>
      <w:start w:val="1"/>
    </w:lvl>
    <w:lvl w:ilvl="1">
      <w:lvlJc w:val="left"/>
      <w:lvlText w:val="--"/>
      <w:numFmt w:val="bullet"/>
      <w:start w:val="1"/>
    </w:lvl>
  </w:abstractNum>
  <w:abstractNum w:abstractNumId="249">
    <w:nsid w:val="43E92260"/>
    <w:multiLevelType w:val="hybridMultilevel"/>
    <w:lvl w:ilvl="0">
      <w:lvlJc w:val="left"/>
      <w:lvlText w:val="-"/>
      <w:numFmt w:val="bullet"/>
      <w:start w:val="1"/>
    </w:lvl>
  </w:abstractNum>
  <w:abstractNum w:abstractNumId="250">
    <w:nsid w:val="430A1662"/>
    <w:multiLevelType w:val="hybridMultilevel"/>
    <w:lvl w:ilvl="0">
      <w:lvlJc w:val="left"/>
      <w:lvlText w:val="-"/>
      <w:numFmt w:val="bullet"/>
      <w:start w:val="1"/>
    </w:lvl>
  </w:abstractNum>
  <w:abstractNum w:abstractNumId="251">
    <w:nsid w:val="1F9D5C18"/>
    <w:multiLevelType w:val="hybridMultilevel"/>
    <w:lvl w:ilvl="0">
      <w:lvlJc w:val="left"/>
      <w:lvlText w:val="-"/>
      <w:numFmt w:val="bullet"/>
      <w:start w:val="1"/>
    </w:lvl>
  </w:abstractNum>
  <w:abstractNum w:abstractNumId="252">
    <w:nsid w:val="1CC11C37"/>
    <w:multiLevelType w:val="hybridMultilevel"/>
    <w:lvl w:ilvl="0">
      <w:lvlJc w:val="left"/>
      <w:lvlText w:val="-"/>
      <w:numFmt w:val="bullet"/>
      <w:start w:val="1"/>
    </w:lvl>
  </w:abstractNum>
  <w:abstractNum w:abstractNumId="253">
    <w:nsid w:val="4557D5D8"/>
    <w:multiLevelType w:val="hybridMultilevel"/>
    <w:lvl w:ilvl="0">
      <w:lvlJc w:val="left"/>
      <w:lvlText w:val="-"/>
      <w:numFmt w:val="bullet"/>
      <w:start w:val="1"/>
    </w:lvl>
  </w:abstractNum>
  <w:abstractNum w:abstractNumId="254">
    <w:nsid w:val="72D2B579"/>
    <w:multiLevelType w:val="hybridMultilevel"/>
    <w:lvl w:ilvl="0">
      <w:lvlJc w:val="left"/>
      <w:lvlText w:val="-"/>
      <w:numFmt w:val="bullet"/>
      <w:start w:val="1"/>
    </w:lvl>
  </w:abstractNum>
  <w:abstractNum w:abstractNumId="255">
    <w:nsid w:val="6C0BE536"/>
    <w:multiLevelType w:val="hybridMultilevel"/>
    <w:lvl w:ilvl="0">
      <w:lvlJc w:val="left"/>
      <w:lvlText w:val="-"/>
      <w:numFmt w:val="bullet"/>
      <w:start w:val="1"/>
    </w:lvl>
  </w:abstractNum>
  <w:abstractNum w:abstractNumId="256">
    <w:nsid w:val="1E22BCB2"/>
    <w:multiLevelType w:val="hybridMultilevel"/>
    <w:lvl w:ilvl="0">
      <w:lvlJc w:val="left"/>
      <w:lvlText w:val="-"/>
      <w:numFmt w:val="bullet"/>
      <w:start w:val="1"/>
    </w:lvl>
  </w:abstractNum>
  <w:abstractNum w:abstractNumId="257">
    <w:nsid w:val="3565F1C8"/>
    <w:multiLevelType w:val="hybridMultilevel"/>
    <w:lvl w:ilvl="0">
      <w:lvlJc w:val="left"/>
      <w:lvlText w:val="-"/>
      <w:numFmt w:val="bullet"/>
      <w:start w:val="1"/>
    </w:lvl>
  </w:abstractNum>
  <w:abstractNum w:abstractNumId="258">
    <w:nsid w:val="5EA6D896"/>
    <w:multiLevelType w:val="hybridMultilevel"/>
    <w:lvl w:ilvl="0">
      <w:lvlJc w:val="left"/>
      <w:lvlText w:val="-"/>
      <w:numFmt w:val="bullet"/>
      <w:start w:val="1"/>
    </w:lvl>
  </w:abstractNum>
  <w:abstractNum w:abstractNumId="259">
    <w:nsid w:val="3D096BBF"/>
    <w:multiLevelType w:val="hybridMultilevel"/>
    <w:lvl w:ilvl="0">
      <w:lvlJc w:val="left"/>
      <w:lvlText w:val="["/>
      <w:numFmt w:val="bullet"/>
      <w:start w:val="1"/>
    </w:lvl>
  </w:abstractNum>
  <w:abstractNum w:abstractNumId="260">
    <w:nsid w:val="BD6D5B5"/>
    <w:multiLevelType w:val="hybridMultilevel"/>
    <w:lvl w:ilvl="0">
      <w:lvlJc w:val="left"/>
      <w:lvlText w:val="-"/>
      <w:numFmt w:val="bullet"/>
      <w:start w:val="1"/>
    </w:lvl>
  </w:abstractNum>
  <w:abstractNum w:abstractNumId="261">
    <w:nsid w:val="3B52115C"/>
    <w:multiLevelType w:val="hybridMultilevel"/>
    <w:lvl w:ilvl="0">
      <w:lvlJc w:val="left"/>
      <w:lvlText w:val="-"/>
      <w:numFmt w:val="bullet"/>
      <w:start w:val="1"/>
    </w:lvl>
  </w:abstractNum>
  <w:abstractNum w:abstractNumId="262">
    <w:nsid w:val="787AA59C"/>
    <w:multiLevelType w:val="hybridMultilevel"/>
    <w:lvl w:ilvl="0">
      <w:lvlJc w:val="left"/>
      <w:lvlText w:val="-"/>
      <w:numFmt w:val="bullet"/>
      <w:start w:val="1"/>
    </w:lvl>
    <w:lvl w:ilvl="1">
      <w:lvlJc w:val="left"/>
      <w:lvlText w:val="-"/>
      <w:numFmt w:val="bullet"/>
      <w:start w:val="1"/>
    </w:lvl>
  </w:abstractNum>
  <w:abstractNum w:abstractNumId="263">
    <w:nsid w:val="70BB9983"/>
    <w:multiLevelType w:val="hybridMultilevel"/>
    <w:lvl w:ilvl="0">
      <w:lvlJc w:val="left"/>
      <w:lvlText w:val="-"/>
      <w:numFmt w:val="bullet"/>
      <w:start w:val="1"/>
    </w:lvl>
  </w:abstractNum>
  <w:abstractNum w:abstractNumId="264">
    <w:nsid w:val="51EEBEEA"/>
    <w:multiLevelType w:val="hybridMultilevel"/>
    <w:lvl w:ilvl="0">
      <w:lvlJc w:val="left"/>
      <w:lvlText w:val="-"/>
      <w:numFmt w:val="bullet"/>
      <w:start w:val="1"/>
    </w:lvl>
  </w:abstractNum>
  <w:abstractNum w:abstractNumId="265">
    <w:nsid w:val="221A0CCD"/>
    <w:multiLevelType w:val="hybridMultilevel"/>
    <w:lvl w:ilvl="0">
      <w:lvlJc w:val="left"/>
      <w:lvlText w:val="-"/>
      <w:numFmt w:val="bullet"/>
      <w:start w:val="1"/>
    </w:lvl>
  </w:abstractNum>
  <w:abstractNum w:abstractNumId="266">
    <w:nsid w:val="1B7CA0ED"/>
    <w:multiLevelType w:val="hybridMultilevel"/>
    <w:lvl w:ilvl="0">
      <w:lvlJc w:val="left"/>
      <w:lvlText w:val="-"/>
      <w:numFmt w:val="bullet"/>
      <w:start w:val="1"/>
    </w:lvl>
  </w:abstractNum>
  <w:abstractNum w:abstractNumId="267">
    <w:nsid w:val="2395A7FF"/>
    <w:multiLevelType w:val="hybridMultilevel"/>
    <w:lvl w:ilvl="0">
      <w:lvlJc w:val="left"/>
      <w:lvlText w:val="-"/>
      <w:numFmt w:val="bullet"/>
      <w:start w:val="1"/>
    </w:lvl>
  </w:abstractNum>
  <w:abstractNum w:abstractNumId="268">
    <w:nsid w:val="3965EB66"/>
    <w:multiLevelType w:val="hybridMultilevel"/>
    <w:lvl w:ilvl="0">
      <w:lvlJc w:val="left"/>
      <w:lvlText w:val="-"/>
      <w:numFmt w:val="bullet"/>
      <w:start w:val="1"/>
    </w:lvl>
  </w:abstractNum>
  <w:abstractNum w:abstractNumId="269">
    <w:nsid w:val="3AA88B3C"/>
    <w:multiLevelType w:val="hybridMultilevel"/>
    <w:lvl w:ilvl="0">
      <w:lvlJc w:val="left"/>
      <w:lvlText w:val="-"/>
      <w:numFmt w:val="bullet"/>
      <w:start w:val="1"/>
    </w:lvl>
  </w:abstractNum>
  <w:abstractNum w:abstractNumId="270">
    <w:nsid w:val="26BAF231"/>
    <w:multiLevelType w:val="hybridMultilevel"/>
    <w:lvl w:ilvl="0">
      <w:lvlJc w:val="left"/>
      <w:lvlText w:val="-"/>
      <w:numFmt w:val="bullet"/>
      <w:start w:val="1"/>
    </w:lvl>
  </w:abstractNum>
  <w:abstractNum w:abstractNumId="271">
    <w:nsid w:val="4B13A15A"/>
    <w:multiLevelType w:val="hybridMultilevel"/>
    <w:lvl w:ilvl="0">
      <w:lvlJc w:val="left"/>
      <w:lvlText w:val="-"/>
      <w:numFmt w:val="bullet"/>
      <w:start w:val="1"/>
    </w:lvl>
  </w:abstractNum>
  <w:abstractNum w:abstractNumId="272">
    <w:nsid w:val="701E8A0D"/>
    <w:multiLevelType w:val="hybridMultilevel"/>
    <w:lvl w:ilvl="0">
      <w:lvlJc w:val="left"/>
      <w:lvlText w:val="-"/>
      <w:numFmt w:val="bullet"/>
      <w:start w:val="1"/>
    </w:lvl>
  </w:abstractNum>
  <w:abstractNum w:abstractNumId="273">
    <w:nsid w:val="41E690CF"/>
    <w:multiLevelType w:val="hybridMultilevel"/>
    <w:lvl w:ilvl="0">
      <w:lvlJc w:val="left"/>
      <w:lvlText w:val="-"/>
      <w:numFmt w:val="bullet"/>
      <w:start w:val="1"/>
    </w:lvl>
  </w:abstractNum>
  <w:abstractNum w:abstractNumId="274">
    <w:nsid w:val="7C6489B6"/>
    <w:multiLevelType w:val="hybridMultilevel"/>
    <w:lvl w:ilvl="0">
      <w:lvlJc w:val="left"/>
      <w:lvlText w:val="-"/>
      <w:numFmt w:val="bullet"/>
      <w:start w:val="1"/>
    </w:lvl>
  </w:abstractNum>
  <w:abstractNum w:abstractNumId="275">
    <w:nsid w:val="53AE65DE"/>
    <w:multiLevelType w:val="hybridMultilevel"/>
    <w:lvl w:ilvl="0">
      <w:lvlJc w:val="left"/>
      <w:lvlText w:val="-----"/>
      <w:numFmt w:val="bullet"/>
      <w:start w:val="1"/>
    </w:lvl>
  </w:abstractNum>
  <w:abstractNum w:abstractNumId="276">
    <w:nsid w:val="527F603D"/>
    <w:multiLevelType w:val="hybridMultilevel"/>
    <w:lvl w:ilvl="0">
      <w:lvlJc w:val="left"/>
      <w:lvlText w:val="-"/>
      <w:numFmt w:val="bullet"/>
      <w:start w:val="1"/>
    </w:lvl>
  </w:abstractNum>
  <w:abstractNum w:abstractNumId="277">
    <w:nsid w:val="7E13D013"/>
    <w:multiLevelType w:val="hybridMultilevel"/>
    <w:lvl w:ilvl="0">
      <w:lvlJc w:val="left"/>
      <w:lvlText w:val="-"/>
      <w:numFmt w:val="bullet"/>
      <w:start w:val="1"/>
    </w:lvl>
  </w:abstractNum>
  <w:abstractNum w:abstractNumId="278">
    <w:nsid w:val="663BFE95"/>
    <w:multiLevelType w:val="hybridMultilevel"/>
    <w:lvl w:ilvl="0">
      <w:lvlJc w:val="left"/>
      <w:lvlText w:val="--"/>
      <w:numFmt w:val="bullet"/>
      <w:start w:val="1"/>
    </w:lvl>
  </w:abstractNum>
  <w:abstractNum w:abstractNumId="279">
    <w:nsid w:val="31E0986F"/>
    <w:multiLevelType w:val="hybridMultilevel"/>
    <w:lvl w:ilvl="0">
      <w:lvlJc w:val="left"/>
      <w:lvlText w:val="-"/>
      <w:numFmt w:val="bullet"/>
      <w:start w:val="1"/>
    </w:lvl>
    <w:lvl w:ilvl="1">
      <w:lvlJc w:val="left"/>
      <w:lvlText w:val="-"/>
      <w:numFmt w:val="bullet"/>
      <w:start w:val="1"/>
    </w:lvl>
  </w:abstractNum>
  <w:abstractNum w:abstractNumId="280">
    <w:nsid w:val="41FCF274"/>
    <w:multiLevelType w:val="hybridMultilevel"/>
    <w:lvl w:ilvl="0">
      <w:lvlJc w:val="left"/>
      <w:lvlText w:val="-"/>
      <w:numFmt w:val="bullet"/>
      <w:start w:val="1"/>
    </w:lvl>
  </w:abstractNum>
  <w:abstractNum w:abstractNumId="281">
    <w:nsid w:val="294614F7"/>
    <w:multiLevelType w:val="hybridMultilevel"/>
    <w:lvl w:ilvl="0">
      <w:lvlJc w:val="left"/>
      <w:lvlText w:val="-"/>
      <w:numFmt w:val="bullet"/>
      <w:start w:val="1"/>
    </w:lvl>
  </w:abstractNum>
  <w:abstractNum w:abstractNumId="282">
    <w:nsid w:val="517DF487"/>
    <w:multiLevelType w:val="hybridMultilevel"/>
    <w:lvl w:ilvl="0">
      <w:lvlJc w:val="left"/>
      <w:lvlText w:val="---"/>
      <w:numFmt w:val="bullet"/>
      <w:start w:val="1"/>
    </w:lvl>
  </w:abstractNum>
  <w:abstractNum w:abstractNumId="283">
    <w:nsid w:val="5EBE0EAB"/>
    <w:multiLevelType w:val="hybridMultilevel"/>
    <w:lvl w:ilvl="0">
      <w:lvlJc w:val="left"/>
      <w:lvlText w:val="---"/>
      <w:numFmt w:val="bullet"/>
      <w:start w:val="1"/>
    </w:lvl>
  </w:abstractNum>
  <w:abstractNum w:abstractNumId="284">
    <w:nsid w:val="6E9DEAD0"/>
    <w:multiLevelType w:val="hybridMultilevel"/>
    <w:lvl w:ilvl="0">
      <w:lvlJc w:val="left"/>
      <w:lvlText w:val="(%1)"/>
      <w:numFmt w:val="decimal"/>
      <w:start w:val="96"/>
    </w:lvl>
  </w:abstractNum>
  <w:abstractNum w:abstractNumId="285">
    <w:nsid w:val="4450AA00"/>
    <w:multiLevelType w:val="hybridMultilevel"/>
    <w:lvl w:ilvl="0">
      <w:lvlJc w:val="left"/>
      <w:lvlText w:val="-----"/>
      <w:numFmt w:val="bullet"/>
      <w:start w:val="1"/>
    </w:lvl>
  </w:abstractNum>
  <w:abstractNum w:abstractNumId="286">
    <w:nsid w:val="4AC9F3E2"/>
    <w:multiLevelType w:val="hybridMultilevel"/>
    <w:lvl w:ilvl="0">
      <w:lvlJc w:val="left"/>
      <w:lvlText w:val="---"/>
      <w:numFmt w:val="bullet"/>
      <w:start w:val="1"/>
    </w:lvl>
  </w:abstractNum>
  <w:abstractNum w:abstractNumId="287">
    <w:nsid w:val="CC0A782"/>
    <w:multiLevelType w:val="hybridMultilevel"/>
    <w:lvl w:ilvl="0">
      <w:lvlJc w:val="left"/>
      <w:lvlText w:val="-"/>
      <w:numFmt w:val="bullet"/>
      <w:start w:val="1"/>
    </w:lvl>
    <w:lvl w:ilvl="1">
      <w:lvlJc w:val="left"/>
      <w:lvlText w:val="--"/>
      <w:numFmt w:val="bullet"/>
      <w:start w:val="1"/>
    </w:lvl>
  </w:abstractNum>
  <w:abstractNum w:abstractNumId="288">
    <w:nsid w:val="79B69BC9"/>
    <w:multiLevelType w:val="hybridMultilevel"/>
    <w:lvl w:ilvl="0">
      <w:lvlJc w:val="left"/>
      <w:lvlText w:val="-"/>
      <w:numFmt w:val="bullet"/>
      <w:start w:val="1"/>
    </w:lvl>
  </w:abstractNum>
  <w:abstractNum w:abstractNumId="289">
    <w:nsid w:val="2970CC78"/>
    <w:multiLevelType w:val="hybridMultilevel"/>
    <w:lvl w:ilvl="0">
      <w:lvlJc w:val="left"/>
      <w:lvlText w:val="-"/>
      <w:numFmt w:val="bullet"/>
      <w:start w:val="1"/>
    </w:lvl>
  </w:abstractNum>
  <w:abstractNum w:abstractNumId="290">
    <w:nsid w:val="49CA1341"/>
    <w:multiLevelType w:val="hybridMultilevel"/>
    <w:lvl w:ilvl="0">
      <w:lvlJc w:val="left"/>
      <w:lvlText w:val="-"/>
      <w:numFmt w:val="bullet"/>
      <w:start w:val="1"/>
    </w:lvl>
  </w:abstractNum>
  <w:abstractNum w:abstractNumId="291">
    <w:nsid w:val="58D717E"/>
    <w:multiLevelType w:val="hybridMultilevel"/>
    <w:lvl w:ilvl="0">
      <w:lvlJc w:val="left"/>
      <w:lvlText w:val="-"/>
      <w:numFmt w:val="bullet"/>
      <w:start w:val="1"/>
    </w:lvl>
  </w:abstractNum>
  <w:abstractNum w:abstractNumId="292">
    <w:nsid w:val="64C2DDD5"/>
    <w:multiLevelType w:val="hybridMultilevel"/>
    <w:lvl w:ilvl="0">
      <w:lvlJc w:val="left"/>
      <w:lvlText w:val="-"/>
      <w:numFmt w:val="bullet"/>
      <w:start w:val="1"/>
    </w:lvl>
    <w:lvl w:ilvl="1">
      <w:lvlJc w:val="left"/>
      <w:lvlText w:val="--"/>
      <w:numFmt w:val="bullet"/>
      <w:start w:val="1"/>
    </w:lvl>
  </w:abstractNum>
  <w:abstractNum w:abstractNumId="293">
    <w:nsid w:val="4244B8DE"/>
    <w:multiLevelType w:val="hybridMultilevel"/>
    <w:lvl w:ilvl="0">
      <w:lvlJc w:val="left"/>
      <w:lvlText w:val="-"/>
      <w:numFmt w:val="bullet"/>
      <w:start w:val="1"/>
    </w:lvl>
  </w:abstractNum>
  <w:abstractNum w:abstractNumId="294">
    <w:nsid w:val="76490B01"/>
    <w:multiLevelType w:val="hybridMultilevel"/>
    <w:lvl w:ilvl="0">
      <w:lvlJc w:val="left"/>
      <w:lvlText w:val="-"/>
      <w:numFmt w:val="bullet"/>
      <w:start w:val="1"/>
    </w:lvl>
  </w:abstractNum>
  <w:abstractNum w:abstractNumId="295">
    <w:nsid w:val="36B19CBF"/>
    <w:multiLevelType w:val="hybridMultilevel"/>
    <w:lvl w:ilvl="0">
      <w:lvlJc w:val="left"/>
      <w:lvlText w:val="-"/>
      <w:numFmt w:val="bullet"/>
      <w:start w:val="1"/>
    </w:lvl>
  </w:abstractNum>
  <w:abstractNum w:abstractNumId="296">
    <w:nsid w:val="645EC5AB"/>
    <w:multiLevelType w:val="hybridMultilevel"/>
    <w:lvl w:ilvl="0">
      <w:lvlJc w:val="left"/>
      <w:lvlText w:val="-"/>
      <w:numFmt w:val="bullet"/>
      <w:start w:val="1"/>
    </w:lvl>
  </w:abstractNum>
  <w:abstractNum w:abstractNumId="297">
    <w:nsid w:val="11C5ABEF"/>
    <w:multiLevelType w:val="hybridMultilevel"/>
    <w:lvl w:ilvl="0">
      <w:lvlJc w:val="left"/>
      <w:lvlText w:val="(%1)"/>
      <w:numFmt w:val="decimal"/>
      <w:start w:val="1"/>
    </w:lvl>
  </w:abstractNum>
  <w:abstractNum w:abstractNumId="298">
    <w:nsid w:val="5A4744BE"/>
    <w:multiLevelType w:val="hybridMultilevel"/>
    <w:lvl w:ilvl="0">
      <w:lvlJc w:val="left"/>
      <w:lvlText w:val="-"/>
      <w:numFmt w:val="bullet"/>
      <w:start w:val="1"/>
    </w:lvl>
  </w:abstractNum>
  <w:abstractNum w:abstractNumId="299">
    <w:nsid w:val="1DC4B111"/>
    <w:multiLevelType w:val="hybridMultilevel"/>
    <w:lvl w:ilvl="0">
      <w:lvlJc w:val="left"/>
      <w:lvlText w:val="-"/>
      <w:numFmt w:val="bullet"/>
      <w:start w:val="1"/>
    </w:lvl>
  </w:abstractNum>
  <w:abstractNum w:abstractNumId="300">
    <w:nsid w:val="4C6E372B"/>
    <w:multiLevelType w:val="hybridMultilevel"/>
    <w:lvl w:ilvl="0">
      <w:lvlJc w:val="left"/>
      <w:lvlText w:val="["/>
      <w:numFmt w:val="bullet"/>
      <w:start w:val="1"/>
    </w:lvl>
  </w:abstractNum>
  <w:abstractNum w:abstractNumId="301">
    <w:nsid w:val="10236EF"/>
    <w:multiLevelType w:val="hybridMultilevel"/>
    <w:lvl w:ilvl="0">
      <w:lvlJc w:val="left"/>
      <w:lvlText w:val="-"/>
      <w:numFmt w:val="bullet"/>
      <w:start w:val="1"/>
    </w:lvl>
  </w:abstractNum>
  <w:abstractNum w:abstractNumId="302">
    <w:nsid w:val="68D8526B"/>
    <w:multiLevelType w:val="hybridMultilevel"/>
    <w:lvl w:ilvl="0">
      <w:lvlJc w:val="left"/>
      <w:lvlText w:val="["/>
      <w:numFmt w:val="bullet"/>
      <w:start w:val="1"/>
    </w:lvl>
    <w:lvl w:ilvl="1">
      <w:lvlJc w:val="left"/>
      <w:lvlText w:val="-----"/>
      <w:numFmt w:val="bullet"/>
      <w:start w:val="1"/>
    </w:lvl>
  </w:abstractNum>
  <w:abstractNum w:abstractNumId="303">
    <w:nsid w:val="3C8CC138"/>
    <w:multiLevelType w:val="hybridMultilevel"/>
    <w:lvl w:ilvl="0">
      <w:lvlJc w:val="left"/>
      <w:lvlText w:val="-"/>
      <w:numFmt w:val="bullet"/>
      <w:start w:val="1"/>
    </w:lvl>
  </w:abstractNum>
  <w:abstractNum w:abstractNumId="304">
    <w:nsid w:val="42E8C7BE"/>
    <w:multiLevelType w:val="hybridMultilevel"/>
    <w:lvl w:ilvl="0">
      <w:lvlJc w:val="left"/>
      <w:lvlText w:val="A"/>
      <w:numFmt w:val="bullet"/>
      <w:start w:val="1"/>
    </w:lvl>
  </w:abstractNum>
  <w:abstractNum w:abstractNumId="305">
    <w:nsid w:val="653CDC22"/>
    <w:multiLevelType w:val="hybridMultilevel"/>
    <w:lvl w:ilvl="0">
      <w:lvlJc w:val="left"/>
      <w:lvlText w:val="B"/>
      <w:numFmt w:val="bullet"/>
      <w:start w:val="1"/>
    </w:lvl>
  </w:abstractNum>
  <w:abstractNum w:abstractNumId="306">
    <w:nsid w:val="103B2716"/>
    <w:multiLevelType w:val="hybridMultilevel"/>
    <w:lvl w:ilvl="0">
      <w:lvlJc w:val="left"/>
      <w:lvlText w:val="a"/>
      <w:numFmt w:val="bullet"/>
      <w:start w:val="1"/>
    </w:lvl>
  </w:abstractNum>
  <w:abstractNum w:abstractNumId="307">
    <w:nsid w:val="156827FB"/>
    <w:multiLevelType w:val="hybridMultilevel"/>
    <w:lvl w:ilvl="0">
      <w:lvlJc w:val="left"/>
      <w:lvlText w:val="-"/>
      <w:numFmt w:val="bullet"/>
      <w:start w:val="1"/>
    </w:lvl>
  </w:abstractNum>
  <w:abstractNum w:abstractNumId="308">
    <w:nsid w:val="6350AC35"/>
    <w:multiLevelType w:val="hybridMultilevel"/>
    <w:lvl w:ilvl="0">
      <w:lvlJc w:val="left"/>
      <w:lvlText w:val="----"/>
      <w:numFmt w:val="bullet"/>
      <w:start w:val="1"/>
    </w:lvl>
  </w:abstractNum>
  <w:abstractNum w:abstractNumId="309">
    <w:nsid w:val="767725AB"/>
    <w:multiLevelType w:val="hybridMultilevel"/>
    <w:lvl w:ilvl="0">
      <w:lvlJc w:val="left"/>
      <w:lvlText w:val="a"/>
      <w:numFmt w:val="bullet"/>
      <w:start w:val="1"/>
    </w:lvl>
  </w:abstractNum>
  <w:abstractNum w:abstractNumId="310">
    <w:nsid w:val="4748C06A"/>
    <w:multiLevelType w:val="hybridMultilevel"/>
    <w:lvl w:ilvl="0">
      <w:lvlJc w:val="left"/>
      <w:lvlText w:val="-"/>
      <w:numFmt w:val="bullet"/>
      <w:start w:val="1"/>
    </w:lvl>
  </w:abstractNum>
  <w:abstractNum w:abstractNumId="311">
    <w:nsid w:val="254D9EA9"/>
    <w:multiLevelType w:val="hybridMultilevel"/>
    <w:lvl w:ilvl="0">
      <w:lvlJc w:val="left"/>
      <w:lvlText w:val="-"/>
      <w:numFmt w:val="bullet"/>
      <w:start w:val="1"/>
    </w:lvl>
    <w:lvl w:ilvl="1">
      <w:lvlJc w:val="left"/>
      <w:lvlText w:val="----"/>
      <w:numFmt w:val="bullet"/>
      <w:start w:val="1"/>
    </w:lvl>
  </w:abstractNum>
  <w:abstractNum w:abstractNumId="312">
    <w:nsid w:val="1FBD3AA3"/>
    <w:multiLevelType w:val="hybridMultilevel"/>
    <w:lvl w:ilvl="0">
      <w:lvlJc w:val="left"/>
      <w:lvlText w:val="-"/>
      <w:numFmt w:val="bullet"/>
      <w:start w:val="1"/>
    </w:lvl>
  </w:abstractNum>
  <w:abstractNum w:abstractNumId="313">
    <w:nsid w:val="18C6B4F2"/>
    <w:multiLevelType w:val="hybridMultilevel"/>
    <w:lvl w:ilvl="0">
      <w:lvlJc w:val="left"/>
      <w:lvlText w:val="-"/>
      <w:numFmt w:val="bullet"/>
      <w:start w:val="1"/>
    </w:lvl>
  </w:abstractNum>
  <w:abstractNum w:abstractNumId="314">
    <w:nsid w:val="40BAD55"/>
    <w:multiLevelType w:val="hybridMultilevel"/>
    <w:lvl w:ilvl="0">
      <w:lvlJc w:val="left"/>
      <w:lvlText w:val="-"/>
      <w:numFmt w:val="bullet"/>
      <w:start w:val="1"/>
    </w:lvl>
  </w:abstractNum>
  <w:abstractNum w:abstractNumId="315">
    <w:nsid w:val="E5B2573"/>
    <w:multiLevelType w:val="hybridMultilevel"/>
    <w:lvl w:ilvl="0">
      <w:lvlJc w:val="left"/>
      <w:lvlText w:val="["/>
      <w:numFmt w:val="bullet"/>
      <w:start w:val="1"/>
    </w:lvl>
  </w:abstractNum>
  <w:abstractNum w:abstractNumId="316">
    <w:nsid w:val="5D175EF2"/>
    <w:multiLevelType w:val="hybridMultilevel"/>
    <w:lvl w:ilvl="0">
      <w:lvlJc w:val="left"/>
      <w:lvlText w:val="["/>
      <w:numFmt w:val="bullet"/>
      <w:start w:val="1"/>
    </w:lvl>
  </w:abstractNum>
  <w:abstractNum w:abstractNumId="317">
    <w:nsid w:val="4ED5A137"/>
    <w:multiLevelType w:val="hybridMultilevel"/>
    <w:lvl w:ilvl="0">
      <w:lvlJc w:val="left"/>
      <w:lvlText w:val="-"/>
      <w:numFmt w:val="bullet"/>
      <w:start w:val="1"/>
    </w:lvl>
    <w:lvl w:ilvl="1">
      <w:lvlJc w:val="left"/>
      <w:lvlText w:val="----"/>
      <w:numFmt w:val="bullet"/>
      <w:start w:val="1"/>
    </w:lvl>
  </w:abstractNum>
  <w:abstractNum w:abstractNumId="318">
    <w:nsid w:val="1B1BCCF5"/>
    <w:multiLevelType w:val="hybridMultilevel"/>
    <w:lvl w:ilvl="0">
      <w:lvlJc w:val="left"/>
      <w:lvlText w:val="-"/>
      <w:numFmt w:val="bullet"/>
      <w:start w:val="1"/>
    </w:lvl>
  </w:abstractNum>
  <w:abstractNum w:abstractNumId="319">
    <w:nsid w:val="56CDFABB"/>
    <w:multiLevelType w:val="hybridMultilevel"/>
    <w:lvl w:ilvl="0">
      <w:lvlJc w:val="left"/>
      <w:lvlText w:val="-"/>
      <w:numFmt w:val="bullet"/>
      <w:start w:val="1"/>
    </w:lvl>
    <w:lvl w:ilvl="1">
      <w:lvlJc w:val="left"/>
      <w:lvlText w:val="-"/>
      <w:numFmt w:val="bullet"/>
      <w:start w:val="1"/>
    </w:lvl>
  </w:abstractNum>
  <w:abstractNum w:abstractNumId="320">
    <w:nsid w:val="78466DAF"/>
    <w:multiLevelType w:val="hybridMultilevel"/>
    <w:lvl w:ilvl="0">
      <w:lvlJc w:val="left"/>
      <w:lvlText w:val="-"/>
      <w:numFmt w:val="bullet"/>
      <w:start w:val="1"/>
    </w:lvl>
  </w:abstractNum>
  <w:abstractNum w:abstractNumId="321">
    <w:nsid w:val="64E5E036"/>
    <w:multiLevelType w:val="hybridMultilevel"/>
    <w:lvl w:ilvl="0">
      <w:lvlJc w:val="left"/>
      <w:lvlText w:val="----"/>
      <w:numFmt w:val="bullet"/>
      <w:start w:val="1"/>
    </w:lvl>
  </w:abstractNum>
  <w:abstractNum w:abstractNumId="322">
    <w:nsid w:val="5C5B6C3A"/>
    <w:multiLevelType w:val="hybridMultilevel"/>
    <w:lvl w:ilvl="0">
      <w:lvlJc w:val="left"/>
      <w:lvlText w:val="----"/>
      <w:numFmt w:val="bullet"/>
      <w:start w:val="1"/>
    </w:lvl>
  </w:abstractNum>
  <w:abstractNum w:abstractNumId="323">
    <w:nsid w:val="5D094B84"/>
    <w:multiLevelType w:val="hybridMultilevel"/>
    <w:lvl w:ilvl="0">
      <w:lvlJc w:val="left"/>
      <w:lvlText w:val="["/>
      <w:numFmt w:val="bullet"/>
      <w:start w:val="1"/>
    </w:lvl>
  </w:abstractNum>
  <w:abstractNum w:abstractNumId="324">
    <w:nsid w:val="272A9914"/>
    <w:multiLevelType w:val="hybridMultilevel"/>
    <w:lvl w:ilvl="0">
      <w:lvlJc w:val="left"/>
      <w:lvlText w:val="-"/>
      <w:numFmt w:val="bullet"/>
      <w:start w:val="1"/>
    </w:lvl>
  </w:abstractNum>
  <w:abstractNum w:abstractNumId="325">
    <w:nsid w:val="52A4773B"/>
    <w:multiLevelType w:val="hybridMultilevel"/>
    <w:lvl w:ilvl="0">
      <w:lvlJc w:val="left"/>
      <w:lvlText w:val="-"/>
      <w:numFmt w:val="bullet"/>
      <w:start w:val="1"/>
    </w:lvl>
    <w:lvl w:ilvl="1">
      <w:lvlJc w:val="left"/>
      <w:lvlText w:val="--"/>
      <w:numFmt w:val="bullet"/>
      <w:start w:val="1"/>
    </w:lvl>
  </w:abstractNum>
  <w:abstractNum w:abstractNumId="326">
    <w:nsid w:val="13BAE843"/>
    <w:multiLevelType w:val="hybridMultilevel"/>
    <w:lvl w:ilvl="0">
      <w:lvlJc w:val="left"/>
      <w:lvlText w:val="*"/>
      <w:numFmt w:val="bullet"/>
      <w:start w:val="1"/>
    </w:lvl>
  </w:abstractNum>
  <w:abstractNum w:abstractNumId="327">
    <w:nsid w:val="B895EBF"/>
    <w:multiLevelType w:val="hybridMultilevel"/>
    <w:lvl w:ilvl="0">
      <w:lvlJc w:val="left"/>
      <w:lvlText w:val="%1."/>
      <w:numFmt w:val="decimal"/>
      <w:start w:val="1"/>
    </w:lvl>
  </w:abstractNum>
  <w:abstractNum w:abstractNumId="328">
    <w:nsid w:val="646A232A"/>
    <w:multiLevelType w:val="hybridMultilevel"/>
    <w:lvl w:ilvl="0">
      <w:lvlJc w:val="left"/>
      <w:lvlText w:val="-"/>
      <w:numFmt w:val="bullet"/>
      <w:start w:val="1"/>
    </w:lvl>
    <w:lvl w:ilvl="1">
      <w:lvlJc w:val="left"/>
      <w:lvlText w:val="-----"/>
      <w:numFmt w:val="bullet"/>
      <w:start w:val="1"/>
    </w:lvl>
  </w:abstractNum>
  <w:abstractNum w:abstractNumId="329">
    <w:nsid w:val="6E022D01"/>
    <w:multiLevelType w:val="hybridMultilevel"/>
    <w:lvl w:ilvl="0">
      <w:lvlJc w:val="left"/>
      <w:lvlText w:val="--"/>
      <w:numFmt w:val="bullet"/>
      <w:start w:val="1"/>
    </w:lvl>
    <w:lvl w:ilvl="1">
      <w:lvlJc w:val="left"/>
      <w:lvlText w:val="-----"/>
      <w:numFmt w:val="bullet"/>
      <w:start w:val="1"/>
    </w:lvl>
  </w:abstractNum>
  <w:abstractNum w:abstractNumId="330">
    <w:nsid w:val="294E0FD0"/>
    <w:multiLevelType w:val="hybridMultilevel"/>
    <w:lvl w:ilvl="0">
      <w:lvlJc w:val="left"/>
      <w:lvlText w:val="%1."/>
      <w:numFmt w:val="upperLetter"/>
      <w:start w:val="3"/>
    </w:lvl>
  </w:abstractNum>
  <w:abstractNum w:abstractNumId="331">
    <w:nsid w:val="30D85A55"/>
    <w:multiLevelType w:val="hybridMultilevel"/>
    <w:lvl w:ilvl="0">
      <w:lvlJc w:val="left"/>
      <w:lvlText w:val="%1."/>
      <w:numFmt w:val="decimal"/>
      <w:start w:val="1"/>
    </w:lvl>
  </w:abstractNum>
  <w:abstractNum w:abstractNumId="332">
    <w:nsid w:val="6F0463F1"/>
    <w:multiLevelType w:val="hybridMultilevel"/>
    <w:lvl w:ilvl="0">
      <w:lvlJc w:val="left"/>
      <w:lvlText w:val="%1."/>
      <w:numFmt w:val="decimal"/>
      <w:start w:val="1"/>
    </w:lvl>
  </w:abstractNum>
  <w:abstractNum w:abstractNumId="333">
    <w:nsid w:val="1226623C"/>
    <w:multiLevelType w:val="hybridMultilevel"/>
    <w:lvl w:ilvl="0">
      <w:lvlJc w:val="left"/>
      <w:lvlText w:val="--"/>
      <w:numFmt w:val="bullet"/>
      <w:start w:val="1"/>
    </w:lvl>
  </w:abstractNum>
  <w:abstractNum w:abstractNumId="334">
    <w:nsid w:val="6D651B8D"/>
    <w:multiLevelType w:val="hybridMultilevel"/>
    <w:lvl w:ilvl="0">
      <w:lvlJc w:val="left"/>
      <w:lvlText w:val="(#)"/>
      <w:numFmt w:val="bullet"/>
      <w:start w:val="1"/>
    </w:lvl>
    <w:lvl w:ilvl="1">
      <w:lvlJc w:val="left"/>
      <w:lvlText w:val="--"/>
      <w:numFmt w:val="bullet"/>
      <w:start w:val="1"/>
    </w:lvl>
  </w:abstractNum>
  <w:abstractNum w:abstractNumId="335">
    <w:nsid w:val="31ED2BAF"/>
    <w:multiLevelType w:val="hybridMultilevel"/>
    <w:lvl w:ilvl="0">
      <w:lvlJc w:val="left"/>
      <w:lvlText w:val="%1."/>
      <w:numFmt w:val="decimal"/>
      <w:start w:val="1"/>
    </w:lvl>
  </w:abstractNum>
  <w:abstractNum w:abstractNumId="336">
    <w:nsid w:val="77633E5E"/>
    <w:multiLevelType w:val="hybridMultilevel"/>
    <w:lvl w:ilvl="0">
      <w:lvlJc w:val="left"/>
      <w:lvlText w:val="-----"/>
      <w:numFmt w:val="bullet"/>
      <w:start w:val="1"/>
    </w:lvl>
  </w:abstractNum>
  <w:abstractNum w:abstractNumId="337">
    <w:nsid w:val="7DA042A3"/>
    <w:multiLevelType w:val="hybridMultilevel"/>
    <w:lvl w:ilvl="0">
      <w:lvlJc w:val="left"/>
      <w:lvlText w:val="%1."/>
      <w:numFmt w:val="decimal"/>
      <w:start w:val="1"/>
    </w:lvl>
  </w:abstractNum>
  <w:abstractNum w:abstractNumId="338">
    <w:nsid w:val="475553A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339">
    <w:nsid w:val="5AB3EA93"/>
    <w:multiLevelType w:val="hybridMultilevel"/>
    <w:lvl w:ilvl="0">
      <w:lvlJc w:val="left"/>
      <w:lvlText w:val="%1."/>
      <w:numFmt w:val="decimal"/>
      <w:start w:val="3"/>
    </w:lvl>
  </w:abstractNum>
  <w:abstractNum w:abstractNumId="340">
    <w:nsid w:val="7417684F"/>
    <w:multiLevelType w:val="hybridMultilevel"/>
    <w:lvl w:ilvl="0">
      <w:lvlJc w:val="left"/>
      <w:lvlText w:val="%1"/>
      <w:numFmt w:val="decimal"/>
      <w:start w:val="20"/>
    </w:lvl>
  </w:abstractNum>
  <w:abstractNum w:abstractNumId="341">
    <w:nsid w:val="E9E1415"/>
    <w:multiLevelType w:val="hybridMultilevel"/>
    <w:lvl w:ilvl="0">
      <w:lvlJc w:val="left"/>
      <w:lvlText w:val="%1"/>
      <w:numFmt w:val="decimal"/>
      <w:start w:val="20"/>
    </w:lvl>
  </w:abstractNum>
  <w:abstractNum w:abstractNumId="342">
    <w:nsid w:val="1893D"/>
    <w:multiLevelType w:val="hybridMultilevel"/>
    <w:lvl w:ilvl="0">
      <w:lvlJc w:val="left"/>
      <w:lvlText w:val="C"/>
      <w:numFmt w:val="bullet"/>
      <w:start w:val="1"/>
    </w:lvl>
  </w:abstractNum>
  <w:abstractNum w:abstractNumId="343">
    <w:nsid w:val="13D4A2F2"/>
    <w:multiLevelType w:val="hybridMultilevel"/>
    <w:lvl w:ilvl="0">
      <w:lvlJc w:val="left"/>
      <w:lvlText w:val="--"/>
      <w:numFmt w:val="bullet"/>
      <w:start w:val="1"/>
    </w:lvl>
    <w:lvl w:ilvl="1">
      <w:lvlJc w:val="left"/>
      <w:lvlText w:val="a"/>
      <w:numFmt w:val="bullet"/>
      <w:start w:val="1"/>
    </w:lvl>
  </w:abstractNum>
  <w:abstractNum w:abstractNumId="344">
    <w:nsid w:val="2764C907"/>
    <w:multiLevelType w:val="hybridMultilevel"/>
    <w:lvl w:ilvl="0">
      <w:lvlJc w:val="left"/>
      <w:lvlText w:val="--"/>
      <w:numFmt w:val="bullet"/>
      <w:start w:val="1"/>
    </w:lvl>
  </w:abstractNum>
  <w:abstractNum w:abstractNumId="345">
    <w:nsid w:val="40D3692"/>
    <w:multiLevelType w:val="hybridMultilevel"/>
    <w:lvl w:ilvl="0">
      <w:lvlJc w:val="left"/>
      <w:lvlText w:val="--"/>
      <w:numFmt w:val="bullet"/>
      <w:start w:val="1"/>
    </w:lvl>
  </w:abstractNum>
  <w:abstractNum w:abstractNumId="346">
    <w:nsid w:val="222FC865"/>
    <w:multiLevelType w:val="hybridMultilevel"/>
    <w:lvl w:ilvl="0">
      <w:lvlJc w:val="left"/>
      <w:lvlText w:val="--"/>
      <w:numFmt w:val="bullet"/>
      <w:start w:val="1"/>
    </w:lvl>
  </w:abstractNum>
  <w:abstractNum w:abstractNumId="347">
    <w:nsid w:val="47C27FA"/>
    <w:multiLevelType w:val="hybridMultilevel"/>
    <w:lvl w:ilvl="0">
      <w:lvlJc w:val="left"/>
      <w:lvlText w:val="--"/>
      <w:numFmt w:val="bullet"/>
      <w:start w:val="1"/>
    </w:lvl>
  </w:abstractNum>
  <w:abstractNum w:abstractNumId="348">
    <w:nsid w:val="52E2D7C9"/>
    <w:multiLevelType w:val="hybridMultilevel"/>
    <w:lvl w:ilvl="0">
      <w:lvlJc w:val="left"/>
      <w:lvlText w:val="a"/>
      <w:numFmt w:val="bullet"/>
      <w:start w:val="1"/>
    </w:lvl>
  </w:abstractNum>
  <w:abstractNum w:abstractNumId="349">
    <w:nsid w:val="3D4B955A"/>
    <w:multiLevelType w:val="hybridMultilevel"/>
    <w:lvl w:ilvl="0">
      <w:lvlJc w:val="left"/>
      <w:lvlText w:val="a"/>
      <w:numFmt w:val="bullet"/>
      <w:start w:val="1"/>
    </w:lvl>
  </w:abstractNum>
  <w:abstractNum w:abstractNumId="350">
    <w:nsid w:val="5B4A22B5"/>
    <w:multiLevelType w:val="hybridMultilevel"/>
    <w:lvl w:ilvl="0">
      <w:lvlJc w:val="left"/>
      <w:lvlText w:val="a"/>
      <w:numFmt w:val="bullet"/>
      <w:start w:val="1"/>
    </w:lvl>
  </w:abstractNum>
  <w:abstractNum w:abstractNumId="351">
    <w:nsid w:val="4B294578"/>
    <w:multiLevelType w:val="hybridMultilevel"/>
    <w:lvl w:ilvl="0">
      <w:lvlJc w:val="left"/>
      <w:lvlText w:val="a"/>
      <w:numFmt w:val="bullet"/>
      <w:start w:val="1"/>
    </w:lvl>
  </w:abstractNum>
  <w:abstractNum w:abstractNumId="352">
    <w:nsid w:val="22317590"/>
    <w:multiLevelType w:val="hybridMultilevel"/>
    <w:lvl w:ilvl="0">
      <w:lvlJc w:val="left"/>
      <w:lvlText w:val="(%1)"/>
      <w:numFmt w:val="decimal"/>
      <w:start w:val="1"/>
    </w:lvl>
  </w:abstractNum>
  <w:abstractNum w:abstractNumId="353">
    <w:nsid w:val="37A58EEF"/>
    <w:multiLevelType w:val="hybridMultilevel"/>
    <w:lvl w:ilvl="0">
      <w:lvlJc w:val="left"/>
      <w:lvlText w:val="--"/>
      <w:numFmt w:val="bullet"/>
      <w:start w:val="1"/>
    </w:lvl>
    <w:lvl w:ilvl="1">
      <w:lvlJc w:val="left"/>
      <w:lvlText w:val="a"/>
      <w:numFmt w:val="bullet"/>
      <w:start w:val="1"/>
    </w:lvl>
  </w:abstractNum>
  <w:abstractNum w:abstractNumId="354">
    <w:nsid w:val="283290FD"/>
    <w:multiLevelType w:val="hybridMultilevel"/>
    <w:lvl w:ilvl="0">
      <w:lvlJc w:val="left"/>
      <w:lvlText w:val="-"/>
      <w:numFmt w:val="bullet"/>
      <w:start w:val="1"/>
    </w:lvl>
  </w:abstractNum>
  <w:abstractNum w:abstractNumId="355">
    <w:nsid w:val="495C0EA5"/>
    <w:multiLevelType w:val="hybridMultilevel"/>
    <w:lvl w:ilvl="0">
      <w:lvlJc w:val="left"/>
      <w:lvlText w:val="(%1)"/>
      <w:numFmt w:val="decimal"/>
      <w:start w:val="2"/>
    </w:lvl>
  </w:abstractNum>
  <w:abstractNum w:abstractNumId="356">
    <w:nsid w:val="A4A062B"/>
    <w:multiLevelType w:val="hybridMultilevel"/>
    <w:lvl w:ilvl="0">
      <w:lvlJc w:val="left"/>
      <w:lvlText w:val="-"/>
      <w:numFmt w:val="bullet"/>
      <w:start w:val="1"/>
    </w:lvl>
  </w:abstractNum>
  <w:abstractNum w:abstractNumId="357">
    <w:nsid w:val="3BED7940"/>
    <w:multiLevelType w:val="hybridMultilevel"/>
    <w:lvl w:ilvl="0">
      <w:lvlJc w:val="left"/>
      <w:lvlText w:val="%1"/>
      <w:numFmt w:val="decimal"/>
      <w:start w:val="200"/>
    </w:lvl>
  </w:abstractNum>
  <w:abstractNum w:abstractNumId="358">
    <w:nsid w:val="54E56D64"/>
    <w:multiLevelType w:val="hybridMultilevel"/>
    <w:lvl w:ilvl="0">
      <w:lvlJc w:val="left"/>
      <w:lvlText w:val="%1"/>
      <w:numFmt w:val="decimal"/>
      <w:start w:val="20"/>
    </w:lvl>
  </w:abstractNum>
  <w:abstractNum w:abstractNumId="359">
    <w:nsid w:val="6EB42955"/>
    <w:multiLevelType w:val="hybridMultilevel"/>
    <w:lvl w:ilvl="0">
      <w:lvlJc w:val="left"/>
      <w:lvlText w:val="%1"/>
      <w:numFmt w:val="decimal"/>
      <w:start w:val="75"/>
    </w:lvl>
  </w:abstractNum>
  <w:abstractNum w:abstractNumId="360">
    <w:nsid w:val="29EFA642"/>
    <w:multiLevelType w:val="hybridMultilevel"/>
    <w:lvl w:ilvl="0">
      <w:lvlJc w:val="left"/>
      <w:lvlText w:val="B"/>
      <w:numFmt w:val="bullet"/>
      <w:start w:val="1"/>
    </w:lvl>
  </w:abstractNum>
  <w:abstractNum w:abstractNumId="361">
    <w:nsid w:val="7E337D35"/>
    <w:multiLevelType w:val="hybridMultilevel"/>
    <w:lvl w:ilvl="0">
      <w:lvlJc w:val="left"/>
      <w:lvlText w:val="A"/>
      <w:numFmt w:val="bullet"/>
      <w:start w:val="1"/>
    </w:lvl>
  </w:abstractNum>
  <w:abstractNum w:abstractNumId="362">
    <w:nsid w:val="1F8C83AB"/>
    <w:multiLevelType w:val="hybridMultilevel"/>
    <w:lvl w:ilvl="0">
      <w:lvlJc w:val="left"/>
      <w:lvlText w:val="B"/>
      <w:numFmt w:val="bullet"/>
      <w:start w:val="1"/>
    </w:lvl>
  </w:abstractNum>
  <w:abstractNum w:abstractNumId="363">
    <w:nsid w:val="18F40A33"/>
    <w:multiLevelType w:val="hybridMultilevel"/>
    <w:lvl w:ilvl="0">
      <w:lvlJc w:val="left"/>
      <w:lvlText w:val="A"/>
      <w:numFmt w:val="bullet"/>
      <w:start w:val="1"/>
    </w:lvl>
  </w:abstractNum>
  <w:abstractNum w:abstractNumId="364">
    <w:nsid w:val="1059DF71"/>
    <w:multiLevelType w:val="hybridMultilevel"/>
    <w:lvl w:ilvl="0">
      <w:lvlJc w:val="left"/>
      <w:lvlText w:val="--"/>
      <w:numFmt w:val="bullet"/>
      <w:start w:val="1"/>
    </w:lvl>
  </w:abstractNum>
  <w:abstractNum w:abstractNumId="365">
    <w:nsid w:val="CF19F38"/>
    <w:multiLevelType w:val="hybridMultilevel"/>
    <w:lvl w:ilvl="0">
      <w:lvlJc w:val="left"/>
      <w:lvlText w:val="--"/>
      <w:numFmt w:val="bullet"/>
      <w:start w:val="1"/>
    </w:lvl>
  </w:abstractNum>
  <w:abstractNum w:abstractNumId="366">
    <w:nsid w:val="4AE135E2"/>
    <w:multiLevelType w:val="hybridMultilevel"/>
    <w:lvl w:ilvl="0">
      <w:lvlJc w:val="left"/>
      <w:lvlText w:val="--"/>
      <w:numFmt w:val="bullet"/>
      <w:start w:val="1"/>
    </w:lvl>
  </w:abstractNum>
  <w:abstractNum w:abstractNumId="367">
    <w:nsid w:val="7BD1DCF"/>
    <w:multiLevelType w:val="hybridMultilevel"/>
    <w:lvl w:ilvl="0">
      <w:lvlJc w:val="left"/>
      <w:lvlText w:val="--"/>
      <w:numFmt w:val="bullet"/>
      <w:start w:val="1"/>
    </w:lvl>
  </w:abstractNum>
  <w:abstractNum w:abstractNumId="368">
    <w:nsid w:val="A91E1DC"/>
    <w:multiLevelType w:val="hybridMultilevel"/>
    <w:lvl w:ilvl="0">
      <w:lvlJc w:val="left"/>
      <w:lvlText w:val="--"/>
      <w:numFmt w:val="bullet"/>
      <w:start w:val="1"/>
    </w:lvl>
  </w:abstractNum>
  <w:abstractNum w:abstractNumId="369">
    <w:nsid w:val="1236898D"/>
    <w:multiLevelType w:val="hybridMultilevel"/>
    <w:lvl w:ilvl="0">
      <w:lvlJc w:val="left"/>
      <w:lvlText w:val="a"/>
      <w:numFmt w:val="bullet"/>
      <w:start w:val="1"/>
    </w:lvl>
  </w:abstractNum>
  <w:abstractNum w:abstractNumId="370">
    <w:nsid w:val="62710862"/>
    <w:multiLevelType w:val="hybridMultilevel"/>
    <w:lvl w:ilvl="0">
      <w:lvlJc w:val="left"/>
      <w:lvlText w:val="a"/>
      <w:numFmt w:val="bullet"/>
      <w:start w:val="1"/>
    </w:lvl>
  </w:abstractNum>
  <w:abstractNum w:abstractNumId="371">
    <w:nsid w:val="7EA94A2B"/>
    <w:multiLevelType w:val="hybridMultilevel"/>
    <w:lvl w:ilvl="0">
      <w:lvlJc w:val="left"/>
      <w:lvlText w:val="a"/>
      <w:numFmt w:val="bullet"/>
      <w:start w:val="1"/>
    </w:lvl>
  </w:abstractNum>
  <w:abstractNum w:abstractNumId="372">
    <w:nsid w:val="20D49DA3"/>
    <w:multiLevelType w:val="hybridMultilevel"/>
    <w:lvl w:ilvl="0">
      <w:lvlJc w:val="left"/>
      <w:lvlText w:val="(%1)"/>
      <w:numFmt w:val="decimal"/>
      <w:start w:val="1"/>
    </w:lvl>
  </w:abstractNum>
  <w:abstractNum w:abstractNumId="373">
    <w:nsid w:val="6272919F"/>
    <w:multiLevelType w:val="hybridMultilevel"/>
    <w:lvl w:ilvl="0">
      <w:lvlJc w:val="left"/>
      <w:lvlText w:val="--"/>
      <w:numFmt w:val="bullet"/>
      <w:start w:val="1"/>
    </w:lvl>
    <w:lvl w:ilvl="1">
      <w:lvlJc w:val="left"/>
      <w:lvlText w:val="a"/>
      <w:numFmt w:val="bullet"/>
      <w:start w:val="1"/>
    </w:lvl>
  </w:abstractNum>
  <w:abstractNum w:abstractNumId="374">
    <w:nsid w:val="127DED1D"/>
    <w:multiLevelType w:val="hybridMultilevel"/>
    <w:lvl w:ilvl="0">
      <w:lvlJc w:val="left"/>
      <w:lvlText w:val="-"/>
      <w:numFmt w:val="bullet"/>
      <w:start w:val="1"/>
    </w:lvl>
  </w:abstractNum>
  <w:abstractNum w:abstractNumId="375">
    <w:nsid w:val="483966AA"/>
    <w:multiLevelType w:val="hybridMultilevel"/>
    <w:lvl w:ilvl="0">
      <w:lvlJc w:val="left"/>
      <w:lvlText w:val="-"/>
      <w:numFmt w:val="bullet"/>
      <w:start w:val="1"/>
    </w:lvl>
  </w:abstractNum>
  <w:abstractNum w:abstractNumId="376">
    <w:nsid w:val="667FC831"/>
    <w:multiLevelType w:val="hybridMultilevel"/>
    <w:lvl w:ilvl="0">
      <w:lvlJc w:val="left"/>
      <w:lvlText w:val="a"/>
      <w:numFmt w:val="bullet"/>
      <w:start w:val="1"/>
    </w:lvl>
  </w:abstractNum>
  <w:abstractNum w:abstractNumId="377">
    <w:nsid w:val="34ADB582"/>
    <w:multiLevelType w:val="hybridMultilevel"/>
    <w:lvl w:ilvl="0">
      <w:lvlJc w:val="left"/>
      <w:lvlText w:val="(%1)"/>
      <w:numFmt w:val="decimal"/>
      <w:start w:val="2"/>
    </w:lvl>
  </w:abstractNum>
  <w:abstractNum w:abstractNumId="378">
    <w:nsid w:val="4CB58EA4"/>
    <w:multiLevelType w:val="hybridMultilevel"/>
    <w:lvl w:ilvl="0">
      <w:lvlJc w:val="left"/>
      <w:lvlText w:val="-"/>
      <w:numFmt w:val="bullet"/>
      <w:start w:val="1"/>
    </w:lvl>
  </w:abstractNum>
  <w:abstractNum w:abstractNumId="379">
    <w:nsid w:val="39629FFA"/>
    <w:multiLevelType w:val="hybridMultilevel"/>
    <w:lvl w:ilvl="0">
      <w:lvlJc w:val="left"/>
      <w:lvlText w:val="["/>
      <w:numFmt w:val="bullet"/>
      <w:start w:val="1"/>
    </w:lvl>
  </w:abstractNum>
  <w:abstractNum w:abstractNumId="380">
    <w:nsid w:val="71F94ADC"/>
    <w:multiLevelType w:val="hybridMultilevel"/>
    <w:lvl w:ilvl="0">
      <w:lvlJc w:val="left"/>
      <w:lvlText w:val="&amp;"/>
      <w:numFmt w:val="bullet"/>
      <w:start w:val="1"/>
    </w:lvl>
  </w:abstractNum>
  <w:abstractNum w:abstractNumId="381">
    <w:nsid w:val="27FFB15A"/>
    <w:multiLevelType w:val="hybridMultilevel"/>
    <w:lvl w:ilvl="0">
      <w:lvlJc w:val="left"/>
      <w:lvlText w:val="-----"/>
      <w:numFmt w:val="bullet"/>
      <w:start w:val="1"/>
    </w:lvl>
  </w:abstractNum>
  <w:abstractNum w:abstractNumId="382">
    <w:nsid w:val="48BE573"/>
    <w:multiLevelType w:val="hybridMultilevel"/>
    <w:lvl w:ilvl="0">
      <w:lvlJc w:val="left"/>
      <w:lvlText w:val="-----"/>
      <w:numFmt w:val="bullet"/>
      <w:start w:val="1"/>
    </w:lvl>
  </w:abstractNum>
  <w:abstractNum w:abstractNumId="383">
    <w:nsid w:val="142AC06C"/>
    <w:multiLevelType w:val="hybridMultilevel"/>
    <w:lvl w:ilvl="0">
      <w:lvlJc w:val="left"/>
      <w:lvlText w:val="(%1)"/>
      <w:numFmt w:val="lowerLetter"/>
      <w:start w:val="1"/>
    </w:lvl>
    <w:lvl w:ilvl="1">
      <w:lvlJc w:val="left"/>
      <w:lvlText w:val="(%2)"/>
      <w:numFmt w:val="lowerRoman"/>
      <w:start w:val="1"/>
    </w:lvl>
  </w:abstractNum>
  <w:abstractNum w:abstractNumId="384">
    <w:nsid w:val="5FA54049"/>
    <w:multiLevelType w:val="hybridMultilevel"/>
    <w:lvl w:ilvl="0">
      <w:lvlJc w:val="left"/>
      <w:lvlText w:val="(%1)"/>
      <w:numFmt w:val="lowerRoman"/>
      <w:start w:val="10"/>
    </w:lvl>
  </w:abstractNum>
  <w:abstractNum w:abstractNumId="385">
    <w:nsid w:val="2CBE7670"/>
    <w:multiLevelType w:val="hybridMultilevel"/>
    <w:lvl w:ilvl="0">
      <w:lvlJc w:val="left"/>
      <w:lvlText w:val="(%1)"/>
      <w:numFmt w:val="upperLetter"/>
      <w:start w:val="1"/>
    </w:lvl>
  </w:abstractNum>
  <w:abstractNum w:abstractNumId="386">
    <w:nsid w:val="5D86CF11"/>
    <w:multiLevelType w:val="hybridMultilevel"/>
    <w:lvl w:ilvl="0">
      <w:lvlJc w:val="left"/>
      <w:lvlText w:val="(%1)"/>
      <w:numFmt w:val="lowerRoman"/>
      <w:start w:val="1"/>
    </w:lvl>
  </w:abstractNum>
  <w:abstractNum w:abstractNumId="387">
    <w:nsid w:val="69EF4674"/>
    <w:multiLevelType w:val="hybridMultilevel"/>
    <w:lvl w:ilvl="0">
      <w:lvlJc w:val="left"/>
      <w:lvlText w:val="(%1)"/>
      <w:numFmt w:val="lowerRoman"/>
      <w:start w:val="1"/>
    </w:lvl>
  </w:abstractNum>
  <w:abstractNum w:abstractNumId="388">
    <w:nsid w:val="68ABEFB0"/>
    <w:multiLevelType w:val="hybridMultilevel"/>
    <w:lvl w:ilvl="0">
      <w:lvlJc w:val="left"/>
      <w:lvlText w:val="(%1)"/>
      <w:numFmt w:val="lowerRoman"/>
      <w:start w:val="2"/>
    </w:lvl>
  </w:abstractNum>
  <w:abstractNum w:abstractNumId="389">
    <w:nsid w:val="326C3C76"/>
    <w:multiLevelType w:val="hybridMultilevel"/>
    <w:lvl w:ilvl="0">
      <w:lvlJc w:val="left"/>
      <w:lvlText w:val="(%1)"/>
      <w:numFmt w:val="lowerLetter"/>
      <w:start w:val="2"/>
    </w:lvl>
  </w:abstractNum>
  <w:abstractNum w:abstractNumId="390">
    <w:nsid w:val="58A36FCA"/>
    <w:multiLevelType w:val="hybridMultilevel"/>
    <w:lvl w:ilvl="0">
      <w:lvlJc w:val="left"/>
      <w:lvlText w:val="(%1)"/>
      <w:numFmt w:val="lowerLetter"/>
      <w:start w:val="3"/>
    </w:lvl>
    <w:lvl w:ilvl="1">
      <w:lvlJc w:val="left"/>
      <w:lvlText w:val="(%2)"/>
      <w:numFmt w:val="lowerLetter"/>
      <w:start w:val="9"/>
    </w:lvl>
  </w:abstractNum>
  <w:abstractNum w:abstractNumId="391">
    <w:nsid w:val="129B95F2"/>
    <w:multiLevelType w:val="hybridMultilevel"/>
    <w:lvl w:ilvl="0">
      <w:lvlJc w:val="left"/>
      <w:lvlText w:val="%1"/>
      <w:numFmt w:val="lowerLetter"/>
      <w:start w:val="1"/>
    </w:lvl>
    <w:lvl w:ilvl="1">
      <w:lvlJc w:val="left"/>
      <w:lvlText w:val="(%2)"/>
      <w:numFmt w:val="lowerRoman"/>
      <w:start w:val="2"/>
    </w:lvl>
  </w:abstractNum>
  <w:abstractNum w:abstractNumId="392">
    <w:nsid w:val="309FB9AB"/>
    <w:multiLevelType w:val="hybridMultilevel"/>
    <w:lvl w:ilvl="0">
      <w:lvlJc w:val="left"/>
      <w:lvlText w:val="(%1)"/>
      <w:numFmt w:val="lowerLetter"/>
      <w:start w:val="4"/>
    </w:lvl>
    <w:lvl w:ilvl="1">
      <w:lvlJc w:val="left"/>
      <w:lvlText w:val="%2"/>
      <w:numFmt w:val="lowerRoman"/>
      <w:start w:val="1"/>
    </w:lvl>
  </w:abstractNum>
  <w:abstractNum w:abstractNumId="393">
    <w:nsid w:val="782FF375"/>
    <w:multiLevelType w:val="hybridMultilevel"/>
    <w:lvl w:ilvl="0">
      <w:lvlJc w:val="left"/>
      <w:lvlText w:val="(%1)"/>
      <w:numFmt w:val="lowerLetter"/>
      <w:start w:val="2"/>
    </w:lvl>
  </w:abstractNum>
  <w:abstractNum w:abstractNumId="394">
    <w:nsid w:val="2B8FA025"/>
    <w:multiLevelType w:val="hybridMultilevel"/>
    <w:lvl w:ilvl="0">
      <w:lvlJc w:val="left"/>
      <w:lvlText w:val="(%1)"/>
      <w:numFmt w:val="lowerLetter"/>
      <w:start w:val="2"/>
    </w:lvl>
  </w:abstractNum>
  <w:abstractNum w:abstractNumId="395">
    <w:nsid w:val="40F9991C"/>
    <w:multiLevelType w:val="hybridMultilevel"/>
    <w:lvl w:ilvl="0">
      <w:lvlJc w:val="left"/>
      <w:lvlText w:val="%1"/>
      <w:numFmt w:val="lowerLetter"/>
      <w:start w:val="1"/>
    </w:lvl>
    <w:lvl w:ilvl="1">
      <w:lvlJc w:val="left"/>
      <w:lvlText w:val="(%2)"/>
      <w:numFmt w:val="lowerRoman"/>
      <w:start w:val="1"/>
    </w:lvl>
  </w:abstractNum>
  <w:abstractNum w:abstractNumId="396">
    <w:nsid w:val="52192AD"/>
    <w:multiLevelType w:val="hybridMultilevel"/>
    <w:lvl w:ilvl="0">
      <w:lvlJc w:val="left"/>
      <w:lvlText w:val="(%1)"/>
      <w:numFmt w:val="lowerLetter"/>
      <w:start w:val="2"/>
    </w:lvl>
    <w:lvl w:ilvl="1">
      <w:lvlJc w:val="left"/>
      <w:lvlText w:val="(%2)"/>
      <w:numFmt w:val="lowerRoman"/>
      <w:start w:val="1"/>
    </w:lvl>
  </w:abstractNum>
  <w:abstractNum w:abstractNumId="397">
    <w:nsid w:val="7670D608"/>
    <w:multiLevelType w:val="hybridMultilevel"/>
    <w:lvl w:ilvl="0">
      <w:lvlJc w:val="left"/>
      <w:lvlText w:val="%1"/>
      <w:numFmt w:val="lowerLetter"/>
      <w:start w:val="1"/>
    </w:lvl>
    <w:lvl w:ilvl="1">
      <w:lvlJc w:val="left"/>
      <w:lvlText w:val="(%2)"/>
      <w:numFmt w:val="lowerRoman"/>
      <w:start w:val="2"/>
    </w:lvl>
  </w:abstractNum>
  <w:abstractNum w:abstractNumId="398">
    <w:nsid w:val="48B6B6EB"/>
    <w:multiLevelType w:val="hybridMultilevel"/>
    <w:lvl w:ilvl="0">
      <w:lvlJc w:val="left"/>
      <w:lvlText w:val="(%1)"/>
      <w:numFmt w:val="lowerLetter"/>
      <w:start w:val="3"/>
    </w:lvl>
    <w:lvl w:ilvl="1">
      <w:lvlJc w:val="left"/>
      <w:lvlText w:val="(%2)"/>
      <w:numFmt w:val="lowerRoman"/>
      <w:start w:val="1"/>
    </w:lvl>
  </w:abstractNum>
  <w:abstractNum w:abstractNumId="399">
    <w:nsid w:val="FB37489"/>
    <w:multiLevelType w:val="hybridMultilevel"/>
    <w:lvl w:ilvl="0">
      <w:lvlJc w:val="left"/>
      <w:lvlText w:val="(%1)"/>
      <w:numFmt w:val="lowerRoman"/>
      <w:start w:val="2"/>
    </w:lvl>
  </w:abstractNum>
  <w:abstractNum w:abstractNumId="400">
    <w:nsid w:val="8A75F95"/>
    <w:multiLevelType w:val="hybridMultilevel"/>
    <w:lvl w:ilvl="0">
      <w:lvlJc w:val="left"/>
      <w:lvlText w:val="(%1)"/>
      <w:numFmt w:val="lowerLetter"/>
      <w:start w:val="6"/>
    </w:lvl>
  </w:abstractNum>
  <w:abstractNum w:abstractNumId="401">
    <w:nsid w:val="2B27BF4D"/>
    <w:multiLevelType w:val="hybridMultilevel"/>
    <w:lvl w:ilvl="0">
      <w:lvlJc w:val="left"/>
      <w:lvlText w:val="%1"/>
      <w:numFmt w:val="lowerLetter"/>
      <w:start w:val="1"/>
    </w:lvl>
    <w:lvl w:ilvl="1">
      <w:lvlJc w:val="left"/>
      <w:lvlText w:val="(%2)"/>
      <w:numFmt w:val="lowerLetter"/>
      <w:start w:val="2"/>
    </w:lvl>
  </w:abstractNum>
  <w:abstractNum w:abstractNumId="402">
    <w:nsid w:val="E5CBEB4"/>
    <w:multiLevelType w:val="hybridMultilevel"/>
    <w:lvl w:ilvl="0">
      <w:lvlJc w:val="left"/>
      <w:lvlText w:val="(%1)"/>
      <w:numFmt w:val="lowerLetter"/>
      <w:start w:val="9"/>
    </w:lvl>
    <w:lvl w:ilvl="1">
      <w:lvlJc w:val="left"/>
      <w:lvlText w:val="(%2)"/>
      <w:numFmt w:val="lowerLetter"/>
      <w:start w:val="3"/>
    </w:lvl>
  </w:abstractNum>
  <w:abstractNum w:abstractNumId="403">
    <w:nsid w:val="297BFD38"/>
    <w:multiLevelType w:val="hybridMultilevel"/>
    <w:lvl w:ilvl="0">
      <w:lvlJc w:val="left"/>
      <w:lvlText w:val="(%1)"/>
      <w:numFmt w:val="lowerLetter"/>
      <w:start w:val="4"/>
    </w:lvl>
  </w:abstractNum>
  <w:abstractNum w:abstractNumId="404">
    <w:nsid w:val="D9A50ED"/>
    <w:multiLevelType w:val="hybridMultilevel"/>
    <w:lvl w:ilvl="0">
      <w:lvlJc w:val="left"/>
      <w:lvlText w:val="%1"/>
      <w:numFmt w:val="upperLetter"/>
      <w:start w:val="1"/>
    </w:lvl>
    <w:lvl w:ilvl="1">
      <w:lvlJc w:val="left"/>
      <w:lvlText w:val="(%2)"/>
      <w:numFmt w:val="lowerRoman"/>
      <w:start w:val="2"/>
    </w:lvl>
  </w:abstractNum>
  <w:abstractNum w:abstractNumId="405">
    <w:nsid w:val="20DAABD1"/>
    <w:multiLevelType w:val="hybridMultilevel"/>
    <w:lvl w:ilvl="0">
      <w:lvlJc w:val="left"/>
      <w:lvlText w:val="(%1)"/>
      <w:numFmt w:val="upperLetter"/>
      <w:start w:val="2"/>
    </w:lvl>
    <w:lvl w:ilvl="1">
      <w:lvlJc w:val="left"/>
      <w:lvlText w:val="(%2)"/>
      <w:numFmt w:val="lowerRoman"/>
      <w:start w:val="3"/>
    </w:lvl>
  </w:abstractNum>
  <w:abstractNum w:abstractNumId="406">
    <w:nsid w:val="71B563E3"/>
    <w:multiLevelType w:val="hybridMultilevel"/>
    <w:lvl w:ilvl="0">
      <w:lvlJc w:val="left"/>
      <w:lvlText w:val="(%1)"/>
      <w:numFmt w:val="lowerLetter"/>
      <w:start w:val="6"/>
    </w:lvl>
  </w:abstractNum>
  <w:abstractNum w:abstractNumId="407">
    <w:nsid w:val="741A191E"/>
    <w:multiLevelType w:val="hybridMultilevel"/>
    <w:lvl w:ilvl="0">
      <w:lvlJc w:val="left"/>
      <w:lvlText w:val="(%1)"/>
      <w:numFmt w:val="lowerLetter"/>
      <w:start w:val="7"/>
    </w:lvl>
    <w:lvl w:ilvl="1">
      <w:lvlJc w:val="left"/>
      <w:lvlText w:val="(%2)"/>
      <w:numFmt w:val="lowerLetter"/>
      <w:start w:val="35"/>
    </w:lvl>
  </w:abstractNum>
  <w:abstractNum w:abstractNumId="408">
    <w:nsid w:val="55886153"/>
    <w:multiLevelType w:val="hybridMultilevel"/>
    <w:lvl w:ilvl="0">
      <w:lvlJc w:val="left"/>
      <w:lvlText w:val="%1"/>
      <w:numFmt w:val="lowerLetter"/>
      <w:start w:val="1"/>
    </w:lvl>
    <w:lvl w:ilvl="1">
      <w:lvlJc w:val="left"/>
      <w:lvlText w:val="(%2)"/>
      <w:numFmt w:val="lowerLetter"/>
      <w:start w:val="61"/>
    </w:lvl>
  </w:abstractNum>
  <w:abstractNum w:abstractNumId="409">
    <w:nsid w:val="3E6AF287"/>
    <w:multiLevelType w:val="hybridMultilevel"/>
    <w:lvl w:ilvl="0">
      <w:lvlJc w:val="left"/>
      <w:lvlText w:val="(%1)"/>
      <w:numFmt w:val="lowerLetter"/>
      <w:start w:val="8"/>
    </w:lvl>
    <w:lvl w:ilvl="1">
      <w:lvlJc w:val="left"/>
      <w:lvlText w:val="(%2)"/>
      <w:numFmt w:val="lowerLetter"/>
      <w:start w:val="35"/>
    </w:lvl>
  </w:abstractNum>
  <w:abstractNum w:abstractNumId="410">
    <w:nsid w:val="2D7CB919"/>
    <w:multiLevelType w:val="hybridMultilevel"/>
    <w:lvl w:ilvl="0">
      <w:lvlJc w:val="left"/>
      <w:lvlText w:val="%1"/>
      <w:numFmt w:val="lowerLetter"/>
      <w:start w:val="1"/>
    </w:lvl>
    <w:lvl w:ilvl="1">
      <w:lvlJc w:val="left"/>
      <w:lvlText w:val="(%2)"/>
      <w:numFmt w:val="lowerLetter"/>
      <w:start w:val="61"/>
    </w:lvl>
  </w:abstractNum>
  <w:abstractNum w:abstractNumId="411">
    <w:nsid w:val="4781AC2F"/>
    <w:multiLevelType w:val="hybridMultilevel"/>
    <w:lvl w:ilvl="0">
      <w:lvlJc w:val="left"/>
      <w:lvlText w:val="(%1)"/>
      <w:numFmt w:val="lowerLetter"/>
      <w:start w:val="9"/>
    </w:lvl>
    <w:lvl w:ilvl="1">
      <w:lvlJc w:val="left"/>
      <w:lvlText w:val="%2"/>
      <w:numFmt w:val="lowerLetter"/>
      <w:start w:val="1"/>
    </w:lvl>
  </w:abstractNum>
  <w:abstractNum w:abstractNumId="412">
    <w:nsid w:val="666AA3E1"/>
    <w:multiLevelType w:val="hybridMultilevel"/>
    <w:lvl w:ilvl="0">
      <w:lvlJc w:val="left"/>
      <w:lvlText w:val="(%1)"/>
      <w:numFmt w:val="lowerLetter"/>
      <w:start w:val="2"/>
    </w:lvl>
  </w:abstractNum>
  <w:abstractNum w:abstractNumId="413">
    <w:nsid w:val="32089E8C"/>
    <w:multiLevelType w:val="hybridMultilevel"/>
    <w:lvl w:ilvl="0">
      <w:lvlJc w:val="left"/>
      <w:lvlText w:val="(%1)"/>
      <w:numFmt w:val="lowerLetter"/>
      <w:start w:val="2"/>
    </w:lvl>
  </w:abstractNum>
  <w:abstractNum w:abstractNumId="414">
    <w:nsid w:val="5BAC6C9C"/>
    <w:multiLevelType w:val="hybridMultilevel"/>
    <w:lvl w:ilvl="0">
      <w:lvlJc w:val="left"/>
      <w:lvlText w:val="(%1)"/>
      <w:numFmt w:val="lowerLetter"/>
      <w:start w:val="2"/>
    </w:lvl>
  </w:abstractNum>
  <w:abstractNum w:abstractNumId="415">
    <w:nsid w:val="460FE42B"/>
    <w:multiLevelType w:val="hybridMultilevel"/>
    <w:lvl w:ilvl="0">
      <w:lvlJc w:val="left"/>
      <w:lvlText w:val="(%1)"/>
      <w:numFmt w:val="decimal"/>
      <w:start w:val="1"/>
    </w:lvl>
  </w:abstractNum>
  <w:abstractNum w:abstractNumId="416">
    <w:nsid w:val="5EC714FC"/>
    <w:multiLevelType w:val="hybridMultilevel"/>
    <w:lvl w:ilvl="0">
      <w:lvlJc w:val="left"/>
      <w:lvlText w:val="(%1)"/>
      <w:numFmt w:val="lowerLetter"/>
      <w:start w:val="2"/>
    </w:lvl>
  </w:abstractNum>
  <w:abstractNum w:abstractNumId="417">
    <w:nsid w:val="39333BAD"/>
    <w:multiLevelType w:val="hybridMultilevel"/>
    <w:lvl w:ilvl="0">
      <w:lvlJc w:val="left"/>
      <w:lvlText w:val="(%1)"/>
      <w:numFmt w:val="lowerLetter"/>
      <w:start w:val="2"/>
    </w:lvl>
  </w:abstractNum>
  <w:abstractNum w:abstractNumId="418">
    <w:nsid w:val="2FFF2A9F"/>
    <w:multiLevelType w:val="hybridMultilevel"/>
    <w:lvl w:ilvl="0">
      <w:lvlJc w:val="left"/>
      <w:lvlText w:val="(%1)"/>
      <w:numFmt w:val="lowerLetter"/>
      <w:start w:val="61"/>
    </w:lvl>
    <w:lvl w:ilvl="1">
      <w:lvlJc w:val="left"/>
      <w:lvlText w:val="(%2)"/>
      <w:numFmt w:val="lowerLetter"/>
      <w:start w:val="2"/>
    </w:lvl>
  </w:abstractNum>
  <w:abstractNum w:abstractNumId="419">
    <w:nsid w:val="477304AC"/>
    <w:multiLevelType w:val="hybridMultilevel"/>
    <w:lvl w:ilvl="0">
      <w:lvlJc w:val="left"/>
      <w:lvlText w:val="(%1)"/>
      <w:numFmt w:val="lowerLetter"/>
      <w:start w:val="4"/>
    </w:lvl>
  </w:abstractNum>
  <w:abstractNum w:abstractNumId="420">
    <w:nsid w:val="6B9F7823"/>
    <w:multiLevelType w:val="hybridMultilevel"/>
    <w:lvl w:ilvl="0">
      <w:lvlJc w:val="left"/>
      <w:lvlText w:val="(%1)"/>
      <w:numFmt w:val="lowerLetter"/>
      <w:start w:val="1"/>
    </w:lvl>
  </w:abstractNum>
  <w:abstractNum w:abstractNumId="421">
    <w:nsid w:val="8A29A69"/>
    <w:multiLevelType w:val="hybridMultilevel"/>
    <w:lvl w:ilvl="0">
      <w:lvlJc w:val="left"/>
      <w:lvlText w:val="(%1)"/>
      <w:numFmt w:val="lowerLetter"/>
      <w:start w:val="1"/>
    </w:lvl>
  </w:abstractNum>
  <w:abstractNum w:abstractNumId="422">
    <w:nsid w:val="5A0E9A9F"/>
    <w:multiLevelType w:val="hybridMultilevel"/>
    <w:lvl w:ilvl="0">
      <w:lvlJc w:val="left"/>
      <w:lvlText w:val="(%1)"/>
      <w:numFmt w:val="lowerLetter"/>
      <w:start w:val="7"/>
    </w:lvl>
  </w:abstractNum>
  <w:abstractNum w:abstractNumId="423">
    <w:nsid w:val="1C3F31CE"/>
    <w:multiLevelType w:val="hybridMultilevel"/>
    <w:lvl w:ilvl="0">
      <w:lvlJc w:val="left"/>
      <w:lvlText w:val="(%1)"/>
      <w:numFmt w:val="lowerRoman"/>
      <w:start w:val="1"/>
    </w:lvl>
  </w:abstractNum>
  <w:abstractNum w:abstractNumId="424">
    <w:nsid w:val="D28DDE"/>
    <w:multiLevelType w:val="hybridMultilevel"/>
    <w:lvl w:ilvl="0">
      <w:lvlJc w:val="left"/>
      <w:lvlText w:val="%1"/>
      <w:numFmt w:val="lowerLetter"/>
      <w:start w:val="1"/>
    </w:lvl>
    <w:lvl w:ilvl="1">
      <w:lvlJc w:val="left"/>
      <w:lvlText w:val="(%2)"/>
      <w:numFmt w:val="lowerRoman"/>
      <w:start w:val="2"/>
    </w:lvl>
  </w:abstractNum>
  <w:abstractNum w:abstractNumId="425">
    <w:nsid w:val="59E3AC4"/>
    <w:multiLevelType w:val="hybridMultilevel"/>
    <w:lvl w:ilvl="0">
      <w:lvlJc w:val="left"/>
      <w:lvlText w:val="(%1)"/>
      <w:numFmt w:val="lowerLetter"/>
      <w:start w:val="2"/>
    </w:lvl>
    <w:lvl w:ilvl="1">
      <w:lvlJc w:val="left"/>
      <w:lvlText w:val="%2"/>
      <w:numFmt w:val="lowerRoman"/>
      <w:start w:val="1"/>
    </w:lvl>
  </w:abstractNum>
  <w:abstractNum w:abstractNumId="426">
    <w:nsid w:val="5D38CAEA"/>
    <w:multiLevelType w:val="hybridMultilevel"/>
    <w:lvl w:ilvl="0">
      <w:lvlJc w:val="left"/>
      <w:lvlText w:val="(%1)"/>
      <w:numFmt w:val="lowerRoman"/>
      <w:start w:val="2"/>
    </w:lvl>
  </w:abstractNum>
  <w:abstractNum w:abstractNumId="427">
    <w:nsid w:val="5F4208C"/>
    <w:multiLevelType w:val="hybridMultilevel"/>
    <w:lvl w:ilvl="0">
      <w:lvlJc w:val="left"/>
      <w:lvlText w:val="(%1)"/>
      <w:numFmt w:val="lowerLetter"/>
      <w:start w:val="2"/>
    </w:lvl>
  </w:abstractNum>
  <w:abstractNum w:abstractNumId="428">
    <w:nsid w:val="7C0F10CC"/>
    <w:multiLevelType w:val="hybridMultilevel"/>
    <w:lvl w:ilvl="0">
      <w:lvlJc w:val="left"/>
      <w:lvlText w:val="(%1)"/>
      <w:numFmt w:val="lowerLetter"/>
      <w:start w:val="7"/>
    </w:lvl>
  </w:abstractNum>
  <w:abstractNum w:abstractNumId="429">
    <w:nsid w:val="25EF81D5"/>
    <w:multiLevelType w:val="hybridMultilevel"/>
    <w:lvl w:ilvl="0">
      <w:lvlJc w:val="left"/>
      <w:lvlText w:val="(%1)"/>
      <w:numFmt w:val="upperLetter"/>
      <w:start w:val="3"/>
    </w:lvl>
  </w:abstractNum>
  <w:abstractNum w:abstractNumId="430">
    <w:nsid w:val="15A79515"/>
    <w:multiLevelType w:val="hybridMultilevel"/>
    <w:lvl w:ilvl="0">
      <w:lvlJc w:val="left"/>
      <w:lvlText w:val="(%1)"/>
      <w:numFmt w:val="lowerLetter"/>
      <w:start w:val="2"/>
    </w:lvl>
  </w:abstractNum>
  <w:abstractNum w:abstractNumId="431">
    <w:nsid w:val="4B67062"/>
    <w:multiLevelType w:val="hybridMultilevel"/>
    <w:lvl w:ilvl="0">
      <w:lvlJc w:val="left"/>
      <w:lvlText w:val="%1"/>
      <w:numFmt w:val="lowerLetter"/>
      <w:start w:val="1"/>
    </w:lvl>
    <w:lvl w:ilvl="1">
      <w:lvlJc w:val="left"/>
      <w:lvlText w:val="(%2)"/>
      <w:numFmt w:val="lowerLetter"/>
      <w:start w:val="2"/>
    </w:lvl>
  </w:abstractNum>
  <w:abstractNum w:abstractNumId="432">
    <w:nsid w:val="51174123"/>
    <w:multiLevelType w:val="hybridMultilevel"/>
    <w:lvl w:ilvl="0">
      <w:lvlJc w:val="left"/>
      <w:lvlText w:val="(%1)"/>
      <w:numFmt w:val="lowerLetter"/>
      <w:start w:val="9"/>
    </w:lvl>
    <w:lvl w:ilvl="1">
      <w:lvlJc w:val="left"/>
      <w:lvlText w:val="(%2)"/>
      <w:numFmt w:val="lowerLetter"/>
      <w:start w:val="3"/>
    </w:lvl>
  </w:abstractNum>
  <w:abstractNum w:abstractNumId="433">
    <w:nsid w:val="240453CA"/>
    <w:multiLevelType w:val="hybridMultilevel"/>
    <w:lvl w:ilvl="0">
      <w:lvlJc w:val="left"/>
      <w:lvlText w:val="(%1)"/>
      <w:numFmt w:val="lowerLetter"/>
      <w:start w:val="61"/>
    </w:lvl>
    <w:lvl w:ilvl="1">
      <w:lvlJc w:val="left"/>
      <w:lvlText w:val="(%2)"/>
      <w:numFmt w:val="lowerLetter"/>
      <w:start w:val="2"/>
    </w:lvl>
  </w:abstractNum>
  <w:abstractNum w:abstractNumId="434">
    <w:nsid w:val="2E326D9A"/>
    <w:multiLevelType w:val="hybridMultilevel"/>
    <w:lvl w:ilvl="0">
      <w:lvlJc w:val="left"/>
      <w:lvlText w:val="(%1)"/>
      <w:numFmt w:val="lowerLetter"/>
      <w:start w:val="2"/>
    </w:lvl>
  </w:abstractNum>
  <w:abstractNum w:abstractNumId="435">
    <w:nsid w:val="5EB19210"/>
    <w:multiLevelType w:val="hybridMultilevel"/>
    <w:lvl w:ilvl="0">
      <w:lvlJc w:val="left"/>
      <w:lvlText w:val="(%1)"/>
      <w:numFmt w:val="lowerLetter"/>
      <w:start w:val="1"/>
    </w:lvl>
  </w:abstractNum>
  <w:abstractNum w:abstractNumId="436">
    <w:nsid w:val="44DEFF9B"/>
    <w:multiLevelType w:val="hybridMultilevel"/>
    <w:lvl w:ilvl="0">
      <w:lvlJc w:val="left"/>
      <w:lvlText w:val="(%1)"/>
      <w:numFmt w:val="lowerLetter"/>
      <w:start w:val="1"/>
    </w:lvl>
  </w:abstractNum>
  <w:abstractNum w:abstractNumId="437">
    <w:nsid w:val="1FE7D17D"/>
    <w:multiLevelType w:val="hybridMultilevel"/>
    <w:lvl w:ilvl="0">
      <w:lvlJc w:val="left"/>
      <w:lvlText w:val="%1"/>
      <w:numFmt w:val="lowerLetter"/>
      <w:start w:val="1"/>
    </w:lvl>
    <w:lvl w:ilvl="1">
      <w:lvlJc w:val="left"/>
      <w:lvlText w:val="(%2)"/>
      <w:numFmt w:val="lowerLetter"/>
      <w:start w:val="2"/>
    </w:lvl>
  </w:abstractNum>
  <w:abstractNum w:abstractNumId="438">
    <w:nsid w:val="52CBAB2E"/>
    <w:multiLevelType w:val="hybridMultilevel"/>
    <w:lvl w:ilvl="0">
      <w:lvlJc w:val="left"/>
      <w:lvlText w:val="(%1)"/>
      <w:numFmt w:val="lowerLetter"/>
      <w:start w:val="9"/>
    </w:lvl>
    <w:lvl w:ilvl="1">
      <w:lvlJc w:val="left"/>
      <w:lvlText w:val="(%2)"/>
      <w:numFmt w:val="lowerLetter"/>
      <w:start w:val="3"/>
    </w:lvl>
  </w:abstractNum>
  <w:abstractNum w:abstractNumId="439">
    <w:nsid w:val="1A6760EF"/>
    <w:multiLevelType w:val="hybridMultilevel"/>
    <w:lvl w:ilvl="0">
      <w:lvlJc w:val="left"/>
      <w:lvlText w:val="(%1)"/>
      <w:numFmt w:val="lowerLetter"/>
      <w:start w:val="10"/>
    </w:lvl>
  </w:abstractNum>
  <w:abstractNum w:abstractNumId="440">
    <w:nsid w:val="5E52C405"/>
    <w:multiLevelType w:val="hybridMultilevel"/>
    <w:lvl w:ilvl="0">
      <w:lvlJc w:val="left"/>
      <w:lvlText w:val="%1"/>
      <w:numFmt w:val="lowerLetter"/>
      <w:start w:val="1"/>
    </w:lvl>
    <w:lvl w:ilvl="1">
      <w:lvlJc w:val="left"/>
      <w:lvlText w:val="(%2)"/>
      <w:numFmt w:val="lowerRoman"/>
      <w:start w:val="1"/>
    </w:lvl>
  </w:abstractNum>
  <w:abstractNum w:abstractNumId="441">
    <w:nsid w:val="486447"/>
    <w:multiLevelType w:val="hybridMultilevel"/>
    <w:lvl w:ilvl="0">
      <w:lvlJc w:val="left"/>
      <w:lvlText w:val="(%1)"/>
      <w:numFmt w:val="lowerLetter"/>
      <w:start w:val="2"/>
    </w:lvl>
    <w:lvl w:ilvl="1">
      <w:lvlJc w:val="left"/>
      <w:lvlText w:val="%2"/>
      <w:numFmt w:val="lowerRoman"/>
      <w:start w:val="1"/>
    </w:lvl>
  </w:abstractNum>
  <w:abstractNum w:abstractNumId="442">
    <w:nsid w:val="61E90D1E"/>
    <w:multiLevelType w:val="hybridMultilevel"/>
    <w:lvl w:ilvl="0">
      <w:lvlJc w:val="left"/>
      <w:lvlText w:val="(%1)"/>
      <w:numFmt w:val="lowerLetter"/>
      <w:start w:val="2"/>
    </w:lvl>
  </w:abstractNum>
  <w:abstractNum w:abstractNumId="443">
    <w:nsid w:val="44BD67E6"/>
    <w:multiLevelType w:val="hybridMultilevel"/>
    <w:lvl w:ilvl="0">
      <w:lvlJc w:val="left"/>
      <w:lvlText w:val="(%1)"/>
      <w:numFmt w:val="lowerLetter"/>
      <w:start w:val="2"/>
    </w:lvl>
  </w:abstractNum>
  <w:abstractNum w:abstractNumId="444">
    <w:nsid w:val="325102D3"/>
    <w:multiLevelType w:val="hybridMultilevel"/>
    <w:lvl w:ilvl="0">
      <w:lvlJc w:val="left"/>
      <w:lvlText w:val="(%1)"/>
      <w:numFmt w:val="lowerLetter"/>
      <w:start w:val="2"/>
    </w:lvl>
  </w:abstractNum>
  <w:abstractNum w:abstractNumId="445">
    <w:nsid w:val="3D9579BA"/>
    <w:multiLevelType w:val="hybridMultilevel"/>
    <w:lvl w:ilvl="0">
      <w:lvlJc w:val="left"/>
      <w:lvlText w:val="(%1)"/>
      <w:numFmt w:val="lowerLetter"/>
      <w:start w:val="2"/>
    </w:lvl>
  </w:abstractNum>
  <w:abstractNum w:abstractNumId="446">
    <w:nsid w:val="ACD4C11"/>
    <w:multiLevelType w:val="hybridMultilevel"/>
    <w:lvl w:ilvl="0">
      <w:lvlJc w:val="left"/>
      <w:lvlText w:val="(%1)"/>
      <w:numFmt w:val="lowerLetter"/>
      <w:start w:val="2"/>
    </w:lvl>
    <w:lvl w:ilvl="1">
      <w:lvlJc w:val="left"/>
      <w:lvlText w:val="(%2)"/>
      <w:numFmt w:val="lowerRoman"/>
      <w:start w:val="1"/>
    </w:lvl>
  </w:abstractNum>
  <w:abstractNum w:abstractNumId="447">
    <w:nsid w:val="111817CF"/>
    <w:multiLevelType w:val="hybridMultilevel"/>
    <w:lvl w:ilvl="0">
      <w:lvlJc w:val="left"/>
      <w:lvlText w:val="(%1)"/>
      <w:numFmt w:val="lowerRoman"/>
      <w:start w:val="8"/>
    </w:lvl>
  </w:abstractNum>
  <w:abstractNum w:abstractNumId="448">
    <w:nsid w:val="76C8B568"/>
    <w:multiLevelType w:val="hybridMultilevel"/>
    <w:lvl w:ilvl="0">
      <w:lvlJc w:val="left"/>
      <w:lvlText w:val="(%1)"/>
      <w:numFmt w:val="upperLetter"/>
      <w:start w:val="5"/>
    </w:lvl>
    <w:lvl w:ilvl="1">
      <w:lvlJc w:val="left"/>
      <w:lvlText w:val="(%2)"/>
      <w:numFmt w:val="lowerRoman"/>
      <w:start w:val="15"/>
    </w:lvl>
  </w:abstractNum>
  <w:abstractNum w:abstractNumId="449">
    <w:nsid w:val="3ACC76B1"/>
    <w:multiLevelType w:val="hybridMultilevel"/>
    <w:lvl w:ilvl="0">
      <w:lvlJc w:val="left"/>
      <w:lvlText w:val="(%1)"/>
      <w:numFmt w:val="upperLetter"/>
      <w:start w:val="2"/>
    </w:lvl>
    <w:lvl w:ilvl="1">
      <w:lvlJc w:val="left"/>
      <w:lvlText w:val="(%2)"/>
      <w:numFmt w:val="lowerRoman"/>
      <w:start w:val="17"/>
    </w:lvl>
  </w:abstractNum>
  <w:abstractNum w:abstractNumId="450">
    <w:nsid w:val="588B1C7C"/>
    <w:multiLevelType w:val="hybridMultilevel"/>
    <w:lvl w:ilvl="0">
      <w:lvlJc w:val="left"/>
      <w:lvlText w:val="(%1)"/>
      <w:numFmt w:val="lowerLetter"/>
      <w:start w:val="2"/>
    </w:lvl>
  </w:abstractNum>
  <w:abstractNum w:abstractNumId="451">
    <w:nsid w:val="62682D8B"/>
    <w:multiLevelType w:val="hybridMultilevel"/>
    <w:lvl w:ilvl="0">
      <w:lvlJc w:val="left"/>
      <w:lvlText w:val="(%1)"/>
      <w:numFmt w:val="lowerRoman"/>
      <w:start w:val="1"/>
    </w:lvl>
  </w:abstractNum>
  <w:abstractNum w:abstractNumId="452">
    <w:nsid w:val="436F111A"/>
    <w:multiLevelType w:val="hybridMultilevel"/>
    <w:lvl w:ilvl="0">
      <w:lvlJc w:val="left"/>
      <w:lvlText w:val="%1"/>
      <w:numFmt w:val="upperLetter"/>
      <w:start w:val="1"/>
    </w:lvl>
    <w:lvl w:ilvl="1">
      <w:lvlJc w:val="left"/>
      <w:lvlText w:val="(%2)"/>
      <w:numFmt w:val="lowerRoman"/>
      <w:start w:val="5"/>
    </w:lvl>
  </w:abstractNum>
  <w:abstractNum w:abstractNumId="453">
    <w:nsid w:val="3299B71B"/>
    <w:multiLevelType w:val="hybridMultilevel"/>
    <w:lvl w:ilvl="0">
      <w:lvlJc w:val="left"/>
      <w:lvlText w:val="(%1)"/>
      <w:numFmt w:val="upperLetter"/>
      <w:start w:val="1"/>
    </w:lvl>
    <w:lvl w:ilvl="1">
      <w:lvlJc w:val="left"/>
      <w:lvlText w:val="(%2)"/>
      <w:numFmt w:val="lowerRoman"/>
      <w:start w:val="8"/>
    </w:lvl>
  </w:abstractNum>
  <w:abstractNum w:abstractNumId="454">
    <w:nsid w:val="7EA75F5A"/>
    <w:multiLevelType w:val="hybridMultilevel"/>
    <w:lvl w:ilvl="0">
      <w:lvlJc w:val="left"/>
      <w:lvlText w:val="%1"/>
      <w:numFmt w:val="upperLetter"/>
      <w:start w:val="1"/>
    </w:lvl>
    <w:lvl w:ilvl="1">
      <w:lvlJc w:val="left"/>
      <w:lvlText w:val="(%2)"/>
      <w:numFmt w:val="lowerRoman"/>
      <w:start w:val="11"/>
    </w:lvl>
  </w:abstractNum>
  <w:abstractNum w:abstractNumId="455">
    <w:nsid w:val="44419EF9"/>
    <w:multiLevelType w:val="hybridMultilevel"/>
    <w:lvl w:ilvl="0">
      <w:lvlJc w:val="left"/>
      <w:lvlText w:val="(%1)"/>
      <w:numFmt w:val="upperLetter"/>
      <w:start w:val="2"/>
    </w:lvl>
    <w:lvl w:ilvl="1">
      <w:lvlJc w:val="left"/>
      <w:lvlText w:val="(%2)"/>
      <w:numFmt w:val="lowerRoman"/>
      <w:start w:val="14"/>
    </w:lvl>
  </w:abstractNum>
  <w:abstractNum w:abstractNumId="456">
    <w:nsid w:val="3837F1DF"/>
    <w:multiLevelType w:val="hybridMultilevel"/>
    <w:lvl w:ilvl="0">
      <w:lvlJc w:val="left"/>
      <w:lvlText w:val="%1"/>
      <w:numFmt w:val="upperLetter"/>
      <w:start w:val="1"/>
    </w:lvl>
    <w:lvl w:ilvl="1">
      <w:lvlJc w:val="left"/>
      <w:lvlText w:val="(%2)"/>
      <w:numFmt w:val="lowerRoman"/>
      <w:start w:val="16"/>
    </w:lvl>
  </w:abstractNum>
  <w:abstractNum w:abstractNumId="457">
    <w:nsid w:val="5BE02A44"/>
    <w:multiLevelType w:val="hybridMultilevel"/>
    <w:lvl w:ilvl="0">
      <w:lvlJc w:val="left"/>
      <w:lvlText w:val="(%1)"/>
      <w:numFmt w:val="upperLetter"/>
      <w:start w:val="2"/>
    </w:lvl>
    <w:lvl w:ilvl="1">
      <w:lvlJc w:val="left"/>
      <w:lvlText w:val="(%2)"/>
      <w:numFmt w:val="lowerRoman"/>
      <w:start w:val="18"/>
    </w:lvl>
  </w:abstractNum>
  <w:abstractNum w:abstractNumId="458">
    <w:nsid w:val="4A35BF85"/>
    <w:multiLevelType w:val="hybridMultilevel"/>
    <w:lvl w:ilvl="0">
      <w:lvlJc w:val="left"/>
      <w:lvlText w:val="%1"/>
      <w:numFmt w:val="lowerLetter"/>
      <w:start w:val="1"/>
    </w:lvl>
    <w:lvl w:ilvl="1">
      <w:lvlJc w:val="left"/>
      <w:lvlText w:val="(%2)"/>
      <w:numFmt w:val="lowerLetter"/>
      <w:start w:val="2"/>
    </w:lvl>
  </w:abstractNum>
  <w:abstractNum w:abstractNumId="459">
    <w:nsid w:val="344702AC"/>
    <w:multiLevelType w:val="hybridMultilevel"/>
    <w:lvl w:ilvl="0">
      <w:lvlJc w:val="left"/>
      <w:lvlText w:val="(%1)"/>
      <w:numFmt w:val="lowerLetter"/>
      <w:start w:val="35"/>
    </w:lvl>
    <w:lvl w:ilvl="1">
      <w:lvlJc w:val="left"/>
      <w:lvlText w:val="%2"/>
      <w:numFmt w:val="lowerLetter"/>
      <w:start w:val="1"/>
    </w:lvl>
  </w:abstractNum>
  <w:abstractNum w:abstractNumId="460">
    <w:nsid w:val="1CFAC1A"/>
    <w:multiLevelType w:val="hybridMultilevel"/>
    <w:lvl w:ilvl="0">
      <w:lvlJc w:val="left"/>
      <w:lvlText w:val="(%1)"/>
      <w:numFmt w:val="lowerLetter"/>
      <w:start w:val="2"/>
    </w:lvl>
  </w:abstractNum>
  <w:abstractNum w:abstractNumId="461">
    <w:nsid w:val="5FDD549A"/>
    <w:multiLevelType w:val="hybridMultilevel"/>
    <w:lvl w:ilvl="0">
      <w:lvlJc w:val="left"/>
      <w:lvlText w:val="%1"/>
      <w:numFmt w:val="lowerLetter"/>
      <w:start w:val="1"/>
    </w:lvl>
    <w:lvl w:ilvl="1">
      <w:lvlJc w:val="left"/>
      <w:lvlText w:val="(%2)"/>
      <w:numFmt w:val="lowerLetter"/>
      <w:start w:val="5"/>
    </w:lvl>
  </w:abstractNum>
  <w:abstractNum w:abstractNumId="462">
    <w:nsid w:val="38FD730E"/>
    <w:multiLevelType w:val="hybridMultilevel"/>
    <w:lvl w:ilvl="0">
      <w:lvlJc w:val="left"/>
      <w:lvlText w:val="(%1)"/>
      <w:numFmt w:val="lowerLetter"/>
      <w:start w:val="24"/>
    </w:lvl>
    <w:lvl w:ilvl="1">
      <w:lvlJc w:val="left"/>
      <w:lvlText w:val="%2"/>
      <w:numFmt w:val="lowerLetter"/>
      <w:start w:val="1"/>
    </w:lvl>
  </w:abstractNum>
  <w:abstractNum w:abstractNumId="463">
    <w:nsid w:val="52E6ED3D"/>
    <w:multiLevelType w:val="hybridMultilevel"/>
    <w:lvl w:ilvl="0">
      <w:lvlJc w:val="left"/>
      <w:lvlText w:val="(%1)"/>
      <w:numFmt w:val="lowerRoman"/>
      <w:start w:val="2"/>
    </w:lvl>
  </w:abstractNum>
  <w:abstractNum w:abstractNumId="464">
    <w:nsid w:val="3E1A864"/>
    <w:multiLevelType w:val="hybridMultilevel"/>
    <w:lvl w:ilvl="0">
      <w:lvlJc w:val="left"/>
      <w:lvlText w:val="(%1)"/>
      <w:numFmt w:val="lowerRoman"/>
      <w:start w:val="1"/>
    </w:lvl>
  </w:abstractNum>
  <w:abstractNum w:abstractNumId="465">
    <w:nsid w:val="672FE0A8"/>
    <w:multiLevelType w:val="hybridMultilevel"/>
    <w:lvl w:ilvl="0">
      <w:lvlJc w:val="left"/>
      <w:lvlText w:val="(%1)"/>
      <w:numFmt w:val="lowerLetter"/>
      <w:start w:val="2"/>
    </w:lvl>
  </w:abstractNum>
  <w:abstractNum w:abstractNumId="466">
    <w:nsid w:val="31987F4D"/>
    <w:multiLevelType w:val="hybridMultilevel"/>
    <w:lvl w:ilvl="0">
      <w:lvlJc w:val="left"/>
      <w:lvlText w:val="(%1)"/>
      <w:numFmt w:val="lowerLetter"/>
      <w:start w:val="2"/>
    </w:lvl>
  </w:abstractNum>
  <w:abstractNum w:abstractNumId="467">
    <w:nsid w:val="48C0A800"/>
    <w:multiLevelType w:val="hybridMultilevel"/>
    <w:lvl w:ilvl="0">
      <w:lvlJc w:val="left"/>
      <w:lvlText w:val="(%1)"/>
      <w:numFmt w:val="lowerLetter"/>
      <w:start w:val="3"/>
    </w:lvl>
  </w:abstractNum>
  <w:abstractNum w:abstractNumId="468">
    <w:nsid w:val="717B226"/>
    <w:multiLevelType w:val="hybridMultilevel"/>
    <w:lvl w:ilvl="0">
      <w:lvlJc w:val="left"/>
      <w:lvlText w:val="(%1)"/>
      <w:numFmt w:val="lowerLetter"/>
      <w:start w:val="2"/>
    </w:lvl>
  </w:abstractNum>
  <w:abstractNum w:abstractNumId="469">
    <w:nsid w:val="4642A7B"/>
    <w:multiLevelType w:val="hybridMultilevel"/>
    <w:lvl w:ilvl="0">
      <w:lvlJc w:val="left"/>
      <w:lvlText w:val="(%1)"/>
      <w:numFmt w:val="lowerLetter"/>
      <w:start w:val="2"/>
    </w:lvl>
  </w:abstractNum>
  <w:abstractNum w:abstractNumId="470">
    <w:nsid w:val="632808EF"/>
    <w:multiLevelType w:val="hybridMultilevel"/>
    <w:lvl w:ilvl="0">
      <w:lvlJc w:val="left"/>
      <w:lvlText w:val="(%1)"/>
      <w:numFmt w:val="lowerLetter"/>
      <w:start w:val="1"/>
    </w:lvl>
  </w:abstractNum>
  <w:abstractNum w:abstractNumId="471">
    <w:nsid w:val="656A762B"/>
    <w:multiLevelType w:val="hybridMultilevel"/>
    <w:lvl w:ilvl="0">
      <w:lvlJc w:val="left"/>
      <w:lvlText w:val="(%1)"/>
      <w:numFmt w:val="lowerLetter"/>
      <w:start w:val="2"/>
    </w:lvl>
  </w:abstractNum>
  <w:abstractNum w:abstractNumId="472">
    <w:nsid w:val="4AC8EC3"/>
    <w:multiLevelType w:val="hybridMultilevel"/>
    <w:lvl w:ilvl="0">
      <w:lvlJc w:val="left"/>
      <w:lvlText w:val="(%1)"/>
      <w:numFmt w:val="lowerLetter"/>
      <w:start w:val="3"/>
    </w:lvl>
  </w:abstractNum>
  <w:abstractNum w:abstractNumId="473">
    <w:nsid w:val="4511160D"/>
    <w:multiLevelType w:val="hybridMultilevel"/>
    <w:lvl w:ilvl="0">
      <w:lvlJc w:val="left"/>
      <w:lvlText w:val="%1"/>
      <w:numFmt w:val="lowerLetter"/>
      <w:start w:val="1"/>
    </w:lvl>
    <w:lvl w:ilvl="1">
      <w:lvlJc w:val="left"/>
      <w:lvlText w:val="(%2)"/>
      <w:numFmt w:val="lowerRoman"/>
      <w:start w:val="1"/>
    </w:lvl>
  </w:abstractNum>
  <w:abstractNum w:abstractNumId="474">
    <w:nsid w:val="2A27DE11"/>
    <w:multiLevelType w:val="hybridMultilevel"/>
    <w:lvl w:ilvl="0">
      <w:lvlJc w:val="left"/>
      <w:lvlText w:val="(%1)"/>
      <w:numFmt w:val="lowerLetter"/>
      <w:start w:val="2"/>
    </w:lvl>
    <w:lvl w:ilvl="1">
      <w:lvlJc w:val="left"/>
      <w:lvlText w:val="%2"/>
      <w:numFmt w:val="lowerRoman"/>
      <w:start w:val="1"/>
    </w:lvl>
  </w:abstractNum>
  <w:abstractNum w:abstractNumId="475">
    <w:nsid w:val="36FD9196"/>
    <w:multiLevelType w:val="hybridMultilevel"/>
    <w:lvl w:ilvl="0">
      <w:lvlJc w:val="left"/>
      <w:lvlText w:val="(%1)"/>
      <w:numFmt w:val="lowerLetter"/>
      <w:start w:val="3"/>
    </w:lvl>
  </w:abstractNum>
  <w:abstractNum w:abstractNumId="476">
    <w:nsid w:val="2A68FC8"/>
    <w:multiLevelType w:val="hybridMultilevel"/>
    <w:lvl w:ilvl="0">
      <w:lvlJc w:val="left"/>
      <w:lvlText w:val="(%1)"/>
      <w:numFmt w:val="lowerLetter"/>
      <w:start w:val="3"/>
    </w:lvl>
    <w:lvl w:ilvl="1">
      <w:lvlJc w:val="left"/>
      <w:lvlText w:val="(%2)"/>
      <w:numFmt w:val="lowerLetter"/>
      <w:start w:val="2"/>
    </w:lvl>
  </w:abstractNum>
  <w:abstractNum w:abstractNumId="477">
    <w:nsid w:val="34F52A23"/>
    <w:multiLevelType w:val="hybridMultilevel"/>
    <w:lvl w:ilvl="0">
      <w:lvlJc w:val="left"/>
      <w:lvlText w:val="(%1)"/>
      <w:numFmt w:val="lowerLetter"/>
      <w:start w:val="2"/>
    </w:lvl>
  </w:abstractNum>
  <w:abstractNum w:abstractNumId="478">
    <w:nsid w:val="4815A966"/>
    <w:multiLevelType w:val="hybridMultilevel"/>
    <w:lvl w:ilvl="0">
      <w:lvlJc w:val="left"/>
      <w:lvlText w:val="%1"/>
      <w:numFmt w:val="decimal"/>
      <w:start w:val="1"/>
    </w:lvl>
    <w:lvl w:ilvl="1">
      <w:lvlJc w:val="left"/>
      <w:lvlText w:val="(%2)"/>
      <w:numFmt w:val="lowerLetter"/>
      <w:start w:val="2"/>
    </w:lvl>
  </w:abstractNum>
  <w:abstractNum w:abstractNumId="479">
    <w:nsid w:val="796F4530"/>
    <w:multiLevelType w:val="hybridMultilevel"/>
    <w:lvl w:ilvl="0">
      <w:lvlJc w:val="left"/>
      <w:lvlText w:val="(%1)"/>
      <w:numFmt w:val="decimal"/>
      <w:start w:val="180"/>
    </w:lvl>
    <w:lvl w:ilvl="1">
      <w:lvlJc w:val="left"/>
      <w:lvlText w:val="(%2)"/>
      <w:numFmt w:val="lowerLetter"/>
      <w:start w:val="4"/>
    </w:lvl>
  </w:abstractNum>
  <w:abstractNum w:abstractNumId="480">
    <w:nsid w:val="6FC1A0D4"/>
    <w:multiLevelType w:val="hybridMultilevel"/>
    <w:lvl w:ilvl="0">
      <w:lvlJc w:val="left"/>
      <w:lvlText w:val="(%1)"/>
      <w:numFmt w:val="lowerLetter"/>
      <w:start w:val="6"/>
    </w:lvl>
  </w:abstractNum>
  <w:abstractNum w:abstractNumId="481">
    <w:nsid w:val="20A0C5E2"/>
    <w:multiLevelType w:val="hybridMultilevel"/>
    <w:lvl w:ilvl="0">
      <w:lvlJc w:val="left"/>
      <w:lvlText w:val="(%1)"/>
      <w:numFmt w:val="lowerLetter"/>
      <w:start w:val="2"/>
    </w:lvl>
  </w:abstractNum>
  <w:abstractNum w:abstractNumId="482">
    <w:nsid w:val="5BD772BB"/>
    <w:multiLevelType w:val="hybridMultilevel"/>
    <w:lvl w:ilvl="0">
      <w:lvlJc w:val="left"/>
      <w:lvlText w:val="(%1)"/>
      <w:numFmt w:val="lowerLetter"/>
      <w:start w:val="2"/>
    </w:lvl>
  </w:abstractNum>
  <w:abstractNum w:abstractNumId="483">
    <w:nsid w:val="3330B1EE"/>
    <w:multiLevelType w:val="hybridMultilevel"/>
    <w:lvl w:ilvl="0">
      <w:lvlJc w:val="left"/>
      <w:lvlText w:val="(%1)"/>
      <w:numFmt w:val="lowerRoman"/>
      <w:start w:val="2"/>
    </w:lvl>
  </w:abstractNum>
  <w:abstractNum w:abstractNumId="484">
    <w:nsid w:val="533A7CFD"/>
    <w:multiLevelType w:val="hybridMultilevel"/>
    <w:lvl w:ilvl="0">
      <w:lvlJc w:val="left"/>
      <w:lvlText w:val="(%1)"/>
      <w:numFmt w:val="lowerLetter"/>
      <w:start w:val="2"/>
    </w:lvl>
  </w:abstractNum>
  <w:abstractNum w:abstractNumId="485">
    <w:nsid w:val="5A7ED215"/>
    <w:multiLevelType w:val="hybridMultilevel"/>
    <w:lvl w:ilvl="0">
      <w:lvlJc w:val="left"/>
      <w:lvlText w:val="(%1)"/>
      <w:numFmt w:val="lowerLetter"/>
      <w:start w:val="1"/>
    </w:lvl>
  </w:abstractNum>
  <w:abstractNum w:abstractNumId="486">
    <w:nsid w:val="777250E7"/>
    <w:multiLevelType w:val="hybridMultilevel"/>
    <w:lvl w:ilvl="0">
      <w:lvlJc w:val="left"/>
      <w:lvlText w:val="%1"/>
      <w:numFmt w:val="decimal"/>
      <w:start w:val="1"/>
    </w:lvl>
    <w:lvl w:ilvl="1">
      <w:lvlJc w:val="left"/>
      <w:lvlText w:val="(%2)"/>
      <w:numFmt w:val="lowerLetter"/>
      <w:start w:val="10"/>
    </w:lvl>
  </w:abstractNum>
  <w:abstractNum w:abstractNumId="487">
    <w:nsid w:val="B726EDC"/>
    <w:multiLevelType w:val="hybridMultilevel"/>
    <w:lvl w:ilvl="0">
      <w:lvlJc w:val="left"/>
      <w:lvlText w:val="(%1)"/>
      <w:numFmt w:val="decimal"/>
      <w:start w:val="1"/>
    </w:lvl>
    <w:lvl w:ilvl="1">
      <w:lvlJc w:val="left"/>
      <w:lvlText w:val="(%2)"/>
      <w:numFmt w:val="lowerLetter"/>
      <w:start w:val="11"/>
    </w:lvl>
  </w:abstractNum>
  <w:abstractNum w:abstractNumId="488">
    <w:nsid w:val="365EFC5A"/>
    <w:multiLevelType w:val="hybridMultilevel"/>
    <w:lvl w:ilvl="0">
      <w:lvlJc w:val="left"/>
      <w:lvlText w:val="(%1)"/>
      <w:numFmt w:val="lowerLetter"/>
      <w:start w:val="1"/>
    </w:lvl>
  </w:abstractNum>
  <w:abstractNum w:abstractNumId="489">
    <w:nsid w:val="41A8106C"/>
    <w:multiLevelType w:val="hybridMultilevel"/>
    <w:lvl w:ilvl="0">
      <w:lvlJc w:val="left"/>
      <w:lvlText w:val="(%1)"/>
      <w:numFmt w:val="lowerLetter"/>
      <w:start w:val="3"/>
    </w:lvl>
  </w:abstractNum>
  <w:abstractNum w:abstractNumId="490">
    <w:nsid w:val="3FB97188"/>
    <w:multiLevelType w:val="hybridMultilevel"/>
    <w:lvl w:ilvl="0">
      <w:lvlJc w:val="left"/>
      <w:lvlText w:val="(%1)"/>
      <w:numFmt w:val="lowerLetter"/>
      <w:start w:val="1"/>
    </w:lvl>
  </w:abstractNum>
  <w:abstractNum w:abstractNumId="491">
    <w:nsid w:val="382EA874"/>
    <w:multiLevelType w:val="hybridMultilevel"/>
    <w:lvl w:ilvl="0">
      <w:lvlJc w:val="left"/>
      <w:lvlText w:val="(%1)"/>
      <w:numFmt w:val="lowerLetter"/>
      <w:start w:val="1"/>
    </w:lvl>
    <w:lvl w:ilvl="1">
      <w:lvlJc w:val="left"/>
      <w:lvlText w:val="(%2)"/>
      <w:numFmt w:val="lowerRoman"/>
      <w:start w:val="1"/>
    </w:lvl>
  </w:abstractNum>
  <w:abstractNum w:abstractNumId="492">
    <w:nsid w:val="21856507"/>
    <w:multiLevelType w:val="hybridMultilevel"/>
    <w:lvl w:ilvl="0">
      <w:lvlJc w:val="left"/>
      <w:lvlText w:val="%1"/>
      <w:numFmt w:val="lowerLetter"/>
      <w:start w:val="1"/>
    </w:lvl>
    <w:lvl w:ilvl="1">
      <w:lvlJc w:val="left"/>
      <w:lvlText w:val="(%2)"/>
      <w:numFmt w:val="lowerRoman"/>
      <w:start w:val="3"/>
    </w:lvl>
  </w:abstractNum>
  <w:abstractNum w:abstractNumId="493">
    <w:nsid w:val="78B6E496"/>
    <w:multiLevelType w:val="hybridMultilevel"/>
    <w:lvl w:ilvl="0">
      <w:lvlJc w:val="left"/>
      <w:lvlText w:val="(%1)"/>
      <w:numFmt w:val="lowerLetter"/>
      <w:start w:val="3"/>
    </w:lvl>
    <w:lvl w:ilvl="1">
      <w:lvlJc w:val="left"/>
      <w:lvlText w:val="(%2)"/>
      <w:numFmt w:val="lowerRoman"/>
      <w:start w:val="1"/>
    </w:lvl>
  </w:abstractNum>
  <w:abstractNum w:abstractNumId="494">
    <w:nsid w:val="B1595B1"/>
    <w:multiLevelType w:val="hybridMultilevel"/>
    <w:lvl w:ilvl="0">
      <w:lvlJc w:val="left"/>
      <w:lvlText w:val="(%1)"/>
      <w:numFmt w:val="lowerLetter"/>
      <w:start w:val="2"/>
    </w:lvl>
  </w:abstractNum>
  <w:abstractNum w:abstractNumId="495">
    <w:nsid w:val="25670D6B"/>
    <w:multiLevelType w:val="hybridMultilevel"/>
    <w:lvl w:ilvl="0">
      <w:lvlJc w:val="left"/>
      <w:lvlText w:val="%1"/>
      <w:numFmt w:val="lowerLetter"/>
      <w:start w:val="1"/>
    </w:lvl>
    <w:lvl w:ilvl="1">
      <w:lvlJc w:val="left"/>
      <w:lvlText w:val="(%2)"/>
      <w:numFmt w:val="lowerLetter"/>
      <w:start w:val="6"/>
    </w:lvl>
  </w:abstractNum>
  <w:abstractNum w:abstractNumId="496">
    <w:nsid w:val="5FE6C53F"/>
    <w:multiLevelType w:val="hybridMultilevel"/>
    <w:lvl w:ilvl="0">
      <w:lvlJc w:val="left"/>
      <w:lvlText w:val="(%1)"/>
      <w:numFmt w:val="lowerLetter"/>
      <w:start w:val="35"/>
    </w:lvl>
    <w:lvl w:ilvl="1">
      <w:lvlJc w:val="left"/>
      <w:lvlText w:val="%2"/>
      <w:numFmt w:val="lowerLetter"/>
      <w:start w:val="1"/>
    </w:lvl>
  </w:abstractNum>
  <w:abstractNum w:abstractNumId="497">
    <w:nsid w:val="3CAE14FE"/>
    <w:multiLevelType w:val="hybridMultilevel"/>
    <w:lvl w:ilvl="0">
      <w:lvlJc w:val="left"/>
      <w:lvlText w:val="(%1)"/>
      <w:numFmt w:val="lowerLetter"/>
      <w:start w:val="7"/>
    </w:lvl>
  </w:abstractNum>
  <w:abstractNum w:abstractNumId="498">
    <w:nsid w:val="6E27B56B"/>
    <w:multiLevelType w:val="hybridMultilevel"/>
    <w:lvl w:ilvl="0">
      <w:lvlJc w:val="left"/>
      <w:lvlText w:val="(%1)"/>
      <w:numFmt w:val="lowerLetter"/>
      <w:start w:val="2"/>
    </w:lvl>
  </w:abstractNum>
  <w:abstractNum w:abstractNumId="499">
    <w:nsid w:val="66FE7765"/>
    <w:multiLevelType w:val="hybridMultilevel"/>
    <w:lvl w:ilvl="0">
      <w:lvlJc w:val="left"/>
      <w:lvlText w:val="(%1)"/>
      <w:numFmt w:val="lowerLetter"/>
      <w:start w:val="2"/>
    </w:lvl>
  </w:abstractNum>
  <w:abstractNum w:abstractNumId="500">
    <w:nsid w:val="41123F79"/>
    <w:multiLevelType w:val="hybridMultilevel"/>
    <w:lvl w:ilvl="0">
      <w:lvlJc w:val="left"/>
      <w:lvlText w:val="(%1)"/>
      <w:numFmt w:val="lowerLetter"/>
      <w:start w:val="1"/>
    </w:lvl>
  </w:abstractNum>
  <w:abstractNum w:abstractNumId="501">
    <w:nsid w:val="514FBE5A"/>
    <w:multiLevelType w:val="hybridMultilevel"/>
    <w:lvl w:ilvl="0">
      <w:lvlJc w:val="left"/>
      <w:lvlText w:val="(%1)"/>
      <w:numFmt w:val="lowerLetter"/>
      <w:start w:val="10"/>
    </w:lvl>
  </w:abstractNum>
  <w:abstractNum w:abstractNumId="502">
    <w:nsid w:val="4C68ED90"/>
    <w:multiLevelType w:val="hybridMultilevel"/>
    <w:lvl w:ilvl="0">
      <w:lvlJc w:val="left"/>
      <w:lvlText w:val="(%1)"/>
      <w:numFmt w:val="lowerLetter"/>
      <w:start w:val="1"/>
    </w:lvl>
  </w:abstractNum>
  <w:abstractNum w:abstractNumId="503">
    <w:nsid w:val="45BECE3C"/>
    <w:multiLevelType w:val="hybridMultilevel"/>
    <w:lvl w:ilvl="0">
      <w:lvlJc w:val="left"/>
      <w:lvlText w:val="(%1)"/>
      <w:numFmt w:val="lowerLetter"/>
      <w:start w:val="10"/>
    </w:lvl>
  </w:abstractNum>
  <w:abstractNum w:abstractNumId="504">
    <w:nsid w:val="1660D468"/>
    <w:multiLevelType w:val="hybridMultilevel"/>
    <w:lvl w:ilvl="0">
      <w:lvlJc w:val="left"/>
      <w:lvlText w:val="(%1)"/>
      <w:numFmt w:val="lowerLetter"/>
      <w:start w:val="1"/>
    </w:lvl>
  </w:abstractNum>
  <w:abstractNum w:abstractNumId="505">
    <w:nsid w:val="7690CBA1"/>
    <w:multiLevelType w:val="hybridMultilevel"/>
    <w:lvl w:ilvl="0">
      <w:lvlJc w:val="left"/>
      <w:lvlText w:val="(%1)"/>
      <w:numFmt w:val="lowerLetter"/>
      <w:start w:val="5"/>
    </w:lvl>
  </w:abstractNum>
  <w:abstractNum w:abstractNumId="506">
    <w:nsid w:val="7CBC5FD3"/>
    <w:multiLevelType w:val="hybridMultilevel"/>
    <w:lvl w:ilvl="0">
      <w:lvlJc w:val="left"/>
      <w:lvlText w:val="(%1)"/>
      <w:numFmt w:val="lowerLetter"/>
      <w:start w:val="1"/>
    </w:lvl>
  </w:abstractNum>
  <w:abstractNum w:abstractNumId="507">
    <w:nsid w:val="19076430"/>
    <w:multiLevelType w:val="hybridMultilevel"/>
    <w:lvl w:ilvl="0">
      <w:lvlJc w:val="left"/>
      <w:lvlText w:val="(%1)"/>
      <w:numFmt w:val="lowerLetter"/>
      <w:start w:val="2"/>
    </w:lvl>
    <w:lvl w:ilvl="1">
      <w:lvlJc w:val="left"/>
      <w:lvlText w:val="(%2)"/>
      <w:numFmt w:val="lowerRoman"/>
      <w:start w:val="1"/>
    </w:lvl>
  </w:abstractNum>
  <w:abstractNum w:abstractNumId="508">
    <w:nsid w:val="2B85F5C4"/>
    <w:multiLevelType w:val="hybridMultilevel"/>
    <w:lvl w:ilvl="0">
      <w:lvlJc w:val="left"/>
      <w:lvlText w:val="(%1)"/>
      <w:numFmt w:val="lowerLetter"/>
      <w:start w:val="9"/>
    </w:lvl>
  </w:abstractNum>
  <w:abstractNum w:abstractNumId="509">
    <w:nsid w:val="44D20939"/>
    <w:multiLevelType w:val="hybridMultilevel"/>
    <w:lvl w:ilvl="0">
      <w:lvlJc w:val="left"/>
      <w:lvlText w:val="(%1)"/>
      <w:numFmt w:val="lowerLetter"/>
      <w:start w:val="1"/>
    </w:lvl>
  </w:abstractNum>
  <w:abstractNum w:abstractNumId="510">
    <w:nsid w:val="1276A960"/>
    <w:multiLevelType w:val="hybridMultilevel"/>
    <w:lvl w:ilvl="0">
      <w:lvlJc w:val="left"/>
      <w:lvlText w:val="%1"/>
      <w:numFmt w:val="lowerLetter"/>
      <w:start w:val="1"/>
    </w:lvl>
    <w:lvl w:ilvl="1">
      <w:lvlJc w:val="left"/>
      <w:lvlText w:val="(%2)"/>
      <w:numFmt w:val="lowerLetter"/>
      <w:start w:val="9"/>
    </w:lvl>
  </w:abstractNum>
  <w:abstractNum w:abstractNumId="511">
    <w:nsid w:val="1B479698"/>
    <w:multiLevelType w:val="hybridMultilevel"/>
    <w:lvl w:ilvl="0">
      <w:lvlJc w:val="left"/>
      <w:lvlText w:val="(%1)"/>
      <w:numFmt w:val="lowerLetter"/>
      <w:start w:val="1"/>
    </w:lvl>
    <w:lvl w:ilvl="1">
      <w:lvlJc w:val="left"/>
      <w:lvlText w:val="%2"/>
      <w:numFmt w:val="lowerLetter"/>
      <w:start w:val="1"/>
    </w:lvl>
  </w:abstractNum>
  <w:abstractNum w:abstractNumId="512">
    <w:nsid w:val="6572CF1B"/>
    <w:multiLevelType w:val="hybridMultilevel"/>
    <w:lvl w:ilvl="0">
      <w:lvlJc w:val="left"/>
      <w:lvlText w:val="(%1)"/>
      <w:numFmt w:val="lowerLetter"/>
      <w:start w:val="1"/>
    </w:lvl>
  </w:abstractNum>
  <w:abstractNum w:abstractNumId="513">
    <w:nsid w:val="6E4E1C1B"/>
    <w:multiLevelType w:val="hybridMultilevel"/>
    <w:lvl w:ilvl="0">
      <w:lvlJc w:val="left"/>
      <w:lvlText w:val="(%1)"/>
      <w:numFmt w:val="lowerLetter"/>
      <w:start w:val="7"/>
    </w:lvl>
    <w:lvl w:ilvl="1">
      <w:lvlJc w:val="left"/>
      <w:lvlText w:val="(%2)"/>
      <w:numFmt w:val="lowerRoman"/>
      <w:start w:val="1"/>
    </w:lvl>
  </w:abstractNum>
  <w:abstractNum w:abstractNumId="514">
    <w:nsid w:val="4E784887"/>
    <w:multiLevelType w:val="hybridMultilevel"/>
    <w:lvl w:ilvl="0">
      <w:lvlJc w:val="left"/>
      <w:lvlText w:val="(%1)"/>
      <w:numFmt w:val="lowerLetter"/>
      <w:start w:val="8"/>
    </w:lvl>
  </w:abstractNum>
  <w:abstractNum w:abstractNumId="515">
    <w:nsid w:val="38AD4C18"/>
    <w:multiLevelType w:val="hybridMultilevel"/>
    <w:lvl w:ilvl="0">
      <w:lvlJc w:val="left"/>
      <w:lvlText w:val="(%1)"/>
      <w:numFmt w:val="lowerLetter"/>
      <w:start w:val="1"/>
    </w:lvl>
  </w:abstractNum>
  <w:abstractNum w:abstractNumId="516">
    <w:nsid w:val="48CCEE31"/>
    <w:multiLevelType w:val="hybridMultilevel"/>
    <w:lvl w:ilvl="0">
      <w:lvlJc w:val="left"/>
      <w:lvlText w:val="(%1)"/>
      <w:numFmt w:val="lowerLetter"/>
      <w:start w:val="2"/>
    </w:lvl>
  </w:abstractNum>
  <w:abstractNum w:abstractNumId="517">
    <w:nsid w:val="45EA996E"/>
    <w:multiLevelType w:val="hybridMultilevel"/>
    <w:lvl w:ilvl="0">
      <w:lvlJc w:val="left"/>
      <w:lvlText w:val="%1"/>
      <w:numFmt w:val="lowerLetter"/>
      <w:start w:val="1"/>
    </w:lvl>
    <w:lvl w:ilvl="1">
      <w:lvlJc w:val="left"/>
      <w:lvlText w:val="(%2)"/>
      <w:numFmt w:val="lowerLetter"/>
      <w:start w:val="4"/>
    </w:lvl>
  </w:abstractNum>
  <w:abstractNum w:abstractNumId="518">
    <w:nsid w:val="441FBAF4"/>
    <w:multiLevelType w:val="hybridMultilevel"/>
    <w:lvl w:ilvl="0">
      <w:lvlJc w:val="left"/>
      <w:lvlText w:val="(%1)"/>
      <w:numFmt w:val="lowerLetter"/>
      <w:start w:val="9"/>
    </w:lvl>
    <w:lvl w:ilvl="1">
      <w:lvlJc w:val="left"/>
      <w:lvlText w:val="%2"/>
      <w:numFmt w:val="lowerLetter"/>
      <w:start w:val="1"/>
    </w:lvl>
  </w:abstractNum>
  <w:abstractNum w:abstractNumId="519">
    <w:nsid w:val="7F2BEA8B"/>
    <w:multiLevelType w:val="hybridMultilevel"/>
    <w:lvl w:ilvl="0">
      <w:lvlJc w:val="left"/>
      <w:lvlText w:val="(%1)"/>
      <w:numFmt w:val="lowerLetter"/>
      <w:start w:val="2"/>
    </w:lvl>
    <w:lvl w:ilvl="1">
      <w:lvlJc w:val="left"/>
      <w:lvlText w:val="(%2)"/>
      <w:numFmt w:val="lowerRoman"/>
      <w:start w:val="1"/>
    </w:lvl>
  </w:abstractNum>
  <w:abstractNum w:abstractNumId="520">
    <w:nsid w:val="792A9DB"/>
    <w:multiLevelType w:val="hybridMultilevel"/>
    <w:lvl w:ilvl="0">
      <w:lvlJc w:val="left"/>
      <w:lvlText w:val="%1"/>
      <w:numFmt w:val="upperLetter"/>
      <w:start w:val="1"/>
    </w:lvl>
    <w:lvl w:ilvl="1">
      <w:lvlJc w:val="left"/>
      <w:lvlText w:val="(%2)"/>
      <w:numFmt w:val="lowerRoman"/>
      <w:start w:val="4"/>
    </w:lvl>
  </w:abstractNum>
  <w:abstractNum w:abstractNumId="521">
    <w:nsid w:val="3D92C7D"/>
    <w:multiLevelType w:val="hybridMultilevel"/>
    <w:lvl w:ilvl="0">
      <w:lvlJc w:val="left"/>
      <w:lvlText w:val="(%1)"/>
      <w:numFmt w:val="upperLetter"/>
      <w:start w:val="1"/>
    </w:lvl>
    <w:lvl w:ilvl="1">
      <w:lvlJc w:val="left"/>
      <w:lvlText w:val="(%2)"/>
      <w:numFmt w:val="lowerRoman"/>
      <w:start w:val="8"/>
    </w:lvl>
  </w:abstractNum>
  <w:abstractNum w:abstractNumId="522">
    <w:nsid w:val="375A92FF"/>
    <w:multiLevelType w:val="hybridMultilevel"/>
    <w:lvl w:ilvl="0">
      <w:lvlJc w:val="left"/>
      <w:lvlText w:val="(%1)"/>
      <w:numFmt w:val="lowerLetter"/>
      <w:start w:val="2"/>
    </w:lvl>
  </w:abstractNum>
  <w:abstractNum w:abstractNumId="523">
    <w:nsid w:val="29180EE2"/>
    <w:multiLevelType w:val="hybridMultilevel"/>
    <w:lvl w:ilvl="0">
      <w:lvlJc w:val="left"/>
      <w:lvlText w:val="(%1)"/>
      <w:numFmt w:val="lowerLetter"/>
      <w:start w:val="4"/>
    </w:lvl>
  </w:abstractNum>
  <w:abstractNum w:abstractNumId="524">
    <w:nsid w:val="7C901113"/>
    <w:multiLevelType w:val="hybridMultilevel"/>
    <w:lvl w:ilvl="0">
      <w:lvlJc w:val="left"/>
      <w:lvlText w:val="(%1)"/>
      <w:numFmt w:val="lowerLetter"/>
      <w:start w:val="2"/>
    </w:lvl>
  </w:abstractNum>
  <w:abstractNum w:abstractNumId="525">
    <w:nsid w:val="427028B0"/>
    <w:multiLevelType w:val="hybridMultilevel"/>
    <w:lvl w:ilvl="0">
      <w:lvlJc w:val="left"/>
      <w:lvlText w:val="(%1)"/>
      <w:numFmt w:val="lowerLetter"/>
      <w:start w:val="4"/>
    </w:lvl>
  </w:abstractNum>
  <w:abstractNum w:abstractNumId="526">
    <w:nsid w:val="4E7F1C4D"/>
    <w:multiLevelType w:val="hybridMultilevel"/>
    <w:lvl w:ilvl="0">
      <w:lvlJc w:val="left"/>
      <w:lvlText w:val="(%1)"/>
      <w:numFmt w:val="lowerLetter"/>
      <w:start w:val="2"/>
    </w:lvl>
  </w:abstractNum>
  <w:abstractNum w:abstractNumId="527">
    <w:nsid w:val="5C76D652"/>
    <w:multiLevelType w:val="hybridMultilevel"/>
    <w:lvl w:ilvl="0">
      <w:lvlJc w:val="left"/>
      <w:lvlText w:val="(%1)"/>
      <w:numFmt w:val="lowerLetter"/>
      <w:start w:val="2"/>
    </w:lvl>
  </w:abstractNum>
  <w:abstractNum w:abstractNumId="528">
    <w:nsid w:val="7F1E3DAE"/>
    <w:multiLevelType w:val="hybridMultilevel"/>
    <w:lvl w:ilvl="0">
      <w:lvlJc w:val="left"/>
      <w:lvlText w:val="(%1)"/>
      <w:numFmt w:val="lowerLetter"/>
      <w:start w:val="2"/>
    </w:lvl>
  </w:abstractNum>
  <w:abstractNum w:abstractNumId="529">
    <w:nsid w:val="3CA6D1B9"/>
    <w:multiLevelType w:val="hybridMultilevel"/>
    <w:lvl w:ilvl="0">
      <w:lvlJc w:val="left"/>
      <w:lvlText w:val="(%1)"/>
      <w:numFmt w:val="lowerLetter"/>
      <w:start w:val="2"/>
    </w:lvl>
  </w:abstractNum>
  <w:abstractNum w:abstractNumId="530">
    <w:nsid w:val="43754DB7"/>
    <w:multiLevelType w:val="hybridMultilevel"/>
    <w:lvl w:ilvl="0">
      <w:lvlJc w:val="left"/>
      <w:lvlText w:val="(%1)"/>
      <w:numFmt w:val="lowerLetter"/>
      <w:start w:val="3"/>
    </w:lvl>
  </w:abstractNum>
  <w:abstractNum w:abstractNumId="531">
    <w:nsid w:val="40307D27"/>
    <w:multiLevelType w:val="hybridMultilevel"/>
    <w:lvl w:ilvl="0">
      <w:lvlJc w:val="left"/>
      <w:lvlText w:val="(%1)"/>
      <w:numFmt w:val="lowerLetter"/>
      <w:start w:val="2"/>
    </w:lvl>
  </w:abstractNum>
  <w:abstractNum w:abstractNumId="532">
    <w:nsid w:val="DF69013"/>
    <w:multiLevelType w:val="hybridMultilevel"/>
    <w:lvl w:ilvl="0">
      <w:lvlJc w:val="left"/>
      <w:lvlText w:val="(%1)"/>
      <w:numFmt w:val="lowerLetter"/>
      <w:start w:val="1"/>
    </w:lvl>
  </w:abstractNum>
  <w:abstractNum w:abstractNumId="533">
    <w:nsid w:val="FDE3B47"/>
    <w:multiLevelType w:val="hybridMultilevel"/>
    <w:lvl w:ilvl="0">
      <w:lvlJc w:val="left"/>
      <w:lvlText w:val="(%1)"/>
      <w:numFmt w:val="lowerLetter"/>
      <w:start w:val="2"/>
    </w:lvl>
    <w:lvl w:ilvl="1">
      <w:lvlJc w:val="left"/>
      <w:lvlText w:val="(%2)"/>
      <w:numFmt w:val="lowerRoman"/>
      <w:start w:val="1"/>
    </w:lvl>
  </w:abstractNum>
  <w:abstractNum w:abstractNumId="534">
    <w:nsid w:val="5EF4B64"/>
    <w:multiLevelType w:val="hybridMultilevel"/>
    <w:lvl w:ilvl="0">
      <w:lvlJc w:val="left"/>
      <w:lvlText w:val="(%1)"/>
      <w:numFmt w:val="lowerLetter"/>
      <w:start w:val="5"/>
    </w:lvl>
  </w:abstractNum>
  <w:abstractNum w:abstractNumId="535">
    <w:nsid w:val="2457647B"/>
    <w:multiLevelType w:val="hybridMultilevel"/>
    <w:lvl w:ilvl="0">
      <w:lvlJc w:val="left"/>
      <w:lvlText w:val="(%1)"/>
      <w:numFmt w:val="lowerLetter"/>
      <w:start w:val="1"/>
    </w:lvl>
  </w:abstractNum>
  <w:abstractNum w:abstractNumId="536">
    <w:nsid w:val="66F06E9"/>
    <w:multiLevelType w:val="hybridMultilevel"/>
    <w:lvl w:ilvl="0">
      <w:lvlJc w:val="left"/>
      <w:lvlText w:val="(%1)"/>
      <w:numFmt w:val="lowerLetter"/>
      <w:start w:val="1"/>
    </w:lvl>
  </w:abstractNum>
  <w:abstractNum w:abstractNumId="537">
    <w:nsid w:val="2ABAB37"/>
    <w:multiLevelType w:val="hybridMultilevel"/>
    <w:lvl w:ilvl="0">
      <w:lvlJc w:val="left"/>
      <w:lvlText w:val="(%1)"/>
      <w:numFmt w:val="lowerLetter"/>
      <w:start w:val="5"/>
    </w:lvl>
  </w:abstractNum>
  <w:abstractNum w:abstractNumId="538">
    <w:nsid w:val="3D5EC8AB"/>
    <w:multiLevelType w:val="hybridMultilevel"/>
    <w:lvl w:ilvl="0">
      <w:lvlJc w:val="left"/>
      <w:lvlText w:val="(%1)"/>
      <w:numFmt w:val="lowerLetter"/>
      <w:start w:val="2"/>
    </w:lvl>
  </w:abstractNum>
  <w:abstractNum w:abstractNumId="539">
    <w:nsid w:val="31F4FCAD"/>
    <w:multiLevelType w:val="hybridMultilevel"/>
    <w:lvl w:ilvl="0">
      <w:lvlJc w:val="left"/>
      <w:lvlText w:val="(%1)"/>
      <w:numFmt w:val="lowerLetter"/>
      <w:start w:val="2"/>
    </w:lvl>
  </w:abstractNum>
  <w:abstractNum w:abstractNumId="540">
    <w:nsid w:val="477DB470"/>
    <w:multiLevelType w:val="hybridMultilevel"/>
    <w:lvl w:ilvl="0">
      <w:lvlJc w:val="left"/>
      <w:lvlText w:val="(%1)"/>
      <w:numFmt w:val="lowerLetter"/>
      <w:start w:val="2"/>
    </w:lvl>
  </w:abstractNum>
  <w:abstractNum w:abstractNumId="541">
    <w:nsid w:val="4FD5720B"/>
    <w:multiLevelType w:val="hybridMultilevel"/>
    <w:lvl w:ilvl="0">
      <w:lvlJc w:val="left"/>
      <w:lvlText w:val="(%1)"/>
      <w:numFmt w:val="lowerLetter"/>
      <w:start w:val="3"/>
    </w:lvl>
  </w:abstractNum>
  <w:abstractNum w:abstractNumId="542">
    <w:nsid w:val="4D3C9346"/>
    <w:multiLevelType w:val="hybridMultilevel"/>
    <w:lvl w:ilvl="0">
      <w:lvlJc w:val="left"/>
      <w:lvlText w:val="(%1)"/>
      <w:numFmt w:val="lowerLetter"/>
      <w:start w:val="2"/>
    </w:lvl>
  </w:abstractNum>
  <w:abstractNum w:abstractNumId="543">
    <w:nsid w:val="2CF0838B"/>
    <w:multiLevelType w:val="hybridMultilevel"/>
    <w:lvl w:ilvl="0">
      <w:lvlJc w:val="left"/>
      <w:lvlText w:val="(%1)"/>
      <w:numFmt w:val="lowerLetter"/>
      <w:start w:val="5"/>
    </w:lvl>
  </w:abstractNum>
  <w:abstractNum w:abstractNumId="544">
    <w:nsid w:val="3E238E27"/>
    <w:multiLevelType w:val="hybridMultilevel"/>
    <w:lvl w:ilvl="0">
      <w:lvlJc w:val="left"/>
      <w:lvlText w:val="(%1)"/>
      <w:numFmt w:val="lowerLetter"/>
      <w:start w:val="2"/>
    </w:lvl>
  </w:abstractNum>
  <w:abstractNum w:abstractNumId="545">
    <w:nsid w:val="1BB4DBCD"/>
    <w:multiLevelType w:val="hybridMultilevel"/>
    <w:lvl w:ilvl="0">
      <w:lvlJc w:val="left"/>
      <w:lvlText w:val="(%1)"/>
      <w:numFmt w:val="upperLetter"/>
      <w:start w:val="2"/>
    </w:lvl>
    <w:lvl w:ilvl="1">
      <w:lvlJc w:val="left"/>
      <w:lvlText w:val="(%2)"/>
      <w:numFmt w:val="lowerLetter"/>
      <w:start w:val="3"/>
    </w:lvl>
  </w:abstractNum>
  <w:abstractNum w:abstractNumId="546">
    <w:nsid w:val="659DCFA3"/>
    <w:multiLevelType w:val="hybridMultilevel"/>
    <w:lvl w:ilvl="0">
      <w:lvlJc w:val="left"/>
      <w:lvlText w:val="(%1)"/>
      <w:numFmt w:val="lowerRoman"/>
      <w:start w:val="2"/>
    </w:lvl>
  </w:abstractNum>
  <w:abstractNum w:abstractNumId="547">
    <w:nsid w:val="6F07C58"/>
    <w:multiLevelType w:val="hybridMultilevel"/>
    <w:lvl w:ilvl="0">
      <w:lvlJc w:val="left"/>
      <w:lvlText w:val="(%1)"/>
      <w:numFmt w:val="lowerLetter"/>
      <w:start w:val="2"/>
    </w:lvl>
  </w:abstractNum>
  <w:abstractNum w:abstractNumId="548">
    <w:nsid w:val="619F753B"/>
    <w:multiLevelType w:val="hybridMultilevel"/>
    <w:lvl w:ilvl="0">
      <w:lvlJc w:val="left"/>
      <w:lvlText w:val="(%1)"/>
      <w:numFmt w:val="lowerRoman"/>
      <w:start w:val="2"/>
    </w:lvl>
  </w:abstractNum>
  <w:abstractNum w:abstractNumId="549">
    <w:nsid w:val="29BD8A97"/>
    <w:multiLevelType w:val="hybridMultilevel"/>
    <w:lvl w:ilvl="0">
      <w:lvlJc w:val="left"/>
      <w:lvlText w:val="(%1)"/>
      <w:numFmt w:val="lowerRoman"/>
      <w:start w:val="3"/>
    </w:lvl>
  </w:abstractNum>
  <w:abstractNum w:abstractNumId="550">
    <w:nsid w:val="61C66E3"/>
    <w:multiLevelType w:val="hybridMultilevel"/>
    <w:lvl w:ilvl="0">
      <w:lvlJc w:val="left"/>
      <w:lvlText w:val="(%1)"/>
      <w:numFmt w:val="lowerLetter"/>
      <w:start w:val="3"/>
    </w:lvl>
  </w:abstractNum>
  <w:abstractNum w:abstractNumId="551">
    <w:nsid w:val="69321F16"/>
    <w:multiLevelType w:val="hybridMultilevel"/>
    <w:lvl w:ilvl="0">
      <w:lvlJc w:val="left"/>
      <w:lvlText w:val="(%1)"/>
      <w:numFmt w:val="lowerRoman"/>
      <w:start w:val="2"/>
    </w:lvl>
  </w:abstractNum>
  <w:abstractNum w:abstractNumId="552">
    <w:nsid w:val="2D96B714"/>
    <w:multiLevelType w:val="hybridMultilevel"/>
    <w:lvl w:ilvl="0">
      <w:lvlJc w:val="left"/>
      <w:lvlText w:val="%1"/>
      <w:numFmt w:val="lowerLetter"/>
      <w:start w:val="1"/>
    </w:lvl>
    <w:lvl w:ilvl="1">
      <w:lvlJc w:val="left"/>
      <w:lvlText w:val="(%2)"/>
      <w:numFmt w:val="lowerLetter"/>
      <w:start w:val="2"/>
    </w:lvl>
  </w:abstractNum>
  <w:abstractNum w:abstractNumId="553">
    <w:nsid w:val="3D76F9E2"/>
    <w:multiLevelType w:val="hybridMultilevel"/>
    <w:lvl w:ilvl="0">
      <w:lvlJc w:val="left"/>
      <w:lvlText w:val="(%1)"/>
      <w:numFmt w:val="lowerLetter"/>
      <w:start w:val="35"/>
    </w:lvl>
    <w:lvl w:ilvl="1">
      <w:lvlJc w:val="left"/>
      <w:lvlText w:val="(%2)"/>
      <w:numFmt w:val="lowerLetter"/>
      <w:start w:val="3"/>
    </w:lvl>
  </w:abstractNum>
  <w:abstractNum w:abstractNumId="554">
    <w:nsid w:val="124A2DF8"/>
    <w:multiLevelType w:val="hybridMultilevel"/>
    <w:lvl w:ilvl="0">
      <w:lvlJc w:val="left"/>
      <w:lvlText w:val="(%1)"/>
      <w:numFmt w:val="lowerLetter"/>
      <w:start w:val="2"/>
    </w:lvl>
  </w:abstractNum>
  <w:abstractNum w:abstractNumId="555">
    <w:nsid w:val="2A26C828"/>
    <w:multiLevelType w:val="hybridMultilevel"/>
    <w:lvl w:ilvl="0">
      <w:lvlJc w:val="left"/>
      <w:lvlText w:val="(%1)"/>
      <w:numFmt w:val="lowerLetter"/>
      <w:start w:val="2"/>
    </w:lvl>
  </w:abstractNum>
  <w:abstractNum w:abstractNumId="556">
    <w:nsid w:val="7FE72292"/>
    <w:multiLevelType w:val="hybridMultilevel"/>
    <w:lvl w:ilvl="0">
      <w:lvlJc w:val="left"/>
      <w:lvlText w:val="(%1)"/>
      <w:numFmt w:val="lowerLetter"/>
      <w:start w:val="6"/>
    </w:lvl>
  </w:abstractNum>
  <w:abstractNum w:abstractNumId="557">
    <w:nsid w:val="60C94A46"/>
    <w:multiLevelType w:val="hybridMultilevel"/>
    <w:lvl w:ilvl="0">
      <w:lvlJc w:val="left"/>
      <w:lvlText w:val="(%1)"/>
      <w:numFmt w:val="lowerLetter"/>
      <w:start w:val="9"/>
    </w:lvl>
    <w:lvl w:ilvl="1">
      <w:lvlJc w:val="left"/>
      <w:lvlText w:val="(%2)"/>
      <w:numFmt w:val="lowerLetter"/>
      <w:start w:val="2"/>
    </w:lvl>
  </w:abstractNum>
  <w:abstractNum w:abstractNumId="558">
    <w:nsid w:val="69D9E7A"/>
    <w:multiLevelType w:val="hybridMultilevel"/>
    <w:lvl w:ilvl="0">
      <w:lvlJc w:val="left"/>
      <w:lvlText w:val="(%1)"/>
      <w:numFmt w:val="lowerLetter"/>
      <w:start w:val="2"/>
    </w:lvl>
  </w:abstractNum>
  <w:abstractNum w:abstractNumId="559">
    <w:nsid w:val="7F056040"/>
    <w:multiLevelType w:val="hybridMultilevel"/>
    <w:lvl w:ilvl="0">
      <w:lvlJc w:val="left"/>
      <w:lvlText w:val="(%1)"/>
      <w:numFmt w:val="lowerLetter"/>
      <w:start w:val="2"/>
    </w:lvl>
  </w:abstractNum>
  <w:abstractNum w:abstractNumId="560">
    <w:nsid w:val="1D701BFF"/>
    <w:multiLevelType w:val="hybridMultilevel"/>
    <w:lvl w:ilvl="0">
      <w:lvlJc w:val="left"/>
      <w:lvlText w:val="(%1)"/>
      <w:numFmt w:val="lowerLetter"/>
      <w:start w:val="2"/>
    </w:lvl>
  </w:abstractNum>
  <w:abstractNum w:abstractNumId="561">
    <w:nsid w:val="4A12EC32"/>
    <w:multiLevelType w:val="hybridMultilevel"/>
    <w:lvl w:ilvl="0">
      <w:lvlJc w:val="left"/>
      <w:lvlText w:val="(%1)"/>
      <w:numFmt w:val="lowerLetter"/>
      <w:start w:val="2"/>
    </w:lvl>
    <w:lvl w:ilvl="1">
      <w:lvlJc w:val="left"/>
      <w:lvlText w:val="(%2)"/>
      <w:numFmt w:val="lowerRoman"/>
      <w:start w:val="1"/>
    </w:lvl>
  </w:abstractNum>
  <w:abstractNum w:abstractNumId="562">
    <w:nsid w:val="3F35DD67"/>
    <w:multiLevelType w:val="hybridMultilevel"/>
    <w:lvl w:ilvl="0">
      <w:lvlJc w:val="left"/>
      <w:lvlText w:val="(%1)"/>
      <w:numFmt w:val="lowerLetter"/>
      <w:start w:val="1"/>
    </w:lvl>
  </w:abstractNum>
  <w:abstractNum w:abstractNumId="563">
    <w:nsid w:val="2B66AC12"/>
    <w:multiLevelType w:val="hybridMultilevel"/>
    <w:lvl w:ilvl="0">
      <w:lvlJc w:val="left"/>
      <w:lvlText w:val="(%1)"/>
      <w:numFmt w:val="lowerLetter"/>
      <w:start w:val="2"/>
    </w:lvl>
    <w:lvl w:ilvl="1">
      <w:lvlJc w:val="left"/>
      <w:lvlText w:val="(%2)"/>
      <w:numFmt w:val="lowerRoman"/>
      <w:start w:val="1"/>
    </w:lvl>
  </w:abstractNum>
  <w:abstractNum w:abstractNumId="564">
    <w:nsid w:val="59F12779"/>
    <w:multiLevelType w:val="hybridMultilevel"/>
    <w:lvl w:ilvl="0">
      <w:lvlJc w:val="left"/>
      <w:lvlText w:val="(%1)"/>
      <w:numFmt w:val="lowerLetter"/>
      <w:start w:val="2"/>
    </w:lvl>
  </w:abstractNum>
  <w:abstractNum w:abstractNumId="565">
    <w:nsid w:val="452528CB"/>
    <w:multiLevelType w:val="hybridMultilevel"/>
    <w:lvl w:ilvl="0">
      <w:lvlJc w:val="left"/>
      <w:lvlText w:val="(%1)"/>
      <w:numFmt w:val="lowerLetter"/>
      <w:start w:val="3"/>
    </w:lvl>
  </w:abstractNum>
  <w:abstractNum w:abstractNumId="566">
    <w:nsid w:val="4FBE108E"/>
    <w:multiLevelType w:val="hybridMultilevel"/>
    <w:lvl w:ilvl="0">
      <w:lvlJc w:val="left"/>
      <w:lvlText w:val="%1."/>
      <w:numFmt w:val="upperLetter"/>
      <w:start w:val="2"/>
    </w:lvl>
    <w:lvl w:ilvl="1">
      <w:lvlJc w:val="left"/>
      <w:lvlText w:val="%2."/>
      <w:numFmt w:val="decimal"/>
      <w:start w:val="1"/>
    </w:lvl>
  </w:abstractNum>
  <w:abstractNum w:abstractNumId="567">
    <w:nsid w:val="60602E62"/>
    <w:multiLevelType w:val="hybridMultilevel"/>
    <w:lvl w:ilvl="0">
      <w:lvlJc w:val="left"/>
      <w:lvlText w:val="(%1)"/>
      <w:numFmt w:val="lowerLetter"/>
      <w:start w:val="2"/>
    </w:lvl>
  </w:abstractNum>
  <w:abstractNum w:abstractNumId="568">
    <w:nsid w:val="47D0D402"/>
    <w:multiLevelType w:val="hybridMultilevel"/>
    <w:lvl w:ilvl="0">
      <w:lvlJc w:val="left"/>
      <w:lvlText w:val="%1."/>
      <w:numFmt w:val="decimal"/>
      <w:start w:val="2"/>
    </w:lvl>
  </w:abstractNum>
  <w:abstractNum w:abstractNumId="569">
    <w:nsid w:val="D1CD939"/>
    <w:multiLevelType w:val="hybridMultilevel"/>
    <w:lvl w:ilvl="0">
      <w:lvlJc w:val="left"/>
      <w:lvlText w:val="%1."/>
      <w:numFmt w:val="decimal"/>
      <w:start w:val="4"/>
    </w:lvl>
  </w:abstractNum>
  <w:abstractNum w:abstractNumId="570">
    <w:nsid w:val="12552B10"/>
    <w:multiLevelType w:val="hybridMultilevel"/>
    <w:lvl w:ilvl="0">
      <w:lvlJc w:val="left"/>
      <w:lvlText w:val="%1."/>
      <w:numFmt w:val="upperLetter"/>
      <w:start w:val="1"/>
    </w:lvl>
    <w:lvl w:ilvl="1">
      <w:lvlJc w:val="left"/>
      <w:lvlText w:val="%2."/>
      <w:numFmt w:val="decimal"/>
      <w:start w:val="1"/>
    </w:lvl>
  </w:abstractNum>
  <w:abstractNum w:abstractNumId="571">
    <w:nsid w:val="F4E8872"/>
    <w:multiLevelType w:val="hybridMultilevel"/>
    <w:lvl w:ilvl="0">
      <w:lvlJc w:val="left"/>
      <w:lvlText w:val="%1"/>
      <w:numFmt w:val="upperLetter"/>
      <w:start w:val="1"/>
    </w:lvl>
    <w:lvl w:ilvl="1">
      <w:lvlJc w:val="left"/>
      <w:lvlText w:val="%2."/>
      <w:numFmt w:val="decimal"/>
      <w:start w:val="19"/>
    </w:lvl>
  </w:abstractNum>
  <w:abstractNum w:abstractNumId="572">
    <w:nsid w:val="5CF24B45"/>
    <w:multiLevelType w:val="hybridMultilevel"/>
    <w:lvl w:ilvl="0">
      <w:lvlJc w:val="left"/>
      <w:lvlText w:val="%1."/>
      <w:numFmt w:val="upperLetter"/>
      <w:start w:val="2"/>
    </w:lvl>
    <w:lvl w:ilvl="1">
      <w:lvlJc w:val="left"/>
      <w:lvlText w:val="%2."/>
      <w:numFmt w:val="decimal"/>
      <w:start w:val="1"/>
    </w:lvl>
  </w:abstractNum>
  <w:abstractNum w:abstractNumId="573">
    <w:nsid w:val="5F91BE56"/>
    <w:multiLevelType w:val="hybridMultilevel"/>
    <w:lvl w:ilvl="0">
      <w:lvlJc w:val="left"/>
      <w:lvlText w:val="(%1)"/>
      <w:numFmt w:val="lowerLetter"/>
      <w:start w:val="1"/>
    </w:lvl>
  </w:abstractNum>
  <w:abstractNum w:abstractNumId="574">
    <w:nsid w:val="3C3F0BFD"/>
    <w:multiLevelType w:val="hybridMultilevel"/>
    <w:lvl w:ilvl="0">
      <w:lvlJc w:val="left"/>
      <w:lvlText w:val="%1"/>
      <w:numFmt w:val="lowerLetter"/>
      <w:start w:val="1"/>
    </w:lvl>
    <w:lvl w:ilvl="1">
      <w:lvlJc w:val="left"/>
      <w:lvlText w:val="(%2)"/>
      <w:numFmt w:val="lowerLetter"/>
      <w:start w:val="2"/>
    </w:lvl>
  </w:abstractNum>
  <w:abstractNum w:abstractNumId="575">
    <w:nsid w:val="1B15D96C"/>
    <w:multiLevelType w:val="hybridMultilevel"/>
    <w:lvl w:ilvl="0">
      <w:lvlJc w:val="left"/>
      <w:lvlText w:val="(%1)"/>
      <w:numFmt w:val="lowerLetter"/>
      <w:start w:val="9"/>
    </w:lvl>
    <w:lvl w:ilvl="1">
      <w:lvlJc w:val="left"/>
      <w:lvlText w:val="%2"/>
      <w:numFmt w:val="lowerLetter"/>
      <w:start w:val="1"/>
    </w:lvl>
  </w:abstractNum>
  <w:abstractNum w:abstractNumId="576">
    <w:nsid w:val="7B469A23"/>
    <w:multiLevelType w:val="hybridMultilevel"/>
    <w:lvl w:ilvl="0">
      <w:lvlJc w:val="left"/>
      <w:lvlText w:val="%1."/>
      <w:numFmt w:val="decimal"/>
      <w:start w:val="2"/>
    </w:lvl>
  </w:abstractNum>
  <w:abstractNum w:abstractNumId="577">
    <w:nsid w:val="21DCDBA0"/>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578">
    <w:nsid w:val="220655C4"/>
    <w:multiLevelType w:val="hybridMultilevel"/>
    <w:lvl w:ilvl="0">
      <w:lvlJc w:val="left"/>
      <w:lvlText w:val="%1"/>
      <w:numFmt w:val="decimal"/>
      <w:start w:val="1"/>
    </w:lvl>
    <w:lvl w:ilvl="1">
      <w:lvlJc w:val="left"/>
      <w:lvlText w:val="%2."/>
      <w:numFmt w:val="upperLetter"/>
      <w:start w:val="5"/>
    </w:lvl>
    <w:lvl w:ilvl="2">
      <w:lvlJc w:val="left"/>
      <w:lvlText w:val="%3"/>
      <w:numFmt w:val="lowerLetter"/>
      <w:start w:val="1"/>
    </w:lvl>
    <w:lvl w:ilvl="3">
      <w:lvlJc w:val="left"/>
      <w:lvlText w:val="%4"/>
      <w:numFmt w:val="lowerRoman"/>
      <w:start w:val="1"/>
    </w:lvl>
  </w:abstractNum>
  <w:abstractNum w:abstractNumId="579">
    <w:nsid w:val="5CE60F5E"/>
    <w:multiLevelType w:val="hybridMultilevel"/>
    <w:lvl w:ilvl="0">
      <w:lvlJc w:val="left"/>
      <w:lvlText w:val="(%1)"/>
      <w:numFmt w:val="decimal"/>
      <w:start w:val="4"/>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580">
    <w:nsid w:val="4B9A6638"/>
    <w:multiLevelType w:val="hybridMultilevel"/>
    <w:lvl w:ilvl="0">
      <w:lvlJc w:val="left"/>
      <w:lvlText w:val="%1"/>
      <w:numFmt w:val="upperLetter"/>
      <w:start w:val="1"/>
    </w:lvl>
    <w:lvl w:ilvl="1">
      <w:lvlJc w:val="left"/>
      <w:lvlText w:val="%2."/>
      <w:numFmt w:val="upperLetter"/>
      <w:start w:val="6"/>
    </w:lvl>
  </w:abstractNum>
  <w:abstractNum w:abstractNumId="581">
    <w:nsid w:val="2822BCA7"/>
    <w:multiLevelType w:val="hybridMultilevel"/>
    <w:lvl w:ilvl="0">
      <w:lvlJc w:val="left"/>
      <w:lvlText w:val="(%1)"/>
      <w:numFmt w:val="upperLetter"/>
      <w:start w:val="1"/>
    </w:lvl>
    <w:lvl w:ilvl="1">
      <w:lvlJc w:val="left"/>
      <w:lvlText w:val="%2"/>
      <w:numFmt w:val="upperLetter"/>
      <w:start w:val="1"/>
    </w:lvl>
  </w:abstractNum>
  <w:abstractNum w:abstractNumId="582">
    <w:nsid w:val="46182E75"/>
    <w:multiLevelType w:val="hybridMultilevel"/>
    <w:lvl w:ilvl="0">
      <w:lvlJc w:val="left"/>
      <w:lvlText w:val="-"/>
      <w:numFmt w:val="bullet"/>
      <w:start w:val="1"/>
    </w:lvl>
  </w:abstractNum>
  <w:abstractNum w:abstractNumId="583">
    <w:nsid w:val="79311D4C"/>
    <w:multiLevelType w:val="hybridMultilevel"/>
    <w:lvl w:ilvl="0">
      <w:lvlJc w:val="left"/>
      <w:lvlText w:val="-"/>
      <w:numFmt w:val="bullet"/>
      <w:start w:val="1"/>
    </w:lvl>
  </w:abstractNum>
  <w:abstractNum w:abstractNumId="584">
    <w:nsid w:val="6599B689"/>
    <w:multiLevelType w:val="hybridMultilevel"/>
    <w:lvl w:ilvl="0">
      <w:lvlJc w:val="left"/>
      <w:lvlText w:val="(%1)"/>
      <w:numFmt w:val="lowerLetter"/>
      <w:start w:val="2"/>
    </w:lvl>
  </w:abstractNum>
  <w:abstractNum w:abstractNumId="585">
    <w:nsid w:val="58625C6D"/>
    <w:multiLevelType w:val="hybridMultilevel"/>
    <w:lvl w:ilvl="0">
      <w:lvlJc w:val="left"/>
      <w:lvlText w:val="X"/>
      <w:numFmt w:val="bullet"/>
      <w:start w:val="1"/>
    </w:lvl>
  </w:abstractNum>
  <w:abstractNum w:abstractNumId="586">
    <w:nsid w:val="2357E574"/>
    <w:multiLevelType w:val="hybridMultilevel"/>
    <w:lvl w:ilvl="0">
      <w:lvlJc w:val="left"/>
      <w:lvlText w:val="X"/>
      <w:numFmt w:val="bullet"/>
      <w:start w:val="1"/>
    </w:lvl>
  </w:abstractNum>
  <w:abstractNum w:abstractNumId="587">
    <w:nsid w:val="6580D91B"/>
    <w:multiLevelType w:val="hybridMultilevel"/>
    <w:lvl w:ilvl="0">
      <w:lvlJc w:val="left"/>
      <w:lvlText w:val="(%1)"/>
      <w:numFmt w:val="lowerLetter"/>
      <w:start w:val="1"/>
    </w:lvl>
  </w:abstractNum>
  <w:abstractNum w:abstractNumId="588">
    <w:nsid w:val="392BA6B3"/>
    <w:multiLevelType w:val="hybridMultilevel"/>
    <w:lvl w:ilvl="0">
      <w:lvlJc w:val="left"/>
      <w:lvlText w:val="(%1)"/>
      <w:numFmt w:val="lowerLetter"/>
      <w:start w:val="1"/>
    </w:lvl>
  </w:abstractNum>
  <w:abstractNum w:abstractNumId="589">
    <w:nsid w:val="29F583EF"/>
    <w:multiLevelType w:val="hybridMultilevel"/>
    <w:lvl w:ilvl="0">
      <w:lvlJc w:val="left"/>
      <w:lvlText w:val="(%1)"/>
      <w:numFmt w:val="lowerLetter"/>
      <w:start w:val="1"/>
    </w:lvl>
  </w:abstractNum>
  <w:abstractNum w:abstractNumId="590">
    <w:nsid w:val="6486395B"/>
    <w:multiLevelType w:val="hybridMultilevel"/>
    <w:lvl w:ilvl="0">
      <w:lvlJc w:val="left"/>
      <w:lvlText w:val="(%1)"/>
      <w:numFmt w:val="lowerLetter"/>
      <w:start w:val="3"/>
    </w:lvl>
  </w:abstractNum>
  <w:abstractNum w:abstractNumId="591">
    <w:nsid w:val="569BC2B2"/>
    <w:multiLevelType w:val="hybridMultilevel"/>
    <w:lvl w:ilvl="0">
      <w:lvlJc w:val="left"/>
      <w:lvlText w:val="(%1)"/>
      <w:numFmt w:val="lowerLetter"/>
      <w:start w:val="1"/>
    </w:lvl>
  </w:abstractNum>
  <w:abstractNum w:abstractNumId="592">
    <w:nsid w:val="74087021"/>
    <w:multiLevelType w:val="hybridMultilevel"/>
    <w:lvl w:ilvl="0">
      <w:lvlJc w:val="left"/>
      <w:lvlText w:val="(%1)"/>
      <w:numFmt w:val="lowerRoman"/>
      <w:start w:val="1"/>
    </w:lvl>
  </w:abstractNum>
  <w:abstractNum w:abstractNumId="593">
    <w:nsid w:val="23BC16C2"/>
    <w:multiLevelType w:val="hybridMultilevel"/>
    <w:lvl w:ilvl="0">
      <w:lvlJc w:val="left"/>
      <w:lvlText w:val="(%1)"/>
      <w:numFmt w:val="lowerLetter"/>
      <w:start w:val="1"/>
    </w:lvl>
  </w:abstractNum>
  <w:abstractNum w:abstractNumId="594">
    <w:nsid w:val="2026EC5"/>
    <w:multiLevelType w:val="hybridMultilevel"/>
    <w:lvl w:ilvl="0">
      <w:lvlJc w:val="left"/>
      <w:lvlText w:val="(%1)"/>
      <w:numFmt w:val="lowerLetter"/>
      <w:start w:val="1"/>
    </w:lvl>
  </w:abstractNum>
  <w:abstractNum w:abstractNumId="595">
    <w:nsid w:val="4DF9979A"/>
    <w:multiLevelType w:val="hybridMultilevel"/>
    <w:lvl w:ilvl="0">
      <w:lvlJc w:val="left"/>
      <w:lvlText w:val="(%1)"/>
      <w:numFmt w:val="lowerLetter"/>
      <w:start w:val="1"/>
    </w:lvl>
  </w:abstractNum>
  <w:abstractNum w:abstractNumId="596">
    <w:nsid w:val="68E13F8E"/>
    <w:multiLevelType w:val="hybridMultilevel"/>
    <w:lvl w:ilvl="0">
      <w:lvlJc w:val="left"/>
      <w:lvlText w:val="(%1)"/>
      <w:numFmt w:val="lowerLetter"/>
      <w:start w:val="1"/>
    </w:lvl>
    <w:lvl w:ilvl="1">
      <w:lvlJc w:val="left"/>
      <w:lvlText w:val="(%2)"/>
      <w:numFmt w:val="lowerRoman"/>
      <w:start w:val="1"/>
    </w:lvl>
  </w:abstractNum>
  <w:abstractNum w:abstractNumId="597">
    <w:nsid w:val="51C07F53"/>
    <w:multiLevelType w:val="hybridMultilevel"/>
    <w:lvl w:ilvl="0">
      <w:lvlJc w:val="left"/>
      <w:lvlText w:val="(%1)"/>
      <w:numFmt w:val="lowerLetter"/>
      <w:start w:val="4"/>
    </w:lvl>
  </w:abstractNum>
  <w:abstractNum w:abstractNumId="598">
    <w:nsid w:val="2E59C5FD"/>
    <w:multiLevelType w:val="hybridMultilevel"/>
    <w:lvl w:ilvl="0">
      <w:lvlJc w:val="left"/>
      <w:lvlText w:val="(%1)"/>
      <w:numFmt w:val="lowerRoman"/>
      <w:start w:val="1"/>
    </w:lvl>
  </w:abstractNum>
  <w:abstractNum w:abstractNumId="599">
    <w:nsid w:val="30B21390"/>
    <w:multiLevelType w:val="hybridMultilevel"/>
    <w:lvl w:ilvl="0">
      <w:lvlJc w:val="left"/>
      <w:lvlText w:val="(%1)"/>
      <w:numFmt w:val="lowerLetter"/>
      <w:start w:val="1"/>
    </w:lvl>
  </w:abstractNum>
  <w:abstractNum w:abstractNumId="600">
    <w:nsid w:val="5EDD588C"/>
    <w:multiLevelType w:val="hybridMultilevel"/>
    <w:lvl w:ilvl="0">
      <w:lvlJc w:val="left"/>
      <w:lvlText w:val="(%1)"/>
      <w:numFmt w:val="lowerLetter"/>
      <w:start w:val="1"/>
    </w:lvl>
  </w:abstractNum>
  <w:abstractNum w:abstractNumId="601">
    <w:nsid w:val="40AEF10D"/>
    <w:multiLevelType w:val="hybridMultilevel"/>
    <w:lvl w:ilvl="0">
      <w:lvlJc w:val="left"/>
      <w:lvlText w:val="(%1)"/>
      <w:numFmt w:val="lowerLetter"/>
      <w:start w:val="2"/>
    </w:lvl>
    <w:lvl w:ilvl="1">
      <w:lvlJc w:val="left"/>
      <w:lvlText w:val="(%2)"/>
      <w:numFmt w:val="lowerRoman"/>
      <w:start w:val="1"/>
    </w:lvl>
  </w:abstractNum>
  <w:abstractNum w:abstractNumId="602">
    <w:nsid w:val="40009C03"/>
    <w:multiLevelType w:val="hybridMultilevel"/>
    <w:lvl w:ilvl="0">
      <w:lvlJc w:val="left"/>
      <w:lvlText w:val="(%1)"/>
      <w:numFmt w:val="lowerLetter"/>
      <w:start w:val="1"/>
    </w:lvl>
  </w:abstractNum>
  <w:abstractNum w:abstractNumId="603">
    <w:nsid w:val="3BCFA3D1"/>
    <w:multiLevelType w:val="hybridMultilevel"/>
    <w:lvl w:ilvl="0">
      <w:lvlJc w:val="left"/>
      <w:lvlText w:val="(%1)"/>
      <w:numFmt w:val="lowerLetter"/>
      <w:start w:val="1"/>
    </w:lvl>
    <w:lvl w:ilvl="1">
      <w:lvlJc w:val="left"/>
      <w:lvlText w:val="(%2)"/>
      <w:numFmt w:val="lowerRoman"/>
      <w:start w:val="1"/>
    </w:lvl>
  </w:abstractNum>
  <w:abstractNum w:abstractNumId="604">
    <w:nsid w:val="2040AF63"/>
    <w:multiLevelType w:val="hybridMultilevel"/>
    <w:lvl w:ilvl="0">
      <w:lvlJc w:val="left"/>
      <w:lvlText w:val="(%1)"/>
      <w:numFmt w:val="lowerLetter"/>
      <w:start w:val="2"/>
    </w:lvl>
  </w:abstractNum>
  <w:abstractNum w:abstractNumId="605">
    <w:nsid w:val="7C3FA800"/>
    <w:multiLevelType w:val="hybridMultilevel"/>
    <w:lvl w:ilvl="0">
      <w:lvlJc w:val="left"/>
      <w:lvlText w:val="(%1)"/>
      <w:numFmt w:val="lowerLetter"/>
      <w:start w:val="1"/>
    </w:lvl>
  </w:abstractNum>
  <w:abstractNum w:abstractNumId="606">
    <w:nsid w:val="56E57D3D"/>
    <w:multiLevelType w:val="hybridMultilevel"/>
    <w:lvl w:ilvl="0">
      <w:lvlJc w:val="left"/>
      <w:lvlText w:val="(%1)"/>
      <w:numFmt w:val="lowerRoman"/>
      <w:start w:val="1"/>
    </w:lvl>
  </w:abstractNum>
  <w:abstractNum w:abstractNumId="607">
    <w:nsid w:val="1B874986"/>
    <w:multiLevelType w:val="hybridMultilevel"/>
    <w:lvl w:ilvl="0">
      <w:lvlJc w:val="left"/>
      <w:lvlText w:val="(%1)"/>
      <w:numFmt w:val="lowerLetter"/>
      <w:start w:val="1"/>
    </w:lvl>
  </w:abstractNum>
  <w:abstractNum w:abstractNumId="608">
    <w:nsid w:val="1E1C83A1"/>
    <w:multiLevelType w:val="hybridMultilevel"/>
    <w:lvl w:ilvl="0">
      <w:lvlJc w:val="left"/>
      <w:lvlText w:val="(%1)"/>
      <w:numFmt w:val="lowerRoman"/>
      <w:start w:val="1"/>
    </w:lvl>
  </w:abstractNum>
  <w:abstractNum w:abstractNumId="609">
    <w:nsid w:val="78EBD301"/>
    <w:multiLevelType w:val="hybridMultilevel"/>
    <w:lvl w:ilvl="0">
      <w:lvlJc w:val="left"/>
      <w:lvlText w:val="(%1)"/>
      <w:numFmt w:val="lowerRoman"/>
      <w:start w:val="9"/>
    </w:lvl>
  </w:abstractNum>
  <w:abstractNum w:abstractNumId="610">
    <w:nsid w:val="786D58E4"/>
    <w:multiLevelType w:val="hybridMultilevel"/>
    <w:lvl w:ilvl="0">
      <w:lvlJc w:val="left"/>
      <w:lvlText w:val="&amp;"/>
      <w:numFmt w:val="bullet"/>
      <w:start w:val="1"/>
    </w:lvl>
  </w:abstractNum>
  <w:abstractNum w:abstractNumId="611">
    <w:nsid w:val="69B6E9D9"/>
    <w:multiLevelType w:val="hybridMultilevel"/>
    <w:lvl w:ilvl="0">
      <w:lvlJc w:val="left"/>
      <w:lvlText w:val="(%1)"/>
      <w:numFmt w:val="lowerRoman"/>
      <w:start w:val="1"/>
    </w:lvl>
  </w:abstractNum>
  <w:abstractNum w:abstractNumId="612">
    <w:nsid w:val="210E8FA8"/>
    <w:multiLevelType w:val="hybridMultilevel"/>
    <w:lvl w:ilvl="0">
      <w:lvlJc w:val="left"/>
      <w:lvlText w:val="(%1)"/>
      <w:numFmt w:val="lowerLetter"/>
      <w:start w:val="1"/>
    </w:lvl>
  </w:abstractNum>
  <w:abstractNum w:abstractNumId="613">
    <w:nsid w:val="3E858759"/>
    <w:multiLevelType w:val="hybridMultilevel"/>
    <w:lvl w:ilvl="0">
      <w:lvlJc w:val="left"/>
      <w:lvlText w:val="(%1)"/>
      <w:numFmt w:val="lowerRoman"/>
      <w:start w:val="1"/>
    </w:lvl>
  </w:abstractNum>
  <w:abstractNum w:abstractNumId="614">
    <w:nsid w:val="62E80725"/>
    <w:multiLevelType w:val="hybridMultilevel"/>
    <w:lvl w:ilvl="0">
      <w:lvlJc w:val="left"/>
      <w:lvlText w:val="(%1)"/>
      <w:numFmt w:val="lowerRoman"/>
      <w:start w:val="4"/>
    </w:lvl>
    <w:lvl w:ilvl="1">
      <w:lvlJc w:val="left"/>
      <w:lvlText w:val="(%2)"/>
      <w:numFmt w:val="lowerLetter"/>
      <w:start w:val="1"/>
    </w:lvl>
  </w:abstractNum>
  <w:abstractNum w:abstractNumId="615">
    <w:nsid w:val="6A84631"/>
    <w:multiLevelType w:val="hybridMultilevel"/>
    <w:lvl w:ilvl="0">
      <w:lvlJc w:val="left"/>
      <w:lvlText w:val="(%1)"/>
      <w:numFmt w:val="decimal"/>
      <w:start w:val="1"/>
    </w:lvl>
  </w:abstractNum>
  <w:abstractNum w:abstractNumId="616">
    <w:nsid w:val="16E7E3C7"/>
    <w:multiLevelType w:val="hybridMultilevel"/>
    <w:lvl w:ilvl="0">
      <w:lvlJc w:val="left"/>
      <w:lvlText w:val="(%1)"/>
      <w:numFmt w:val="decimal"/>
      <w:start w:val="9"/>
    </w:lvl>
  </w:abstractNum>
  <w:abstractNum w:abstractNumId="617">
    <w:nsid w:val="63FEC9A"/>
    <w:multiLevelType w:val="hybridMultilevel"/>
    <w:lvl w:ilvl="0">
      <w:lvlJc w:val="left"/>
      <w:lvlText w:val="(%1)"/>
      <w:numFmt w:val="lowerRoman"/>
      <w:start w:val="1"/>
    </w:lvl>
  </w:abstractNum>
  <w:abstractNum w:abstractNumId="618">
    <w:nsid w:val="6C291F4C"/>
    <w:multiLevelType w:val="hybridMultilevel"/>
    <w:lvl w:ilvl="0">
      <w:lvlJc w:val="left"/>
      <w:lvlText w:val="(%1)"/>
      <w:numFmt w:val="lowerRoman"/>
      <w:start w:val="2"/>
    </w:lvl>
  </w:abstractNum>
  <w:abstractNum w:abstractNumId="619">
    <w:nsid w:val="50138A7A"/>
    <w:multiLevelType w:val="hybridMultilevel"/>
    <w:lvl w:ilvl="0">
      <w:lvlJc w:val="left"/>
      <w:lvlText w:val="(%1)"/>
      <w:numFmt w:val="lowerLetter"/>
      <w:start w:val="2"/>
    </w:lvl>
  </w:abstractNum>
  <w:abstractNum w:abstractNumId="620">
    <w:nsid w:val="30357089"/>
    <w:multiLevelType w:val="hybridMultilevel"/>
    <w:lvl w:ilvl="0">
      <w:lvlJc w:val="left"/>
      <w:lvlText w:val="(%1)"/>
      <w:numFmt w:val="lowerRoman"/>
      <w:start w:val="3"/>
    </w:lvl>
  </w:abstractNum>
  <w:abstractNum w:abstractNumId="621">
    <w:nsid w:val="50AF58A7"/>
    <w:multiLevelType w:val="hybridMultilevel"/>
    <w:lvl w:ilvl="0">
      <w:lvlJc w:val="left"/>
      <w:lvlText w:val="*"/>
      <w:numFmt w:val="bullet"/>
      <w:start w:val="1"/>
    </w:lvl>
  </w:abstractNum>
  <w:abstractNum w:abstractNumId="622">
    <w:nsid w:val="26AF4D2D"/>
    <w:multiLevelType w:val="hybridMultilevel"/>
    <w:lvl w:ilvl="0">
      <w:lvlJc w:val="left"/>
      <w:lvlText w:val="(%1)"/>
      <w:numFmt w:val="decimal"/>
      <w:start w:val="1"/>
    </w:lvl>
  </w:abstractNum>
  <w:abstractNum w:abstractNumId="623">
    <w:nsid w:val="243DE0AA"/>
    <w:multiLevelType w:val="hybridMultilevel"/>
    <w:lvl w:ilvl="0">
      <w:lvlJc w:val="left"/>
      <w:lvlText w:val="---"/>
      <w:numFmt w:val="bullet"/>
      <w:start w:val="1"/>
    </w:lvl>
  </w:abstractNum>
  <w:abstractNum w:abstractNumId="624">
    <w:nsid w:val="746B6F6A"/>
    <w:multiLevelType w:val="hybridMultilevel"/>
    <w:lvl w:ilvl="0">
      <w:lvlJc w:val="left"/>
      <w:lvlText w:val="(%1)"/>
      <w:numFmt w:val="decimal"/>
      <w:start w:val="41"/>
    </w:lvl>
  </w:abstractNum>
  <w:abstractNum w:abstractNumId="625">
    <w:nsid w:val="28B1BBF2"/>
    <w:multiLevelType w:val="hybridMultilevel"/>
    <w:lvl w:ilvl="0">
      <w:lvlJc w:val="left"/>
      <w:lvlText w:val="(%1)"/>
      <w:numFmt w:val="lowerLetter"/>
      <w:start w:val="1"/>
    </w:lvl>
  </w:abstractNum>
  <w:abstractNum w:abstractNumId="626">
    <w:nsid w:val="72377844"/>
    <w:multiLevelType w:val="hybridMultilevel"/>
    <w:lvl w:ilvl="0">
      <w:lvlJc w:val="left"/>
      <w:lvlText w:val="(%1)"/>
      <w:numFmt w:val="lowerLetter"/>
      <w:start w:val="2"/>
    </w:lvl>
  </w:abstractNum>
  <w:abstractNum w:abstractNumId="627">
    <w:nsid w:val="5D4CAEF8"/>
    <w:multiLevelType w:val="hybridMultilevel"/>
    <w:lvl w:ilvl="0">
      <w:lvlJc w:val="left"/>
      <w:lvlText w:val="(%1)"/>
      <w:numFmt w:val="lowerLetter"/>
      <w:start w:val="3"/>
    </w:lvl>
  </w:abstractNum>
  <w:abstractNum w:abstractNumId="628">
    <w:nsid w:val="7A723B45"/>
    <w:multiLevelType w:val="hybridMultilevel"/>
    <w:lvl w:ilvl="0">
      <w:lvlJc w:val="left"/>
      <w:lvlText w:val="-"/>
      <w:numFmt w:val="bullet"/>
      <w:start w:val="1"/>
    </w:lvl>
  </w:abstractNum>
  <w:abstractNum w:abstractNumId="629">
    <w:nsid w:val="20913E41"/>
    <w:multiLevelType w:val="hybridMultilevel"/>
    <w:lvl w:ilvl="0">
      <w:lvlJc w:val="left"/>
      <w:lvlText w:val="-"/>
      <w:numFmt w:val="bullet"/>
      <w:start w:val="1"/>
    </w:lvl>
    <w:lvl w:ilvl="1">
      <w:lvlJc w:val="left"/>
      <w:lvlText w:val="--"/>
      <w:numFmt w:val="bullet"/>
      <w:start w:val="1"/>
    </w:lvl>
  </w:abstractNum>
  <w:abstractNum w:abstractNumId="630">
    <w:nsid w:val="DFEC288"/>
    <w:multiLevelType w:val="hybridMultilevel"/>
    <w:lvl w:ilvl="0">
      <w:lvlJc w:val="left"/>
      <w:lvlText w:val="(%1)"/>
      <w:numFmt w:val="lowerLetter"/>
      <w:start w:val="4"/>
    </w:lvl>
  </w:abstractNum>
  <w:abstractNum w:abstractNumId="631">
    <w:nsid w:val="594F93D1"/>
    <w:multiLevelType w:val="hybridMultilevel"/>
    <w:lvl w:ilvl="0">
      <w:lvlJc w:val="left"/>
      <w:lvlText w:val="(%1)"/>
      <w:numFmt w:val="lowerLetter"/>
      <w:start w:val="5"/>
    </w:lvl>
  </w:abstractNum>
  <w:abstractNum w:abstractNumId="632">
    <w:nsid w:val="61402F4E"/>
    <w:multiLevelType w:val="hybridMultilevel"/>
    <w:lvl w:ilvl="0">
      <w:lvlJc w:val="left"/>
      <w:lvlText w:val="(%1)"/>
      <w:numFmt w:val="lowerLetter"/>
      <w:start w:val="6"/>
    </w:lvl>
  </w:abstractNum>
  <w:abstractNum w:abstractNumId="633">
    <w:nsid w:val="4DFF5E8B"/>
    <w:multiLevelType w:val="hybridMultilevel"/>
    <w:lvl w:ilvl="0">
      <w:lvlJc w:val="left"/>
      <w:lvlText w:val="(%1)"/>
      <w:numFmt w:val="lowerLetter"/>
      <w:start w:val="7"/>
    </w:lvl>
  </w:abstractNum>
  <w:abstractNum w:abstractNumId="634">
    <w:nsid w:val="151F37A3"/>
    <w:multiLevelType w:val="hybridMultilevel"/>
    <w:lvl w:ilvl="0">
      <w:lvlJc w:val="left"/>
      <w:lvlText w:val="(%1)"/>
      <w:numFmt w:val="lowerLetter"/>
      <w:start w:val="8"/>
    </w:lvl>
  </w:abstractNum>
  <w:abstractNum w:abstractNumId="635">
    <w:nsid w:val="180DEB1"/>
    <w:multiLevelType w:val="hybridMultilevel"/>
    <w:lvl w:ilvl="0">
      <w:lvlJc w:val="left"/>
      <w:lvlText w:val="-"/>
      <w:numFmt w:val="bullet"/>
      <w:start w:val="1"/>
    </w:lvl>
  </w:abstractNum>
  <w:abstractNum w:abstractNumId="636">
    <w:nsid w:val="4A3F068C"/>
    <w:multiLevelType w:val="hybridMultilevel"/>
    <w:lvl w:ilvl="0">
      <w:lvlJc w:val="left"/>
      <w:lvlText w:val="(%1)"/>
      <w:numFmt w:val="decimal"/>
      <w:start w:val="281"/>
    </w:lvl>
  </w:abstractNum>
  <w:abstractNum w:abstractNumId="637">
    <w:nsid w:val="6C04B4E0"/>
    <w:multiLevelType w:val="hybridMultilevel"/>
    <w:lvl w:ilvl="0">
      <w:lvlJc w:val="left"/>
      <w:lvlText w:val="(%1)"/>
      <w:numFmt w:val="lowerRoman"/>
      <w:start w:val="1"/>
    </w:lvl>
  </w:abstractNum>
  <w:abstractNum w:abstractNumId="638">
    <w:nsid w:val="1D082837"/>
    <w:multiLevelType w:val="hybridMultilevel"/>
    <w:lvl w:ilvl="0">
      <w:lvlJc w:val="left"/>
      <w:lvlText w:val="----"/>
      <w:numFmt w:val="bullet"/>
      <w:start w:val="1"/>
    </w:lvl>
  </w:abstractNum>
  <w:abstractNum w:abstractNumId="639">
    <w:nsid w:val="685B8A2D"/>
    <w:multiLevelType w:val="hybridMultilevel"/>
    <w:lvl w:ilvl="0">
      <w:lvlJc w:val="left"/>
      <w:lvlText w:val="--"/>
      <w:numFmt w:val="bullet"/>
      <w:start w:val="1"/>
    </w:lvl>
  </w:abstractNum>
  <w:abstractNum w:abstractNumId="640">
    <w:nsid w:val="64F087E2"/>
    <w:multiLevelType w:val="hybridMultilevel"/>
    <w:lvl w:ilvl="0">
      <w:lvlJc w:val="left"/>
      <w:lvlText w:val="---"/>
      <w:numFmt w:val="bullet"/>
      <w:start w:val="1"/>
    </w:lvl>
    <w:lvl w:ilvl="1">
      <w:lvlJc w:val="left"/>
      <w:lvlText w:val="--"/>
      <w:numFmt w:val="bullet"/>
      <w:start w:val="1"/>
    </w:lvl>
  </w:abstractNum>
  <w:abstractNum w:abstractNumId="641">
    <w:nsid w:val="1575811C"/>
    <w:multiLevelType w:val="hybridMultilevel"/>
    <w:lvl w:ilvl="0">
      <w:lvlJc w:val="left"/>
      <w:lvlText w:val="(%1)"/>
      <w:numFmt w:val="lowerLetter"/>
      <w:start w:val="10"/>
    </w:lvl>
  </w:abstractNum>
  <w:abstractNum w:abstractNumId="642">
    <w:nsid w:val="52127406"/>
    <w:multiLevelType w:val="hybridMultilevel"/>
    <w:lvl w:ilvl="0">
      <w:lvlJc w:val="left"/>
      <w:lvlText w:val="(%1)"/>
      <w:numFmt w:val="lowerLetter"/>
      <w:start w:val="11"/>
    </w:lvl>
  </w:abstractNum>
  <w:abstractNum w:abstractNumId="643">
    <w:nsid w:val="5FF178A"/>
    <w:multiLevelType w:val="hybridMultilevel"/>
    <w:lvl w:ilvl="0">
      <w:lvlJc w:val="left"/>
      <w:lvlText w:val="(%1)"/>
      <w:numFmt w:val="lowerLetter"/>
      <w:start w:val="12"/>
    </w:lvl>
  </w:abstractNum>
  <w:abstractNum w:abstractNumId="644">
    <w:nsid w:val="53FB0875"/>
    <w:multiLevelType w:val="hybridMultilevel"/>
    <w:lvl w:ilvl="0">
      <w:lvlJc w:val="left"/>
      <w:lvlText w:val="(%1)"/>
      <w:numFmt w:val="lowerLetter"/>
      <w:start w:val="13"/>
    </w:lvl>
  </w:abstractNum>
  <w:abstractNum w:abstractNumId="645">
    <w:nsid w:val="34FA7B2B"/>
    <w:multiLevelType w:val="hybridMultilevel"/>
    <w:lvl w:ilvl="0">
      <w:lvlJc w:val="left"/>
      <w:lvlText w:val="(%1)"/>
      <w:numFmt w:val="lowerLetter"/>
      <w:start w:val="14"/>
    </w:lvl>
  </w:abstractNum>
  <w:abstractNum w:abstractNumId="646">
    <w:nsid w:val="CA75DBC"/>
    <w:multiLevelType w:val="hybridMultilevel"/>
    <w:lvl w:ilvl="0">
      <w:lvlJc w:val="left"/>
      <w:lvlText w:val="(%1)"/>
      <w:numFmt w:val="lowerLetter"/>
      <w:start w:val="15"/>
    </w:lvl>
  </w:abstractNum>
  <w:abstractNum w:abstractNumId="647">
    <w:nsid w:val="6AE2EC3C"/>
    <w:multiLevelType w:val="hybridMultilevel"/>
    <w:lvl w:ilvl="0">
      <w:lvlJc w:val="left"/>
      <w:lvlText w:val="(%1)"/>
      <w:numFmt w:val="lowerLetter"/>
      <w:start w:val="1"/>
    </w:lvl>
  </w:abstractNum>
  <w:abstractNum w:abstractNumId="648">
    <w:nsid w:val="3B3A67C5"/>
    <w:multiLevelType w:val="hybridMultilevel"/>
    <w:lvl w:ilvl="0">
      <w:lvlJc w:val="left"/>
      <w:lvlText w:val="(%1)"/>
      <w:numFmt w:val="lowerLetter"/>
      <w:start w:val="1"/>
    </w:lvl>
  </w:abstractNum>
  <w:abstractNum w:abstractNumId="649">
    <w:nsid w:val="78D07D08"/>
    <w:multiLevelType w:val="hybridMultilevel"/>
    <w:lvl w:ilvl="0">
      <w:lvlJc w:val="left"/>
      <w:lvlText w:val="(%1)"/>
      <w:numFmt w:val="lowerLetter"/>
      <w:start w:val="16"/>
    </w:lvl>
  </w:abstractNum>
  <w:abstractNum w:abstractNumId="650">
    <w:nsid w:val="3AF676B7"/>
    <w:multiLevelType w:val="hybridMultilevel"/>
    <w:lvl w:ilvl="0">
      <w:lvlJc w:val="left"/>
      <w:lvlText w:val="-"/>
      <w:numFmt w:val="bullet"/>
      <w:start w:val="1"/>
    </w:lvl>
  </w:abstractNum>
  <w:abstractNum w:abstractNumId="651">
    <w:nsid w:val="6B6FD84E"/>
    <w:multiLevelType w:val="hybridMultilevel"/>
    <w:lvl w:ilvl="0">
      <w:lvlJc w:val="left"/>
      <w:lvlText w:val="$"/>
      <w:numFmt w:val="bullet"/>
      <w:start w:val="1"/>
    </w:lvl>
  </w:abstractNum>
  <w:abstractNum w:abstractNumId="652">
    <w:nsid w:val="497FD5B0"/>
    <w:multiLevelType w:val="hybridMultilevel"/>
    <w:lvl w:ilvl="0">
      <w:lvlJc w:val="left"/>
      <w:lvlText w:val="$"/>
      <w:numFmt w:val="bullet"/>
      <w:start w:val="1"/>
    </w:lvl>
  </w:abstractNum>
  <w:abstractNum w:abstractNumId="653">
    <w:nsid w:val="61A5C3E4"/>
    <w:multiLevelType w:val="hybridMultilevel"/>
    <w:lvl w:ilvl="0">
      <w:lvlJc w:val="left"/>
      <w:lvlText w:val="(%1)"/>
      <w:numFmt w:val="decimal"/>
      <w:start w:val="423"/>
    </w:lvl>
  </w:abstractNum>
  <w:abstractNum w:abstractNumId="654">
    <w:nsid w:val="FADB8F8"/>
    <w:multiLevelType w:val="hybridMultilevel"/>
    <w:lvl w:ilvl="0">
      <w:lvlJc w:val="left"/>
      <w:lvlText w:val="(%1)"/>
      <w:numFmt w:val="decimal"/>
      <w:start w:val="88"/>
    </w:lvl>
    <w:lvl w:ilvl="1">
      <w:lvlJc w:val="left"/>
      <w:lvlText w:val="%2"/>
      <w:numFmt w:val="decimal"/>
      <w:start w:val="1"/>
    </w:lvl>
  </w:abstractNum>
  <w:abstractNum w:abstractNumId="655">
    <w:nsid w:val="3DEB451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56">
    <w:nsid w:val="A577FD6"/>
    <w:multiLevelType w:val="hybridMultilevel"/>
    <w:lvl w:ilvl="0">
      <w:lvlJc w:val="left"/>
      <w:lvlText w:val="$"/>
      <w:numFmt w:val="bullet"/>
      <w:start w:val="1"/>
    </w:lvl>
  </w:abstractNum>
  <w:abstractNum w:abstractNumId="657">
    <w:nsid w:val="1E5313D"/>
    <w:multiLevelType w:val="hybridMultilevel"/>
    <w:lvl w:ilvl="0">
      <w:lvlJc w:val="left"/>
      <w:lvlText w:val="4"/>
      <w:numFmt w:val="bullet"/>
      <w:start w:val="1"/>
    </w:lvl>
  </w:abstractNum>
  <w:abstractNum w:abstractNumId="658">
    <w:nsid w:val="1B37F412"/>
    <w:multiLevelType w:val="hybridMultilevel"/>
    <w:lvl w:ilvl="0">
      <w:lvlJc w:val="left"/>
      <w:lvlText w:val="-"/>
      <w:numFmt w:val="bullet"/>
      <w:start w:val="1"/>
    </w:lvl>
  </w:abstractNum>
  <w:abstractNum w:abstractNumId="659">
    <w:nsid w:val="4C9BB1B"/>
    <w:multiLevelType w:val="hybridMultilevel"/>
    <w:lvl w:ilvl="0">
      <w:lvlJc w:val="left"/>
      <w:lvlText w:val="$"/>
      <w:numFmt w:val="bullet"/>
      <w:start w:val="1"/>
    </w:lvl>
  </w:abstractNum>
  <w:abstractNum w:abstractNumId="660">
    <w:nsid w:val="22766F7E"/>
    <w:multiLevelType w:val="hybridMultilevel"/>
    <w:lvl w:ilvl="0">
      <w:lvlJc w:val="left"/>
      <w:lvlText w:val="--"/>
      <w:numFmt w:val="bullet"/>
      <w:start w:val="1"/>
    </w:lvl>
    <w:lvl w:ilvl="1">
      <w:lvlJc w:val="left"/>
      <w:lvlText w:val="----"/>
      <w:numFmt w:val="bullet"/>
      <w:start w:val="1"/>
    </w:lvl>
  </w:abstractNum>
  <w:abstractNum w:abstractNumId="661">
    <w:nsid w:val="2936B69A"/>
    <w:multiLevelType w:val="hybridMultilevel"/>
    <w:lvl w:ilvl="0">
      <w:lvlJc w:val="left"/>
      <w:lvlText w:val="$"/>
      <w:numFmt w:val="bullet"/>
      <w:start w:val="1"/>
    </w:lvl>
  </w:abstractNum>
  <w:abstractNum w:abstractNumId="662">
    <w:nsid w:val="5E194EEC"/>
    <w:multiLevelType w:val="hybridMultilevel"/>
    <w:lvl w:ilvl="0">
      <w:lvlJc w:val="left"/>
      <w:lvlText w:val="(%1)"/>
      <w:numFmt w:val="decimal"/>
      <w:start w:val="1"/>
    </w:lvl>
  </w:abstractNum>
  <w:abstractNum w:abstractNumId="663">
    <w:nsid w:val="3B69ECD"/>
    <w:multiLevelType w:val="hybridMultilevel"/>
    <w:lvl w:ilvl="0">
      <w:lvlJc w:val="left"/>
      <w:lvlText w:val="(%1)"/>
      <w:numFmt w:val="decimal"/>
      <w:start w:val="1"/>
    </w:lvl>
  </w:abstractNum>
  <w:abstractNum w:abstractNumId="664">
    <w:nsid w:val="77361526"/>
    <w:multiLevelType w:val="hybridMultilevel"/>
    <w:lvl w:ilvl="0">
      <w:lvlJc w:val="left"/>
      <w:lvlText w:val="(%1)"/>
      <w:numFmt w:val="decimal"/>
      <w:start w:val="257"/>
    </w:lvl>
  </w:abstractNum>
  <w:abstractNum w:abstractNumId="665">
    <w:nsid w:val="7338868F"/>
    <w:multiLevelType w:val="hybridMultilevel"/>
    <w:lvl w:ilvl="0">
      <w:lvlJc w:val="left"/>
      <w:lvlText w:val="(%1)"/>
      <w:numFmt w:val="decimal"/>
      <w:start w:val="437"/>
    </w:lvl>
  </w:abstractNum>
  <w:abstractNum w:abstractNumId="666">
    <w:nsid w:val="5377D7E"/>
    <w:multiLevelType w:val="hybridMultilevel"/>
    <w:lvl w:ilvl="0">
      <w:lvlJc w:val="left"/>
      <w:lvlText w:val="-"/>
      <w:numFmt w:val="bullet"/>
      <w:start w:val="1"/>
    </w:lvl>
  </w:abstractNum>
  <w:abstractNum w:abstractNumId="667">
    <w:nsid w:val="41751BB2"/>
    <w:multiLevelType w:val="hybridMultilevel"/>
    <w:lvl w:ilvl="0">
      <w:lvlJc w:val="left"/>
      <w:lvlText w:val="--"/>
      <w:numFmt w:val="bullet"/>
      <w:start w:val="1"/>
    </w:lvl>
  </w:abstractNum>
  <w:abstractNum w:abstractNumId="668">
    <w:nsid w:val="5F3D3B70"/>
    <w:multiLevelType w:val="hybridMultilevel"/>
    <w:lvl w:ilvl="0">
      <w:lvlJc w:val="left"/>
      <w:lvlText w:val="$"/>
      <w:numFmt w:val="bullet"/>
      <w:start w:val="1"/>
    </w:lvl>
  </w:abstractNum>
  <w:abstractNum w:abstractNumId="669">
    <w:nsid w:val="223FA5B6"/>
    <w:multiLevelType w:val="hybridMultilevel"/>
    <w:lvl w:ilvl="0">
      <w:lvlJc w:val="left"/>
      <w:lvlText w:val="$"/>
      <w:numFmt w:val="bullet"/>
      <w:start w:val="1"/>
    </w:lvl>
  </w:abstractNum>
  <w:abstractNum w:abstractNumId="670">
    <w:nsid w:val="29D0A5DF"/>
    <w:multiLevelType w:val="hybridMultilevel"/>
    <w:lvl w:ilvl="0">
      <w:lvlJc w:val="left"/>
      <w:lvlText w:val="-----"/>
      <w:numFmt w:val="bullet"/>
      <w:start w:val="1"/>
    </w:lvl>
  </w:abstractNum>
  <w:abstractNum w:abstractNumId="671">
    <w:nsid w:val="442DC352"/>
    <w:multiLevelType w:val="hybridMultilevel"/>
    <w:lvl w:ilvl="0">
      <w:lvlJc w:val="left"/>
      <w:lvlText w:val="$"/>
      <w:numFmt w:val="bullet"/>
      <w:start w:val="1"/>
    </w:lvl>
  </w:abstractNum>
  <w:abstractNum w:abstractNumId="672">
    <w:nsid w:val="37B526D2"/>
    <w:multiLevelType w:val="hybridMultilevel"/>
    <w:lvl w:ilvl="0">
      <w:lvlJc w:val="left"/>
      <w:lvlText w:val="--"/>
      <w:numFmt w:val="bullet"/>
      <w:start w:val="1"/>
    </w:lvl>
  </w:abstractNum>
  <w:abstractNum w:abstractNumId="673">
    <w:nsid w:val="7BE319E5"/>
    <w:multiLevelType w:val="hybridMultilevel"/>
    <w:lvl w:ilvl="0">
      <w:lvlJc w:val="left"/>
      <w:lvlText w:val="(%1)"/>
      <w:numFmt w:val="decimal"/>
      <w:start w:val="581"/>
    </w:lvl>
  </w:abstractNum>
  <w:abstractNum w:abstractNumId="674">
    <w:nsid w:val="4A2CDADC"/>
    <w:multiLevelType w:val="hybridMultilevel"/>
    <w:lvl w:ilvl="0">
      <w:lvlJc w:val="left"/>
      <w:lvlText w:val="(%1)"/>
      <w:numFmt w:val="lowerLetter"/>
      <w:start w:val="17"/>
    </w:lvl>
  </w:abstractNum>
  <w:abstractNum w:abstractNumId="675">
    <w:nsid w:val="BB02F47"/>
    <w:multiLevelType w:val="hybridMultilevel"/>
    <w:lvl w:ilvl="0">
      <w:lvlJc w:val="left"/>
      <w:lvlText w:val="(%1)"/>
      <w:numFmt w:val="lowerLetter"/>
      <w:start w:val="18"/>
    </w:lvl>
  </w:abstractNum>
  <w:abstractNum w:abstractNumId="676">
    <w:nsid w:val="30DD9510"/>
    <w:multiLevelType w:val="hybridMultilevel"/>
    <w:lvl w:ilvl="0">
      <w:lvlJc w:val="left"/>
      <w:lvlText w:val="(%1)"/>
      <w:numFmt w:val="decimal"/>
      <w:start w:val="433"/>
    </w:lvl>
  </w:abstractNum>
  <w:abstractNum w:abstractNumId="677">
    <w:nsid w:val="56D43898"/>
    <w:multiLevelType w:val="hybridMultilevel"/>
    <w:lvl w:ilvl="0">
      <w:lvlJc w:val="left"/>
      <w:lvlText w:val="$"/>
      <w:numFmt w:val="bullet"/>
      <w:start w:val="1"/>
    </w:lvl>
  </w:abstractNum>
  <w:abstractNum w:abstractNumId="678">
    <w:nsid w:val="76931B84"/>
    <w:multiLevelType w:val="hybridMultilevel"/>
    <w:lvl w:ilvl="0">
      <w:lvlJc w:val="left"/>
      <w:lvlText w:val="*"/>
      <w:numFmt w:val="bullet"/>
      <w:start w:val="1"/>
    </w:lvl>
  </w:abstractNum>
  <w:abstractNum w:abstractNumId="679">
    <w:nsid w:val="6C17FCD6"/>
    <w:multiLevelType w:val="hybridMultilevel"/>
    <w:lvl w:ilvl="0">
      <w:lvlJc w:val="left"/>
      <w:lvlText w:val="%1."/>
      <w:numFmt w:val="decimal"/>
      <w:start w:val="1"/>
    </w:lvl>
  </w:abstractNum>
  <w:abstractNum w:abstractNumId="680">
    <w:nsid w:val="4FA4B5A1"/>
    <w:multiLevelType w:val="hybridMultilevel"/>
    <w:lvl w:ilvl="0">
      <w:lvlJc w:val="left"/>
      <w:lvlText w:val="%1."/>
      <w:numFmt w:val="decimal"/>
      <w:start w:val="2"/>
    </w:lvl>
  </w:abstractNum>
  <w:abstractNum w:abstractNumId="681">
    <w:nsid w:val="3189923B"/>
    <w:multiLevelType w:val="hybridMultilevel"/>
    <w:lvl w:ilvl="0">
      <w:lvlJc w:val="left"/>
      <w:lvlText w:val="%1."/>
      <w:numFmt w:val="decimal"/>
      <w:start w:val="3"/>
    </w:lvl>
  </w:abstractNum>
  <w:abstractNum w:abstractNumId="682">
    <w:nsid w:val="5787D524"/>
    <w:multiLevelType w:val="hybridMultilevel"/>
    <w:lvl w:ilvl="0">
      <w:lvlJc w:val="left"/>
      <w:lvlText w:val="-"/>
      <w:numFmt w:val="bullet"/>
      <w:start w:val="1"/>
    </w:lvl>
    <w:lvl w:ilvl="1">
      <w:lvlJc w:val="left"/>
      <w:lvlText w:val="----"/>
      <w:numFmt w:val="bullet"/>
      <w:start w:val="1"/>
    </w:lvl>
  </w:abstractNum>
  <w:abstractNum w:abstractNumId="683">
    <w:nsid w:val="19248B51"/>
    <w:multiLevelType w:val="hybridMultilevel"/>
    <w:lvl w:ilvl="0">
      <w:lvlJc w:val="left"/>
      <w:lvlText w:val="$"/>
      <w:numFmt w:val="bullet"/>
      <w:start w:val="1"/>
    </w:lvl>
  </w:abstractNum>
  <w:abstractNum w:abstractNumId="684">
    <w:nsid w:val="132F561F"/>
    <w:multiLevelType w:val="hybridMultilevel"/>
    <w:lvl w:ilvl="0">
      <w:lvlJc w:val="left"/>
      <w:lvlText w:val="--"/>
      <w:numFmt w:val="bullet"/>
      <w:start w:val="1"/>
    </w:lvl>
  </w:abstractNum>
  <w:abstractNum w:abstractNumId="685">
    <w:nsid w:val="67358E1D"/>
    <w:multiLevelType w:val="hybridMultilevel"/>
    <w:lvl w:ilvl="0">
      <w:lvlJc w:val="left"/>
      <w:lvlText w:val="(%1)"/>
      <w:numFmt w:val="decimal"/>
      <w:start w:val="309"/>
    </w:lvl>
  </w:abstractNum>
  <w:abstractNum w:abstractNumId="686">
    <w:nsid w:val="570FD06B"/>
    <w:multiLevelType w:val="hybridMultilevel"/>
    <w:lvl w:ilvl="0">
      <w:lvlJc w:val="left"/>
      <w:lvlText w:val="(%1)"/>
      <w:numFmt w:val="decimal"/>
      <w:start w:val="1"/>
    </w:lvl>
  </w:abstractNum>
  <w:abstractNum w:abstractNumId="687">
    <w:nsid w:val="1D86D5F5"/>
    <w:multiLevelType w:val="hybridMultilevel"/>
    <w:lvl w:ilvl="0">
      <w:lvlJc w:val="left"/>
      <w:lvlText w:val="-"/>
      <w:numFmt w:val="bullet"/>
      <w:start w:val="1"/>
    </w:lvl>
  </w:abstractNum>
  <w:abstractNum w:abstractNumId="688">
    <w:nsid w:val="691ABF5A"/>
    <w:multiLevelType w:val="hybridMultilevel"/>
    <w:lvl w:ilvl="0">
      <w:lvlJc w:val="left"/>
      <w:lvlText w:val="%1."/>
      <w:numFmt w:val="decimal"/>
      <w:start w:val="4"/>
    </w:lvl>
  </w:abstractNum>
  <w:abstractNum w:abstractNumId="689">
    <w:nsid w:val="7247C47D"/>
    <w:multiLevelType w:val="hybridMultilevel"/>
    <w:lvl w:ilvl="0">
      <w:lvlJc w:val="left"/>
      <w:lvlText w:val="-"/>
      <w:numFmt w:val="bullet"/>
      <w:start w:val="1"/>
    </w:lvl>
  </w:abstractNum>
  <w:abstractNum w:abstractNumId="690">
    <w:nsid w:val="22509110"/>
    <w:multiLevelType w:val="hybridMultilevel"/>
    <w:lvl w:ilvl="0">
      <w:lvlJc w:val="left"/>
      <w:lvlText w:val="%1."/>
      <w:numFmt w:val="decimal"/>
      <w:start w:val="5"/>
    </w:lvl>
  </w:abstractNum>
  <w:abstractNum w:abstractNumId="691">
    <w:nsid w:val="B912ED8"/>
    <w:multiLevelType w:val="hybridMultilevel"/>
    <w:lvl w:ilvl="0">
      <w:lvlJc w:val="left"/>
      <w:lvlText w:val="%1."/>
      <w:numFmt w:val="decimal"/>
      <w:start w:val="6"/>
    </w:lvl>
  </w:abstractNum>
  <w:abstractNum w:abstractNumId="692">
    <w:nsid w:val="1B7E7B17"/>
    <w:multiLevelType w:val="hybridMultilevel"/>
    <w:lvl w:ilvl="0">
      <w:lvlJc w:val="left"/>
      <w:lvlText w:val="%1."/>
      <w:numFmt w:val="decimal"/>
      <w:start w:val="7"/>
    </w:lvl>
  </w:abstractNum>
  <w:abstractNum w:abstractNumId="693">
    <w:nsid w:val="69DFF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94">
    <w:nsid w:val="F47CDA5"/>
    <w:multiLevelType w:val="hybridMultilevel"/>
    <w:lvl w:ilvl="0">
      <w:lvlJc w:val="left"/>
      <w:lvlText w:val="--"/>
      <w:numFmt w:val="bullet"/>
      <w:start w:val="1"/>
    </w:lvl>
  </w:abstractNum>
  <w:abstractNum w:abstractNumId="695">
    <w:nsid w:val="12B4903D"/>
    <w:multiLevelType w:val="hybridMultilevel"/>
    <w:lvl w:ilvl="0">
      <w:lvlJc w:val="left"/>
      <w:lvlText w:val="--"/>
      <w:numFmt w:val="bullet"/>
      <w:start w:val="1"/>
    </w:lvl>
    <w:lvl w:ilvl="1">
      <w:lvlJc w:val="left"/>
      <w:lvlText w:val="--"/>
      <w:numFmt w:val="bullet"/>
      <w:start w:val="1"/>
    </w:lvl>
  </w:abstractNum>
  <w:abstractNum w:abstractNumId="696">
    <w:nsid w:val="73A2668C"/>
    <w:multiLevelType w:val="hybridMultilevel"/>
    <w:lvl w:ilvl="0">
      <w:lvlJc w:val="left"/>
      <w:lvlText w:val="%1."/>
      <w:numFmt w:val="decimal"/>
      <w:start w:val="8"/>
    </w:lvl>
  </w:abstractNum>
  <w:abstractNum w:abstractNumId="697">
    <w:nsid w:val="147F4B24"/>
    <w:multiLevelType w:val="hybridMultilevel"/>
    <w:lvl w:ilvl="0">
      <w:lvlJc w:val="left"/>
      <w:lvlText w:val="%1."/>
      <w:numFmt w:val="decimal"/>
      <w:start w:val="9"/>
    </w:lvl>
  </w:abstractNum>
  <w:abstractNum w:abstractNumId="698">
    <w:nsid w:val="5429ABEF"/>
    <w:multiLevelType w:val="hybridMultilevel"/>
    <w:lvl w:ilvl="0">
      <w:lvlJc w:val="left"/>
      <w:lvlText w:val="%1."/>
      <w:numFmt w:val="decimal"/>
      <w:start w:val="10"/>
    </w:lvl>
  </w:abstractNum>
  <w:abstractNum w:abstractNumId="699">
    <w:nsid w:val="52DFA1FC"/>
    <w:multiLevelType w:val="hybridMultilevel"/>
    <w:lvl w:ilvl="0">
      <w:lvlJc w:val="left"/>
      <w:lvlText w:val="(%1)"/>
      <w:numFmt w:val="lowerLetter"/>
      <w:start w:val="1"/>
    </w:lvl>
  </w:abstractNum>
  <w:abstractNum w:abstractNumId="700">
    <w:nsid w:val="36BEF0DA"/>
    <w:multiLevelType w:val="hybridMultilevel"/>
    <w:lvl w:ilvl="0">
      <w:lvlJc w:val="left"/>
      <w:lvlText w:val="%1."/>
      <w:numFmt w:val="decimal"/>
      <w:start w:val="11"/>
    </w:lvl>
  </w:abstractNum>
  <w:abstractNum w:abstractNumId="701">
    <w:nsid w:val="7DFA51CE"/>
    <w:multiLevelType w:val="hybridMultilevel"/>
    <w:lvl w:ilvl="0">
      <w:lvlJc w:val="left"/>
      <w:lvlText w:val="(%1)"/>
      <w:numFmt w:val="lowerLetter"/>
      <w:start w:val="1"/>
    </w:lvl>
  </w:abstractNum>
  <w:abstractNum w:abstractNumId="702">
    <w:nsid w:val="170D654E"/>
    <w:multiLevelType w:val="hybridMultilevel"/>
    <w:lvl w:ilvl="0">
      <w:lvlJc w:val="left"/>
      <w:lvlText w:val="(%1)"/>
      <w:numFmt w:val="lowerLetter"/>
      <w:start w:val="1"/>
    </w:lvl>
  </w:abstractNum>
  <w:abstractNum w:abstractNumId="703">
    <w:nsid w:val="6E7417AC"/>
    <w:multiLevelType w:val="hybridMultilevel"/>
    <w:lvl w:ilvl="0">
      <w:lvlJc w:val="left"/>
      <w:lvlText w:val="(%1)"/>
      <w:numFmt w:val="lowerLetter"/>
      <w:start w:val="1"/>
    </w:lvl>
  </w:abstractNum>
  <w:abstractNum w:abstractNumId="704">
    <w:nsid w:val="79DD6BB3"/>
    <w:multiLevelType w:val="hybridMultilevel"/>
    <w:lvl w:ilvl="0">
      <w:lvlJc w:val="left"/>
      <w:lvlText w:val="(%1)"/>
      <w:numFmt w:val="lowerLetter"/>
      <w:start w:val="1"/>
    </w:lvl>
  </w:abstractNum>
  <w:abstractNum w:abstractNumId="705">
    <w:nsid w:val="613A402A"/>
    <w:multiLevelType w:val="hybridMultilevel"/>
    <w:lvl w:ilvl="0">
      <w:lvlJc w:val="left"/>
      <w:lvlText w:val="(%1)"/>
      <w:numFmt w:val="lowerLetter"/>
      <w:start w:val="1"/>
    </w:lvl>
  </w:abstractNum>
  <w:abstractNum w:abstractNumId="706">
    <w:nsid w:val="7A2446F3"/>
    <w:multiLevelType w:val="hybridMultilevel"/>
    <w:lvl w:ilvl="0">
      <w:lvlJc w:val="left"/>
      <w:lvlText w:val="(%1)"/>
      <w:numFmt w:val="lowerLetter"/>
      <w:start w:val="2"/>
    </w:lvl>
  </w:abstractNum>
  <w:abstractNum w:abstractNumId="707">
    <w:nsid w:val="2ABB00C4"/>
    <w:multiLevelType w:val="hybridMultilevel"/>
    <w:lvl w:ilvl="0">
      <w:lvlJc w:val="left"/>
      <w:lvlText w:val="(%1)"/>
      <w:numFmt w:val="lowerLetter"/>
      <w:start w:val="1"/>
    </w:lvl>
  </w:abstractNum>
  <w:abstractNum w:abstractNumId="708">
    <w:nsid w:val="380E78C3"/>
    <w:multiLevelType w:val="hybridMultilevel"/>
    <w:lvl w:ilvl="0">
      <w:lvlJc w:val="left"/>
      <w:lvlText w:val="-"/>
      <w:numFmt w:val="bullet"/>
      <w:start w:val="1"/>
    </w:lvl>
    <w:lvl w:ilvl="1">
      <w:lvlJc w:val="left"/>
      <w:lvlText w:val="--"/>
      <w:numFmt w:val="bullet"/>
      <w:start w:val="1"/>
    </w:lvl>
  </w:abstractNum>
  <w:abstractNum w:abstractNumId="709">
    <w:nsid w:val="70B76277"/>
    <w:multiLevelType w:val="hybridMultilevel"/>
    <w:lvl w:ilvl="0">
      <w:lvlJc w:val="left"/>
      <w:lvlText w:val="%1."/>
      <w:numFmt w:val="decimal"/>
      <w:start w:val="12"/>
    </w:lvl>
  </w:abstractNum>
  <w:abstractNum w:abstractNumId="710">
    <w:nsid w:val="16D2FD9A"/>
    <w:multiLevelType w:val="hybridMultilevel"/>
    <w:lvl w:ilvl="0">
      <w:lvlJc w:val="left"/>
      <w:lvlText w:val="%1."/>
      <w:numFmt w:val="decimal"/>
      <w:start w:val="13"/>
    </w:lvl>
  </w:abstractNum>
  <w:abstractNum w:abstractNumId="711">
    <w:nsid w:val="7B32E64"/>
    <w:multiLevelType w:val="hybridMultilevel"/>
    <w:lvl w:ilvl="0">
      <w:lvlJc w:val="left"/>
      <w:lvlText w:val="(%1)"/>
      <w:numFmt w:val="lowerRoman"/>
      <w:start w:val="1"/>
    </w:lvl>
  </w:abstractNum>
  <w:abstractNum w:abstractNumId="712">
    <w:nsid w:val="2240F4B2"/>
    <w:multiLevelType w:val="hybridMultilevel"/>
    <w:lvl w:ilvl="0">
      <w:lvlJc w:val="left"/>
      <w:lvlText w:val="*"/>
      <w:numFmt w:val="bullet"/>
      <w:start w:val="1"/>
    </w:lvl>
  </w:abstractNum>
  <w:abstractNum w:abstractNumId="713">
    <w:nsid w:val="6E5AD2BE"/>
    <w:multiLevelType w:val="hybridMultilevel"/>
    <w:lvl w:ilvl="0">
      <w:lvlJc w:val="left"/>
      <w:lvlText w:val="---"/>
      <w:numFmt w:val="bullet"/>
      <w:start w:val="1"/>
    </w:lvl>
    <w:lvl w:ilvl="1">
      <w:lvlJc w:val="left"/>
      <w:lvlText w:val="-"/>
      <w:numFmt w:val="bullet"/>
      <w:start w:val="1"/>
    </w:lvl>
  </w:abstractNum>
  <w:abstractNum w:abstractNumId="714">
    <w:nsid w:val="20D7B9B5"/>
    <w:multiLevelType w:val="hybridMultilevel"/>
    <w:lvl w:ilvl="0">
      <w:lvlJc w:val="left"/>
      <w:lvlText w:val="----"/>
      <w:numFmt w:val="bullet"/>
      <w:start w:val="1"/>
    </w:lvl>
    <w:lvl w:ilvl="1">
      <w:lvlJc w:val="left"/>
      <w:lvlText w:val="-----"/>
      <w:numFmt w:val="bullet"/>
      <w:start w:val="1"/>
    </w:lvl>
  </w:abstractNum>
  <w:abstractNum w:abstractNumId="715">
    <w:nsid w:val="35704AD1"/>
    <w:multiLevelType w:val="hybridMultilevel"/>
    <w:lvl w:ilvl="0">
      <w:lvlJc w:val="left"/>
      <w:lvlText w:val="--"/>
      <w:numFmt w:val="bullet"/>
      <w:start w:val="1"/>
    </w:lvl>
    <w:lvl w:ilvl="1">
      <w:lvlJc w:val="left"/>
      <w:lvlText w:val="-----"/>
      <w:numFmt w:val="bullet"/>
      <w:start w:val="1"/>
    </w:lvl>
  </w:abstractNum>
  <w:abstractNum w:abstractNumId="716">
    <w:nsid w:val="559060DB"/>
    <w:multiLevelType w:val="hybridMultilevel"/>
    <w:lvl w:ilvl="0">
      <w:lvlJc w:val="left"/>
      <w:lvlText w:val="-"/>
      <w:numFmt w:val="bullet"/>
      <w:start w:val="1"/>
    </w:lvl>
  </w:abstractNum>
  <w:abstractNum w:abstractNumId="717">
    <w:nsid w:val="77E78A20"/>
    <w:multiLevelType w:val="hybridMultilevel"/>
    <w:lvl w:ilvl="0">
      <w:lvlJc w:val="left"/>
      <w:lvlText w:val="%1."/>
      <w:numFmt w:val="decimal"/>
      <w:start w:val="14"/>
    </w:lvl>
  </w:abstractNum>
  <w:abstractNum w:abstractNumId="718">
    <w:nsid w:val="52F720C6"/>
    <w:multiLevelType w:val="hybridMultilevel"/>
    <w:lvl w:ilvl="0">
      <w:lvlJc w:val="left"/>
      <w:lvlText w:val="(%1)"/>
      <w:numFmt w:val="decimal"/>
      <w:start w:val="200"/>
    </w:lvl>
  </w:abstractNum>
  <w:abstractNum w:abstractNumId="719">
    <w:nsid w:val="3EAB2035"/>
    <w:multiLevelType w:val="hybridMultilevel"/>
    <w:lvl w:ilvl="0">
      <w:lvlJc w:val="left"/>
      <w:lvlText w:val="(%1)"/>
      <w:numFmt w:val="decimal"/>
      <w:start w:val="156"/>
    </w:lvl>
  </w:abstractNum>
  <w:abstractNum w:abstractNumId="720">
    <w:nsid w:val="6A2F4E9D"/>
    <w:multiLevelType w:val="hybridMultilevel"/>
    <w:lvl w:ilvl="0">
      <w:lvlJc w:val="left"/>
      <w:lvlText w:val="--"/>
      <w:numFmt w:val="bullet"/>
      <w:start w:val="1"/>
    </w:lvl>
  </w:abstractNum>
  <w:abstractNum w:abstractNumId="721">
    <w:nsid w:val="7547B1D6"/>
    <w:multiLevelType w:val="hybridMultilevel"/>
    <w:lvl w:ilvl="0">
      <w:lvlJc w:val="left"/>
      <w:lvlText w:val="-"/>
      <w:numFmt w:val="bullet"/>
      <w:start w:val="1"/>
    </w:lvl>
    <w:lvl w:ilvl="1">
      <w:lvlJc w:val="left"/>
      <w:lvlText w:val="$"/>
      <w:numFmt w:val="bullet"/>
      <w:start w:val="1"/>
    </w:lvl>
  </w:abstractNum>
  <w:abstractNum w:abstractNumId="722">
    <w:nsid w:val="4A3C4F0E"/>
    <w:multiLevelType w:val="hybridMultilevel"/>
    <w:lvl w:ilvl="0">
      <w:lvlJc w:val="left"/>
      <w:lvlText w:val="*"/>
      <w:numFmt w:val="bullet"/>
      <w:start w:val="1"/>
    </w:lvl>
  </w:abstractNum>
  <w:abstractNum w:abstractNumId="723">
    <w:nsid w:val="5ADC9B4"/>
    <w:multiLevelType w:val="hybridMultilevel"/>
    <w:lvl w:ilvl="0">
      <w:lvlJc w:val="left"/>
      <w:lvlText w:val="-----"/>
      <w:numFmt w:val="bullet"/>
      <w:start w:val="1"/>
    </w:lvl>
  </w:abstractNum>
  <w:abstractNum w:abstractNumId="724">
    <w:nsid w:val="75B191D3"/>
    <w:multiLevelType w:val="hybridMultilevel"/>
    <w:lvl w:ilvl="0">
      <w:lvlJc w:val="left"/>
      <w:lvlText w:val="$"/>
      <w:numFmt w:val="bullet"/>
      <w:start w:val="1"/>
    </w:lvl>
  </w:abstractNum>
  <w:abstractNum w:abstractNumId="725">
    <w:nsid w:val="59841CB3"/>
    <w:multiLevelType w:val="hybridMultilevel"/>
    <w:lvl w:ilvl="0">
      <w:lvlJc w:val="left"/>
      <w:lvlText w:val="(%1)"/>
      <w:numFmt w:val="decimal"/>
      <w:start w:val="579"/>
    </w:lvl>
  </w:abstractNum>
  <w:abstractNum w:abstractNumId="726">
    <w:nsid w:val="186259F2"/>
    <w:multiLevelType w:val="hybridMultilevel"/>
    <w:lvl w:ilvl="0">
      <w:lvlJc w:val="left"/>
      <w:lvlText w:val="%1."/>
      <w:numFmt w:val="decimal"/>
      <w:start w:val="15"/>
    </w:lvl>
  </w:abstractNum>
  <w:abstractNum w:abstractNumId="727">
    <w:nsid w:val="6953F85F"/>
    <w:multiLevelType w:val="hybridMultilevel"/>
    <w:lvl w:ilvl="0">
      <w:lvlJc w:val="left"/>
      <w:lvlText w:val="----"/>
      <w:numFmt w:val="bullet"/>
      <w:start w:val="1"/>
    </w:lvl>
    <w:lvl w:ilvl="1">
      <w:lvlJc w:val="left"/>
      <w:lvlText w:val="----"/>
      <w:numFmt w:val="bullet"/>
      <w:start w:val="1"/>
    </w:lvl>
  </w:abstractNum>
  <w:abstractNum w:abstractNumId="728">
    <w:nsid w:val="6E0367D7"/>
    <w:multiLevelType w:val="hybridMultilevel"/>
    <w:lvl w:ilvl="0">
      <w:lvlJc w:val="left"/>
      <w:lvlText w:val="-"/>
      <w:numFmt w:val="bullet"/>
      <w:start w:val="1"/>
    </w:lvl>
  </w:abstractNum>
  <w:abstractNum w:abstractNumId="729">
    <w:nsid w:val="6C8C05E1"/>
    <w:multiLevelType w:val="hybridMultilevel"/>
    <w:lvl w:ilvl="0">
      <w:lvlJc w:val="left"/>
      <w:lvlText w:val="-"/>
      <w:numFmt w:val="bullet"/>
      <w:start w:val="1"/>
    </w:lvl>
  </w:abstractNum>
  <w:abstractNum w:abstractNumId="730">
    <w:nsid w:val="3C339A5B"/>
    <w:multiLevelType w:val="hybridMultilevel"/>
    <w:lvl w:ilvl="0">
      <w:lvlJc w:val="left"/>
      <w:lvlText w:val="%1."/>
      <w:numFmt w:val="decimal"/>
      <w:start w:val="16"/>
    </w:lvl>
  </w:abstractNum>
  <w:abstractNum w:abstractNumId="731">
    <w:nsid w:val="24C258B1"/>
    <w:multiLevelType w:val="hybridMultilevel"/>
    <w:lvl w:ilvl="0">
      <w:lvlJc w:val="left"/>
      <w:lvlText w:val="(%1)"/>
      <w:numFmt w:val="decimal"/>
      <w:start w:val="76"/>
    </w:lvl>
  </w:abstractNum>
  <w:abstractNum w:abstractNumId="732">
    <w:nsid w:val="6A8657B0"/>
    <w:multiLevelType w:val="hybridMultilevel"/>
    <w:lvl w:ilvl="0">
      <w:lvlJc w:val="left"/>
      <w:lvlText w:val="----"/>
      <w:numFmt w:val="bullet"/>
      <w:start w:val="1"/>
    </w:lvl>
  </w:abstractNum>
  <w:abstractNum w:abstractNumId="733">
    <w:nsid w:val="5340FFA9"/>
    <w:multiLevelType w:val="hybridMultilevel"/>
    <w:lvl w:ilvl="0">
      <w:lvlJc w:val="left"/>
      <w:lvlText w:val="%1."/>
      <w:numFmt w:val="decimal"/>
      <w:start w:val="17"/>
    </w:lvl>
  </w:abstractNum>
  <w:abstractNum w:abstractNumId="734">
    <w:nsid w:val="1336705D"/>
    <w:multiLevelType w:val="hybridMultilevel"/>
    <w:lvl w:ilvl="0">
      <w:lvlJc w:val="left"/>
      <w:lvlText w:val="%1."/>
      <w:numFmt w:val="decimal"/>
      <w:start w:val="18"/>
    </w:lvl>
  </w:abstractNum>
  <w:abstractNum w:abstractNumId="735">
    <w:nsid w:val="6463C363"/>
    <w:multiLevelType w:val="hybridMultilevel"/>
    <w:lvl w:ilvl="0">
      <w:lvlJc w:val="left"/>
      <w:lvlText w:val="%1."/>
      <w:numFmt w:val="decimal"/>
      <w:start w:val="19"/>
    </w:lvl>
  </w:abstractNum>
  <w:abstractNum w:abstractNumId="736">
    <w:nsid w:val="347B3FD3"/>
    <w:multiLevelType w:val="hybridMultilevel"/>
    <w:lvl w:ilvl="0">
      <w:lvlJc w:val="left"/>
      <w:lvlText w:val="(%1)"/>
      <w:numFmt w:val="decimal"/>
      <w:start w:val="1"/>
    </w:lvl>
  </w:abstractNum>
  <w:abstractNum w:abstractNumId="737">
    <w:nsid w:val="D5AB751"/>
    <w:multiLevelType w:val="hybridMultilevel"/>
    <w:lvl w:ilvl="0">
      <w:lvlJc w:val="left"/>
      <w:lvlText w:val="(%1)"/>
      <w:numFmt w:val="decimal"/>
      <w:start w:val="1"/>
    </w:lvl>
  </w:abstractNum>
  <w:abstractNum w:abstractNumId="738">
    <w:nsid w:val="F1EC427"/>
    <w:multiLevelType w:val="hybridMultilevel"/>
    <w:lvl w:ilvl="0">
      <w:lvlJc w:val="left"/>
      <w:lvlText w:val="(%1)"/>
      <w:numFmt w:val="decimal"/>
      <w:start w:val="1"/>
    </w:lvl>
  </w:abstractNum>
  <w:abstractNum w:abstractNumId="739">
    <w:nsid w:val="6C89B896"/>
    <w:multiLevelType w:val="hybridMultilevel"/>
    <w:lvl w:ilvl="0">
      <w:lvlJc w:val="left"/>
      <w:lvlText w:val="(%1)"/>
      <w:numFmt w:val="decimal"/>
      <w:start w:val="1"/>
    </w:lvl>
  </w:abstractNum>
  <w:abstractNum w:abstractNumId="740">
    <w:nsid w:val="7E1219C8"/>
    <w:multiLevelType w:val="hybridMultilevel"/>
    <w:lvl w:ilvl="0">
      <w:lvlJc w:val="left"/>
      <w:lvlText w:val="(%1)"/>
      <w:numFmt w:val="decimal"/>
      <w:start w:val="1"/>
    </w:lvl>
  </w:abstractNum>
  <w:abstractNum w:abstractNumId="741">
    <w:nsid w:val="25F1C1C1"/>
    <w:multiLevelType w:val="hybridMultilevel"/>
    <w:lvl w:ilvl="0">
      <w:lvlJc w:val="left"/>
      <w:lvlText w:val="(%1)"/>
      <w:numFmt w:val="decimal"/>
      <w:start w:val="1"/>
    </w:lvl>
  </w:abstractNum>
  <w:abstractNum w:abstractNumId="742">
    <w:nsid w:val="743CE6FA"/>
    <w:multiLevelType w:val="hybridMultilevel"/>
    <w:lvl w:ilvl="0">
      <w:lvlJc w:val="left"/>
      <w:lvlText w:val="%1."/>
      <w:numFmt w:val="decimal"/>
      <w:start w:val="20"/>
    </w:lvl>
  </w:abstractNum>
  <w:abstractNum w:abstractNumId="743">
    <w:nsid w:val="20530E7B"/>
    <w:multiLevelType w:val="hybridMultilevel"/>
    <w:lvl w:ilvl="0">
      <w:lvlJc w:val="left"/>
      <w:lvlText w:val="-"/>
      <w:numFmt w:val="bullet"/>
      <w:start w:val="1"/>
    </w:lvl>
  </w:abstractNum>
  <w:abstractNum w:abstractNumId="744">
    <w:nsid w:val="144C9480"/>
    <w:multiLevelType w:val="hybridMultilevel"/>
    <w:lvl w:ilvl="0">
      <w:lvlJc w:val="left"/>
      <w:lvlText w:val="$"/>
      <w:numFmt w:val="bullet"/>
      <w:start w:val="1"/>
    </w:lvl>
  </w:abstractNum>
  <w:abstractNum w:abstractNumId="745">
    <w:nsid w:val="1514A0AF"/>
    <w:multiLevelType w:val="hybridMultilevel"/>
    <w:lvl w:ilvl="0">
      <w:lvlJc w:val="left"/>
      <w:lvlText w:val="$"/>
      <w:numFmt w:val="bullet"/>
      <w:start w:val="1"/>
    </w:lvl>
  </w:abstractNum>
  <w:abstractNum w:abstractNumId="746">
    <w:nsid w:val="55C3594C"/>
    <w:multiLevelType w:val="hybridMultilevel"/>
    <w:lvl w:ilvl="0">
      <w:lvlJc w:val="left"/>
      <w:lvlText w:val="-----"/>
      <w:numFmt w:val="bullet"/>
      <w:start w:val="1"/>
    </w:lvl>
  </w:abstractNum>
  <w:abstractNum w:abstractNumId="747">
    <w:nsid w:val="69DCF55B"/>
    <w:multiLevelType w:val="hybridMultilevel"/>
    <w:lvl w:ilvl="0">
      <w:lvlJc w:val="left"/>
      <w:lvlText w:val="$"/>
      <w:numFmt w:val="bullet"/>
      <w:start w:val="1"/>
    </w:lvl>
  </w:abstractNum>
  <w:abstractNum w:abstractNumId="748">
    <w:nsid w:val="CFC2ACF"/>
    <w:multiLevelType w:val="hybridMultilevel"/>
    <w:lvl w:ilvl="0">
      <w:lvlJc w:val="left"/>
      <w:lvlText w:val="(%1)"/>
      <w:numFmt w:val="decimal"/>
      <w:start w:val="830"/>
    </w:lvl>
  </w:abstractNum>
  <w:abstractNum w:abstractNumId="749">
    <w:nsid w:val="28BA7A13"/>
    <w:multiLevelType w:val="hybridMultilevel"/>
    <w:lvl w:ilvl="0">
      <w:lvlJc w:val="left"/>
      <w:lvlText w:val="--"/>
      <w:numFmt w:val="bullet"/>
      <w:start w:val="1"/>
    </w:lvl>
  </w:abstractNum>
  <w:abstractNum w:abstractNumId="750">
    <w:nsid w:val="28881591"/>
    <w:multiLevelType w:val="hybridMultilevel"/>
    <w:lvl w:ilvl="0">
      <w:lvlJc w:val="left"/>
      <w:lvlText w:val="(%1)"/>
      <w:numFmt w:val="decimal"/>
      <w:start w:val="694"/>
    </w:lvl>
  </w:abstractNum>
  <w:abstractNum w:abstractNumId="751">
    <w:nsid w:val="772B796C"/>
    <w:multiLevelType w:val="hybridMultilevel"/>
    <w:lvl w:ilvl="0">
      <w:lvlJc w:val="left"/>
      <w:lvlText w:val="(%1)"/>
      <w:numFmt w:val="decimal"/>
      <w:start w:val="1"/>
    </w:lvl>
  </w:abstractNum>
  <w:abstractNum w:abstractNumId="752">
    <w:nsid w:val="1E022BE9"/>
    <w:multiLevelType w:val="hybridMultilevel"/>
    <w:lvl w:ilvl="0">
      <w:lvlJc w:val="left"/>
      <w:lvlText w:val="---"/>
      <w:numFmt w:val="bullet"/>
      <w:start w:val="1"/>
    </w:lvl>
  </w:abstractNum>
  <w:abstractNum w:abstractNumId="753">
    <w:nsid w:val="72C4649F"/>
    <w:multiLevelType w:val="hybridMultilevel"/>
    <w:lvl w:ilvl="0">
      <w:lvlJc w:val="left"/>
      <w:lvlText w:val="$"/>
      <w:numFmt w:val="bullet"/>
      <w:start w:val="1"/>
    </w:lvl>
  </w:abstractNum>
  <w:abstractNum w:abstractNumId="754">
    <w:nsid w:val="7CD94321"/>
    <w:multiLevelType w:val="hybridMultilevel"/>
    <w:lvl w:ilvl="0">
      <w:lvlJc w:val="left"/>
      <w:lvlText w:val="(%1)"/>
      <w:numFmt w:val="decimal"/>
      <w:start w:val="287"/>
    </w:lvl>
  </w:abstractNum>
  <w:abstractNum w:abstractNumId="755">
    <w:nsid w:val="13B3BDBC"/>
    <w:multiLevelType w:val="hybridMultilevel"/>
    <w:lvl w:ilvl="0">
      <w:lvlJc w:val="left"/>
      <w:lvlText w:val="$"/>
      <w:numFmt w:val="bullet"/>
      <w:start w:val="1"/>
    </w:lvl>
  </w:abstractNum>
  <w:abstractNum w:abstractNumId="756">
    <w:nsid w:val="4C488152"/>
    <w:multiLevelType w:val="hybridMultilevel"/>
    <w:lvl w:ilvl="0">
      <w:lvlJc w:val="left"/>
      <w:lvlText w:val="$"/>
      <w:numFmt w:val="bullet"/>
      <w:start w:val="1"/>
    </w:lvl>
  </w:abstractNum>
  <w:abstractNum w:abstractNumId="757">
    <w:nsid w:val="153B9D13"/>
    <w:multiLevelType w:val="hybridMultilevel"/>
    <w:lvl w:ilvl="0">
      <w:lvlJc w:val="left"/>
      <w:lvlText w:val="---"/>
      <w:numFmt w:val="bullet"/>
      <w:start w:val="1"/>
    </w:lvl>
  </w:abstractNum>
  <w:abstractNum w:abstractNumId="758">
    <w:nsid w:val="7D07B61B"/>
    <w:multiLevelType w:val="hybridMultilevel"/>
    <w:lvl w:ilvl="0">
      <w:lvlJc w:val="left"/>
      <w:lvlText w:val="(%1)"/>
      <w:numFmt w:val="decimal"/>
      <w:start w:val="87"/>
    </w:lvl>
  </w:abstractNum>
  <w:abstractNum w:abstractNumId="759">
    <w:nsid w:val="3A4BE92A"/>
    <w:multiLevelType w:val="hybridMultilevel"/>
    <w:lvl w:ilvl="0">
      <w:lvlJc w:val="left"/>
      <w:lvlText w:val="(%1)"/>
      <w:numFmt w:val="decimal"/>
      <w:start w:val="779"/>
    </w:lvl>
  </w:abstractNum>
  <w:abstractNum w:abstractNumId="760">
    <w:nsid w:val="1C7A2F4"/>
    <w:multiLevelType w:val="hybridMultilevel"/>
    <w:lvl w:ilvl="0">
      <w:lvlJc w:val="left"/>
      <w:lvlText w:val="(%1)"/>
      <w:numFmt w:val="decimal"/>
      <w:start w:val="126"/>
    </w:lvl>
  </w:abstractNum>
  <w:abstractNum w:abstractNumId="761">
    <w:nsid w:val="393B5076"/>
    <w:multiLevelType w:val="hybridMultilevel"/>
    <w:lvl w:ilvl="0">
      <w:lvlJc w:val="left"/>
      <w:lvlText w:val="-"/>
      <w:numFmt w:val="bullet"/>
      <w:start w:val="1"/>
    </w:lvl>
  </w:abstractNum>
  <w:abstractNum w:abstractNumId="762">
    <w:nsid w:val="5F0E41DB"/>
    <w:multiLevelType w:val="hybridMultilevel"/>
    <w:lvl w:ilvl="0">
      <w:lvlJc w:val="left"/>
      <w:lvlText w:val="$"/>
      <w:numFmt w:val="bullet"/>
      <w:start w:val="1"/>
    </w:lvl>
  </w:abstractNum>
  <w:abstractNum w:abstractNumId="763">
    <w:nsid w:val="6C4DFAA4"/>
    <w:multiLevelType w:val="hybridMultilevel"/>
    <w:lvl w:ilvl="0">
      <w:lvlJc w:val="left"/>
      <w:lvlText w:val="--"/>
      <w:numFmt w:val="bullet"/>
      <w:start w:val="1"/>
    </w:lvl>
  </w:abstractNum>
  <w:abstractNum w:abstractNumId="764">
    <w:nsid w:val="C7C501F"/>
    <w:multiLevelType w:val="hybridMultilevel"/>
    <w:lvl w:ilvl="0">
      <w:lvlJc w:val="left"/>
      <w:lvlText w:val="--"/>
      <w:numFmt w:val="bullet"/>
      <w:start w:val="1"/>
    </w:lvl>
  </w:abstractNum>
  <w:abstractNum w:abstractNumId="765">
    <w:nsid w:val="7244B239"/>
    <w:multiLevelType w:val="hybridMultilevel"/>
    <w:lvl w:ilvl="0">
      <w:lvlJc w:val="left"/>
      <w:lvlText w:val="-"/>
      <w:numFmt w:val="bullet"/>
      <w:start w:val="1"/>
    </w:lvl>
  </w:abstractNum>
  <w:abstractNum w:abstractNumId="766">
    <w:nsid w:val="50B1BE08"/>
    <w:multiLevelType w:val="hybridMultilevel"/>
    <w:lvl w:ilvl="0">
      <w:lvlJc w:val="left"/>
      <w:lvlText w:val="-----"/>
      <w:numFmt w:val="bullet"/>
      <w:start w:val="1"/>
    </w:lvl>
  </w:abstractNum>
  <w:abstractNum w:abstractNumId="767">
    <w:nsid w:val="40F78FF3"/>
    <w:multiLevelType w:val="hybridMultilevel"/>
    <w:lvl w:ilvl="0">
      <w:lvlJc w:val="left"/>
      <w:lvlText w:val="(%1)"/>
      <w:numFmt w:val="decimal"/>
      <w:start w:val="62"/>
    </w:lvl>
  </w:abstractNum>
  <w:abstractNum w:abstractNumId="768">
    <w:nsid w:val="7F9F698A"/>
    <w:multiLevelType w:val="hybridMultilevel"/>
    <w:lvl w:ilvl="0">
      <w:lvlJc w:val="left"/>
      <w:lvlText w:val="%1."/>
      <w:numFmt w:val="decimal"/>
      <w:start w:val="21"/>
    </w:lvl>
  </w:abstractNum>
  <w:abstractNum w:abstractNumId="769">
    <w:nsid w:val="5FD0822F"/>
    <w:multiLevelType w:val="hybridMultilevel"/>
    <w:lvl w:ilvl="0">
      <w:lvlJc w:val="left"/>
      <w:lvlText w:val="$"/>
      <w:numFmt w:val="bullet"/>
      <w:start w:val="1"/>
    </w:lvl>
  </w:abstractNum>
  <w:abstractNum w:abstractNumId="770">
    <w:nsid w:val="2D814889"/>
    <w:multiLevelType w:val="hybridMultilevel"/>
    <w:lvl w:ilvl="0">
      <w:lvlJc w:val="left"/>
      <w:lvlText w:val="$"/>
      <w:numFmt w:val="bullet"/>
      <w:start w:val="1"/>
    </w:lvl>
  </w:abstractNum>
  <w:abstractNum w:abstractNumId="771">
    <w:nsid w:val="7DB18352"/>
    <w:multiLevelType w:val="hybridMultilevel"/>
    <w:lvl w:ilvl="0">
      <w:lvlJc w:val="left"/>
      <w:lvlText w:val="$"/>
      <w:numFmt w:val="bullet"/>
      <w:start w:val="1"/>
    </w:lvl>
  </w:abstractNum>
  <w:abstractNum w:abstractNumId="772">
    <w:nsid w:val="5C243F1"/>
    <w:multiLevelType w:val="hybridMultilevel"/>
    <w:lvl w:ilvl="0">
      <w:lvlJc w:val="left"/>
      <w:lvlText w:val="$"/>
      <w:numFmt w:val="bullet"/>
      <w:start w:val="1"/>
    </w:lvl>
  </w:abstractNum>
  <w:abstractNum w:abstractNumId="773">
    <w:nsid w:val="21BE2F84"/>
    <w:multiLevelType w:val="hybridMultilevel"/>
    <w:lvl w:ilvl="0">
      <w:lvlJc w:val="left"/>
      <w:lvlText w:val="(%1)"/>
      <w:numFmt w:val="decimal"/>
      <w:start w:val="1"/>
    </w:lvl>
  </w:abstractNum>
  <w:abstractNum w:abstractNumId="774">
    <w:nsid w:val="1E0491CD"/>
    <w:multiLevelType w:val="hybridMultilevel"/>
    <w:lvl w:ilvl="0">
      <w:lvlJc w:val="left"/>
      <w:lvlText w:val="%1."/>
      <w:numFmt w:val="decimal"/>
      <w:start w:val="22"/>
    </w:lvl>
  </w:abstractNum>
  <w:abstractNum w:abstractNumId="775">
    <w:nsid w:val="1A0ED871"/>
    <w:multiLevelType w:val="hybridMultilevel"/>
    <w:lvl w:ilvl="0">
      <w:lvlJc w:val="left"/>
      <w:lvlText w:val="%1."/>
      <w:numFmt w:val="decimal"/>
      <w:start w:val="23"/>
    </w:lvl>
  </w:abstractNum>
  <w:abstractNum w:abstractNumId="776">
    <w:nsid w:val="36D2D033"/>
    <w:multiLevelType w:val="hybridMultilevel"/>
    <w:lvl w:ilvl="0">
      <w:lvlJc w:val="left"/>
      <w:lvlText w:val="-"/>
      <w:numFmt w:val="bullet"/>
      <w:start w:val="1"/>
    </w:lvl>
  </w:abstractNum>
  <w:abstractNum w:abstractNumId="777">
    <w:nsid w:val="73C7EB1A"/>
    <w:multiLevelType w:val="hybridMultilevel"/>
    <w:lvl w:ilvl="0">
      <w:lvlJc w:val="left"/>
      <w:lvlText w:val="(%1)"/>
      <w:numFmt w:val="lowerLetter"/>
      <w:start w:val="1"/>
    </w:lvl>
  </w:abstractNum>
  <w:abstractNum w:abstractNumId="778">
    <w:nsid w:val="3EBCDCC"/>
    <w:multiLevelType w:val="hybridMultilevel"/>
    <w:lvl w:ilvl="0">
      <w:lvlJc w:val="left"/>
      <w:lvlText w:val="(%1)"/>
      <w:numFmt w:val="decimal"/>
      <w:start w:val="3"/>
    </w:lvl>
  </w:abstractNum>
  <w:abstractNum w:abstractNumId="779">
    <w:nsid w:val="43CEFB03"/>
    <w:multiLevelType w:val="hybridMultilevel"/>
    <w:lvl w:ilvl="0">
      <w:lvlJc w:val="left"/>
      <w:lvlText w:val="--"/>
      <w:numFmt w:val="bullet"/>
      <w:start w:val="1"/>
    </w:lvl>
    <w:lvl w:ilvl="1">
      <w:lvlJc w:val="left"/>
      <w:lvlText w:val="--"/>
      <w:numFmt w:val="bullet"/>
      <w:start w:val="1"/>
    </w:lvl>
  </w:abstractNum>
  <w:abstractNum w:abstractNumId="780">
    <w:nsid w:val="1C82652D"/>
    <w:multiLevelType w:val="hybridMultilevel"/>
    <w:lvl w:ilvl="0">
      <w:lvlJc w:val="left"/>
      <w:lvlText w:val="--"/>
      <w:numFmt w:val="bullet"/>
      <w:start w:val="1"/>
    </w:lvl>
  </w:abstractNum>
  <w:abstractNum w:abstractNumId="781">
    <w:nsid w:val="2C73E35D"/>
    <w:multiLevelType w:val="hybridMultilevel"/>
    <w:lvl w:ilvl="0">
      <w:lvlJc w:val="left"/>
      <w:lvlText w:val="(%1)"/>
      <w:numFmt w:val="decimal"/>
      <w:start w:val="6"/>
    </w:lvl>
  </w:abstractNum>
  <w:abstractNum w:abstractNumId="782">
    <w:nsid w:val="3AFA746F"/>
    <w:multiLevelType w:val="hybridMultilevel"/>
    <w:lvl w:ilvl="0">
      <w:lvlJc w:val="left"/>
      <w:lvlText w:val="$"/>
      <w:numFmt w:val="bullet"/>
      <w:start w:val="1"/>
    </w:lvl>
  </w:abstractNum>
  <w:abstractNum w:abstractNumId="783">
    <w:nsid w:val="3A849116"/>
    <w:multiLevelType w:val="hybridMultilevel"/>
    <w:lvl w:ilvl="0">
      <w:lvlJc w:val="left"/>
      <w:lvlText w:val="$"/>
      <w:numFmt w:val="bullet"/>
      <w:start w:val="1"/>
    </w:lvl>
  </w:abstractNum>
  <w:abstractNum w:abstractNumId="784">
    <w:nsid w:val="1F3847FC"/>
    <w:multiLevelType w:val="hybridMultilevel"/>
    <w:lvl w:ilvl="0">
      <w:lvlJc w:val="left"/>
      <w:lvlText w:val="$"/>
      <w:numFmt w:val="bullet"/>
      <w:start w:val="1"/>
    </w:lvl>
  </w:abstractNum>
  <w:abstractNum w:abstractNumId="785">
    <w:nsid w:val="37D3B790"/>
    <w:multiLevelType w:val="hybridMultilevel"/>
    <w:lvl w:ilvl="0">
      <w:lvlJc w:val="left"/>
      <w:lvlText w:val="(%1)"/>
      <w:numFmt w:val="decimal"/>
      <w:start w:val="39"/>
    </w:lvl>
  </w:abstractNum>
  <w:abstractNum w:abstractNumId="786">
    <w:nsid w:val="4E384ED3"/>
    <w:multiLevelType w:val="hybridMultilevel"/>
    <w:lvl w:ilvl="0">
      <w:lvlJc w:val="left"/>
      <w:lvlText w:val="-----"/>
      <w:numFmt w:val="bullet"/>
      <w:start w:val="1"/>
    </w:lvl>
  </w:abstractNum>
  <w:abstractNum w:abstractNumId="787">
    <w:nsid w:val="6B80C94F"/>
    <w:multiLevelType w:val="hybridMultilevel"/>
    <w:lvl w:ilvl="0">
      <w:lvlJc w:val="left"/>
      <w:lvlText w:val="%1."/>
      <w:numFmt w:val="decimal"/>
      <w:start w:val="2"/>
    </w:lvl>
  </w:abstractNum>
  <w:abstractNum w:abstractNumId="788">
    <w:nsid w:val="4D0F54A3"/>
    <w:multiLevelType w:val="hybridMultilevel"/>
    <w:lvl w:ilvl="0">
      <w:lvlJc w:val="left"/>
      <w:lvlText w:val="%1."/>
      <w:numFmt w:val="decimal"/>
      <w:start w:val="3"/>
    </w:lvl>
  </w:abstractNum>
  <w:abstractNum w:abstractNumId="789">
    <w:nsid w:val="4B4004EE"/>
    <w:multiLevelType w:val="hybridMultilevel"/>
    <w:lvl w:ilvl="0">
      <w:lvlJc w:val="left"/>
      <w:lvlText w:val="%1."/>
      <w:numFmt w:val="decimal"/>
      <w:start w:val="4"/>
    </w:lvl>
  </w:abstractNum>
  <w:abstractNum w:abstractNumId="790">
    <w:nsid w:val="25CCB279"/>
    <w:multiLevelType w:val="hybridMultilevel"/>
    <w:lvl w:ilvl="0">
      <w:lvlJc w:val="left"/>
      <w:lvlText w:val="-"/>
      <w:numFmt w:val="bullet"/>
      <w:start w:val="1"/>
    </w:lvl>
  </w:abstractNum>
  <w:abstractNum w:abstractNumId="791">
    <w:nsid w:val="4ED6F798"/>
    <w:multiLevelType w:val="hybridMultilevel"/>
    <w:lvl w:ilvl="0">
      <w:lvlJc w:val="left"/>
      <w:lvlText w:val="(%1)"/>
      <w:numFmt w:val="lowerLetter"/>
      <w:start w:val="1"/>
    </w:lvl>
  </w:abstractNum>
  <w:abstractNum w:abstractNumId="792">
    <w:nsid w:val="47B5565"/>
    <w:multiLevelType w:val="hybridMultilevel"/>
    <w:lvl w:ilvl="0">
      <w:lvlJc w:val="left"/>
      <w:lvlText w:val="(%1)"/>
      <w:numFmt w:val="lowerLetter"/>
      <w:start w:val="4"/>
    </w:lvl>
  </w:abstractNum>
  <w:abstractNum w:abstractNumId="793">
    <w:nsid w:val="4DAF454"/>
    <w:multiLevelType w:val="hybridMultilevel"/>
    <w:lvl w:ilvl="0">
      <w:lvlJc w:val="left"/>
      <w:lvlText w:val="--"/>
      <w:numFmt w:val="bullet"/>
      <w:start w:val="1"/>
    </w:lvl>
    <w:lvl w:ilvl="1">
      <w:lvlJc w:val="left"/>
      <w:lvlText w:val="===="/>
      <w:numFmt w:val="bullet"/>
      <w:start w:val="1"/>
    </w:lvl>
  </w:abstractNum>
  <w:abstractNum w:abstractNumId="794">
    <w:nsid w:val="3B24F23C"/>
    <w:multiLevelType w:val="hybridMultilevel"/>
    <w:lvl w:ilvl="0">
      <w:lvlJc w:val="left"/>
      <w:lvlText w:val="%1."/>
      <w:numFmt w:val="decimal"/>
      <w:start w:val="7"/>
    </w:lvl>
  </w:abstractNum>
  <w:abstractNum w:abstractNumId="795">
    <w:nsid w:val="10F7A584"/>
    <w:multiLevelType w:val="hybridMultilevel"/>
    <w:lvl w:ilvl="0">
      <w:lvlJc w:val="left"/>
      <w:lvlText w:val="(%1)"/>
      <w:numFmt w:val="lowerLetter"/>
      <w:start w:val="1"/>
    </w:lvl>
  </w:abstractNum>
  <w:abstractNum w:abstractNumId="796">
    <w:nsid w:val="771FA68D"/>
    <w:multiLevelType w:val="hybridMultilevel"/>
    <w:lvl w:ilvl="0">
      <w:lvlJc w:val="left"/>
      <w:lvlText w:val="(%1)"/>
      <w:numFmt w:val="lowerLetter"/>
      <w:start w:val="2"/>
    </w:lvl>
  </w:abstractNum>
  <w:abstractNum w:abstractNumId="797">
    <w:nsid w:val="BD6B044"/>
    <w:multiLevelType w:val="hybridMultilevel"/>
    <w:lvl w:ilvl="0">
      <w:lvlJc w:val="left"/>
      <w:lvlText w:val="$"/>
      <w:numFmt w:val="bullet"/>
      <w:start w:val="1"/>
    </w:lvl>
  </w:abstractNum>
  <w:abstractNum w:abstractNumId="798">
    <w:nsid w:val="51EF3577"/>
    <w:multiLevelType w:val="hybridMultilevel"/>
    <w:lvl w:ilvl="0">
      <w:lvlJc w:val="left"/>
      <w:lvlText w:val="(%1)"/>
      <w:numFmt w:val="lowerLetter"/>
      <w:start w:val="1"/>
    </w:lvl>
  </w:abstractNum>
  <w:abstractNum w:abstractNumId="799">
    <w:nsid w:val="76BF1017"/>
    <w:multiLevelType w:val="hybridMultilevel"/>
    <w:lvl w:ilvl="0">
      <w:lvlJc w:val="left"/>
      <w:lvlText w:val="(%1)"/>
      <w:numFmt w:val="lowerLetter"/>
      <w:start w:val="1"/>
    </w:lvl>
  </w:abstractNum>
  <w:abstractNum w:abstractNumId="800">
    <w:nsid w:val="6BA73274"/>
    <w:multiLevelType w:val="hybridMultilevel"/>
    <w:lvl w:ilvl="0">
      <w:lvlJc w:val="left"/>
      <w:lvlText w:val="(%1)"/>
      <w:numFmt w:val="lowerLetter"/>
      <w:start w:val="1"/>
    </w:lvl>
  </w:abstractNum>
  <w:abstractNum w:abstractNumId="801">
    <w:nsid w:val="7F707E01"/>
    <w:multiLevelType w:val="hybridMultilevel"/>
    <w:lvl w:ilvl="0">
      <w:lvlJc w:val="left"/>
      <w:lvlText w:val="(%1)"/>
      <w:numFmt w:val="lowerLetter"/>
      <w:start w:val="1"/>
    </w:lvl>
  </w:abstractNum>
  <w:abstractNum w:abstractNumId="802">
    <w:nsid w:val="7470936A"/>
    <w:multiLevelType w:val="hybridMultilevel"/>
    <w:lvl w:ilvl="0">
      <w:lvlJc w:val="left"/>
      <w:lvlText w:val="(%1)"/>
      <w:numFmt w:val="lowerLetter"/>
      <w:start w:val="1"/>
    </w:lvl>
  </w:abstractNum>
  <w:abstractNum w:abstractNumId="803">
    <w:nsid w:val="71697665"/>
    <w:multiLevelType w:val="hybridMultilevel"/>
    <w:lvl w:ilvl="0">
      <w:lvlJc w:val="left"/>
      <w:lvlText w:val="--"/>
      <w:numFmt w:val="bullet"/>
      <w:start w:val="1"/>
    </w:lvl>
    <w:lvl w:ilvl="1">
      <w:lvlJc w:val="left"/>
      <w:lvlText w:val="--"/>
      <w:numFmt w:val="bullet"/>
      <w:start w:val="1"/>
    </w:lvl>
  </w:abstractNum>
  <w:abstractNum w:abstractNumId="804">
    <w:nsid w:val="212EAD85"/>
    <w:multiLevelType w:val="hybridMultilevel"/>
    <w:lvl w:ilvl="0">
      <w:lvlJc w:val="left"/>
      <w:lvlText w:val="-"/>
      <w:numFmt w:val="bullet"/>
      <w:start w:val="1"/>
    </w:lvl>
    <w:lvl w:ilvl="1">
      <w:lvlJc w:val="left"/>
      <w:lvlText w:val="----"/>
      <w:numFmt w:val="bullet"/>
      <w:start w:val="1"/>
    </w:lvl>
  </w:abstractNum>
  <w:abstractNum w:abstractNumId="805">
    <w:nsid w:val="12752537"/>
    <w:multiLevelType w:val="hybridMultilevel"/>
    <w:lvl w:ilvl="0">
      <w:lvlJc w:val="left"/>
      <w:lvlText w:val="*"/>
      <w:numFmt w:val="bullet"/>
      <w:start w:val="1"/>
    </w:lvl>
  </w:abstractNum>
  <w:abstractNum w:abstractNumId="806">
    <w:nsid w:val="B784ED6"/>
    <w:multiLevelType w:val="hybridMultilevel"/>
    <w:lvl w:ilvl="0">
      <w:lvlJc w:val="left"/>
      <w:lvlText w:val="---"/>
      <w:numFmt w:val="bullet"/>
      <w:start w:val="1"/>
    </w:lvl>
  </w:abstractNum>
  <w:abstractNum w:abstractNumId="807">
    <w:nsid w:val="58017DB8"/>
    <w:multiLevelType w:val="hybridMultilevel"/>
    <w:lvl w:ilvl="0">
      <w:lvlJc w:val="left"/>
      <w:lvlText w:val="-----"/>
      <w:numFmt w:val="bullet"/>
      <w:start w:val="1"/>
    </w:lvl>
  </w:abstractNum>
  <w:abstractNum w:abstractNumId="808">
    <w:nsid w:val="63D1051"/>
    <w:multiLevelType w:val="hybridMultilevel"/>
    <w:lvl w:ilvl="0">
      <w:lvlJc w:val="left"/>
      <w:lvlText w:val="$"/>
      <w:numFmt w:val="bullet"/>
      <w:start w:val="1"/>
    </w:lvl>
  </w:abstractNum>
  <w:abstractNum w:abstractNumId="809">
    <w:nsid w:val="F641CA2"/>
    <w:multiLevelType w:val="hybridMultilevel"/>
    <w:lvl w:ilvl="0">
      <w:lvlJc w:val="left"/>
      <w:lvlText w:val="-----"/>
      <w:numFmt w:val="bullet"/>
      <w:start w:val="1"/>
    </w:lvl>
    <w:lvl w:ilvl="1">
      <w:lvlJc w:val="left"/>
      <w:lvlText w:val="-----"/>
      <w:numFmt w:val="bullet"/>
      <w:start w:val="1"/>
    </w:lvl>
  </w:abstractNum>
  <w:abstractNum w:abstractNumId="810">
    <w:nsid w:val="1BD078BB"/>
    <w:multiLevelType w:val="hybridMultilevel"/>
    <w:lvl w:ilvl="0">
      <w:lvlJc w:val="left"/>
      <w:lvlText w:val="-"/>
      <w:numFmt w:val="bullet"/>
      <w:start w:val="1"/>
    </w:lvl>
    <w:lvl w:ilvl="1">
      <w:lvlJc w:val="left"/>
      <w:lvlText w:val="====="/>
      <w:numFmt w:val="bullet"/>
      <w:start w:val="1"/>
    </w:lvl>
  </w:abstractNum>
  <w:abstractNum w:abstractNumId="811">
    <w:nsid w:val="22BF757E"/>
    <w:multiLevelType w:val="hybridMultilevel"/>
    <w:lvl w:ilvl="0">
      <w:lvlJc w:val="left"/>
      <w:lvlText w:val="(%1)"/>
      <w:numFmt w:val="decimal"/>
      <w:start w:val="215"/>
    </w:lvl>
  </w:abstractNum>
  <w:abstractNum w:abstractNumId="812">
    <w:nsid w:val="3BD80000"/>
    <w:multiLevelType w:val="hybridMultilevel"/>
    <w:lvl w:ilvl="0">
      <w:lvlJc w:val="left"/>
      <w:lvlText w:val="---"/>
      <w:numFmt w:val="bullet"/>
      <w:start w:val="1"/>
    </w:lvl>
  </w:abstractNum>
  <w:abstractNum w:abstractNumId="813">
    <w:nsid w:val="56CAED2B"/>
    <w:multiLevelType w:val="hybridMultilevel"/>
    <w:lvl w:ilvl="0">
      <w:lvlJc w:val="left"/>
      <w:lvlText w:val="$"/>
      <w:numFmt w:val="bullet"/>
      <w:start w:val="1"/>
    </w:lvl>
  </w:abstractNum>
  <w:abstractNum w:abstractNumId="814">
    <w:nsid w:val="5D440695"/>
    <w:multiLevelType w:val="hybridMultilevel"/>
    <w:lvl w:ilvl="0">
      <w:lvlJc w:val="left"/>
      <w:lvlText w:val="(%1)"/>
      <w:numFmt w:val="lowerLetter"/>
      <w:start w:val="5"/>
    </w:lvl>
  </w:abstractNum>
  <w:abstractNum w:abstractNumId="815">
    <w:nsid w:val="5B1047FC"/>
    <w:multiLevelType w:val="hybridMultilevel"/>
    <w:lvl w:ilvl="0">
      <w:lvlJc w:val="left"/>
      <w:lvlText w:val="---"/>
      <w:numFmt w:val="bullet"/>
      <w:start w:val="1"/>
    </w:lvl>
  </w:abstractNum>
  <w:abstractNum w:abstractNumId="816">
    <w:nsid w:val="E9EA4BB"/>
    <w:multiLevelType w:val="hybridMultilevel"/>
    <w:lvl w:ilvl="0">
      <w:lvlJc w:val="left"/>
      <w:lvlText w:val="-"/>
      <w:numFmt w:val="bullet"/>
      <w:start w:val="1"/>
    </w:lvl>
  </w:abstractNum>
  <w:abstractNum w:abstractNumId="817">
    <w:nsid w:val="2B7C5568"/>
    <w:multiLevelType w:val="hybridMultilevel"/>
    <w:lvl w:ilvl="0">
      <w:lvlJc w:val="left"/>
      <w:lvlText w:val="$"/>
      <w:numFmt w:val="bullet"/>
      <w:start w:val="1"/>
    </w:lvl>
  </w:abstractNum>
  <w:abstractNum w:abstractNumId="818">
    <w:nsid w:val="4691114B"/>
    <w:multiLevelType w:val="hybridMultilevel"/>
    <w:lvl w:ilvl="0">
      <w:lvlJc w:val="left"/>
      <w:lvlText w:val="%1."/>
      <w:numFmt w:val="decimal"/>
      <w:start w:val="1"/>
    </w:lvl>
  </w:abstractNum>
  <w:abstractNum w:abstractNumId="819">
    <w:nsid w:val="5BADF95F"/>
    <w:multiLevelType w:val="hybridMultilevel"/>
    <w:lvl w:ilvl="0">
      <w:lvlJc w:val="left"/>
      <w:lvlText w:val="%1."/>
      <w:numFmt w:val="decimal"/>
      <w:start w:val="2"/>
    </w:lvl>
  </w:abstractNum>
  <w:abstractNum w:abstractNumId="820">
    <w:nsid w:val="76BC5A56"/>
    <w:multiLevelType w:val="hybridMultilevel"/>
    <w:lvl w:ilvl="0">
      <w:lvlJc w:val="left"/>
      <w:lvlText w:val="%1."/>
      <w:numFmt w:val="decimal"/>
      <w:start w:val="3"/>
    </w:lvl>
  </w:abstractNum>
  <w:abstractNum w:abstractNumId="821">
    <w:nsid w:val="6C5DC3C4"/>
    <w:multiLevelType w:val="hybridMultilevel"/>
    <w:lvl w:ilvl="0">
      <w:lvlJc w:val="left"/>
      <w:lvlText w:val="-----"/>
      <w:numFmt w:val="bullet"/>
      <w:start w:val="1"/>
    </w:lvl>
  </w:abstractNum>
  <w:abstractNum w:abstractNumId="822">
    <w:nsid w:val="2A84F0F7"/>
    <w:multiLevelType w:val="hybridMultilevel"/>
    <w:lvl w:ilvl="0">
      <w:lvlJc w:val="left"/>
      <w:lvlText w:val="-"/>
      <w:numFmt w:val="bullet"/>
      <w:start w:val="1"/>
    </w:lvl>
  </w:abstractNum>
  <w:abstractNum w:abstractNumId="823">
    <w:nsid w:val="7B37AFBB"/>
    <w:multiLevelType w:val="hybridMultilevel"/>
    <w:lvl w:ilvl="0">
      <w:lvlJc w:val="left"/>
      <w:lvlText w:val="(%1)"/>
      <w:numFmt w:val="decimal"/>
      <w:start w:val="26"/>
    </w:lvl>
  </w:abstractNum>
  <w:abstractNum w:abstractNumId="824">
    <w:nsid w:val="7138B819"/>
    <w:multiLevelType w:val="hybridMultilevel"/>
    <w:lvl w:ilvl="0">
      <w:lvlJc w:val="left"/>
      <w:lvlText w:val="---"/>
      <w:numFmt w:val="bullet"/>
      <w:start w:val="1"/>
    </w:lvl>
  </w:abstractNum>
  <w:abstractNum w:abstractNumId="825">
    <w:nsid w:val="65A9E333"/>
    <w:multiLevelType w:val="hybridMultilevel"/>
    <w:lvl w:ilvl="0">
      <w:lvlJc w:val="left"/>
      <w:lvlText w:val="(%1)"/>
      <w:numFmt w:val="decimal"/>
      <w:start w:val="1"/>
    </w:lvl>
  </w:abstractNum>
  <w:abstractNum w:abstractNumId="826">
    <w:nsid w:val="C2F5540"/>
    <w:multiLevelType w:val="hybridMultilevel"/>
    <w:lvl w:ilvl="0">
      <w:lvlJc w:val="left"/>
      <w:lvlText w:val="-----"/>
      <w:numFmt w:val="bullet"/>
      <w:start w:val="1"/>
    </w:lvl>
  </w:abstractNum>
  <w:abstractNum w:abstractNumId="827">
    <w:nsid w:val="68585EA6"/>
    <w:multiLevelType w:val="hybridMultilevel"/>
    <w:lvl w:ilvl="0">
      <w:lvlJc w:val="left"/>
      <w:lvlText w:val="-"/>
      <w:numFmt w:val="bullet"/>
      <w:start w:val="1"/>
    </w:lvl>
    <w:lvl w:ilvl="1">
      <w:lvlJc w:val="left"/>
      <w:lvlText w:val="$"/>
      <w:numFmt w:val="bullet"/>
      <w:start w:val="1"/>
    </w:lvl>
  </w:abstractNum>
  <w:abstractNum w:abstractNumId="828">
    <w:nsid w:val="71809378"/>
    <w:multiLevelType w:val="hybridMultilevel"/>
    <w:lvl w:ilvl="0">
      <w:lvlJc w:val="left"/>
      <w:lvlText w:val="(%1)"/>
      <w:numFmt w:val="decimal"/>
      <w:start w:val="1"/>
    </w:lvl>
  </w:abstractNum>
  <w:abstractNum w:abstractNumId="829">
    <w:nsid w:val="5E1E8AB7"/>
    <w:multiLevelType w:val="hybridMultilevel"/>
    <w:lvl w:ilvl="0">
      <w:lvlJc w:val="left"/>
      <w:lvlText w:val="(%1)"/>
      <w:numFmt w:val="decimal"/>
      <w:start w:val="1"/>
    </w:lvl>
  </w:abstractNum>
  <w:abstractNum w:abstractNumId="830">
    <w:nsid w:val="5F176EBE"/>
    <w:multiLevelType w:val="hybridMultilevel"/>
    <w:lvl w:ilvl="0">
      <w:lvlJc w:val="left"/>
      <w:lvlText w:val="-----"/>
      <w:numFmt w:val="bullet"/>
      <w:start w:val="1"/>
    </w:lvl>
  </w:abstractNum>
  <w:abstractNum w:abstractNumId="831">
    <w:nsid w:val="5D27C5EC"/>
    <w:multiLevelType w:val="hybridMultilevel"/>
    <w:lvl w:ilvl="0">
      <w:lvlJc w:val="left"/>
      <w:lvlText w:val="$"/>
      <w:numFmt w:val="bullet"/>
      <w:start w:val="1"/>
    </w:lvl>
  </w:abstractNum>
  <w:abstractNum w:abstractNumId="832">
    <w:nsid w:val="5D8F08B8"/>
    <w:multiLevelType w:val="hybridMultilevel"/>
    <w:lvl w:ilvl="0">
      <w:lvlJc w:val="left"/>
      <w:lvlText w:val="(%1)"/>
      <w:numFmt w:val="decimal"/>
      <w:start w:val="214"/>
    </w:lvl>
  </w:abstractNum>
  <w:abstractNum w:abstractNumId="833">
    <w:nsid w:val="53880228"/>
    <w:multiLevelType w:val="hybridMultilevel"/>
    <w:lvl w:ilvl="0">
      <w:lvlJc w:val="left"/>
      <w:lvlText w:val="-"/>
      <w:numFmt w:val="bullet"/>
      <w:start w:val="1"/>
    </w:lvl>
    <w:lvl w:ilvl="1">
      <w:lvlJc w:val="left"/>
      <w:lvlText w:val="$"/>
      <w:numFmt w:val="bullet"/>
      <w:start w:val="1"/>
    </w:lvl>
  </w:abstractNum>
  <w:abstractNum w:abstractNumId="834">
    <w:nsid w:val="4E913C51"/>
    <w:multiLevelType w:val="hybridMultilevel"/>
    <w:lvl w:ilvl="0">
      <w:lvlJc w:val="left"/>
      <w:lvlText w:val="(%1)"/>
      <w:numFmt w:val="decimal"/>
      <w:start w:val="1"/>
    </w:lvl>
  </w:abstractNum>
  <w:abstractNum w:abstractNumId="835">
    <w:nsid w:val="7EBDB63D"/>
    <w:multiLevelType w:val="hybridMultilevel"/>
    <w:lvl w:ilvl="0">
      <w:lvlJc w:val="left"/>
      <w:lvlText w:val="-"/>
      <w:numFmt w:val="bullet"/>
      <w:start w:val="1"/>
    </w:lvl>
  </w:abstractNum>
  <w:abstractNum w:abstractNumId="836">
    <w:nsid w:val="65FD275F"/>
    <w:multiLevelType w:val="hybridMultilevel"/>
    <w:lvl w:ilvl="0">
      <w:lvlJc w:val="left"/>
      <w:lvlText w:val="$"/>
      <w:numFmt w:val="bullet"/>
      <w:start w:val="1"/>
    </w:lvl>
  </w:abstractNum>
  <w:abstractNum w:abstractNumId="837">
    <w:nsid w:val="5A098B27"/>
    <w:multiLevelType w:val="hybridMultilevel"/>
    <w:lvl w:ilvl="0">
      <w:lvlJc w:val="left"/>
      <w:lvlText w:val="(%1)"/>
      <w:numFmt w:val="decimal"/>
      <w:start w:val="56"/>
    </w:lvl>
  </w:abstractNum>
  <w:abstractNum w:abstractNumId="838">
    <w:nsid w:val="56BF33F6"/>
    <w:multiLevelType w:val="hybridMultilevel"/>
    <w:lvl w:ilvl="0">
      <w:lvlJc w:val="left"/>
      <w:lvlText w:val="(%1)"/>
      <w:numFmt w:val="decimal"/>
      <w:start w:val="702"/>
    </w:lvl>
  </w:abstractNum>
  <w:abstractNum w:abstractNumId="839">
    <w:nsid w:val="6C3A37B1"/>
    <w:multiLevelType w:val="hybridMultilevel"/>
    <w:lvl w:ilvl="0">
      <w:lvlJc w:val="left"/>
      <w:lvlText w:val="-"/>
      <w:numFmt w:val="bullet"/>
      <w:start w:val="1"/>
    </w:lvl>
    <w:lvl w:ilvl="1">
      <w:lvlJc w:val="left"/>
      <w:lvlText w:val="$"/>
      <w:numFmt w:val="bullet"/>
      <w:start w:val="1"/>
    </w:lvl>
  </w:abstractNum>
  <w:abstractNum w:abstractNumId="840">
    <w:nsid w:val="696DA7C9"/>
    <w:multiLevelType w:val="hybridMultilevel"/>
    <w:lvl w:ilvl="0">
      <w:lvlJc w:val="left"/>
      <w:lvlText w:val="(%1)"/>
      <w:numFmt w:val="decimal"/>
      <w:start w:val="1"/>
    </w:lvl>
  </w:abstractNum>
  <w:abstractNum w:abstractNumId="841">
    <w:nsid w:val="728FACB1"/>
    <w:multiLevelType w:val="hybridMultilevel"/>
    <w:lvl w:ilvl="0">
      <w:lvlJc w:val="left"/>
      <w:lvlText w:val="-"/>
      <w:numFmt w:val="bullet"/>
      <w:start w:val="1"/>
    </w:lvl>
  </w:abstractNum>
  <w:abstractNum w:abstractNumId="842">
    <w:nsid w:val="EF9AD2F"/>
    <w:multiLevelType w:val="hybridMultilevel"/>
    <w:lvl w:ilvl="0">
      <w:lvlJc w:val="left"/>
      <w:lvlText w:val="-"/>
      <w:numFmt w:val="bullet"/>
      <w:start w:val="1"/>
    </w:lvl>
    <w:lvl w:ilvl="1">
      <w:lvlJc w:val="left"/>
      <w:lvlText w:val="$"/>
      <w:numFmt w:val="bullet"/>
      <w:start w:val="1"/>
    </w:lvl>
  </w:abstractNum>
  <w:abstractNum w:abstractNumId="843">
    <w:nsid w:val="2545A7C9"/>
    <w:multiLevelType w:val="hybridMultilevel"/>
    <w:lvl w:ilvl="0">
      <w:lvlJc w:val="left"/>
      <w:lvlText w:val="(%1)"/>
      <w:numFmt w:val="decimal"/>
      <w:start w:val="1"/>
    </w:lvl>
  </w:abstractNum>
  <w:abstractNum w:abstractNumId="844">
    <w:nsid w:val="495A99DC"/>
    <w:multiLevelType w:val="hybridMultilevel"/>
    <w:lvl w:ilvl="0">
      <w:lvlJc w:val="left"/>
      <w:lvlText w:val="(%1)"/>
      <w:numFmt w:val="decimal"/>
      <w:start w:val="1"/>
    </w:lvl>
  </w:abstractNum>
  <w:abstractNum w:abstractNumId="845">
    <w:nsid w:val="6C3DB3C4"/>
    <w:multiLevelType w:val="hybridMultilevel"/>
    <w:lvl w:ilvl="0">
      <w:lvlJc w:val="left"/>
      <w:lvlText w:val="-----"/>
      <w:numFmt w:val="bullet"/>
      <w:start w:val="1"/>
    </w:lvl>
  </w:abstractNum>
  <w:abstractNum w:abstractNumId="846">
    <w:nsid w:val="55EFC6"/>
    <w:multiLevelType w:val="hybridMultilevel"/>
    <w:lvl w:ilvl="0">
      <w:lvlJc w:val="left"/>
      <w:lvlText w:val="$"/>
      <w:numFmt w:val="bullet"/>
      <w:start w:val="1"/>
    </w:lvl>
  </w:abstractNum>
  <w:abstractNum w:abstractNumId="847">
    <w:nsid w:val="57F93E98"/>
    <w:multiLevelType w:val="hybridMultilevel"/>
    <w:lvl w:ilvl="0">
      <w:lvlJc w:val="left"/>
      <w:lvlText w:val="(%1)"/>
      <w:numFmt w:val="decimal"/>
      <w:start w:val="24"/>
    </w:lvl>
  </w:abstractNum>
  <w:abstractNum w:abstractNumId="848">
    <w:nsid w:val="17BA092C"/>
    <w:multiLevelType w:val="hybridMultilevel"/>
    <w:lvl w:ilvl="0">
      <w:lvlJc w:val="left"/>
      <w:lvlText w:val="(%1)"/>
      <w:numFmt w:val="decimal"/>
      <w:start w:val="948"/>
    </w:lvl>
  </w:abstractNum>
  <w:abstractNum w:abstractNumId="849">
    <w:nsid w:val="46E70111"/>
    <w:multiLevelType w:val="hybridMultilevel"/>
    <w:lvl w:ilvl="0">
      <w:lvlJc w:val="left"/>
      <w:lvlText w:val="-"/>
      <w:numFmt w:val="bullet"/>
      <w:start w:val="1"/>
    </w:lvl>
    <w:lvl w:ilvl="1">
      <w:lvlJc w:val="left"/>
      <w:lvlText w:val="$"/>
      <w:numFmt w:val="bullet"/>
      <w:start w:val="1"/>
    </w:lvl>
  </w:abstractNum>
  <w:abstractNum w:abstractNumId="850">
    <w:nsid w:val="33A737F7"/>
    <w:multiLevelType w:val="hybridMultilevel"/>
    <w:lvl w:ilvl="0">
      <w:lvlJc w:val="left"/>
      <w:lvlText w:val="(%1)"/>
      <w:numFmt w:val="decimal"/>
      <w:start w:val="1"/>
    </w:lvl>
  </w:abstractNum>
  <w:abstractNum w:abstractNumId="851">
    <w:nsid w:val="E766383"/>
    <w:multiLevelType w:val="hybridMultilevel"/>
    <w:lvl w:ilvl="0">
      <w:lvlJc w:val="left"/>
      <w:lvlText w:val="---"/>
      <w:numFmt w:val="bullet"/>
      <w:start w:val="1"/>
    </w:lvl>
  </w:abstractNum>
  <w:abstractNum w:abstractNumId="852">
    <w:nsid w:val="3344C4D6"/>
    <w:multiLevelType w:val="hybridMultilevel"/>
    <w:lvl w:ilvl="0">
      <w:lvlJc w:val="left"/>
      <w:lvlText w:val="(%1)"/>
      <w:numFmt w:val="decimal"/>
      <w:start w:val="1"/>
    </w:lvl>
  </w:abstractNum>
  <w:abstractNum w:abstractNumId="853">
    <w:nsid w:val="5E2C28EE"/>
    <w:multiLevelType w:val="hybridMultilevel"/>
    <w:lvl w:ilvl="0">
      <w:lvlJc w:val="left"/>
      <w:lvlText w:val="$"/>
      <w:numFmt w:val="bullet"/>
      <w:start w:val="1"/>
    </w:lvl>
  </w:abstractNum>
  <w:abstractNum w:abstractNumId="854">
    <w:nsid w:val="9AE133E"/>
    <w:multiLevelType w:val="hybridMultilevel"/>
    <w:lvl w:ilvl="0">
      <w:lvlJc w:val="left"/>
      <w:lvlText w:val="(%1)"/>
      <w:numFmt w:val="decimal"/>
      <w:start w:val="1"/>
    </w:lvl>
  </w:abstractNum>
  <w:abstractNum w:abstractNumId="855">
    <w:nsid w:val="247D7CEF"/>
    <w:multiLevelType w:val="hybridMultilevel"/>
    <w:lvl w:ilvl="0">
      <w:lvlJc w:val="left"/>
      <w:lvlText w:val="-----"/>
      <w:numFmt w:val="bullet"/>
      <w:start w:val="1"/>
    </w:lvl>
  </w:abstractNum>
  <w:abstractNum w:abstractNumId="856">
    <w:nsid w:val="43D60C21"/>
    <w:multiLevelType w:val="hybridMultilevel"/>
    <w:lvl w:ilvl="0">
      <w:lvlJc w:val="left"/>
      <w:lvlText w:val="(%1)"/>
      <w:numFmt w:val="decimal"/>
      <w:start w:val="1"/>
    </w:lvl>
  </w:abstractNum>
  <w:abstractNum w:abstractNumId="857">
    <w:nsid w:val="15DD687E"/>
    <w:multiLevelType w:val="hybridMultilevel"/>
    <w:lvl w:ilvl="0">
      <w:lvlJc w:val="left"/>
      <w:lvlText w:val="---"/>
      <w:numFmt w:val="bullet"/>
      <w:start w:val="1"/>
    </w:lvl>
  </w:abstractNum>
  <w:abstractNum w:abstractNumId="858">
    <w:nsid w:val="CD5DB95"/>
    <w:multiLevelType w:val="hybridMultilevel"/>
    <w:lvl w:ilvl="0">
      <w:lvlJc w:val="left"/>
      <w:lvlText w:val="-"/>
      <w:numFmt w:val="bullet"/>
      <w:start w:val="1"/>
    </w:lvl>
    <w:lvl w:ilvl="1">
      <w:lvlJc w:val="left"/>
      <w:lvlText w:val="$"/>
      <w:numFmt w:val="bullet"/>
      <w:start w:val="1"/>
    </w:lvl>
  </w:abstractNum>
  <w:abstractNum w:abstractNumId="859">
    <w:nsid w:val="35569F99"/>
    <w:multiLevelType w:val="hybridMultilevel"/>
    <w:lvl w:ilvl="0">
      <w:lvlJc w:val="left"/>
      <w:lvlText w:val="(%1)"/>
      <w:numFmt w:val="decimal"/>
      <w:start w:val="1"/>
    </w:lvl>
  </w:abstractNum>
  <w:abstractNum w:abstractNumId="860">
    <w:nsid w:val="73FBF336"/>
    <w:multiLevelType w:val="hybridMultilevel"/>
    <w:lvl w:ilvl="0">
      <w:lvlJc w:val="left"/>
      <w:lvlText w:val="$"/>
      <w:numFmt w:val="bullet"/>
      <w:start w:val="1"/>
    </w:lvl>
  </w:abstractNum>
  <w:abstractNum w:abstractNumId="861">
    <w:nsid w:val="6BED4A53"/>
    <w:multiLevelType w:val="hybridMultilevel"/>
    <w:lvl w:ilvl="0">
      <w:lvlJc w:val="left"/>
      <w:lvlText w:val="(%1)"/>
      <w:numFmt w:val="decimal"/>
      <w:start w:val="77"/>
    </w:lvl>
  </w:abstractNum>
  <w:abstractNum w:abstractNumId="862">
    <w:nsid w:val="127E6585"/>
    <w:multiLevelType w:val="hybridMultilevel"/>
    <w:lvl w:ilvl="0">
      <w:lvlJc w:val="left"/>
      <w:lvlText w:val="(%1)"/>
      <w:numFmt w:val="decimal"/>
      <w:start w:val="1"/>
    </w:lvl>
  </w:abstractNum>
  <w:abstractNum w:abstractNumId="863">
    <w:nsid w:val="518AFBEE"/>
    <w:multiLevelType w:val="hybridMultilevel"/>
    <w:lvl w:ilvl="0">
      <w:lvlJc w:val="left"/>
      <w:lvlText w:val="-"/>
      <w:numFmt w:val="bullet"/>
      <w:start w:val="1"/>
    </w:lvl>
  </w:abstractNum>
  <w:abstractNum w:abstractNumId="864">
    <w:nsid w:val="3F754C7B"/>
    <w:multiLevelType w:val="hybridMultilevel"/>
    <w:lvl w:ilvl="0">
      <w:lvlJc w:val="left"/>
      <w:lvlText w:val="--"/>
      <w:numFmt w:val="bullet"/>
      <w:start w:val="1"/>
    </w:lvl>
  </w:abstractNum>
  <w:abstractNum w:abstractNumId="865">
    <w:nsid w:val="610FA1D6"/>
    <w:multiLevelType w:val="hybridMultilevel"/>
    <w:lvl w:ilvl="0">
      <w:lvlJc w:val="left"/>
      <w:lvlText w:val="(%1)"/>
      <w:numFmt w:val="decimal"/>
      <w:start w:val="570"/>
    </w:lvl>
  </w:abstractNum>
  <w:abstractNum w:abstractNumId="866">
    <w:nsid w:val="5048B22C"/>
    <w:multiLevelType w:val="hybridMultilevel"/>
    <w:lvl w:ilvl="0">
      <w:lvlJc w:val="left"/>
      <w:lvlText w:val="----"/>
      <w:numFmt w:val="bullet"/>
      <w:start w:val="1"/>
    </w:lvl>
  </w:abstractNum>
  <w:abstractNum w:abstractNumId="867">
    <w:nsid w:val="257273DB"/>
    <w:multiLevelType w:val="hybridMultilevel"/>
    <w:lvl w:ilvl="0">
      <w:lvlJc w:val="left"/>
      <w:lvlText w:val="--"/>
      <w:numFmt w:val="bullet"/>
      <w:start w:val="1"/>
    </w:lvl>
  </w:abstractNum>
  <w:abstractNum w:abstractNumId="868">
    <w:nsid w:val="3B192CFD"/>
    <w:multiLevelType w:val="hybridMultilevel"/>
    <w:lvl w:ilvl="0">
      <w:lvlJc w:val="left"/>
      <w:lvlText w:val="(%1)"/>
      <w:numFmt w:val="decimal"/>
      <w:start w:val="34"/>
    </w:lvl>
  </w:abstractNum>
  <w:abstractNum w:abstractNumId="869">
    <w:nsid w:val="2707E622"/>
    <w:multiLevelType w:val="hybridMultilevel"/>
    <w:lvl w:ilvl="0">
      <w:lvlJc w:val="left"/>
      <w:lvlText w:val="----"/>
      <w:numFmt w:val="bullet"/>
      <w:start w:val="1"/>
    </w:lvl>
  </w:abstractNum>
  <w:abstractNum w:abstractNumId="870">
    <w:nsid w:val="11ACAB8C"/>
    <w:multiLevelType w:val="hybridMultilevel"/>
    <w:lvl w:ilvl="0">
      <w:lvlJc w:val="left"/>
      <w:lvlText w:val="-"/>
      <w:numFmt w:val="bullet"/>
      <w:start w:val="1"/>
    </w:lvl>
  </w:abstractNum>
  <w:abstractNum w:abstractNumId="871">
    <w:nsid w:val="2486D4C7"/>
    <w:multiLevelType w:val="hybridMultilevel"/>
    <w:lvl w:ilvl="0">
      <w:lvlJc w:val="left"/>
      <w:lvlText w:val="--"/>
      <w:numFmt w:val="bullet"/>
      <w:start w:val="1"/>
    </w:lvl>
  </w:abstractNum>
  <w:abstractNum w:abstractNumId="872">
    <w:nsid w:val="199792D3"/>
    <w:multiLevelType w:val="hybridMultilevel"/>
    <w:lvl w:ilvl="0">
      <w:lvlJc w:val="left"/>
      <w:lvlText w:val="(%1)"/>
      <w:numFmt w:val="decimal"/>
      <w:start w:val="423"/>
    </w:lvl>
  </w:abstractNum>
  <w:abstractNum w:abstractNumId="873">
    <w:nsid w:val="20A658BB"/>
    <w:multiLevelType w:val="hybridMultilevel"/>
    <w:lvl w:ilvl="0">
      <w:lvlJc w:val="left"/>
      <w:lvlText w:val="(%1)"/>
      <w:numFmt w:val="lowerLetter"/>
      <w:start w:val="8"/>
    </w:lvl>
  </w:abstractNum>
  <w:abstractNum w:abstractNumId="874">
    <w:nsid w:val="49CC7C90"/>
    <w:multiLevelType w:val="hybridMultilevel"/>
    <w:lvl w:ilvl="0">
      <w:lvlJc w:val="left"/>
      <w:lvlText w:val="-"/>
      <w:numFmt w:val="bullet"/>
      <w:start w:val="1"/>
    </w:lvl>
  </w:abstractNum>
  <w:abstractNum w:abstractNumId="875">
    <w:nsid w:val="62F22CB0"/>
    <w:multiLevelType w:val="hybridMultilevel"/>
    <w:lvl w:ilvl="0">
      <w:lvlJc w:val="left"/>
      <w:lvlText w:val="-"/>
      <w:numFmt w:val="bullet"/>
      <w:start w:val="1"/>
    </w:lvl>
  </w:abstractNum>
  <w:abstractNum w:abstractNumId="876">
    <w:nsid w:val="CE40C80"/>
    <w:multiLevelType w:val="hybridMultilevel"/>
    <w:lvl w:ilvl="0">
      <w:lvlJc w:val="left"/>
      <w:lvlText w:val="----"/>
      <w:numFmt w:val="bullet"/>
      <w:start w:val="1"/>
    </w:lvl>
  </w:abstractNum>
  <w:abstractNum w:abstractNumId="877">
    <w:nsid w:val="4A226C56"/>
    <w:multiLevelType w:val="hybridMultilevel"/>
    <w:lvl w:ilvl="0">
      <w:lvlJc w:val="left"/>
      <w:lvlText w:val="===="/>
      <w:numFmt w:val="bullet"/>
      <w:start w:val="1"/>
    </w:lvl>
  </w:abstractNum>
  <w:abstractNum w:abstractNumId="878">
    <w:nsid w:val="3AEB6B48"/>
    <w:multiLevelType w:val="hybridMultilevel"/>
    <w:lvl w:ilvl="0">
      <w:lvlJc w:val="left"/>
      <w:lvlText w:val="--"/>
      <w:numFmt w:val="bullet"/>
      <w:start w:val="1"/>
    </w:lvl>
  </w:abstractNum>
  <w:abstractNum w:abstractNumId="879">
    <w:nsid w:val="249E15AC"/>
    <w:multiLevelType w:val="hybridMultilevel"/>
    <w:lvl w:ilvl="0">
      <w:lvlJc w:val="left"/>
      <w:lvlText w:val="-"/>
      <w:numFmt w:val="bullet"/>
      <w:start w:val="1"/>
    </w:lvl>
  </w:abstractNum>
  <w:abstractNum w:abstractNumId="880">
    <w:nsid w:val="11096D68"/>
    <w:multiLevelType w:val="hybridMultilevel"/>
    <w:lvl w:ilvl="0">
      <w:lvlJc w:val="left"/>
      <w:lvlText w:val="-"/>
      <w:numFmt w:val="bullet"/>
      <w:start w:val="1"/>
    </w:lvl>
  </w:abstractNum>
  <w:abstractNum w:abstractNumId="881">
    <w:nsid w:val="6E92A33F"/>
    <w:multiLevelType w:val="hybridMultilevel"/>
    <w:lvl w:ilvl="0">
      <w:lvlJc w:val="left"/>
      <w:lvlText w:val="(%1)"/>
      <w:numFmt w:val="decimal"/>
      <w:start w:val="126"/>
    </w:lvl>
  </w:abstractNum>
  <w:abstractNum w:abstractNumId="882">
    <w:nsid w:val="3314792F"/>
    <w:multiLevelType w:val="hybridMultilevel"/>
    <w:lvl w:ilvl="0">
      <w:lvlJc w:val="left"/>
      <w:lvlText w:val="---"/>
      <w:numFmt w:val="bullet"/>
      <w:start w:val="1"/>
    </w:lvl>
  </w:abstractNum>
  <w:abstractNum w:abstractNumId="883">
    <w:nsid w:val="444E323E"/>
    <w:multiLevelType w:val="hybridMultilevel"/>
    <w:lvl w:ilvl="0">
      <w:lvlJc w:val="left"/>
      <w:lvlText w:val="$"/>
      <w:numFmt w:val="bullet"/>
      <w:start w:val="1"/>
    </w:lvl>
  </w:abstractNum>
  <w:abstractNum w:abstractNumId="884">
    <w:nsid w:val="4CBECC2D"/>
    <w:multiLevelType w:val="hybridMultilevel"/>
    <w:lvl w:ilvl="0">
      <w:lvlJc w:val="left"/>
      <w:lvlText w:val="(%1)"/>
      <w:numFmt w:val="lowerLetter"/>
      <w:start w:val="1"/>
    </w:lvl>
  </w:abstractNum>
  <w:abstractNum w:abstractNumId="885">
    <w:nsid w:val="3CC28C6E"/>
    <w:multiLevelType w:val="hybridMultilevel"/>
    <w:lvl w:ilvl="0">
      <w:lvlJc w:val="left"/>
      <w:lvlText w:val="(%1)"/>
      <w:numFmt w:val="lowerLetter"/>
      <w:start w:val="4"/>
    </w:lvl>
  </w:abstractNum>
  <w:abstractNum w:abstractNumId="886">
    <w:nsid w:val="68CBAF2D"/>
    <w:multiLevelType w:val="hybridMultilevel"/>
    <w:lvl w:ilvl="0">
      <w:lvlJc w:val="left"/>
      <w:lvlText w:val="(%1)"/>
      <w:numFmt w:val="lowerLetter"/>
      <w:start w:val="8"/>
    </w:lvl>
  </w:abstractNum>
  <w:abstractNum w:abstractNumId="887">
    <w:nsid w:val="1094D84E"/>
    <w:multiLevelType w:val="hybridMultilevel"/>
    <w:lvl w:ilvl="0">
      <w:lvlJc w:val="left"/>
      <w:lvlText w:val="(%1)"/>
      <w:numFmt w:val="lowerLetter"/>
      <w:start w:val="2"/>
    </w:lvl>
  </w:abstractNum>
  <w:abstractNum w:abstractNumId="888">
    <w:nsid w:val="529FF4EC"/>
    <w:multiLevelType w:val="hybridMultilevel"/>
    <w:lvl w:ilvl="0">
      <w:lvlJc w:val="left"/>
      <w:lvlText w:val="%1."/>
      <w:numFmt w:val="decimal"/>
      <w:start w:val="1"/>
    </w:lvl>
    <w:lvl w:ilvl="1">
      <w:lvlJc w:val="left"/>
      <w:lvlText w:val="(%2)"/>
      <w:numFmt w:val="lowerLetter"/>
      <w:start w:val="1"/>
    </w:lvl>
  </w:abstractNum>
  <w:abstractNum w:abstractNumId="889">
    <w:nsid w:val="75A18AC2"/>
    <w:multiLevelType w:val="hybridMultilevel"/>
    <w:lvl w:ilvl="0">
      <w:lvlJc w:val="left"/>
      <w:lvlText w:val="%1."/>
      <w:numFmt w:val="decimal"/>
      <w:start w:val="2"/>
    </w:lvl>
    <w:lvl w:ilvl="1">
      <w:lvlJc w:val="left"/>
      <w:lvlText w:val="(%2)"/>
      <w:numFmt w:val="lowerLetter"/>
      <w:start w:val="1"/>
    </w:lvl>
  </w:abstractNum>
  <w:abstractNum w:abstractNumId="890">
    <w:nsid w:val="45EB77E8"/>
    <w:multiLevelType w:val="hybridMultilevel"/>
    <w:lvl w:ilvl="0">
      <w:lvlJc w:val="left"/>
      <w:lvlText w:val="(%1)"/>
      <w:numFmt w:val="lowerLetter"/>
      <w:start w:val="1"/>
    </w:lvl>
  </w:abstractNum>
  <w:abstractNum w:abstractNumId="891">
    <w:nsid w:val="469BE822"/>
    <w:multiLevelType w:val="hybridMultilevel"/>
    <w:lvl w:ilvl="0">
      <w:lvlJc w:val="left"/>
      <w:lvlText w:val="%1"/>
      <w:numFmt w:val="decimal"/>
      <w:start w:val="1"/>
    </w:lvl>
    <w:lvl w:ilvl="1">
      <w:lvlJc w:val="left"/>
      <w:lvlText w:val="(%2)"/>
      <w:numFmt w:val="lowerLetter"/>
      <w:start w:val="2"/>
    </w:lvl>
  </w:abstractNum>
  <w:abstractNum w:abstractNumId="892">
    <w:nsid w:val="618ED516"/>
    <w:multiLevelType w:val="hybridMultilevel"/>
    <w:lvl w:ilvl="0">
      <w:lvlJc w:val="left"/>
      <w:lvlText w:val="%1."/>
      <w:numFmt w:val="decimal"/>
      <w:start w:val="4"/>
    </w:lvl>
    <w:lvl w:ilvl="1">
      <w:lvlJc w:val="left"/>
      <w:lvlText w:val="(%2)"/>
      <w:numFmt w:val="lowerLetter"/>
      <w:start w:val="1"/>
    </w:lvl>
  </w:abstractNum>
  <w:abstractNum w:abstractNumId="893">
    <w:nsid w:val="5869DD6D"/>
    <w:multiLevelType w:val="hybridMultilevel"/>
    <w:lvl w:ilvl="0">
      <w:lvlJc w:val="left"/>
      <w:lvlText w:val="(%1)"/>
      <w:numFmt w:val="upperLetter"/>
      <w:start w:val="35"/>
    </w:lvl>
  </w:abstractNum>
  <w:abstractNum w:abstractNumId="894">
    <w:nsid w:val="1826E411"/>
    <w:multiLevelType w:val="hybridMultilevel"/>
    <w:lvl w:ilvl="0">
      <w:lvlJc w:val="left"/>
      <w:lvlText w:val="(%1)"/>
      <w:numFmt w:val="upperLetter"/>
      <w:start w:val="61"/>
    </w:lvl>
  </w:abstractNum>
  <w:abstractNum w:abstractNumId="895">
    <w:nsid w:val="21042191"/>
    <w:multiLevelType w:val="hybridMultilevel"/>
    <w:lvl w:ilvl="0">
      <w:lvlJc w:val="left"/>
      <w:lvlText w:val="%1"/>
      <w:numFmt w:val="upperLetter"/>
      <w:start w:val="1"/>
    </w:lvl>
    <w:lvl w:ilvl="1">
      <w:lvlJc w:val="left"/>
      <w:lvlText w:val="(%2)"/>
      <w:numFmt w:val="lowerLetter"/>
      <w:start w:val="2"/>
    </w:lvl>
  </w:abstractNum>
  <w:abstractNum w:abstractNumId="896">
    <w:nsid w:val="39797F44"/>
    <w:multiLevelType w:val="hybridMultilevel"/>
    <w:lvl w:ilvl="0">
      <w:lvlJc w:val="left"/>
      <w:lvlText w:val="(%1)"/>
      <w:numFmt w:val="upperLetter"/>
      <w:start w:val="2"/>
    </w:lvl>
    <w:lvl w:ilvl="1">
      <w:lvlJc w:val="left"/>
      <w:lvlText w:val="%2"/>
      <w:numFmt w:val="lowerLetter"/>
      <w:start w:val="1"/>
    </w:lvl>
  </w:abstractNum>
  <w:abstractNum w:abstractNumId="897">
    <w:nsid w:val="686F963D"/>
    <w:multiLevelType w:val="hybridMultilevel"/>
    <w:lvl w:ilvl="0">
      <w:lvlJc w:val="left"/>
      <w:lvlText w:val="(%1)"/>
      <w:numFmt w:val="lowerRoman"/>
      <w:start w:val="2"/>
    </w:lvl>
  </w:abstractNum>
  <w:abstractNum w:abstractNumId="898">
    <w:nsid w:val="4676956C"/>
    <w:multiLevelType w:val="hybridMultilevel"/>
    <w:lvl w:ilvl="0">
      <w:lvlJc w:val="left"/>
      <w:lvlText w:val="(%1)"/>
      <w:numFmt w:val="lowerLetter"/>
      <w:start w:val="4"/>
    </w:lvl>
  </w:abstractNum>
  <w:abstractNum w:abstractNumId="899">
    <w:nsid w:val="7492AC41"/>
    <w:multiLevelType w:val="hybridMultilevel"/>
    <w:lvl w:ilvl="0">
      <w:lvlJc w:val="left"/>
      <w:lvlText w:val="(%1)"/>
      <w:numFmt w:val="lowerLetter"/>
      <w:start w:val="5"/>
    </w:lvl>
  </w:abstractNum>
  <w:abstractNum w:abstractNumId="900">
    <w:nsid w:val="F777C5F"/>
    <w:multiLevelType w:val="hybridMultilevel"/>
    <w:lvl w:ilvl="0">
      <w:lvlJc w:val="left"/>
      <w:lvlText w:val="%1."/>
      <w:numFmt w:val="decimal"/>
      <w:start w:val="5"/>
    </w:lvl>
    <w:lvl w:ilvl="1">
      <w:lvlJc w:val="left"/>
      <w:lvlText w:val="(%2)"/>
      <w:numFmt w:val="lowerLetter"/>
      <w:start w:val="1"/>
    </w:lvl>
  </w:abstractNum>
  <w:abstractNum w:abstractNumId="901">
    <w:nsid w:val="582340F8"/>
    <w:multiLevelType w:val="hybridMultilevel"/>
    <w:lvl w:ilvl="0">
      <w:lvlJc w:val="left"/>
      <w:lvlText w:val="(%1)"/>
      <w:numFmt w:val="lowerLetter"/>
      <w:start w:val="2"/>
    </w:lvl>
  </w:abstractNum>
  <w:abstractNum w:abstractNumId="902">
    <w:nsid w:val="19198108"/>
    <w:multiLevelType w:val="hybridMultilevel"/>
    <w:lvl w:ilvl="0">
      <w:lvlJc w:val="left"/>
      <w:lvlText w:val="%1"/>
      <w:numFmt w:val="decimal"/>
      <w:start w:val="1"/>
    </w:lvl>
    <w:lvl w:ilvl="1">
      <w:lvlJc w:val="left"/>
      <w:lvlText w:val="(%2)"/>
      <w:numFmt w:val="lowerLetter"/>
      <w:start w:val="6"/>
    </w:lvl>
  </w:abstractNum>
  <w:abstractNum w:abstractNumId="903">
    <w:nsid w:val="290F0F32"/>
    <w:multiLevelType w:val="hybridMultilevel"/>
    <w:lvl w:ilvl="0">
      <w:lvlJc w:val="left"/>
      <w:lvlText w:val="%1."/>
      <w:numFmt w:val="decimal"/>
      <w:start w:val="6"/>
    </w:lvl>
    <w:lvl w:ilvl="1">
      <w:lvlJc w:val="left"/>
      <w:lvlText w:val="%2"/>
      <w:numFmt w:val="lowerLetter"/>
      <w:start w:val="1"/>
    </w:lvl>
  </w:abstractNum>
  <w:abstractNum w:abstractNumId="904">
    <w:nsid w:val="78C999B4"/>
    <w:multiLevelType w:val="hybridMultilevel"/>
    <w:lvl w:ilvl="0">
      <w:lvlJc w:val="left"/>
      <w:lvlText w:val="(%1)"/>
      <w:numFmt w:val="lowerLetter"/>
      <w:start w:val="3"/>
    </w:lvl>
  </w:abstractNum>
  <w:abstractNum w:abstractNumId="905">
    <w:nsid w:val="62E5FD99"/>
    <w:multiLevelType w:val="hybridMultilevel"/>
    <w:lvl w:ilvl="0">
      <w:lvlJc w:val="left"/>
      <w:lvlText w:val="(%1)"/>
      <w:numFmt w:val="lowerRoman"/>
      <w:start w:val="2"/>
    </w:lvl>
  </w:abstractNum>
  <w:abstractNum w:abstractNumId="906">
    <w:nsid w:val="C013BE2"/>
    <w:multiLevelType w:val="hybridMultilevel"/>
    <w:lvl w:ilvl="0">
      <w:lvlJc w:val="left"/>
      <w:lvlText w:val="%1."/>
      <w:numFmt w:val="decimal"/>
      <w:start w:val="7"/>
    </w:lvl>
  </w:abstractNum>
  <w:abstractNum w:abstractNumId="907">
    <w:nsid w:val="5ADA634"/>
    <w:multiLevelType w:val="hybridMultilevel"/>
    <w:lvl w:ilvl="0">
      <w:lvlJc w:val="left"/>
      <w:lvlText w:val="%1."/>
      <w:numFmt w:val="decimal"/>
      <w:start w:val="8"/>
    </w:lvl>
    <w:lvl w:ilvl="1">
      <w:lvlJc w:val="left"/>
      <w:lvlText w:val="(%2)"/>
      <w:numFmt w:val="lowerLetter"/>
      <w:start w:val="1"/>
    </w:lvl>
  </w:abstractNum>
  <w:abstractNum w:abstractNumId="908">
    <w:nsid w:val="2D0869EF"/>
    <w:multiLevelType w:val="hybridMultilevel"/>
    <w:lvl w:ilvl="0">
      <w:lvlJc w:val="left"/>
      <w:lvlText w:val="%1"/>
      <w:numFmt w:val="decimal"/>
      <w:start w:val="1"/>
    </w:lvl>
    <w:lvl w:ilvl="1">
      <w:lvlJc w:val="left"/>
      <w:lvlText w:val="(%2)"/>
      <w:numFmt w:val="lowerLetter"/>
      <w:start w:val="2"/>
    </w:lvl>
  </w:abstractNum>
  <w:abstractNum w:abstractNumId="909">
    <w:nsid w:val="46ECA72A"/>
    <w:multiLevelType w:val="hybridMultilevel"/>
    <w:lvl w:ilvl="0">
      <w:lvlJc w:val="left"/>
      <w:lvlText w:val="%1."/>
      <w:numFmt w:val="decimal"/>
      <w:start w:val="9"/>
    </w:lvl>
    <w:lvl w:ilvl="1">
      <w:lvlJc w:val="left"/>
      <w:lvlText w:val="%2"/>
      <w:numFmt w:val="lowerLetter"/>
      <w:start w:val="1"/>
    </w:lvl>
  </w:abstractNum>
  <w:abstractNum w:abstractNumId="910">
    <w:nsid w:val="2A4BBBE0"/>
    <w:multiLevelType w:val="hybridMultilevel"/>
    <w:lvl w:ilvl="0">
      <w:lvlJc w:val="left"/>
      <w:lvlText w:val="(%1)"/>
      <w:numFmt w:val="lowerLetter"/>
      <w:start w:val="2"/>
    </w:lvl>
  </w:abstractNum>
  <w:abstractNum w:abstractNumId="911">
    <w:nsid w:val="3E11D757"/>
    <w:multiLevelType w:val="hybridMultilevel"/>
    <w:lvl w:ilvl="0">
      <w:lvlJc w:val="left"/>
      <w:lvlText w:val="(%1)"/>
      <w:numFmt w:val="lowerLetter"/>
      <w:start w:val="1"/>
    </w:lvl>
  </w:abstractNum>
  <w:abstractNum w:abstractNumId="912">
    <w:nsid w:val="357F4A69"/>
    <w:multiLevelType w:val="hybridMultilevel"/>
    <w:lvl w:ilvl="0">
      <w:lvlJc w:val="left"/>
      <w:lvlText w:val="(%1)"/>
      <w:numFmt w:val="lowerLetter"/>
      <w:start w:val="2"/>
    </w:lvl>
  </w:abstractNum>
  <w:abstractNum w:abstractNumId="913">
    <w:nsid w:val="5D603510"/>
    <w:multiLevelType w:val="hybridMultilevel"/>
    <w:lvl w:ilvl="0">
      <w:lvlJc w:val="left"/>
      <w:lvlText w:val="(%1)"/>
      <w:numFmt w:val="lowerRoman"/>
      <w:start w:val="2"/>
    </w:lvl>
  </w:abstractNum>
  <w:abstractNum w:abstractNumId="914">
    <w:nsid w:val="2600995"/>
    <w:multiLevelType w:val="hybridMultilevel"/>
    <w:lvl w:ilvl="0">
      <w:lvlJc w:val="left"/>
      <w:lvlText w:val="%1."/>
      <w:numFmt w:val="decimal"/>
      <w:start w:val="1"/>
    </w:lvl>
  </w:abstractNum>
  <w:abstractNum w:abstractNumId="915">
    <w:nsid w:val="23E1696"/>
    <w:multiLevelType w:val="hybridMultilevel"/>
    <w:lvl w:ilvl="0">
      <w:lvlJc w:val="left"/>
      <w:lvlText w:val="%1"/>
      <w:numFmt w:val="decimal"/>
      <w:start w:val="1"/>
    </w:lvl>
    <w:lvl w:ilvl="1">
      <w:lvlJc w:val="left"/>
      <w:lvlText w:val="(%2)"/>
      <w:numFmt w:val="lowerLetter"/>
      <w:start w:val="1"/>
    </w:lvl>
  </w:abstractNum>
  <w:abstractNum w:abstractNumId="916">
    <w:nsid w:val="1A22C17E"/>
    <w:multiLevelType w:val="hybridMultilevel"/>
    <w:lvl w:ilvl="0">
      <w:lvlJc w:val="left"/>
      <w:lvlText w:val="%1."/>
      <w:numFmt w:val="decimal"/>
      <w:start w:val="2"/>
    </w:lvl>
    <w:lvl w:ilvl="1">
      <w:lvlJc w:val="left"/>
      <w:lvlText w:val="%2"/>
      <w:numFmt w:val="lowerLetter"/>
      <w:start w:val="1"/>
    </w:lvl>
  </w:abstractNum>
  <w:abstractNum w:abstractNumId="917">
    <w:nsid w:val="6B2BB8C2"/>
    <w:multiLevelType w:val="hybridMultilevel"/>
    <w:lvl w:ilvl="0">
      <w:lvlJc w:val="left"/>
      <w:lvlText w:val="%1"/>
      <w:numFmt w:val="decimal"/>
      <w:start w:val="1"/>
    </w:lvl>
    <w:lvl w:ilvl="1">
      <w:lvlJc w:val="left"/>
      <w:lvlText w:val="(%2)"/>
      <w:numFmt w:val="lowerLetter"/>
      <w:start w:val="1"/>
    </w:lvl>
  </w:abstractNum>
  <w:abstractNum w:abstractNumId="918">
    <w:nsid w:val="12D2EEE5"/>
    <w:multiLevelType w:val="hybridMultilevel"/>
    <w:lvl w:ilvl="0">
      <w:lvlJc w:val="left"/>
      <w:lvlText w:val="%1."/>
      <w:numFmt w:val="decimal"/>
      <w:start w:val="3"/>
    </w:lvl>
    <w:lvl w:ilvl="1">
      <w:lvlJc w:val="left"/>
      <w:lvlText w:val="%2"/>
      <w:numFmt w:val="lowerLetter"/>
      <w:start w:val="1"/>
    </w:lvl>
  </w:abstractNum>
  <w:abstractNum w:abstractNumId="919">
    <w:nsid w:val="6CC2B66A"/>
    <w:multiLevelType w:val="hybridMultilevel"/>
    <w:lvl w:ilvl="0">
      <w:lvlJc w:val="left"/>
      <w:lvlText w:val="%1."/>
      <w:numFmt w:val="decimal"/>
      <w:start w:val="4"/>
    </w:lvl>
  </w:abstractNum>
  <w:abstractNum w:abstractNumId="920">
    <w:nsid w:val="60CD4385"/>
    <w:multiLevelType w:val="hybridMultilevel"/>
    <w:lvl w:ilvl="0">
      <w:lvlJc w:val="left"/>
      <w:lvlText w:val="%1."/>
      <w:numFmt w:val="decimal"/>
      <w:start w:val="5"/>
    </w:lvl>
  </w:abstractNum>
  <w:abstractNum w:abstractNumId="921">
    <w:nsid w:val="58BE66CD"/>
    <w:multiLevelType w:val="hybridMultilevel"/>
    <w:lvl w:ilvl="0">
      <w:lvlJc w:val="left"/>
      <w:lvlText w:val="%1."/>
      <w:numFmt w:val="decimal"/>
      <w:start w:val="6"/>
    </w:lvl>
  </w:abstractNum>
  <w:abstractNum w:abstractNumId="922">
    <w:nsid w:val="335E9E8D"/>
    <w:multiLevelType w:val="hybridMultilevel"/>
    <w:lvl w:ilvl="0">
      <w:lvlJc w:val="left"/>
      <w:lvlText w:val="%1."/>
      <w:numFmt w:val="decimal"/>
      <w:start w:val="7"/>
    </w:lvl>
  </w:abstractNum>
  <w:abstractNum w:abstractNumId="923">
    <w:nsid w:val="425C189B"/>
    <w:multiLevelType w:val="hybridMultilevel"/>
    <w:lvl w:ilvl="0">
      <w:lvlJc w:val="left"/>
      <w:lvlText w:val="-"/>
      <w:numFmt w:val="bullet"/>
      <w:start w:val="1"/>
    </w:lvl>
  </w:abstractNum>
  <w:abstractNum w:abstractNumId="924">
    <w:nsid w:val="3128443A"/>
    <w:multiLevelType w:val="hybridMultilevel"/>
    <w:lvl w:ilvl="0">
      <w:lvlJc w:val="left"/>
      <w:lvlText w:val="%1."/>
      <w:numFmt w:val="decimal"/>
      <w:start w:val="1"/>
    </w:lvl>
  </w:abstractNum>
  <w:abstractNum w:abstractNumId="925">
    <w:nsid w:val="4B85829E"/>
    <w:multiLevelType w:val="hybridMultilevel"/>
    <w:lvl w:ilvl="0">
      <w:lvlJc w:val="left"/>
      <w:lvlText w:val="%1."/>
      <w:numFmt w:val="decimal"/>
      <w:start w:val="2"/>
    </w:lvl>
  </w:abstractNum>
  <w:abstractNum w:abstractNumId="926">
    <w:nsid w:val="63603A2C"/>
    <w:multiLevelType w:val="hybridMultilevel"/>
    <w:lvl w:ilvl="0">
      <w:lvlJc w:val="left"/>
      <w:lvlText w:val="%1."/>
      <w:numFmt w:val="decimal"/>
      <w:start w:val="3"/>
    </w:lvl>
  </w:abstractNum>
  <w:abstractNum w:abstractNumId="927">
    <w:nsid w:val="6AA1C37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2019-12-20T02:12:03Z</dcterms:created>
  <dcterms:modified xsi:type="dcterms:W3CDTF">2019-12-20T02:12:03Z</dcterms:modified>
</cp:coreProperties>
</file>