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5" w:lineRule="exact"/>
        <w:rPr>
          <w:sz w:val="24"/>
          <w:szCs w:val="24"/>
          <w:color w:val="auto"/>
        </w:rPr>
      </w:pPr>
    </w:p>
    <w:tbl>
      <w:tblPr>
        <w:tblLayout w:type="fixed"/>
        <w:tblInd w:w="1600" w:type="dxa"/>
        <w:tblCellMar>
          <w:top w:w="0" w:type="dxa"/>
          <w:left w:w="0" w:type="dxa"/>
          <w:bottom w:w="0" w:type="dxa"/>
          <w:right w:w="0" w:type="dxa"/>
        </w:tblCellMar>
      </w:tblPr>
      <w:tr>
        <w:trPr>
          <w:trHeight w:val="220"/>
        </w:trPr>
        <w:tc>
          <w:tcPr>
            <w:tcW w:w="5020" w:type="dxa"/>
            <w:vAlign w:val="bottom"/>
          </w:tcPr>
          <w:p>
            <w:pPr>
              <w:jc w:val="center"/>
              <w:ind w:right="2740"/>
              <w:spacing w:after="0"/>
              <w:rPr>
                <w:sz w:val="20"/>
                <w:szCs w:val="20"/>
                <w:color w:val="auto"/>
              </w:rPr>
            </w:pPr>
            <w:r>
              <w:rPr>
                <w:rFonts w:ascii="Arial" w:cs="Arial" w:eastAsia="Arial" w:hAnsi="Arial"/>
                <w:sz w:val="18"/>
                <w:szCs w:val="18"/>
                <w:b w:val="1"/>
                <w:bCs w:val="1"/>
                <w:color w:val="auto"/>
                <w:w w:val="96"/>
              </w:rPr>
              <w:t>PENNSYLVANIA</w:t>
            </w:r>
          </w:p>
        </w:tc>
        <w:tc>
          <w:tcPr>
            <w:tcW w:w="4800" w:type="dxa"/>
            <w:vAlign w:val="bottom"/>
          </w:tcPr>
          <w:p>
            <w:pPr>
              <w:jc w:val="center"/>
              <w:ind w:left="2742"/>
              <w:spacing w:after="0"/>
              <w:rPr>
                <w:sz w:val="20"/>
                <w:szCs w:val="20"/>
                <w:color w:val="auto"/>
              </w:rPr>
            </w:pPr>
            <w:r>
              <w:rPr>
                <w:rFonts w:ascii="Arial" w:cs="Arial" w:eastAsia="Arial" w:hAnsi="Arial"/>
                <w:sz w:val="18"/>
                <w:szCs w:val="18"/>
                <w:b w:val="1"/>
                <w:bCs w:val="1"/>
                <w:color w:val="auto"/>
                <w:w w:val="89"/>
              </w:rPr>
              <w:t>27-0000798</w:t>
            </w:r>
          </w:p>
        </w:tc>
      </w:tr>
      <w:tr>
        <w:trPr>
          <w:trHeight w:val="172"/>
        </w:trPr>
        <w:tc>
          <w:tcPr>
            <w:tcW w:w="5020" w:type="dxa"/>
            <w:vAlign w:val="bottom"/>
          </w:tcPr>
          <w:p>
            <w:pPr>
              <w:jc w:val="center"/>
              <w:ind w:right="2740"/>
              <w:spacing w:after="0"/>
              <w:rPr>
                <w:sz w:val="20"/>
                <w:szCs w:val="20"/>
                <w:color w:val="auto"/>
              </w:rPr>
            </w:pPr>
            <w:r>
              <w:rPr>
                <w:rFonts w:ascii="Arial" w:cs="Arial" w:eastAsia="Arial" w:hAnsi="Arial"/>
                <w:sz w:val="14"/>
                <w:szCs w:val="14"/>
                <w:color w:val="auto"/>
                <w:w w:val="88"/>
              </w:rPr>
              <w:t>(State of Incorporation or Organization)</w:t>
            </w:r>
          </w:p>
        </w:tc>
        <w:tc>
          <w:tcPr>
            <w:tcW w:w="4800" w:type="dxa"/>
            <w:vAlign w:val="bottom"/>
          </w:tcPr>
          <w:p>
            <w:pPr>
              <w:jc w:val="center"/>
              <w:ind w:left="2762"/>
              <w:spacing w:after="0"/>
              <w:rPr>
                <w:sz w:val="20"/>
                <w:szCs w:val="20"/>
                <w:color w:val="auto"/>
              </w:rPr>
            </w:pPr>
            <w:r>
              <w:rPr>
                <w:rFonts w:ascii="Arial" w:cs="Arial" w:eastAsia="Arial" w:hAnsi="Arial"/>
                <w:sz w:val="14"/>
                <w:szCs w:val="14"/>
                <w:color w:val="auto"/>
                <w:w w:val="90"/>
              </w:rPr>
              <w:t>(I.R.S. Employer Identification No.)</w:t>
            </w:r>
          </w:p>
        </w:tc>
      </w:tr>
      <w:tr>
        <w:trPr>
          <w:trHeight w:val="418"/>
        </w:trPr>
        <w:tc>
          <w:tcPr>
            <w:tcW w:w="5020" w:type="dxa"/>
            <w:vAlign w:val="bottom"/>
          </w:tcPr>
          <w:p>
            <w:pPr>
              <w:jc w:val="center"/>
              <w:ind w:right="2740"/>
              <w:spacing w:after="0"/>
              <w:rPr>
                <w:sz w:val="20"/>
                <w:szCs w:val="20"/>
                <w:color w:val="auto"/>
              </w:rPr>
            </w:pPr>
            <w:r>
              <w:rPr>
                <w:rFonts w:ascii="Arial" w:cs="Arial" w:eastAsia="Arial" w:hAnsi="Arial"/>
                <w:sz w:val="18"/>
                <w:szCs w:val="18"/>
                <w:b w:val="1"/>
                <w:bCs w:val="1"/>
                <w:color w:val="auto"/>
                <w:w w:val="87"/>
              </w:rPr>
              <w:t>One Comcast Center</w:t>
            </w:r>
          </w:p>
        </w:tc>
        <w:tc>
          <w:tcPr>
            <w:tcW w:w="4800" w:type="dxa"/>
            <w:vAlign w:val="bottom"/>
          </w:tcPr>
          <w:p>
            <w:pPr>
              <w:jc w:val="center"/>
              <w:ind w:left="2742"/>
              <w:spacing w:after="0"/>
              <w:rPr>
                <w:sz w:val="20"/>
                <w:szCs w:val="20"/>
                <w:color w:val="auto"/>
              </w:rPr>
            </w:pPr>
            <w:r>
              <w:rPr>
                <w:rFonts w:ascii="Arial" w:cs="Arial" w:eastAsia="Arial" w:hAnsi="Arial"/>
                <w:sz w:val="18"/>
                <w:szCs w:val="18"/>
                <w:b w:val="1"/>
                <w:bCs w:val="1"/>
                <w:color w:val="auto"/>
                <w:w w:val="89"/>
              </w:rPr>
              <w:t>19103-2838</w:t>
            </w:r>
          </w:p>
        </w:tc>
      </w:tr>
      <w:tr>
        <w:trPr>
          <w:trHeight w:val="220"/>
        </w:trPr>
        <w:tc>
          <w:tcPr>
            <w:tcW w:w="5020" w:type="dxa"/>
            <w:vAlign w:val="bottom"/>
          </w:tcPr>
          <w:p>
            <w:pPr>
              <w:jc w:val="center"/>
              <w:ind w:right="2720"/>
              <w:spacing w:after="0"/>
              <w:rPr>
                <w:sz w:val="20"/>
                <w:szCs w:val="20"/>
                <w:color w:val="auto"/>
              </w:rPr>
            </w:pPr>
            <w:r>
              <w:rPr>
                <w:rFonts w:ascii="Arial" w:cs="Arial" w:eastAsia="Arial" w:hAnsi="Arial"/>
                <w:sz w:val="18"/>
                <w:szCs w:val="18"/>
                <w:b w:val="1"/>
                <w:bCs w:val="1"/>
                <w:color w:val="auto"/>
                <w:w w:val="89"/>
              </w:rPr>
              <w:t>Philadelphia, PA</w:t>
            </w:r>
          </w:p>
        </w:tc>
        <w:tc>
          <w:tcPr>
            <w:tcW w:w="4800" w:type="dxa"/>
            <w:vAlign w:val="bottom"/>
          </w:tcPr>
          <w:p>
            <w:pPr>
              <w:jc w:val="center"/>
              <w:ind w:left="2762"/>
              <w:spacing w:after="0"/>
              <w:rPr>
                <w:sz w:val="20"/>
                <w:szCs w:val="20"/>
                <w:color w:val="auto"/>
              </w:rPr>
            </w:pPr>
            <w:r>
              <w:rPr>
                <w:rFonts w:ascii="Arial" w:cs="Arial" w:eastAsia="Arial" w:hAnsi="Arial"/>
                <w:sz w:val="14"/>
                <w:szCs w:val="14"/>
                <w:color w:val="auto"/>
                <w:w w:val="90"/>
              </w:rPr>
              <w:t>(Zip Code)</w:t>
            </w:r>
          </w:p>
        </w:tc>
      </w:tr>
      <w:tr>
        <w:trPr>
          <w:trHeight w:val="172"/>
        </w:trPr>
        <w:tc>
          <w:tcPr>
            <w:tcW w:w="5020" w:type="dxa"/>
            <w:vAlign w:val="bottom"/>
          </w:tcPr>
          <w:p>
            <w:pPr>
              <w:jc w:val="center"/>
              <w:ind w:right="2740"/>
              <w:spacing w:after="0"/>
              <w:rPr>
                <w:sz w:val="20"/>
                <w:szCs w:val="20"/>
                <w:color w:val="auto"/>
              </w:rPr>
            </w:pPr>
            <w:r>
              <w:rPr>
                <w:rFonts w:ascii="Arial" w:cs="Arial" w:eastAsia="Arial" w:hAnsi="Arial"/>
                <w:sz w:val="14"/>
                <w:szCs w:val="14"/>
                <w:color w:val="auto"/>
                <w:w w:val="89"/>
              </w:rPr>
              <w:t>(Address of Principal Executive Offices)</w:t>
            </w:r>
          </w:p>
        </w:tc>
        <w:tc>
          <w:tcPr>
            <w:tcW w:w="4800" w:type="dxa"/>
            <w:vAlign w:val="bottom"/>
          </w:tcPr>
          <w:p>
            <w:pPr>
              <w:spacing w:after="0"/>
              <w:rPr>
                <w:sz w:val="14"/>
                <w:szCs w:val="14"/>
                <w:color w:val="auto"/>
              </w:rPr>
            </w:pPr>
          </w:p>
        </w:tc>
      </w:tr>
    </w:tbl>
    <w:p>
      <w:pPr>
        <w:spacing w:after="0" w:line="15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Pr>
          <w:p>
            <w:pPr>
              <w:spacing w:after="0"/>
              <w:rPr>
                <w:sz w:val="20"/>
                <w:szCs w:val="20"/>
                <w:color w:val="auto"/>
              </w:rPr>
            </w:pPr>
            <w:r>
              <w:rPr>
                <w:rFonts w:ascii="Arial" w:cs="Arial" w:eastAsia="Arial" w:hAnsi="Arial"/>
                <w:sz w:val="18"/>
                <w:szCs w:val="18"/>
                <w:color w:val="auto"/>
              </w:rPr>
              <w:t>Securities Act registration statement file number to which this form relates: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000-50093</w:t>
            </w:r>
          </w:p>
        </w:tc>
        <w:tc>
          <w:tcPr>
            <w:tcW w:w="200" w:type="dxa"/>
            <w:vAlign w:val="bottom"/>
          </w:tcPr>
          <w:p>
            <w:pPr>
              <w:spacing w:after="0"/>
              <w:rPr>
                <w:sz w:val="17"/>
                <w:szCs w:val="17"/>
                <w:color w:val="auto"/>
              </w:rPr>
            </w:pPr>
          </w:p>
        </w:tc>
      </w:tr>
      <w:tr>
        <w:trPr>
          <w:trHeight w:val="20"/>
        </w:trPr>
        <w:tc>
          <w:tcPr>
            <w:tcW w:w="9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9380" w:type="dxa"/>
            <w:vAlign w:val="bottom"/>
          </w:tcPr>
          <w:p>
            <w:pPr>
              <w:spacing w:after="0"/>
              <w:rPr>
                <w:sz w:val="20"/>
                <w:szCs w:val="20"/>
                <w:color w:val="auto"/>
              </w:rPr>
            </w:pPr>
          </w:p>
        </w:tc>
        <w:tc>
          <w:tcPr>
            <w:tcW w:w="2040" w:type="dxa"/>
            <w:vAlign w:val="bottom"/>
            <w:gridSpan w:val="3"/>
          </w:tcPr>
          <w:p>
            <w:pPr>
              <w:jc w:val="center"/>
              <w:ind w:left="792"/>
              <w:spacing w:after="0"/>
              <w:rPr>
                <w:sz w:val="20"/>
                <w:szCs w:val="20"/>
                <w:color w:val="auto"/>
              </w:rPr>
            </w:pPr>
            <w:r>
              <w:rPr>
                <w:rFonts w:ascii="Arial" w:cs="Arial" w:eastAsia="Arial" w:hAnsi="Arial"/>
                <w:sz w:val="18"/>
                <w:szCs w:val="18"/>
                <w:color w:val="auto"/>
                <w:w w:val="92"/>
              </w:rPr>
              <w:t>(If applicable)</w:t>
            </w:r>
          </w:p>
        </w:tc>
      </w:tr>
      <w:tr>
        <w:trPr>
          <w:trHeight w:val="473"/>
        </w:trPr>
        <w:tc>
          <w:tcPr>
            <w:tcW w:w="9380" w:type="dxa"/>
            <w:vAlign w:val="bottom"/>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9380" w:type="dxa"/>
            <w:vAlign w:val="bottom"/>
          </w:tcPr>
          <w:p>
            <w:pPr>
              <w:jc w:val="center"/>
              <w:ind w:left="1952"/>
              <w:spacing w:after="0"/>
              <w:rPr>
                <w:sz w:val="20"/>
                <w:szCs w:val="20"/>
                <w:color w:val="auto"/>
              </w:rPr>
            </w:pPr>
            <w:r>
              <w:rPr>
                <w:rFonts w:ascii="Arial" w:cs="Arial" w:eastAsia="Arial" w:hAnsi="Arial"/>
                <w:sz w:val="18"/>
                <w:szCs w:val="18"/>
                <w:color w:val="auto"/>
                <w:w w:val="87"/>
              </w:rPr>
              <w:t>Series A Participating Cumulative Preferred Stock, par value $0.01 per share</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8"/>
        </w:trPr>
        <w:tc>
          <w:tcPr>
            <w:tcW w:w="9380" w:type="dxa"/>
            <w:vAlign w:val="bottom"/>
          </w:tcPr>
          <w:p>
            <w:pPr>
              <w:jc w:val="center"/>
              <w:ind w:left="1952"/>
              <w:spacing w:after="0"/>
              <w:rPr>
                <w:sz w:val="20"/>
                <w:szCs w:val="20"/>
                <w:color w:val="auto"/>
              </w:rPr>
            </w:pPr>
            <w:r>
              <w:rPr>
                <w:rFonts w:ascii="Arial" w:cs="Arial" w:eastAsia="Arial" w:hAnsi="Arial"/>
                <w:sz w:val="18"/>
                <w:szCs w:val="18"/>
                <w:color w:val="auto"/>
                <w:w w:val="91"/>
              </w:rPr>
              <w:t>(Title of Class)</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29"/>
        </w:trPr>
        <w:tc>
          <w:tcPr>
            <w:tcW w:w="9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34"/>
        </w:trPr>
        <w:tc>
          <w:tcPr>
            <w:tcW w:w="9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59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Description of Registrant’s Securities to be Registered</w:t>
      </w:r>
    </w:p>
    <w:p>
      <w:pPr>
        <w:spacing w:after="0" w:line="84"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color w:val="auto"/>
        </w:rPr>
        <w:t>Effective as of December 20, 2010, Comcast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appointed Wells Fargo Bank, National Association, as successor rights agent under the Rights Agreement dated as of November 18, 2002 (the “</w:t>
      </w:r>
      <w:r>
        <w:rPr>
          <w:rFonts w:ascii="Arial" w:cs="Arial" w:eastAsia="Arial" w:hAnsi="Arial"/>
          <w:sz w:val="15"/>
          <w:szCs w:val="15"/>
          <w:b w:val="1"/>
          <w:bCs w:val="1"/>
          <w:color w:val="auto"/>
        </w:rPr>
        <w:t>Agreement</w:t>
      </w:r>
      <w:r>
        <w:rPr>
          <w:rFonts w:ascii="Arial" w:cs="Arial" w:eastAsia="Arial" w:hAnsi="Arial"/>
          <w:sz w:val="15"/>
          <w:szCs w:val="15"/>
          <w:color w:val="auto"/>
        </w:rPr>
        <w:t>”) between the Company and Equiserve Trust Company, N.A. n/k/a Computershare Inc. (“</w:t>
      </w:r>
      <w:r>
        <w:rPr>
          <w:rFonts w:ascii="Arial" w:cs="Arial" w:eastAsia="Arial" w:hAnsi="Arial"/>
          <w:sz w:val="15"/>
          <w:szCs w:val="15"/>
          <w:b w:val="1"/>
          <w:bCs w:val="1"/>
          <w:color w:val="auto"/>
        </w:rPr>
        <w:t>Computershare</w:t>
      </w:r>
      <w:r>
        <w:rPr>
          <w:rFonts w:ascii="Arial" w:cs="Arial" w:eastAsia="Arial" w:hAnsi="Arial"/>
          <w:sz w:val="15"/>
          <w:szCs w:val="15"/>
          <w:color w:val="auto"/>
        </w:rPr>
        <w:t>”) and entered into Amendment No. 1 to the Rights Agreement among the Company, Computershare and Wells Fargo Bank, National Association (the “</w:t>
      </w:r>
      <w:r>
        <w:rPr>
          <w:rFonts w:ascii="Arial" w:cs="Arial" w:eastAsia="Arial" w:hAnsi="Arial"/>
          <w:sz w:val="15"/>
          <w:szCs w:val="15"/>
          <w:b w:val="1"/>
          <w:bCs w:val="1"/>
          <w:color w:val="auto"/>
        </w:rPr>
        <w:t>Amendment</w:t>
      </w:r>
      <w:r>
        <w:rPr>
          <w:rFonts w:ascii="Arial" w:cs="Arial" w:eastAsia="Arial" w:hAnsi="Arial"/>
          <w:sz w:val="15"/>
          <w:szCs w:val="15"/>
          <w:color w:val="auto"/>
        </w:rPr>
        <w:t>”). The Amendment amended the Agreement to appoint Wells Fargo Bank, National Association as successor rights agent.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2.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60" w:type="dxa"/>
            <w:vAlign w:val="bottom"/>
          </w:tcPr>
          <w:p>
            <w:pPr>
              <w:spacing w:after="0"/>
              <w:rPr>
                <w:sz w:val="14"/>
                <w:szCs w:val="1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600" w:type="dxa"/>
            <w:vAlign w:val="bottom"/>
            <w:gridSpan w:val="3"/>
          </w:tcPr>
          <w:p>
            <w:pPr>
              <w:ind w:left="640"/>
              <w:spacing w:after="0"/>
              <w:rPr>
                <w:sz w:val="20"/>
                <w:szCs w:val="20"/>
                <w:color w:val="auto"/>
              </w:rPr>
            </w:pPr>
            <w:r>
              <w:rPr>
                <w:rFonts w:ascii="Arial" w:cs="Arial" w:eastAsia="Arial" w:hAnsi="Arial"/>
                <w:sz w:val="18"/>
                <w:szCs w:val="18"/>
                <w:color w:val="auto"/>
                <w:w w:val="87"/>
              </w:rPr>
              <w:t>Amendment No. 1 to the Rights Agreement, dated as of December 20, 2010, among the Company, Equiserve Trust Company, N.A. and Wells</w:t>
            </w:r>
          </w:p>
        </w:tc>
      </w:tr>
      <w:tr>
        <w:trPr>
          <w:trHeight w:val="222"/>
        </w:trPr>
        <w:tc>
          <w:tcPr>
            <w:tcW w:w="520" w:type="dxa"/>
            <w:vAlign w:val="bottom"/>
          </w:tcPr>
          <w:p>
            <w:pPr>
              <w:spacing w:after="0"/>
              <w:rPr>
                <w:sz w:val="19"/>
                <w:szCs w:val="19"/>
                <w:color w:val="auto"/>
              </w:rPr>
            </w:pPr>
          </w:p>
        </w:tc>
        <w:tc>
          <w:tcPr>
            <w:tcW w:w="10600" w:type="dxa"/>
            <w:vAlign w:val="bottom"/>
            <w:gridSpan w:val="3"/>
          </w:tcPr>
          <w:p>
            <w:pPr>
              <w:ind w:left="640"/>
              <w:spacing w:after="0"/>
              <w:rPr>
                <w:sz w:val="20"/>
                <w:szCs w:val="20"/>
                <w:color w:val="auto"/>
              </w:rPr>
            </w:pPr>
            <w:r>
              <w:rPr>
                <w:rFonts w:ascii="Arial" w:cs="Arial" w:eastAsia="Arial" w:hAnsi="Arial"/>
                <w:sz w:val="18"/>
                <w:szCs w:val="18"/>
                <w:color w:val="auto"/>
              </w:rPr>
              <w:t>Fargo Bank, National Association.</w:t>
            </w:r>
          </w:p>
        </w:tc>
      </w:tr>
      <w:tr>
        <w:trPr>
          <w:trHeight w:val="365"/>
        </w:trPr>
        <w:tc>
          <w:tcPr>
            <w:tcW w:w="520" w:type="dxa"/>
            <w:vAlign w:val="bottom"/>
          </w:tcPr>
          <w:p>
            <w:pPr>
              <w:spacing w:after="0"/>
              <w:rPr>
                <w:sz w:val="24"/>
                <w:szCs w:val="24"/>
                <w:color w:val="auto"/>
              </w:rPr>
            </w:pPr>
          </w:p>
        </w:tc>
        <w:tc>
          <w:tcPr>
            <w:tcW w:w="544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360"/>
          </w:cols>
          <w:pgMar w:left="240" w:top="563"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its behalf by the undersigned, thereto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4.1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RIGHTS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NO. 1 (the “</w:t>
      </w:r>
      <w:r>
        <w:rPr>
          <w:rFonts w:ascii="Arial" w:cs="Arial" w:eastAsia="Arial" w:hAnsi="Arial"/>
          <w:sz w:val="16"/>
          <w:szCs w:val="16"/>
          <w:b w:val="1"/>
          <w:bCs w:val="1"/>
          <w:color w:val="auto"/>
        </w:rPr>
        <w:t>Amendment</w:t>
      </w:r>
      <w:r>
        <w:rPr>
          <w:rFonts w:ascii="Arial" w:cs="Arial" w:eastAsia="Arial" w:hAnsi="Arial"/>
          <w:sz w:val="16"/>
          <w:szCs w:val="16"/>
          <w:color w:val="auto"/>
        </w:rPr>
        <w:t>”) to the Rights Agreement dated as of November 18, 2002 (the “</w:t>
      </w:r>
      <w:r>
        <w:rPr>
          <w:rFonts w:ascii="Arial" w:cs="Arial" w:eastAsia="Arial" w:hAnsi="Arial"/>
          <w:sz w:val="16"/>
          <w:szCs w:val="16"/>
          <w:b w:val="1"/>
          <w:bCs w:val="1"/>
          <w:color w:val="auto"/>
        </w:rPr>
        <w:t>Agreement</w:t>
      </w:r>
      <w:r>
        <w:rPr>
          <w:rFonts w:ascii="Arial" w:cs="Arial" w:eastAsia="Arial" w:hAnsi="Arial"/>
          <w:sz w:val="16"/>
          <w:szCs w:val="16"/>
          <w:color w:val="auto"/>
        </w:rPr>
        <w:t>”) between AT&amp;T Comcast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Corporation, a Pennsylvania corporation n/k/a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Equiserve Trust Company, N.A. n/k/a Computershare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Computershare</w:t>
      </w:r>
      <w:r>
        <w:rPr>
          <w:rFonts w:ascii="Arial" w:cs="Arial" w:eastAsia="Arial" w:hAnsi="Arial"/>
          <w:sz w:val="16"/>
          <w:szCs w:val="16"/>
          <w:color w:val="auto"/>
        </w:rPr>
        <w:t>”), is made this 20</w:t>
      </w:r>
      <w:r>
        <w:rPr>
          <w:rFonts w:ascii="Arial" w:cs="Arial" w:eastAsia="Arial" w:hAnsi="Arial"/>
          <w:sz w:val="10"/>
          <w:szCs w:val="10"/>
          <w:color w:val="auto"/>
        </w:rPr>
        <w:t>th</w:t>
      </w:r>
      <w:r>
        <w:rPr>
          <w:rFonts w:ascii="Arial" w:cs="Arial" w:eastAsia="Arial" w:hAnsi="Arial"/>
          <w:sz w:val="16"/>
          <w:szCs w:val="16"/>
          <w:color w:val="auto"/>
        </w:rPr>
        <w:t xml:space="preserve"> day of December, 2010, among the Company, Computershare and Wells Fargo Bank, National Association (“</w:t>
      </w:r>
      <w:r>
        <w:rPr>
          <w:rFonts w:ascii="Arial" w:cs="Arial" w:eastAsia="Arial" w:hAnsi="Arial"/>
          <w:sz w:val="16"/>
          <w:szCs w:val="16"/>
          <w:b w:val="1"/>
          <w:bCs w:val="1"/>
          <w:color w:val="auto"/>
        </w:rPr>
        <w:t>Wells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Fargo</w:t>
      </w:r>
      <w:r>
        <w:rPr>
          <w:rFonts w:ascii="Arial" w:cs="Arial" w:eastAsia="Arial" w:hAnsi="Arial"/>
          <w:sz w:val="18"/>
          <w:szCs w:val="18"/>
          <w:color w:val="auto"/>
        </w:rPr>
        <w:t>”). Capitalized terms used but not defined in this Amendment shall have the meaning ascribed to them in the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left="920" w:right="280"/>
        <w:spacing w:after="0" w:line="526" w:lineRule="auto"/>
        <w:rPr>
          <w:sz w:val="20"/>
          <w:szCs w:val="20"/>
          <w:color w:val="auto"/>
        </w:rPr>
      </w:pPr>
      <w:r>
        <w:rPr>
          <w:rFonts w:ascii="Arial" w:cs="Arial" w:eastAsia="Arial" w:hAnsi="Arial"/>
          <w:sz w:val="15"/>
          <w:szCs w:val="15"/>
          <w:color w:val="auto"/>
        </w:rPr>
        <w:t>WHEREAS, the Company and Computershare are parties to the Agreement, pursuant to which Computershare agreed to act as Rights Agent; WHEREAS, Section 18 of the Agreement provides that the Company may remove the Rights Agent and appoint a successor to the Rights Agent;</w:t>
      </w:r>
    </w:p>
    <w:p>
      <w:pPr>
        <w:ind w:right="440" w:firstLine="913"/>
        <w:spacing w:after="0" w:line="268" w:lineRule="auto"/>
        <w:rPr>
          <w:sz w:val="20"/>
          <w:szCs w:val="20"/>
          <w:color w:val="auto"/>
        </w:rPr>
      </w:pPr>
      <w:r>
        <w:rPr>
          <w:rFonts w:ascii="Arial" w:cs="Arial" w:eastAsia="Arial" w:hAnsi="Arial"/>
          <w:sz w:val="18"/>
          <w:szCs w:val="18"/>
          <w:color w:val="auto"/>
        </w:rPr>
        <w:t>WHEREAS, the Company desires to remove Computershare as the Rights Agent and has provided Computershare with notice to such effect in accordance with the terms of the Agreement; and</w:t>
      </w:r>
    </w:p>
    <w:p>
      <w:pPr>
        <w:spacing w:after="0" w:line="132"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WHEREAS, the Company desires to appoint Wells Fargo as the successor to the Rights Agent, and Wells Fargo has indicated its desire to accept such appointment as Rights Agent.</w:t>
      </w:r>
    </w:p>
    <w:p>
      <w:pPr>
        <w:spacing w:after="0" w:line="132" w:lineRule="exact"/>
        <w:rPr>
          <w:sz w:val="20"/>
          <w:szCs w:val="20"/>
          <w:color w:val="auto"/>
        </w:rPr>
      </w:pPr>
    </w:p>
    <w:p>
      <w:pPr>
        <w:ind w:right="180" w:firstLine="913"/>
        <w:spacing w:after="0" w:line="370" w:lineRule="auto"/>
        <w:rPr>
          <w:sz w:val="20"/>
          <w:szCs w:val="20"/>
          <w:color w:val="auto"/>
        </w:rPr>
      </w:pPr>
      <w:r>
        <w:rPr>
          <w:rFonts w:ascii="Arial" w:cs="Arial" w:eastAsia="Arial" w:hAnsi="Arial"/>
          <w:sz w:val="15"/>
          <w:szCs w:val="15"/>
          <w:color w:val="auto"/>
        </w:rPr>
        <w:t>NOW, THEREFORE, in consideration of the foregoing and of the covenants and agreements contained herein, and for other good and valuable consideration, the receipt and sufficiency of which are hereby acknowledged, the parties hereto hereby agree to amend the Agreement in the following respects:</w:t>
      </w:r>
    </w:p>
    <w:p>
      <w:pPr>
        <w:spacing w:after="0" w:line="103" w:lineRule="exact"/>
        <w:rPr>
          <w:sz w:val="20"/>
          <w:szCs w:val="20"/>
          <w:color w:val="auto"/>
        </w:rPr>
      </w:pPr>
    </w:p>
    <w:p>
      <w:pPr>
        <w:ind w:left="900" w:right="400" w:hanging="446"/>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Effective as of the close of business on December 20, 2010 (the “Effective Date”), the Company hereby appoints Wells Fargo to serve as Rights Agent under the Agreement succeeding Equiserve, and Wells Fargo hereby accepts such appointment, with the same powers, rights, duties and responsibilities as if it had originally been named as Rights Agent without further act or deed.</w:t>
      </w:r>
    </w:p>
    <w:p>
      <w:pPr>
        <w:spacing w:after="0" w:line="147"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Effective as of the Effective Date, each reference in the Agreement (including the exhibits thereto) to Wells Fargo shall be deemed to refer to Wells Fargo.</w:t>
      </w:r>
    </w:p>
    <w:p>
      <w:pPr>
        <w:spacing w:after="0" w:line="172"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Effective as of the close of business on the date hereof, the notice information set forth for Computershare in the Agreement is replaced with the following: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Wells Fargo Shareowner Services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Manager of Account Administration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161 North Concord Exchange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South St. Paul, Minnesota 55075-1139</w:t>
      </w:r>
    </w:p>
    <w:p>
      <w:pPr>
        <w:sectPr>
          <w:pgSz w:w="11900" w:h="16838" w:orient="portrait"/>
          <w:cols w:equalWidth="0" w:num="1">
            <w:col w:w="11420"/>
          </w:cols>
          <w:pgMar w:left="240" w:top="131" w:right="239" w:bottom="1440" w:gutter="0" w:footer="0" w:header="0"/>
        </w:sectPr>
      </w:pPr>
    </w:p>
    <w:bookmarkStart w:id="4" w:name="page5"/>
    <w:bookmarkEnd w:id="4"/>
    <w:p>
      <w:pPr>
        <w:ind w:left="446" w:hanging="446"/>
        <w:spacing w:after="0"/>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modified hereby, the Agreement, as amended, continues in full force and effect, unmodified in any way.</w:t>
      </w:r>
    </w:p>
    <w:p>
      <w:pPr>
        <w:spacing w:after="0" w:line="211"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Amendment shall be deemed to be a contract made under the laws of the Commonwealth of Pennsylvania and for all purposes shall be governed by and construed in accordance with the laws of Pennsylvania applicable to contracts to be made and performed entirely in such State.</w:t>
      </w:r>
    </w:p>
    <w:p>
      <w:pPr>
        <w:spacing w:after="0" w:line="125" w:lineRule="exact"/>
        <w:rPr>
          <w:rFonts w:ascii="Arial" w:cs="Arial" w:eastAsia="Arial" w:hAnsi="Arial"/>
          <w:sz w:val="16"/>
          <w:szCs w:val="16"/>
          <w:color w:val="auto"/>
        </w:rPr>
      </w:pPr>
    </w:p>
    <w:p>
      <w:pPr>
        <w:ind w:left="446" w:right="240"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and each of such counterparts shall for all purposes be deemed to be an original, and all such counterparts shall together constitute one and the same instrument.</w:t>
      </w:r>
    </w:p>
    <w:p>
      <w:pPr>
        <w:spacing w:after="0" w:line="213" w:lineRule="exact"/>
        <w:rPr>
          <w:sz w:val="20"/>
          <w:szCs w:val="20"/>
          <w:color w:val="auto"/>
        </w:rPr>
      </w:pPr>
    </w:p>
    <w:p>
      <w:pPr>
        <w:ind w:left="37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66"/>
          </w:cols>
          <w:pgMar w:left="694" w:top="563"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hereto has caused this Amendment to be duly executed on its behalf as of the date first written above.</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60"/>
              <w:spacing w:after="0"/>
              <w:rPr>
                <w:sz w:val="20"/>
                <w:szCs w:val="20"/>
                <w:color w:val="auto"/>
              </w:rPr>
            </w:pPr>
            <w:r>
              <w:rPr>
                <w:rFonts w:ascii="Arial" w:cs="Arial" w:eastAsia="Arial" w:hAnsi="Arial"/>
                <w:sz w:val="18"/>
                <w:szCs w:val="18"/>
                <w:color w:val="auto"/>
              </w:rPr>
              <w:t>/s/ Arthur R. Block</w:t>
            </w:r>
          </w:p>
        </w:tc>
      </w:tr>
      <w:tr>
        <w:trPr>
          <w:trHeight w:val="36"/>
        </w:trPr>
        <w:tc>
          <w:tcPr>
            <w:tcW w:w="500" w:type="dxa"/>
            <w:vAlign w:val="bottom"/>
          </w:tcPr>
          <w:p>
            <w:pPr>
              <w:spacing w:after="0"/>
              <w:rPr>
                <w:sz w:val="3"/>
                <w:szCs w:val="3"/>
                <w:color w:val="auto"/>
              </w:rPr>
            </w:pPr>
          </w:p>
        </w:tc>
        <w:tc>
          <w:tcPr>
            <w:tcW w:w="4060" w:type="dxa"/>
            <w:vAlign w:val="bottom"/>
            <w:tcBorders>
              <w:bottom w:val="single" w:sz="8" w:color="auto"/>
            </w:tcBorders>
            <w:gridSpan w:val="2"/>
          </w:tcPr>
          <w:p>
            <w:pPr>
              <w:spacing w:after="0"/>
              <w:rPr>
                <w:sz w:val="3"/>
                <w:szCs w:val="3"/>
                <w:color w:val="auto"/>
              </w:rPr>
            </w:pPr>
          </w:p>
        </w:tc>
      </w:tr>
      <w:tr>
        <w:trPr>
          <w:trHeight w:val="201"/>
        </w:trPr>
        <w:tc>
          <w:tcPr>
            <w:tcW w:w="500" w:type="dxa"/>
            <w:vAlign w:val="bottom"/>
          </w:tcPr>
          <w:p>
            <w:pPr>
              <w:spacing w:after="0"/>
              <w:rPr>
                <w:sz w:val="17"/>
                <w:szCs w:val="17"/>
                <w:color w:val="auto"/>
              </w:rPr>
            </w:pPr>
          </w:p>
        </w:tc>
        <w:tc>
          <w:tcPr>
            <w:tcW w:w="40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Name:  Arthur R. Block</w:t>
            </w:r>
          </w:p>
        </w:tc>
      </w:tr>
      <w:tr>
        <w:trPr>
          <w:trHeight w:val="222"/>
        </w:trPr>
        <w:tc>
          <w:tcPr>
            <w:tcW w:w="50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Title:</w:t>
            </w:r>
          </w:p>
        </w:tc>
        <w:tc>
          <w:tcPr>
            <w:tcW w:w="35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412"/>
        </w:trPr>
        <w:tc>
          <w:tcPr>
            <w:tcW w:w="4560" w:type="dxa"/>
            <w:vAlign w:val="bottom"/>
            <w:gridSpan w:val="3"/>
          </w:tcPr>
          <w:p>
            <w:pPr>
              <w:spacing w:after="0"/>
              <w:rPr>
                <w:sz w:val="20"/>
                <w:szCs w:val="20"/>
                <w:color w:val="auto"/>
              </w:rPr>
            </w:pPr>
            <w:r>
              <w:rPr>
                <w:rFonts w:ascii="Arial" w:cs="Arial" w:eastAsia="Arial" w:hAnsi="Arial"/>
                <w:sz w:val="18"/>
                <w:szCs w:val="18"/>
                <w:color w:val="auto"/>
              </w:rPr>
              <w:t>COMPUTERSHARE INC.</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60"/>
              <w:spacing w:after="0"/>
              <w:rPr>
                <w:sz w:val="20"/>
                <w:szCs w:val="20"/>
                <w:color w:val="auto"/>
              </w:rPr>
            </w:pPr>
            <w:r>
              <w:rPr>
                <w:rFonts w:ascii="Arial" w:cs="Arial" w:eastAsia="Arial" w:hAnsi="Arial"/>
                <w:sz w:val="18"/>
                <w:szCs w:val="18"/>
                <w:color w:val="auto"/>
              </w:rPr>
              <w:t>/s/ Dennis V. Moccia</w:t>
            </w:r>
          </w:p>
        </w:tc>
      </w:tr>
      <w:tr>
        <w:trPr>
          <w:trHeight w:val="43"/>
        </w:trPr>
        <w:tc>
          <w:tcPr>
            <w:tcW w:w="500" w:type="dxa"/>
            <w:vAlign w:val="bottom"/>
          </w:tcPr>
          <w:p>
            <w:pPr>
              <w:spacing w:after="0"/>
              <w:rPr>
                <w:sz w:val="3"/>
                <w:szCs w:val="3"/>
                <w:color w:val="auto"/>
              </w:rPr>
            </w:pPr>
          </w:p>
        </w:tc>
        <w:tc>
          <w:tcPr>
            <w:tcW w:w="4060" w:type="dxa"/>
            <w:vAlign w:val="bottom"/>
            <w:tcBorders>
              <w:bottom w:val="single" w:sz="8" w:color="auto"/>
            </w:tcBorders>
            <w:gridSpan w:val="2"/>
          </w:tcPr>
          <w:p>
            <w:pPr>
              <w:spacing w:after="0"/>
              <w:rPr>
                <w:sz w:val="3"/>
                <w:szCs w:val="3"/>
                <w:color w:val="auto"/>
              </w:rPr>
            </w:pPr>
          </w:p>
        </w:tc>
      </w:tr>
      <w:tr>
        <w:trPr>
          <w:trHeight w:val="201"/>
        </w:trPr>
        <w:tc>
          <w:tcPr>
            <w:tcW w:w="500" w:type="dxa"/>
            <w:vAlign w:val="bottom"/>
          </w:tcPr>
          <w:p>
            <w:pPr>
              <w:spacing w:after="0"/>
              <w:rPr>
                <w:sz w:val="17"/>
                <w:szCs w:val="17"/>
                <w:color w:val="auto"/>
              </w:rPr>
            </w:pPr>
          </w:p>
        </w:tc>
        <w:tc>
          <w:tcPr>
            <w:tcW w:w="40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Name:  Dennis V. Moccia</w:t>
            </w:r>
          </w:p>
        </w:tc>
      </w:tr>
      <w:tr>
        <w:trPr>
          <w:trHeight w:val="222"/>
        </w:trPr>
        <w:tc>
          <w:tcPr>
            <w:tcW w:w="50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Title:</w:t>
            </w:r>
          </w:p>
        </w:tc>
        <w:tc>
          <w:tcPr>
            <w:tcW w:w="3520" w:type="dxa"/>
            <w:vAlign w:val="bottom"/>
          </w:tcPr>
          <w:p>
            <w:pPr>
              <w:ind w:left="100"/>
              <w:spacing w:after="0"/>
              <w:rPr>
                <w:sz w:val="20"/>
                <w:szCs w:val="20"/>
                <w:color w:val="auto"/>
              </w:rPr>
            </w:pPr>
            <w:r>
              <w:rPr>
                <w:rFonts w:ascii="Arial" w:cs="Arial" w:eastAsia="Arial" w:hAnsi="Arial"/>
                <w:sz w:val="18"/>
                <w:szCs w:val="18"/>
                <w:color w:val="auto"/>
              </w:rPr>
              <w:t>Manager, Contract Administration</w:t>
            </w:r>
          </w:p>
        </w:tc>
      </w:tr>
    </w:tbl>
    <w:p>
      <w:pPr>
        <w:spacing w:after="0" w:line="19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WELLS FARGO BANK, NATIONAL</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Nancy Rosengren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33020</wp:posOffset>
            </wp:positionV>
            <wp:extent cx="2573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Nancy Rosengren</w:t>
      </w:r>
    </w:p>
    <w:p>
      <w:pPr>
        <w:spacing w:after="0" w:line="15"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Vice President</w:t>
      </w:r>
    </w:p>
    <w:sectPr>
      <w:pgSz w:w="11900" w:h="16838" w:orient="portrait"/>
      <w:cols w:equalWidth="0" w:num="1">
        <w:col w:w="10500"/>
      </w:cols>
      <w:pgMar w:left="116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2019-12-10T21:21:35Z</dcterms:created>
  <dcterms:modified xsi:type="dcterms:W3CDTF">2019-12-10T21:21:35Z</dcterms:modified>
</cp:coreProperties>
</file>