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27, 2016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001-32871</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4"/>
              </w:rPr>
              <w:t>(Commission File Number)</w:t>
            </w:r>
          </w:p>
        </w:tc>
        <w:tc>
          <w:tcPr>
            <w:tcW w:w="3820" w:type="dxa"/>
            <w:vAlign w:val="bottom"/>
          </w:tcPr>
          <w:p>
            <w:pPr>
              <w:jc w:val="center"/>
              <w:ind w:left="1759"/>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One Comcast Center</w:t>
            </w:r>
          </w:p>
        </w:tc>
        <w:tc>
          <w:tcPr>
            <w:tcW w:w="3820" w:type="dxa"/>
            <w:vAlign w:val="bottom"/>
          </w:tcPr>
          <w:p>
            <w:pPr>
              <w:spacing w:after="0"/>
              <w:rPr>
                <w:sz w:val="24"/>
                <w:szCs w:val="24"/>
                <w:color w:val="auto"/>
              </w:rPr>
            </w:pPr>
          </w:p>
        </w:tc>
      </w:t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2"/>
              </w:rPr>
              <w:t>Philadelphia, PA</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5"/>
              </w:rPr>
              <w:t>(Address of Principal Executive Offices)</w:t>
            </w:r>
          </w:p>
        </w:tc>
        <w:tc>
          <w:tcPr>
            <w:tcW w:w="3820" w:type="dxa"/>
            <w:vAlign w:val="bottom"/>
          </w:tcPr>
          <w:p>
            <w:pPr>
              <w:jc w:val="center"/>
              <w:ind w:left="1739"/>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62"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April 27, 2016, Comcast Corporation (“Comcast”) issued a press release reporting the results of its operations for the three months ended March 31, 2016.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Comcast Corporation press release dated April 27, 2016.</w:t>
      </w:r>
    </w:p>
    <w:p>
      <w:pPr>
        <w:spacing w:after="0" w:line="23"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648"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Date:  April 27, 2016</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w:t>
            </w: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36334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4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COMCAST REPORTS 1st QUARTER 2016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14605</wp:posOffset>
            </wp:positionV>
            <wp:extent cx="53771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1st Quarter 2016 Highlights:</w:t>
      </w:r>
    </w:p>
    <w:p>
      <w:pPr>
        <w:spacing w:after="0" w:line="9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5.3%, Operating Cash Flow Increased 6.9%, Operating Income Increased 5.1%</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 was $2.8 Billion</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7.4% to $0.87; On an Adjusted Basis, EPS increased 6.3% to $0.84</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Dividends per Share Increased 10% and Share Repurchases were $1.2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1st Quarter 2016 Highlights:</w:t>
      </w:r>
    </w:p>
    <w:p>
      <w:pPr>
        <w:spacing w:after="0" w:line="99"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6.7% and Operating Cash Flow Increased 5.0%</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Relationships Increased by 269,000, a 35.5% Increase from the First Quarter of 2015</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per Customer Relationship Increased 4.0%</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Customers Increased by 53,000, the Best First Quarter Result in 9 Years; Nearly 35% of All Video Customers Now Have X1</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Customers Increased by 438,000, the Best First Quarter Result in 4 Years</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Services Revenue Increased 17.5%, Driven by Small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1st Quarter 2016 Highlights:</w:t>
      </w:r>
    </w:p>
    <w:p>
      <w:pPr>
        <w:spacing w:after="0" w:line="9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Revenue Increased 3.9%; Operating Cash Flow Increased 10.0%</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Theme Parks Revenue Increased 57.5%, Primarily Impacted by the Inclusion of Universal Studios Japan</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Broadcast and Cable Networks Operating Cash Flow Growth, Driven by Increases in Retransmission and Affiliate Revenues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27, 2016… Comcast Corporation (NASDAQ: CMCSA) today reported results for the quarter ended March 31, 2016.</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“I’m incredibly pleased with our first quarter results and the strength and momentum we are seeing across our businesses. Our performance at Comcast Cable was outstanding. We delivered our best first quarter Internet results in four years and our best first quarter video results in nine years – adding 53,000 video customers. NBCUniversal also had a terrific quarter, reporting double-digit operating cash flow growth, fueled by strength in Broadcast, continued success at our Theme Parks, including Universal Studios Japan, and improved performance from our Cable Networks. Our teams are executing extremely well and I am excited about the opportunities ahead for Comcast 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1st Quarter</w:t>
            </w:r>
          </w:p>
        </w:tc>
        <w:tc>
          <w:tcPr>
            <w:tcW w:w="880" w:type="dxa"/>
            <w:vAlign w:val="bottom"/>
          </w:tcPr>
          <w:p>
            <w:pPr>
              <w:spacing w:after="0"/>
              <w:rPr>
                <w:sz w:val="14"/>
                <w:szCs w:val="14"/>
                <w:color w:val="auto"/>
              </w:rPr>
            </w:pPr>
          </w:p>
        </w:tc>
      </w:tr>
      <w:tr>
        <w:trPr>
          <w:trHeight w:val="157"/>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376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2015</w:t>
            </w:r>
          </w:p>
        </w:tc>
        <w:tc>
          <w:tcPr>
            <w:tcW w:w="132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2016</w:t>
            </w:r>
          </w:p>
        </w:tc>
        <w:tc>
          <w:tcPr>
            <w:tcW w:w="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Growth</w:t>
            </w:r>
          </w:p>
        </w:tc>
      </w:tr>
      <w:tr>
        <w:trPr>
          <w:trHeight w:val="225"/>
        </w:trPr>
        <w:tc>
          <w:tcPr>
            <w:tcW w:w="5460" w:type="dxa"/>
            <w:vAlign w:val="bottom"/>
          </w:tcPr>
          <w:p>
            <w:pPr>
              <w:ind w:left="40"/>
              <w:spacing w:after="0"/>
              <w:rPr>
                <w:sz w:val="20"/>
                <w:szCs w:val="20"/>
                <w:color w:val="auto"/>
              </w:rPr>
            </w:pPr>
            <w:r>
              <w:rPr>
                <w:rFonts w:ascii="Arial" w:cs="Arial" w:eastAsia="Arial" w:hAnsi="Arial"/>
                <w:sz w:val="14"/>
                <w:szCs w:val="14"/>
                <w:color w:val="auto"/>
              </w:rPr>
              <w:t>Revenue</w:t>
            </w:r>
          </w:p>
        </w:tc>
        <w:tc>
          <w:tcPr>
            <w:tcW w:w="3760" w:type="dxa"/>
            <w:vAlign w:val="bottom"/>
          </w:tcPr>
          <w:p>
            <w:pPr>
              <w:jc w:val="right"/>
              <w:ind w:right="108"/>
              <w:spacing w:after="0"/>
              <w:rPr>
                <w:sz w:val="20"/>
                <w:szCs w:val="20"/>
                <w:color w:val="auto"/>
              </w:rPr>
            </w:pPr>
            <w:r>
              <w:rPr>
                <w:rFonts w:ascii="Arial" w:cs="Arial" w:eastAsia="Arial" w:hAnsi="Arial"/>
                <w:sz w:val="14"/>
                <w:szCs w:val="14"/>
                <w:color w:val="auto"/>
              </w:rPr>
              <w:t>$17,853</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$18,790</w:t>
            </w:r>
          </w:p>
        </w:tc>
        <w:tc>
          <w:tcPr>
            <w:tcW w:w="8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7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Super Bowl</w:t>
            </w:r>
          </w:p>
        </w:tc>
        <w:tc>
          <w:tcPr>
            <w:tcW w:w="3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$17,477</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$18,790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7.5%</w:t>
            </w:r>
          </w:p>
        </w:tc>
      </w:tr>
      <w:tr>
        <w:trPr>
          <w:trHeight w:val="225"/>
        </w:trPr>
        <w:tc>
          <w:tcPr>
            <w:tcW w:w="5460" w:type="dxa"/>
            <w:vAlign w:val="bottom"/>
          </w:tcPr>
          <w:p>
            <w:pPr>
              <w:ind w:left="40"/>
              <w:spacing w:after="0"/>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3760" w:type="dxa"/>
            <w:vAlign w:val="bottom"/>
          </w:tcPr>
          <w:p>
            <w:pPr>
              <w:jc w:val="right"/>
              <w:ind w:right="108"/>
              <w:spacing w:after="0"/>
              <w:rPr>
                <w:sz w:val="20"/>
                <w:szCs w:val="20"/>
                <w:color w:val="auto"/>
              </w:rPr>
            </w:pPr>
            <w:r>
              <w:rPr>
                <w:rFonts w:ascii="Arial" w:cs="Arial" w:eastAsia="Arial" w:hAnsi="Arial"/>
                <w:sz w:val="14"/>
                <w:szCs w:val="14"/>
                <w:color w:val="auto"/>
              </w:rPr>
              <w:t>$5,956</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$6,367</w:t>
            </w: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7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Transaction-Related Costs</w:t>
            </w:r>
          </w:p>
        </w:tc>
        <w:tc>
          <w:tcPr>
            <w:tcW w:w="3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$6,055</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$6,367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5.1%</w:t>
            </w:r>
          </w:p>
        </w:tc>
      </w:tr>
      <w:tr>
        <w:trPr>
          <w:trHeight w:val="19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Income</w:t>
            </w:r>
          </w:p>
        </w:tc>
        <w:tc>
          <w:tcPr>
            <w:tcW w:w="3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$3,890</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$4,089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25"/>
        </w:trPr>
        <w:tc>
          <w:tcPr>
            <w:tcW w:w="5460" w:type="dxa"/>
            <w:vAlign w:val="bottom"/>
          </w:tcPr>
          <w:p>
            <w:pPr>
              <w:ind w:left="4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3760" w:type="dxa"/>
            <w:vAlign w:val="bottom"/>
          </w:tcPr>
          <w:p>
            <w:pPr>
              <w:jc w:val="right"/>
              <w:ind w:right="108"/>
              <w:spacing w:after="0"/>
              <w:rPr>
                <w:sz w:val="20"/>
                <w:szCs w:val="20"/>
                <w:color w:val="auto"/>
              </w:rPr>
            </w:pPr>
            <w:r>
              <w:rPr>
                <w:rFonts w:ascii="Arial" w:cs="Arial" w:eastAsia="Arial" w:hAnsi="Arial"/>
                <w:sz w:val="14"/>
                <w:szCs w:val="14"/>
                <w:color w:val="auto"/>
              </w:rPr>
              <w:t>$0.81</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$0.87</w:t>
            </w:r>
          </w:p>
        </w:tc>
        <w:tc>
          <w:tcPr>
            <w:tcW w:w="88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7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w:t>
            </w:r>
          </w:p>
        </w:tc>
        <w:tc>
          <w:tcPr>
            <w:tcW w:w="3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$0.79</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$0.84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6.3%</w:t>
            </w:r>
          </w:p>
        </w:tc>
      </w:tr>
      <w:tr>
        <w:trPr>
          <w:trHeight w:val="225"/>
        </w:trPr>
        <w:tc>
          <w:tcPr>
            <w:tcW w:w="546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3760" w:type="dxa"/>
            <w:vAlign w:val="bottom"/>
          </w:tcPr>
          <w:p>
            <w:pPr>
              <w:jc w:val="right"/>
              <w:ind w:right="108"/>
              <w:spacing w:after="0"/>
              <w:rPr>
                <w:sz w:val="20"/>
                <w:szCs w:val="20"/>
                <w:color w:val="auto"/>
              </w:rPr>
            </w:pPr>
            <w:r>
              <w:rPr>
                <w:rFonts w:ascii="Arial" w:cs="Arial" w:eastAsia="Arial" w:hAnsi="Arial"/>
                <w:sz w:val="14"/>
                <w:szCs w:val="14"/>
                <w:color w:val="auto"/>
              </w:rPr>
              <w:t>$3,183</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$2,805</w:t>
            </w:r>
          </w:p>
        </w:tc>
        <w:tc>
          <w:tcPr>
            <w:tcW w:w="880" w:type="dxa"/>
            <w:vAlign w:val="bottom"/>
          </w:tcPr>
          <w:p>
            <w:pPr>
              <w:jc w:val="right"/>
              <w:spacing w:after="0"/>
              <w:rPr>
                <w:sz w:val="20"/>
                <w:szCs w:val="20"/>
                <w:color w:val="auto"/>
              </w:rPr>
            </w:pPr>
            <w:r>
              <w:rPr>
                <w:rFonts w:ascii="Arial" w:cs="Arial" w:eastAsia="Arial" w:hAnsi="Arial"/>
                <w:sz w:val="14"/>
                <w:szCs w:val="14"/>
                <w:color w:val="auto"/>
              </w:rPr>
              <w:t>(11.9%)</w:t>
            </w:r>
          </w:p>
        </w:tc>
      </w:tr>
    </w:tbl>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first quarter of 2016 increased 5.3% to $18.8 billion. Excluding $376 million of revenue generated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broadcast of the NFL’s Super Bowl in the first quarter of 2015, consolidated revenue increased 7.5% (see Table 6). </w:t>
      </w:r>
      <w:r>
        <w:rPr>
          <w:rFonts w:ascii="Arial" w:cs="Arial" w:eastAsia="Arial" w:hAnsi="Arial"/>
          <w:sz w:val="18"/>
          <w:szCs w:val="18"/>
          <w:b w:val="1"/>
          <w:bCs w:val="1"/>
          <w:i w:val="1"/>
          <w:iCs w:val="1"/>
          <w:color w:val="auto"/>
        </w:rPr>
        <w:t>Consolidated Operating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Cash Flow </w:t>
      </w:r>
      <w:r>
        <w:rPr>
          <w:rFonts w:ascii="Arial" w:cs="Arial" w:eastAsia="Arial" w:hAnsi="Arial"/>
          <w:sz w:val="18"/>
          <w:szCs w:val="18"/>
          <w:color w:val="auto"/>
        </w:rPr>
        <w:t>increased 6.9% to $ 6.4 billion. Excluding $99 million of Time Warner Cable and Charter transaction-related costs in the first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2015, consolidated operating cash flow increased 5.1% (see Table 6). </w:t>
      </w:r>
      <w:r>
        <w:rPr>
          <w:rFonts w:ascii="Arial" w:cs="Arial" w:eastAsia="Arial" w:hAnsi="Arial"/>
          <w:sz w:val="18"/>
          <w:szCs w:val="18"/>
          <w:b w:val="1"/>
          <w:bCs w:val="1"/>
          <w:i w:val="1"/>
          <w:iCs w:val="1"/>
          <w:color w:val="auto"/>
        </w:rPr>
        <w:t>Consolidated Operating Income</w:t>
      </w:r>
      <w:r>
        <w:rPr>
          <w:rFonts w:ascii="Arial" w:cs="Arial" w:eastAsia="Arial" w:hAnsi="Arial"/>
          <w:sz w:val="18"/>
          <w:szCs w:val="18"/>
          <w:color w:val="auto"/>
        </w:rPr>
        <w:t xml:space="preserve"> increased 5.1% to $4.1 billion.</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2016 was $0.87, a 7.4% increase compared to the first quarter of 2015. Excluding a gain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an investment in the first quarter of 2016, as well as a gain on the sale of a business and transaction-related costs in the first quarter of 2015, EPS increased 6.3% to $0.84 (see Table 4).</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9.2% to $1.9 billion in the first quarter of 2016. Cable Communications’ capital expenditures increased 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$1.6 billion in the first quarter of 2016, reflecting a higher level of investment in scalable infrastructure to increase network capacity and</w:t>
      </w:r>
    </w:p>
    <w:p>
      <w:pPr>
        <w:sectPr>
          <w:pgSz w:w="11900" w:h="16838" w:orient="portrait"/>
          <w:cols w:equalWidth="0" w:num="1">
            <w:col w:w="11420"/>
          </w:cols>
          <w:pgMar w:left="240" w:top="118" w:right="239" w:bottom="0" w:gutter="0" w:footer="0" w:header="0"/>
        </w:sectPr>
      </w:pPr>
    </w:p>
    <w:bookmarkStart w:id="3" w:name="page4"/>
    <w:bookmarkEnd w:id="3"/>
    <w:p>
      <w:pPr>
        <w:jc w:val="both"/>
        <w:spacing w:after="0" w:line="238" w:lineRule="auto"/>
        <w:rPr>
          <w:sz w:val="20"/>
          <w:szCs w:val="20"/>
          <w:color w:val="auto"/>
        </w:rPr>
      </w:pPr>
      <w:r>
        <w:rPr>
          <w:rFonts w:ascii="Arial" w:cs="Arial" w:eastAsia="Arial" w:hAnsi="Arial"/>
          <w:sz w:val="18"/>
          <w:szCs w:val="18"/>
          <w:color w:val="auto"/>
        </w:rPr>
        <w:t>increased investment in line extensions, as well as our continued spending on customer premise equipment related to the deployment of the X1 platform and wireless gateways. Cable capital expenditures represented 12.9% of Cable revenue in the first quarter of 2016 compared to 12.6% in last year’s first quarter. NBCUniversal’s capital expenditures increased 10.0% to $295 million in the first quarter of 2016, primarily reflecting increased spending at our Theme Parks which now includes Universal Studios Japan.</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decreased 11.9% to $2.8 billion in the first quarter of 2016, reflecting growth in consolidated operating cash flow, offset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working capital, as well as higher capital expenditures and cash paid for capitalized software and other intangible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 in millions)</w:t>
            </w:r>
          </w:p>
        </w:tc>
        <w:tc>
          <w:tcPr>
            <w:tcW w:w="2580" w:type="dxa"/>
            <w:vAlign w:val="bottom"/>
          </w:tcPr>
          <w:p>
            <w:pPr>
              <w:spacing w:after="0"/>
              <w:rPr>
                <w:sz w:val="14"/>
                <w:szCs w:val="14"/>
                <w:color w:val="auto"/>
              </w:rPr>
            </w:pP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1st Quarter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40" w:type="dxa"/>
            <w:vAlign w:val="bottom"/>
            <w:tcBorders>
              <w:bottom w:val="single" w:sz="8" w:color="auto"/>
            </w:tcBorders>
            <w:vMerge w:val="continue"/>
          </w:tcPr>
          <w:p>
            <w:pPr>
              <w:spacing w:after="0"/>
              <w:rPr>
                <w:sz w:val="13"/>
                <w:szCs w:val="13"/>
                <w:color w:val="auto"/>
              </w:rPr>
            </w:pP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2015</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Cash Flow</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$5,956</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$6,367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Capital Expenditures</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(1,726)</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(1,885)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(273)</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(378)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Interest Expense</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(691)</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Taxes on Operating Items (Including Economic Stimulus Packages)</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(264)</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(256)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(436)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Noncash Share-Based Compensation</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74"/>
        </w:trPr>
        <w:tc>
          <w:tcPr>
            <w:tcW w:w="66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and Dividends for</w:t>
            </w:r>
          </w:p>
        </w:tc>
        <w:tc>
          <w:tcPr>
            <w:tcW w:w="2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64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Redeemable Subsidiary Preferred Stock</w:t>
            </w:r>
          </w:p>
        </w:tc>
        <w:tc>
          <w:tcPr>
            <w:tcW w:w="25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(62)</w:t>
            </w:r>
          </w:p>
        </w:tc>
        <w:tc>
          <w:tcPr>
            <w:tcW w:w="132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(77)</w:t>
            </w:r>
          </w:p>
        </w:tc>
        <w:tc>
          <w:tcPr>
            <w:tcW w:w="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9"/>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Free Cash Flow (Including Economic Stimulus Packages)</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$3,183</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$2,805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76"/>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Economic Stimulus Packages</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4"/>
                <w:szCs w:val="14"/>
                <w:color w:val="auto"/>
                <w:vertAlign w:val="superscript"/>
              </w:rPr>
              <w:t>3</w:t>
            </w:r>
          </w:p>
        </w:tc>
        <w:tc>
          <w:tcPr>
            <w:tcW w:w="2580" w:type="dxa"/>
            <w:vAlign w:val="bottom"/>
          </w:tcPr>
          <w:p>
            <w:pPr>
              <w:jc w:val="right"/>
              <w:ind w:right="108"/>
              <w:spacing w:after="0"/>
              <w:rPr>
                <w:sz w:val="20"/>
                <w:szCs w:val="20"/>
                <w:color w:val="auto"/>
              </w:rPr>
            </w:pPr>
            <w:r>
              <w:rPr>
                <w:rFonts w:ascii="Arial" w:cs="Arial" w:eastAsia="Arial" w:hAnsi="Arial"/>
                <w:sz w:val="14"/>
                <w:szCs w:val="14"/>
                <w:b w:val="1"/>
                <w:bCs w:val="1"/>
                <w:color w:val="auto"/>
              </w:rPr>
              <w:t>$3,183</w:t>
            </w:r>
          </w:p>
        </w:tc>
        <w:tc>
          <w:tcPr>
            <w:tcW w:w="1320" w:type="dxa"/>
            <w:vAlign w:val="bottom"/>
          </w:tcPr>
          <w:p>
            <w:pPr>
              <w:jc w:val="right"/>
              <w:ind w:right="228"/>
              <w:spacing w:after="0"/>
              <w:rPr>
                <w:sz w:val="20"/>
                <w:szCs w:val="20"/>
                <w:color w:val="auto"/>
              </w:rPr>
            </w:pPr>
            <w:r>
              <w:rPr>
                <w:rFonts w:ascii="Arial" w:cs="Arial" w:eastAsia="Arial" w:hAnsi="Arial"/>
                <w:sz w:val="14"/>
                <w:szCs w:val="14"/>
                <w:b w:val="1"/>
                <w:bCs w:val="1"/>
                <w:color w:val="auto"/>
              </w:rPr>
              <w:t>$2,805</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NM=comparison not meaningful.</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first quarter of 2016, Comcast paid dividends totaling $ 611 million and repurchased 22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common shares for $1.2 billion. As of March 31, 2016, Comcast had $8.8 billion available under its share repurchase authorization.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1st Quarter</w:t>
            </w:r>
          </w:p>
        </w:tc>
        <w:tc>
          <w:tcPr>
            <w:tcW w:w="860" w:type="dxa"/>
            <w:vAlign w:val="bottom"/>
            <w:tcBorders>
              <w:bottom w:val="single" w:sz="8" w:color="auto"/>
            </w:tcBorders>
          </w:tcPr>
          <w:p>
            <w:pPr>
              <w:spacing w:after="0"/>
              <w:rPr>
                <w:sz w:val="14"/>
                <w:szCs w:val="14"/>
                <w:color w:val="auto"/>
              </w:rPr>
            </w:pP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2015</w:t>
            </w:r>
            <w:r>
              <w:rPr>
                <w:rFonts w:ascii="Arial" w:cs="Arial" w:eastAsia="Arial" w:hAnsi="Arial"/>
                <w:sz w:val="14"/>
                <w:szCs w:val="14"/>
                <w:color w:val="auto"/>
                <w:vertAlign w:val="superscript"/>
              </w:rPr>
              <w:t>4</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3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$5,331</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$5,538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3,044</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3,275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906</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896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1,116</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1,311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499</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559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545</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625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$11,441</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$12,204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r>
      <w:tr>
        <w:trPr>
          <w:trHeight w:val="176"/>
        </w:trPr>
        <w:tc>
          <w:tcPr>
            <w:tcW w:w="58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6"/>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$4,658</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$4,889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r>
      <w:tr>
        <w:trPr>
          <w:trHeight w:val="184"/>
        </w:trPr>
        <w:tc>
          <w:tcPr>
            <w:tcW w:w="582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3400" w:type="dxa"/>
            <w:vAlign w:val="bottom"/>
          </w:tcPr>
          <w:p>
            <w:pPr>
              <w:jc w:val="right"/>
              <w:ind w:right="108"/>
              <w:spacing w:after="0"/>
              <w:rPr>
                <w:sz w:val="20"/>
                <w:szCs w:val="20"/>
                <w:color w:val="auto"/>
              </w:rPr>
            </w:pPr>
            <w:r>
              <w:rPr>
                <w:rFonts w:ascii="Arial" w:cs="Arial" w:eastAsia="Arial" w:hAnsi="Arial"/>
                <w:sz w:val="14"/>
                <w:szCs w:val="14"/>
                <w:i w:val="1"/>
                <w:iCs w:val="1"/>
                <w:color w:val="auto"/>
              </w:rPr>
              <w:t>40.7%</w:t>
            </w:r>
          </w:p>
        </w:tc>
        <w:tc>
          <w:tcPr>
            <w:tcW w:w="1340" w:type="dxa"/>
            <w:vAlign w:val="bottom"/>
          </w:tcPr>
          <w:p>
            <w:pPr>
              <w:jc w:val="right"/>
              <w:ind w:right="248"/>
              <w:spacing w:after="0"/>
              <w:rPr>
                <w:sz w:val="20"/>
                <w:szCs w:val="20"/>
                <w:color w:val="auto"/>
              </w:rPr>
            </w:pPr>
            <w:r>
              <w:rPr>
                <w:rFonts w:ascii="Arial" w:cs="Arial" w:eastAsia="Arial" w:hAnsi="Arial"/>
                <w:sz w:val="14"/>
                <w:szCs w:val="14"/>
                <w:i w:val="1"/>
                <w:iCs w:val="1"/>
                <w:color w:val="auto"/>
              </w:rPr>
              <w:t>40.1%</w:t>
            </w:r>
          </w:p>
        </w:tc>
        <w:tc>
          <w:tcPr>
            <w:tcW w:w="860" w:type="dxa"/>
            <w:vAlign w:val="bottom"/>
          </w:tcPr>
          <w:p>
            <w:pPr>
              <w:spacing w:after="0"/>
              <w:rPr>
                <w:sz w:val="16"/>
                <w:szCs w:val="16"/>
                <w:color w:val="auto"/>
              </w:rPr>
            </w:pPr>
          </w:p>
        </w:tc>
      </w:tr>
      <w:tr>
        <w:trPr>
          <w:trHeight w:val="174"/>
        </w:trPr>
        <w:tc>
          <w:tcPr>
            <w:tcW w:w="58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$1,446</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$1,576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w:t>
            </w:r>
          </w:p>
        </w:tc>
      </w:tr>
      <w:tr>
        <w:trPr>
          <w:trHeight w:val="169"/>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3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12.6%</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12.9%</w:t>
            </w:r>
          </w:p>
        </w:tc>
        <w:tc>
          <w:tcPr>
            <w:tcW w:w="860" w:type="dxa"/>
            <w:vAlign w:val="bottom"/>
            <w:tcBorders>
              <w:bottom w:val="single" w:sz="8" w:color="auto"/>
            </w:tcBorders>
          </w:tcPr>
          <w:p>
            <w:pPr>
              <w:spacing w:after="0"/>
              <w:rPr>
                <w:sz w:val="14"/>
                <w:szCs w:val="14"/>
                <w:color w:val="auto"/>
              </w:rPr>
            </w:pP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6.7% to $12.2 billion in the first quarter of 2016,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video and business services revenue. High-speed Internet revenue increased 7.6%, reflecting an increase in the number of residential high-speed Internet customers, an increase in the number of customers receiving higher levels of service and rate adjustments. Video revenue increased 3.9%, primarily reflecting rate adjustments, as well as an increase in the number of customers subscribing to additional services. Business services revenue increased 17.5% primarily due to an increase in the number of small business customers, as well as continued growth in our medium-sized business services. Other revenue increased 14.8%, reflecting higher franchise and regulatory fees, as well as an increase in Xfinity Home revenue. Advertising revenue increased 12.1%, reflecting an increase in political advertising revenue, higher rates and the timing of programmers spending on advertising.</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269,000 to 28.0 million in the first quarter of 2016, a 36% improvement compared to the increase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quarter of 2015, primarily reflecting increases in double and triple product relationships. At the end of the first quarter, penetration of our double and triple product customers increased to 70% compared to 69% in the first quarter of 2015. Video customer net additions of 53,000 were the best result for a first quarter in nine years, high-speed Internet customer net additions of 438,000 were the best result for a first quarter in four years, and Voice customer net additions improved to 102,000.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Customers</w:t>
            </w:r>
          </w:p>
        </w:tc>
        <w:tc>
          <w:tcPr>
            <w:tcW w:w="14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Net Additions</w:t>
            </w:r>
          </w:p>
        </w:tc>
        <w:tc>
          <w:tcPr>
            <w:tcW w:w="460" w:type="dxa"/>
            <w:vAlign w:val="bottom"/>
            <w:tcBorders>
              <w:bottom w:val="single" w:sz="8" w:color="auto"/>
            </w:tcBorders>
          </w:tcPr>
          <w:p>
            <w:pPr>
              <w:spacing w:after="0"/>
              <w:rPr>
                <w:sz w:val="14"/>
                <w:szCs w:val="14"/>
                <w:color w:val="auto"/>
              </w:rPr>
            </w:pPr>
          </w:p>
        </w:tc>
      </w:tr>
      <w:tr>
        <w:trPr>
          <w:trHeight w:val="16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3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1Q15</w:t>
            </w:r>
          </w:p>
        </w:tc>
        <w:tc>
          <w:tcPr>
            <w:tcW w:w="14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1Q16</w:t>
            </w:r>
          </w:p>
        </w:tc>
        <w:tc>
          <w:tcPr>
            <w:tcW w:w="19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1Q15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1Q16</w:t>
            </w:r>
          </w:p>
        </w:tc>
      </w:tr>
      <w:tr>
        <w:trPr>
          <w:trHeight w:val="16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3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22,375</w:t>
            </w:r>
          </w:p>
        </w:tc>
        <w:tc>
          <w:tcPr>
            <w:tcW w:w="14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22,400</w:t>
            </w:r>
          </w:p>
        </w:tc>
        <w:tc>
          <w:tcPr>
            <w:tcW w:w="19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16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 Customers</w:t>
            </w:r>
          </w:p>
        </w:tc>
        <w:tc>
          <w:tcPr>
            <w:tcW w:w="3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22,369</w:t>
            </w:r>
          </w:p>
        </w:tc>
        <w:tc>
          <w:tcPr>
            <w:tcW w:w="14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23,767</w:t>
            </w:r>
          </w:p>
        </w:tc>
        <w:tc>
          <w:tcPr>
            <w:tcW w:w="19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407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r>
      <w:tr>
        <w:trPr>
          <w:trHeight w:val="16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 Customers</w:t>
            </w:r>
          </w:p>
        </w:tc>
        <w:tc>
          <w:tcPr>
            <w:tcW w:w="3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11,270</w:t>
            </w:r>
          </w:p>
        </w:tc>
        <w:tc>
          <w:tcPr>
            <w:tcW w:w="14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11,577</w:t>
            </w:r>
          </w:p>
        </w:tc>
        <w:tc>
          <w:tcPr>
            <w:tcW w:w="19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77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169"/>
        </w:trPr>
        <w:tc>
          <w:tcPr>
            <w:tcW w:w="42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6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Customers</w:t>
            </w:r>
          </w:p>
        </w:tc>
        <w:tc>
          <w:tcPr>
            <w:tcW w:w="3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8,399</w:t>
            </w:r>
          </w:p>
        </w:tc>
        <w:tc>
          <w:tcPr>
            <w:tcW w:w="14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8,410</w:t>
            </w:r>
          </w:p>
        </w:tc>
        <w:tc>
          <w:tcPr>
            <w:tcW w:w="19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r>
      <w:tr>
        <w:trPr>
          <w:trHeight w:val="16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Double Product Customers</w:t>
            </w:r>
          </w:p>
        </w:tc>
        <w:tc>
          <w:tcPr>
            <w:tcW w:w="3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8,890</w:t>
            </w:r>
          </w:p>
        </w:tc>
        <w:tc>
          <w:tcPr>
            <w:tcW w:w="14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9,346</w:t>
            </w:r>
          </w:p>
        </w:tc>
        <w:tc>
          <w:tcPr>
            <w:tcW w:w="19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140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16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Triple Product Customers</w:t>
            </w:r>
          </w:p>
        </w:tc>
        <w:tc>
          <w:tcPr>
            <w:tcW w:w="3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9,945</w:t>
            </w:r>
          </w:p>
        </w:tc>
        <w:tc>
          <w:tcPr>
            <w:tcW w:w="14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10,214</w:t>
            </w:r>
          </w:p>
        </w:tc>
        <w:tc>
          <w:tcPr>
            <w:tcW w:w="19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69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184"/>
        </w:trPr>
        <w:tc>
          <w:tcPr>
            <w:tcW w:w="426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3280" w:type="dxa"/>
            <w:vAlign w:val="bottom"/>
          </w:tcPr>
          <w:p>
            <w:pPr>
              <w:jc w:val="right"/>
              <w:ind w:right="588"/>
              <w:spacing w:after="0"/>
              <w:rPr>
                <w:sz w:val="20"/>
                <w:szCs w:val="20"/>
                <w:color w:val="auto"/>
              </w:rPr>
            </w:pPr>
            <w:r>
              <w:rPr>
                <w:rFonts w:ascii="Arial" w:cs="Arial" w:eastAsia="Arial" w:hAnsi="Arial"/>
                <w:sz w:val="14"/>
                <w:szCs w:val="14"/>
                <w:b w:val="1"/>
                <w:bCs w:val="1"/>
                <w:color w:val="auto"/>
              </w:rPr>
              <w:t>27,234</w:t>
            </w:r>
          </w:p>
        </w:tc>
        <w:tc>
          <w:tcPr>
            <w:tcW w:w="1440" w:type="dxa"/>
            <w:vAlign w:val="bottom"/>
          </w:tcPr>
          <w:p>
            <w:pPr>
              <w:jc w:val="right"/>
              <w:ind w:right="828"/>
              <w:spacing w:after="0"/>
              <w:rPr>
                <w:sz w:val="20"/>
                <w:szCs w:val="20"/>
                <w:color w:val="auto"/>
              </w:rPr>
            </w:pPr>
            <w:r>
              <w:rPr>
                <w:rFonts w:ascii="Arial" w:cs="Arial" w:eastAsia="Arial" w:hAnsi="Arial"/>
                <w:sz w:val="14"/>
                <w:szCs w:val="14"/>
                <w:b w:val="1"/>
                <w:bCs w:val="1"/>
                <w:color w:val="auto"/>
              </w:rPr>
              <w:t>27,970</w:t>
            </w:r>
          </w:p>
        </w:tc>
        <w:tc>
          <w:tcPr>
            <w:tcW w:w="1980" w:type="dxa"/>
            <w:vAlign w:val="bottom"/>
          </w:tcPr>
          <w:p>
            <w:pPr>
              <w:jc w:val="right"/>
              <w:ind w:right="648"/>
              <w:spacing w:after="0"/>
              <w:rPr>
                <w:sz w:val="20"/>
                <w:szCs w:val="20"/>
                <w:color w:val="auto"/>
              </w:rPr>
            </w:pPr>
            <w:r>
              <w:rPr>
                <w:rFonts w:ascii="Arial" w:cs="Arial" w:eastAsia="Arial" w:hAnsi="Arial"/>
                <w:sz w:val="14"/>
                <w:szCs w:val="14"/>
                <w:b w:val="1"/>
                <w:bCs w:val="1"/>
                <w:color w:val="auto"/>
              </w:rPr>
              <w:t>199</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269</w:t>
            </w:r>
          </w:p>
        </w:tc>
      </w:tr>
    </w:tbl>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5.0% to $4.9 billion in the first quarter of 2016,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7.8% increase in operating expenses. The higher expenses were primarily due to a 9.4% increase in video programming costs, reflecting the timing of contract renewals, as well as higher retransmission consent fees and sports programming costs. In addition, technical and product support expenses increased 6.3% and customer service expenses increased 8.0%, driven by investments to improve the customer experience and expenses related to the development, delivery and support of our X1 platform and wireless gateways. Advertising, marketing and promotion costs increased 6.1%. This quarter’s operating cash flow margin was 40.1% compared to 40.7% in the first quarter of 2015.</w:t>
      </w:r>
    </w:p>
    <w:p>
      <w:pPr>
        <w:sectPr>
          <w:pgSz w:w="11900" w:h="16838" w:orient="portrait"/>
          <w:cols w:equalWidth="0" w:num="1">
            <w:col w:w="11420"/>
          </w:cols>
          <w:pgMar w:left="240" w:top="140"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1st Quarter</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7"/>
        </w:trPr>
        <w:tc>
          <w:tcPr>
            <w:tcW w:w="50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Reported</w:t>
            </w:r>
          </w:p>
        </w:tc>
        <w:tc>
          <w:tcPr>
            <w:tcW w:w="940" w:type="dxa"/>
            <w:vAlign w:val="bottom"/>
          </w:tcPr>
          <w:p>
            <w:pPr>
              <w:jc w:val="right"/>
              <w:spacing w:after="0"/>
              <w:rPr>
                <w:sz w:val="20"/>
                <w:szCs w:val="20"/>
                <w:color w:val="auto"/>
              </w:rPr>
            </w:pPr>
            <w:r>
              <w:rPr>
                <w:rFonts w:ascii="Arial" w:cs="Arial" w:eastAsia="Arial" w:hAnsi="Arial"/>
                <w:sz w:val="14"/>
                <w:szCs w:val="14"/>
                <w:color w:val="auto"/>
              </w:rPr>
              <w:t>Pro Forma</w:t>
            </w:r>
          </w:p>
        </w:tc>
      </w:tr>
      <w:tr>
        <w:trPr>
          <w:trHeight w:val="160"/>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3320" w:type="dxa"/>
            <w:vAlign w:val="bottom"/>
            <w:tcBorders>
              <w:bottom w:val="single" w:sz="8" w:color="auto"/>
            </w:tcBorders>
          </w:tcPr>
          <w:p>
            <w:pPr>
              <w:jc w:val="right"/>
              <w:ind w:right="268"/>
              <w:spacing w:after="0" w:line="160" w:lineRule="exact"/>
              <w:rPr>
                <w:sz w:val="20"/>
                <w:szCs w:val="20"/>
                <w:color w:val="auto"/>
              </w:rPr>
            </w:pPr>
            <w:r>
              <w:rPr>
                <w:rFonts w:ascii="Arial" w:cs="Arial" w:eastAsia="Arial" w:hAnsi="Arial"/>
                <w:sz w:val="14"/>
                <w:szCs w:val="14"/>
                <w:color w:val="auto"/>
              </w:rPr>
              <w:t>2015</w:t>
            </w:r>
          </w:p>
        </w:tc>
        <w:tc>
          <w:tcPr>
            <w:tcW w:w="1220" w:type="dxa"/>
            <w:vAlign w:val="bottom"/>
            <w:tcBorders>
              <w:bottom w:val="single" w:sz="8" w:color="auto"/>
            </w:tcBorders>
          </w:tcPr>
          <w:p>
            <w:pPr>
              <w:jc w:val="right"/>
              <w:ind w:right="348"/>
              <w:spacing w:after="0" w:line="160" w:lineRule="exact"/>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128"/>
              <w:spacing w:after="0" w:line="160" w:lineRule="exact"/>
              <w:rPr>
                <w:sz w:val="20"/>
                <w:szCs w:val="20"/>
                <w:color w:val="auto"/>
              </w:rPr>
            </w:pPr>
            <w:r>
              <w:rPr>
                <w:rFonts w:ascii="Arial" w:cs="Arial" w:eastAsia="Arial" w:hAnsi="Arial"/>
                <w:sz w:val="14"/>
                <w:szCs w:val="14"/>
                <w:color w:val="auto"/>
              </w:rPr>
              <w:t>Growth</w:t>
            </w:r>
          </w:p>
        </w:tc>
        <w:tc>
          <w:tcPr>
            <w:tcW w:w="9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Growth</w:t>
            </w:r>
            <w:r>
              <w:rPr>
                <w:rFonts w:ascii="Arial" w:cs="Arial" w:eastAsia="Arial" w:hAnsi="Arial"/>
                <w:sz w:val="14"/>
                <w:szCs w:val="14"/>
                <w:color w:val="auto"/>
                <w:vertAlign w:val="superscript"/>
              </w:rPr>
              <w:t>5</w:t>
            </w: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3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$2,359</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$2,453</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w:t>
            </w:r>
          </w:p>
        </w:tc>
        <w:tc>
          <w:tcPr>
            <w:tcW w:w="940" w:type="dxa"/>
            <w:vAlign w:val="bottom"/>
            <w:tcBorders>
              <w:bottom w:val="single" w:sz="8" w:color="auto"/>
            </w:tcBorders>
          </w:tcPr>
          <w:p>
            <w:pPr>
              <w:spacing w:after="0"/>
              <w:rPr>
                <w:sz w:val="14"/>
                <w:szCs w:val="14"/>
                <w:color w:val="auto"/>
              </w:rPr>
            </w:pPr>
          </w:p>
        </w:tc>
      </w:tr>
      <w:tr>
        <w:trPr>
          <w:trHeight w:val="173"/>
        </w:trPr>
        <w:tc>
          <w:tcPr>
            <w:tcW w:w="504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3320" w:type="dxa"/>
            <w:vAlign w:val="bottom"/>
          </w:tcPr>
          <w:p>
            <w:pPr>
              <w:jc w:val="right"/>
              <w:ind w:right="268"/>
              <w:spacing w:after="0"/>
              <w:rPr>
                <w:sz w:val="20"/>
                <w:szCs w:val="20"/>
                <w:color w:val="auto"/>
              </w:rPr>
            </w:pPr>
            <w:r>
              <w:rPr>
                <w:rFonts w:ascii="Arial" w:cs="Arial" w:eastAsia="Arial" w:hAnsi="Arial"/>
                <w:sz w:val="14"/>
                <w:szCs w:val="14"/>
                <w:color w:val="auto"/>
              </w:rPr>
              <w:t>2,248</w:t>
            </w:r>
          </w:p>
        </w:tc>
        <w:tc>
          <w:tcPr>
            <w:tcW w:w="1220" w:type="dxa"/>
            <w:vAlign w:val="bottom"/>
          </w:tcPr>
          <w:p>
            <w:pPr>
              <w:jc w:val="right"/>
              <w:ind w:right="348"/>
              <w:spacing w:after="0"/>
              <w:rPr>
                <w:sz w:val="20"/>
                <w:szCs w:val="20"/>
                <w:color w:val="auto"/>
              </w:rPr>
            </w:pPr>
            <w:r>
              <w:rPr>
                <w:rFonts w:ascii="Arial" w:cs="Arial" w:eastAsia="Arial" w:hAnsi="Arial"/>
                <w:sz w:val="14"/>
                <w:szCs w:val="14"/>
                <w:color w:val="auto"/>
              </w:rPr>
              <w:t>2,084</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(7.3%)</w:t>
            </w:r>
          </w:p>
        </w:tc>
        <w:tc>
          <w:tcPr>
            <w:tcW w:w="940" w:type="dxa"/>
            <w:vAlign w:val="bottom"/>
          </w:tcPr>
          <w:p>
            <w:pPr>
              <w:spacing w:after="0"/>
              <w:rPr>
                <w:sz w:val="15"/>
                <w:szCs w:val="15"/>
                <w:color w:val="auto"/>
              </w:rPr>
            </w:pPr>
          </w:p>
        </w:tc>
      </w:tr>
      <w:tr>
        <w:trPr>
          <w:trHeight w:val="171"/>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Super Bowl</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1,872</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i w:val="1"/>
                <w:iCs w:val="1"/>
                <w:color w:val="auto"/>
              </w:rPr>
              <w:t>2,084</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11.4%</w:t>
            </w:r>
          </w:p>
        </w:tc>
        <w:tc>
          <w:tcPr>
            <w:tcW w:w="940" w:type="dxa"/>
            <w:vAlign w:val="bottom"/>
            <w:tcBorders>
              <w:bottom w:val="single" w:sz="8" w:color="auto"/>
            </w:tcBorders>
          </w:tcPr>
          <w:p>
            <w:pPr>
              <w:spacing w:after="0"/>
              <w:rPr>
                <w:sz w:val="14"/>
                <w:szCs w:val="14"/>
                <w:color w:val="auto"/>
              </w:rPr>
            </w:pP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1,446</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1,383</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w:t>
            </w:r>
          </w:p>
        </w:tc>
        <w:tc>
          <w:tcPr>
            <w:tcW w:w="940" w:type="dxa"/>
            <w:vAlign w:val="bottom"/>
            <w:tcBorders>
              <w:bottom w:val="single" w:sz="8" w:color="auto"/>
            </w:tcBorders>
          </w:tcPr>
          <w:p>
            <w:pPr>
              <w:spacing w:after="0"/>
              <w:rPr>
                <w:sz w:val="14"/>
                <w:szCs w:val="14"/>
                <w:color w:val="auto"/>
              </w:rPr>
            </w:pP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651</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1,026</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(100)</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(85)</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spacing w:after="0"/>
              <w:rPr>
                <w:sz w:val="14"/>
                <w:szCs w:val="14"/>
                <w:color w:val="auto"/>
              </w:rPr>
            </w:pPr>
          </w:p>
        </w:tc>
      </w:tr>
      <w:tr>
        <w:trPr>
          <w:trHeight w:val="156"/>
        </w:trPr>
        <w:tc>
          <w:tcPr>
            <w:tcW w:w="504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NBCUniversal Revenue</w:t>
            </w:r>
          </w:p>
        </w:tc>
        <w:tc>
          <w:tcPr>
            <w:tcW w:w="3320" w:type="dxa"/>
            <w:vAlign w:val="bottom"/>
          </w:tcPr>
          <w:p>
            <w:pPr>
              <w:jc w:val="right"/>
              <w:ind w:right="268"/>
              <w:spacing w:after="0" w:line="156" w:lineRule="exact"/>
              <w:rPr>
                <w:sz w:val="20"/>
                <w:szCs w:val="20"/>
                <w:color w:val="auto"/>
              </w:rPr>
            </w:pPr>
            <w:r>
              <w:rPr>
                <w:rFonts w:ascii="Arial" w:cs="Arial" w:eastAsia="Arial" w:hAnsi="Arial"/>
                <w:sz w:val="14"/>
                <w:szCs w:val="14"/>
                <w:b w:val="1"/>
                <w:bCs w:val="1"/>
                <w:color w:val="auto"/>
              </w:rPr>
              <w:t>$6,604</w:t>
            </w:r>
          </w:p>
        </w:tc>
        <w:tc>
          <w:tcPr>
            <w:tcW w:w="1220" w:type="dxa"/>
            <w:vAlign w:val="bottom"/>
          </w:tcPr>
          <w:p>
            <w:pPr>
              <w:jc w:val="right"/>
              <w:ind w:right="348"/>
              <w:spacing w:after="0" w:line="156" w:lineRule="exact"/>
              <w:rPr>
                <w:sz w:val="20"/>
                <w:szCs w:val="20"/>
                <w:color w:val="auto"/>
              </w:rPr>
            </w:pPr>
            <w:r>
              <w:rPr>
                <w:rFonts w:ascii="Arial" w:cs="Arial" w:eastAsia="Arial" w:hAnsi="Arial"/>
                <w:sz w:val="14"/>
                <w:szCs w:val="14"/>
                <w:b w:val="1"/>
                <w:bCs w:val="1"/>
                <w:color w:val="auto"/>
              </w:rPr>
              <w:t>$6,861</w:t>
            </w:r>
          </w:p>
        </w:tc>
        <w:tc>
          <w:tcPr>
            <w:tcW w:w="900" w:type="dxa"/>
            <w:vAlign w:val="bottom"/>
          </w:tcPr>
          <w:p>
            <w:pPr>
              <w:jc w:val="right"/>
              <w:ind w:right="128"/>
              <w:spacing w:after="0" w:line="156" w:lineRule="exact"/>
              <w:rPr>
                <w:sz w:val="20"/>
                <w:szCs w:val="20"/>
                <w:color w:val="auto"/>
              </w:rPr>
            </w:pPr>
            <w:r>
              <w:rPr>
                <w:rFonts w:ascii="Arial" w:cs="Arial" w:eastAsia="Arial" w:hAnsi="Arial"/>
                <w:sz w:val="14"/>
                <w:szCs w:val="14"/>
                <w:b w:val="1"/>
                <w:bCs w:val="1"/>
                <w:color w:val="auto"/>
              </w:rPr>
              <w:t>3.9%</w:t>
            </w:r>
          </w:p>
        </w:tc>
        <w:tc>
          <w:tcPr>
            <w:tcW w:w="94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(0.4%)</w:t>
            </w:r>
          </w:p>
        </w:tc>
      </w:tr>
      <w:tr>
        <w:trPr>
          <w:trHeight w:val="190"/>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Excluding Super Bowl</w:t>
            </w:r>
          </w:p>
        </w:tc>
        <w:tc>
          <w:tcPr>
            <w:tcW w:w="3320" w:type="dxa"/>
            <w:vAlign w:val="bottom"/>
          </w:tcPr>
          <w:p>
            <w:pPr>
              <w:jc w:val="right"/>
              <w:ind w:right="268"/>
              <w:spacing w:after="0"/>
              <w:rPr>
                <w:sz w:val="20"/>
                <w:szCs w:val="20"/>
                <w:color w:val="auto"/>
              </w:rPr>
            </w:pPr>
            <w:r>
              <w:rPr>
                <w:rFonts w:ascii="Arial" w:cs="Arial" w:eastAsia="Arial" w:hAnsi="Arial"/>
                <w:sz w:val="14"/>
                <w:szCs w:val="14"/>
                <w:b w:val="1"/>
                <w:bCs w:val="1"/>
                <w:i w:val="1"/>
                <w:iCs w:val="1"/>
                <w:color w:val="auto"/>
              </w:rPr>
              <w:t>$6,228</w:t>
            </w: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i w:val="1"/>
                <w:iCs w:val="1"/>
                <w:color w:val="auto"/>
              </w:rPr>
              <w:t>$6,861</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10.2</w:t>
            </w: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5.4%</w:t>
            </w:r>
          </w:p>
        </w:tc>
      </w:tr>
      <w:tr>
        <w:trPr>
          <w:trHeight w:val="201"/>
        </w:trPr>
        <w:tc>
          <w:tcPr>
            <w:tcW w:w="50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3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$898</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$956</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w:t>
            </w:r>
          </w:p>
        </w:tc>
        <w:tc>
          <w:tcPr>
            <w:tcW w:w="940" w:type="dxa"/>
            <w:vAlign w:val="bottom"/>
            <w:tcBorders>
              <w:bottom w:val="single" w:sz="8" w:color="auto"/>
            </w:tcBorders>
          </w:tcPr>
          <w:p>
            <w:pPr>
              <w:spacing w:after="0"/>
              <w:rPr>
                <w:sz w:val="14"/>
                <w:szCs w:val="14"/>
                <w:color w:val="auto"/>
              </w:rPr>
            </w:pP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182</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284</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56.5%</w:t>
            </w:r>
          </w:p>
        </w:tc>
        <w:tc>
          <w:tcPr>
            <w:tcW w:w="940" w:type="dxa"/>
            <w:vAlign w:val="bottom"/>
            <w:tcBorders>
              <w:bottom w:val="single" w:sz="8" w:color="auto"/>
            </w:tcBorders>
          </w:tcPr>
          <w:p>
            <w:pPr>
              <w:spacing w:after="0"/>
              <w:rPr>
                <w:sz w:val="14"/>
                <w:szCs w:val="14"/>
                <w:color w:val="auto"/>
              </w:rPr>
            </w:pP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293</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167</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(43.1%)</w:t>
            </w:r>
          </w:p>
        </w:tc>
        <w:tc>
          <w:tcPr>
            <w:tcW w:w="940" w:type="dxa"/>
            <w:vAlign w:val="bottom"/>
            <w:tcBorders>
              <w:bottom w:val="single" w:sz="8" w:color="auto"/>
            </w:tcBorders>
          </w:tcPr>
          <w:p>
            <w:pPr>
              <w:spacing w:after="0"/>
              <w:rPr>
                <w:sz w:val="14"/>
                <w:szCs w:val="14"/>
                <w:color w:val="auto"/>
              </w:rPr>
            </w:pP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244</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375</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6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3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(142)</w:t>
            </w: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(160)</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spacing w:after="0"/>
              <w:rPr>
                <w:sz w:val="14"/>
                <w:szCs w:val="14"/>
                <w:color w:val="auto"/>
              </w:rPr>
            </w:pPr>
          </w:p>
        </w:tc>
      </w:tr>
      <w:tr>
        <w:trPr>
          <w:trHeight w:val="18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3320" w:type="dxa"/>
            <w:vAlign w:val="bottom"/>
          </w:tcPr>
          <w:p>
            <w:pPr>
              <w:jc w:val="right"/>
              <w:ind w:right="268"/>
              <w:spacing w:after="0"/>
              <w:rPr>
                <w:sz w:val="20"/>
                <w:szCs w:val="20"/>
                <w:color w:val="auto"/>
              </w:rPr>
            </w:pPr>
            <w:r>
              <w:rPr>
                <w:rFonts w:ascii="Arial" w:cs="Arial" w:eastAsia="Arial" w:hAnsi="Arial"/>
                <w:sz w:val="14"/>
                <w:szCs w:val="14"/>
                <w:b w:val="1"/>
                <w:bCs w:val="1"/>
                <w:color w:val="auto"/>
              </w:rPr>
              <w:t>$1,475</w:t>
            </w: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color w:val="auto"/>
              </w:rPr>
              <w:t>$1,622</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10.0%</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3.9% to $6.9 billion in the first quarter of 2016 and</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10.0% to $1.6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primarily due to the acquisition of Universal Studios Japan in November 2015. </w:t>
      </w:r>
      <w:r>
        <w:rPr>
          <w:rFonts w:ascii="Arial" w:cs="Arial" w:eastAsia="Arial" w:hAnsi="Arial"/>
          <w:sz w:val="18"/>
          <w:szCs w:val="18"/>
          <w:b w:val="1"/>
          <w:bCs w:val="1"/>
          <w:i w:val="1"/>
          <w:iCs w:val="1"/>
          <w:color w:val="auto"/>
        </w:rPr>
        <w:t>Pro Forma</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Revenue</w:t>
      </w:r>
      <w:r>
        <w:rPr>
          <w:rFonts w:ascii="Arial" w:cs="Arial" w:eastAsia="Arial" w:hAnsi="Arial"/>
          <w:sz w:val="18"/>
          <w:szCs w:val="18"/>
          <w:color w:val="auto"/>
        </w:rPr>
        <w:t xml:space="preserve"> for NBCUniversal decreased 0.4%. Excluding $376 million of revenue generated by the broadcast of the NFL’s Super Bowl in the first quarter of 2015, pro forma revenue increased 5.4% (see Table 6). </w:t>
      </w:r>
      <w:r>
        <w:rPr>
          <w:rFonts w:ascii="Arial" w:cs="Arial" w:eastAsia="Arial" w:hAnsi="Arial"/>
          <w:sz w:val="18"/>
          <w:szCs w:val="18"/>
          <w:b w:val="1"/>
          <w:bCs w:val="1"/>
          <w:i w:val="1"/>
          <w:iCs w:val="1"/>
          <w:color w:val="auto"/>
        </w:rPr>
        <w:t>Pro Forma</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1.8%, driven by results at Broadcast Television and Cable Networks, partially offset by Filmed Entertainment.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Cable Networks revenue increased 4.0% to $2.5 billion in the first quarter of 2016, reflecting higher distribution revenue, as well as consistent advertising revenue. Distribution revenue increased 5.9%, driven by contractual rate increases and contract renewals, partially offset by a decline in subscribers at our cable networks. Advertising revenue was flat compared to the first quarter of 2015, due to higher rates, offset by audience ratings declines and the impact of a benefit from a reduction in deferred advertising revenue in the prior year. Operating cash flow increased 6.4% to $956 million in the first quarter of 2016, reflecting higher revenue and a modest increase in programming and production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Broadcast Television revenue declined 7.3% in the first quarter of 2016. Excluding $376 million of revenue generated by the NFL’s Super Bowl in the first quarter of 2015, revenue increased 11.4%, reflecting higher advertising and distribution and other revenue (see Table 6). Excluding the revenue from the Super Bowl last year, advertising revenue increased 9.6% reflecting higher rates and one additional NFL game compared to last year’s first quarter, partially offset by lower ratings. Distribution and other revenue increased 43.1%, primarily due to higher retransmission consent fees. Operating cash flow increased 56.5% to $284 million, reflecting lower programming and production costs compared to last year’s first quarter which included the Super Bowl.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Filmed Entertainment revenue declined 4.3% in the first quarter of 2016, reflecting lower theatrical and home entertainment revenue, partially offset by higher content licensing and other revenue. Theatrical revenue declined 36.4% compared to last year’s first quarter which included the strong performance of </w:t>
      </w:r>
      <w:r>
        <w:rPr>
          <w:rFonts w:ascii="Arial" w:cs="Arial" w:eastAsia="Arial" w:hAnsi="Arial"/>
          <w:sz w:val="18"/>
          <w:szCs w:val="18"/>
          <w:i w:val="1"/>
          <w:iCs w:val="1"/>
          <w:color w:val="auto"/>
        </w:rPr>
        <w:t>Fifty Shades of Grey</w:t>
      </w:r>
      <w:r>
        <w:rPr>
          <w:rFonts w:ascii="Arial" w:cs="Arial" w:eastAsia="Arial" w:hAnsi="Arial"/>
          <w:sz w:val="18"/>
          <w:szCs w:val="18"/>
          <w:color w:val="auto"/>
        </w:rPr>
        <w:t xml:space="preserve">. Home entertainment revenue declined 24.4%, primarily due to the strong performance of several releases in the prior year period, including </w:t>
      </w:r>
      <w:r>
        <w:rPr>
          <w:rFonts w:ascii="Arial" w:cs="Arial" w:eastAsia="Arial" w:hAnsi="Arial"/>
          <w:sz w:val="18"/>
          <w:szCs w:val="18"/>
          <w:i w:val="1"/>
          <w:iCs w:val="1"/>
          <w:color w:val="auto"/>
        </w:rPr>
        <w:t>Lucy.</w:t>
      </w:r>
      <w:r>
        <w:rPr>
          <w:rFonts w:ascii="Arial" w:cs="Arial" w:eastAsia="Arial" w:hAnsi="Arial"/>
          <w:sz w:val="18"/>
          <w:szCs w:val="18"/>
          <w:color w:val="auto"/>
        </w:rPr>
        <w:t xml:space="preserve"> The 21.2% increase in content licensing revenue was primarily due to the timing of availability of content in the Pay TV window and a new licensing agreement. Other revenue increased 27.1% due to higher Fandango and consumer products revenue, primarily driven by </w:t>
      </w:r>
      <w:r>
        <w:rPr>
          <w:rFonts w:ascii="Arial" w:cs="Arial" w:eastAsia="Arial" w:hAnsi="Arial"/>
          <w:sz w:val="18"/>
          <w:szCs w:val="18"/>
          <w:i w:val="1"/>
          <w:iCs w:val="1"/>
          <w:color w:val="auto"/>
        </w:rPr>
        <w:t>Minions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merchandise. Operating cash flow decreased 43.1% to $167 million, reflecting lower revenue and higher advertising, marketing and promotion costs.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Theme Parks revenue increased 57.5% to $1.0 billion and operating cash flow increased 53.6% to $375 million in the first quarter of 2016.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revenue increased 9.6%, reflecting stable guest attendance and higher per capita spending at the parks, which benefitted, in part, from the timing of spring holidays.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operating cash flow increased 3.3%, reflecting higher revenue, partially offset by an increase in operating expenses, including pre-opening costs to support new attractions opening in Hollywood and Japan this spring.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March 31, 2016, NBCUniversal Headquarters, Other and Eliminations operating cash flow loss was $160 million compared to a loss of $142 million in the first quarter of 2015.</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 Spectacor and eliminations among Comcast’s businesses. For the quarter ended March 31, 2016, Corporate, Other and Eliminations revenue was ($275) million compared to ($192) million in 2015. The operating cash flow loss was $144 million compared to a loss of $177 million in the first quarter of 2015, including $99 million of transaction-related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 w:right="239" w:bottom="49" w:gutter="0" w:footer="0" w:header="0"/>
        </w:sectPr>
      </w:pPr>
    </w:p>
    <w:bookmarkStart w:id="5" w:name="page6"/>
    <w:bookmarkEnd w:id="5"/>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7" w:lineRule="exact"/>
        <w:rPr>
          <w:sz w:val="20"/>
          <w:szCs w:val="20"/>
          <w:color w:val="auto"/>
        </w:rPr>
      </w:pPr>
    </w:p>
    <w:p>
      <w:pPr>
        <w:ind w:left="180" w:hanging="166"/>
        <w:spacing w:after="0" w:line="246"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line="23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w:t>
      </w:r>
    </w:p>
    <w:p>
      <w:pPr>
        <w:spacing w:after="0" w:line="189" w:lineRule="exact"/>
        <w:rPr>
          <w:sz w:val="20"/>
          <w:szCs w:val="20"/>
          <w:color w:val="auto"/>
        </w:rPr>
      </w:pPr>
    </w:p>
    <w:p>
      <w:pPr>
        <w:jc w:val="both"/>
        <w:ind w:left="180" w:hanging="166"/>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the first quarter of 2016, certain operations and businesses including several strategic business initiatives that were previously presented in Corporate, Other and Eliminations are now presented in our Cable Communications segment to reflect a change in our management reporting presentation. For segment reporting purposes, we have adjusted all periods presented to reflect this change.</w:t>
      </w:r>
    </w:p>
    <w:p>
      <w:pPr>
        <w:spacing w:after="0" w:line="189" w:lineRule="exact"/>
        <w:rPr>
          <w:sz w:val="20"/>
          <w:szCs w:val="20"/>
          <w:color w:val="auto"/>
        </w:rPr>
      </w:pPr>
    </w:p>
    <w:p>
      <w:pPr>
        <w:ind w:left="180" w:hanging="166"/>
        <w:spacing w:after="0" w:line="246"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information is presented for the acquisition of the 51% interest of Universal Studios Japan. See Table 5 for more detailed information.</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27, 2016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68923741. A replay of the call will be available starting at 11:30 a.m. ET on April 27, 2016, on the Investor Relations website or by telephone. To access the telephone replay, which will be available until Wednesday, May 4, 2016 at midnight ET, please dial (855) 859-2056 and enter the conference ID number 68923741.</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520" w:type="dxa"/>
            <w:vAlign w:val="bottom"/>
          </w:tcPr>
          <w:p>
            <w:pPr>
              <w:jc w:val="right"/>
              <w:ind w:right="209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6"/>
                <w:szCs w:val="16"/>
                <w:color w:val="auto"/>
              </w:rPr>
            </w:pPr>
          </w:p>
        </w:tc>
      </w:tr>
      <w:tr>
        <w:trPr>
          <w:trHeight w:val="386"/>
        </w:trPr>
        <w:tc>
          <w:tcPr>
            <w:tcW w:w="186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40" w:type="dxa"/>
            <w:vAlign w:val="bottom"/>
          </w:tcPr>
          <w:p>
            <w:pPr>
              <w:spacing w:after="0"/>
              <w:rPr>
                <w:sz w:val="24"/>
                <w:szCs w:val="24"/>
                <w:color w:val="auto"/>
              </w:rPr>
            </w:pPr>
          </w:p>
        </w:tc>
        <w:tc>
          <w:tcPr>
            <w:tcW w:w="3520" w:type="dxa"/>
            <w:vAlign w:val="bottom"/>
          </w:tcPr>
          <w:p>
            <w:pPr>
              <w:ind w:left="1920"/>
              <w:spacing w:after="0"/>
              <w:rPr>
                <w:sz w:val="20"/>
                <w:szCs w:val="20"/>
                <w:color w:val="auto"/>
              </w:rPr>
            </w:pPr>
            <w:r>
              <w:rPr>
                <w:rFonts w:ascii="Arial" w:cs="Arial" w:eastAsia="Arial" w:hAnsi="Arial"/>
                <w:sz w:val="16"/>
                <w:szCs w:val="16"/>
                <w:b w:val="1"/>
                <w:bCs w:val="1"/>
                <w:color w:val="auto"/>
              </w:rPr>
              <w:t>Press Contacts:</w:t>
            </w:r>
          </w:p>
        </w:tc>
        <w:tc>
          <w:tcPr>
            <w:tcW w:w="1460" w:type="dxa"/>
            <w:vAlign w:val="bottom"/>
          </w:tcPr>
          <w:p>
            <w:pPr>
              <w:spacing w:after="0"/>
              <w:rPr>
                <w:sz w:val="24"/>
                <w:szCs w:val="24"/>
                <w:color w:val="auto"/>
              </w:rPr>
            </w:pPr>
          </w:p>
        </w:tc>
      </w:tr>
      <w:tr>
        <w:trPr>
          <w:trHeight w:val="189"/>
        </w:trPr>
        <w:tc>
          <w:tcPr>
            <w:tcW w:w="1860" w:type="dxa"/>
            <w:vAlign w:val="bottom"/>
          </w:tcPr>
          <w:p>
            <w:pPr>
              <w:spacing w:after="0"/>
              <w:rPr>
                <w:sz w:val="20"/>
                <w:szCs w:val="20"/>
                <w:color w:val="auto"/>
              </w:rPr>
            </w:pPr>
            <w:r>
              <w:rPr>
                <w:rFonts w:ascii="Arial" w:cs="Arial" w:eastAsia="Arial" w:hAnsi="Arial"/>
                <w:sz w:val="16"/>
                <w:szCs w:val="16"/>
                <w:color w:val="auto"/>
              </w:rPr>
              <w:t>Jason Armstrong</w:t>
            </w:r>
          </w:p>
        </w:tc>
        <w:tc>
          <w:tcPr>
            <w:tcW w:w="2640" w:type="dxa"/>
            <w:vAlign w:val="bottom"/>
          </w:tcPr>
          <w:p>
            <w:pPr>
              <w:jc w:val="right"/>
              <w:ind w:right="999"/>
              <w:spacing w:after="0"/>
              <w:rPr>
                <w:sz w:val="20"/>
                <w:szCs w:val="20"/>
                <w:color w:val="auto"/>
              </w:rPr>
            </w:pPr>
            <w:r>
              <w:rPr>
                <w:rFonts w:ascii="Arial" w:cs="Arial" w:eastAsia="Arial" w:hAnsi="Arial"/>
                <w:sz w:val="16"/>
                <w:szCs w:val="16"/>
                <w:color w:val="auto"/>
              </w:rPr>
              <w:t>(215) 286-7972</w:t>
            </w:r>
          </w:p>
        </w:tc>
        <w:tc>
          <w:tcPr>
            <w:tcW w:w="3520" w:type="dxa"/>
            <w:vAlign w:val="bottom"/>
          </w:tcPr>
          <w:p>
            <w:pPr>
              <w:ind w:left="1920"/>
              <w:spacing w:after="0"/>
              <w:rPr>
                <w:sz w:val="20"/>
                <w:szCs w:val="20"/>
                <w:color w:val="auto"/>
              </w:rPr>
            </w:pPr>
            <w:r>
              <w:rPr>
                <w:rFonts w:ascii="Arial" w:cs="Arial" w:eastAsia="Arial" w:hAnsi="Arial"/>
                <w:sz w:val="16"/>
                <w:szCs w:val="16"/>
                <w:color w:val="auto"/>
              </w:rPr>
              <w:t>D’Arcy Rudnay</w:t>
            </w:r>
          </w:p>
        </w:tc>
        <w:tc>
          <w:tcPr>
            <w:tcW w:w="146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1860" w:type="dxa"/>
            <w:vAlign w:val="bottom"/>
          </w:tcPr>
          <w:p>
            <w:pPr>
              <w:spacing w:after="0"/>
              <w:rPr>
                <w:sz w:val="20"/>
                <w:szCs w:val="20"/>
                <w:color w:val="auto"/>
              </w:rPr>
            </w:pPr>
            <w:r>
              <w:rPr>
                <w:rFonts w:ascii="Arial" w:cs="Arial" w:eastAsia="Arial" w:hAnsi="Arial"/>
                <w:sz w:val="16"/>
                <w:szCs w:val="16"/>
                <w:color w:val="auto"/>
              </w:rPr>
              <w:t>Jane Kearns</w:t>
            </w:r>
          </w:p>
        </w:tc>
        <w:tc>
          <w:tcPr>
            <w:tcW w:w="2640" w:type="dxa"/>
            <w:vAlign w:val="bottom"/>
          </w:tcPr>
          <w:p>
            <w:pPr>
              <w:jc w:val="right"/>
              <w:ind w:right="999"/>
              <w:spacing w:after="0"/>
              <w:rPr>
                <w:sz w:val="20"/>
                <w:szCs w:val="20"/>
                <w:color w:val="auto"/>
              </w:rPr>
            </w:pPr>
            <w:r>
              <w:rPr>
                <w:rFonts w:ascii="Arial" w:cs="Arial" w:eastAsia="Arial" w:hAnsi="Arial"/>
                <w:sz w:val="16"/>
                <w:szCs w:val="16"/>
                <w:color w:val="auto"/>
              </w:rPr>
              <w:t>(215) 286-4794</w:t>
            </w:r>
          </w:p>
        </w:tc>
        <w:tc>
          <w:tcPr>
            <w:tcW w:w="3520" w:type="dxa"/>
            <w:vAlign w:val="bottom"/>
          </w:tcPr>
          <w:p>
            <w:pPr>
              <w:ind w:left="1920"/>
              <w:spacing w:after="0"/>
              <w:rPr>
                <w:sz w:val="20"/>
                <w:szCs w:val="20"/>
                <w:color w:val="auto"/>
              </w:rPr>
            </w:pPr>
            <w:r>
              <w:rPr>
                <w:rFonts w:ascii="Arial" w:cs="Arial" w:eastAsia="Arial" w:hAnsi="Arial"/>
                <w:sz w:val="16"/>
                <w:szCs w:val="16"/>
                <w:color w:val="auto"/>
              </w:rPr>
              <w:t>John Demming</w:t>
            </w:r>
          </w:p>
        </w:tc>
        <w:tc>
          <w:tcPr>
            <w:tcW w:w="146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cause actual events or our actual results to differ materially from those expressed in any such forward-looking statements. Readers are directed to Comcast’s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periodic and other reports filed with the Securities and Exchange Commission (SEC) for a description of such risks and uncertainties. We undertake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obligation to update any forward-looking statements.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 ###</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443865</wp:posOffset>
            </wp:positionV>
            <wp:extent cx="103759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759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Three Months Ended</w:t>
      </w:r>
    </w:p>
    <w:tbl>
      <w:tblPr>
        <w:tblLayout w:type="fixed"/>
        <w:tblInd w:w="0" w:type="dxa"/>
        <w:tblCellMar>
          <w:top w:w="0" w:type="dxa"/>
          <w:left w:w="0" w:type="dxa"/>
          <w:bottom w:w="0" w:type="dxa"/>
          <w:right w:w="0" w:type="dxa"/>
        </w:tblCellMar>
      </w:tblPr>
      <w:tr>
        <w:trPr>
          <w:trHeight w:val="198"/>
        </w:trPr>
        <w:tc>
          <w:tcPr>
            <w:tcW w:w="9280" w:type="dxa"/>
            <w:vAlign w:val="bottom"/>
            <w:gridSpan w:val="2"/>
          </w:tcPr>
          <w:p>
            <w:pPr>
              <w:jc w:val="right"/>
              <w:ind w:right="6430"/>
              <w:spacing w:after="0" w:line="198" w:lineRule="exact"/>
              <w:rPr>
                <w:sz w:val="20"/>
                <w:szCs w:val="20"/>
                <w:color w:val="auto"/>
              </w:rPr>
            </w:pPr>
            <w:r>
              <w:rPr>
                <w:rFonts w:ascii="Arial" w:cs="Arial" w:eastAsia="Arial" w:hAnsi="Arial"/>
                <w:sz w:val="18"/>
                <w:szCs w:val="18"/>
                <w:color w:val="auto"/>
                <w:w w:val="99"/>
              </w:rPr>
              <w:t>(in millions, except per share data)</w:t>
            </w:r>
          </w:p>
        </w:tc>
        <w:tc>
          <w:tcPr>
            <w:tcW w:w="2140" w:type="dxa"/>
            <w:vAlign w:val="bottom"/>
            <w:gridSpan w:val="3"/>
          </w:tcPr>
          <w:p>
            <w:pPr>
              <w:jc w:val="right"/>
              <w:ind w:right="1110"/>
              <w:spacing w:after="0" w:line="198" w:lineRule="exact"/>
              <w:rPr>
                <w:sz w:val="20"/>
                <w:szCs w:val="20"/>
                <w:color w:val="auto"/>
              </w:rPr>
            </w:pPr>
            <w:r>
              <w:rPr>
                <w:rFonts w:ascii="Arial" w:cs="Arial" w:eastAsia="Arial" w:hAnsi="Arial"/>
                <w:sz w:val="18"/>
                <w:szCs w:val="18"/>
                <w:b w:val="1"/>
                <w:bCs w:val="1"/>
                <w:color w:val="auto"/>
              </w:rPr>
              <w:t>March 31,</w:t>
            </w:r>
          </w:p>
        </w:tc>
      </w:tr>
      <w:tr>
        <w:trPr>
          <w:trHeight w:val="225"/>
        </w:trPr>
        <w:tc>
          <w:tcPr>
            <w:tcW w:w="8300" w:type="dxa"/>
            <w:vAlign w:val="bottom"/>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r>
    </w:tbl>
    <w:p>
      <w:pPr>
        <w:sectPr>
          <w:pgSz w:w="11900" w:h="16857" w:orient="portrait"/>
          <w:cols w:equalWidth="0" w:num="1">
            <w:col w:w="11420"/>
          </w:cols>
          <w:pgMar w:left="240" w:top="11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$17,853</w:t>
            </w:r>
          </w:p>
        </w:tc>
        <w:tc>
          <w:tcPr>
            <w:tcW w:w="2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$18,790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3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5,463</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5,431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5,074</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5,525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1,360</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00" w:type="dxa"/>
            <w:vAlign w:val="bottom"/>
          </w:tcPr>
          <w:p>
            <w:pPr>
              <w:spacing w:after="0"/>
              <w:rPr>
                <w:sz w:val="17"/>
                <w:szCs w:val="17"/>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11,897</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12,423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0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5,956</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6,367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30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1,634</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1,785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2,066</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2,278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300" w:type="dxa"/>
            <w:vAlign w:val="bottom"/>
            <w:vMerge w:val="continue"/>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3,890</w:t>
            </w:r>
          </w:p>
        </w:tc>
        <w:tc>
          <w:tcPr>
            <w:tcW w:w="2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4,089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8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0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(656)</w:t>
            </w: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3,402</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3,535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0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2,141</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2,224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30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 redeemable subsidiary preferred</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360"/>
              <w:spacing w:after="0"/>
              <w:rPr>
                <w:sz w:val="20"/>
                <w:szCs w:val="20"/>
                <w:color w:val="auto"/>
              </w:rPr>
            </w:pPr>
            <w:r>
              <w:rPr>
                <w:rFonts w:ascii="Arial" w:cs="Arial" w:eastAsia="Arial" w:hAnsi="Arial"/>
                <w:sz w:val="18"/>
                <w:szCs w:val="18"/>
                <w:color w:val="auto"/>
              </w:rPr>
              <w:t>stock</w:t>
            </w: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$2,059</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$2,134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30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30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shareholders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830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2,556</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60"/>
              <w:spacing w:after="0"/>
              <w:rPr>
                <w:sz w:val="20"/>
                <w:szCs w:val="20"/>
                <w:color w:val="auto"/>
              </w:rPr>
            </w:pPr>
            <w:r>
              <w:rPr>
                <w:rFonts w:ascii="Arial" w:cs="Arial" w:eastAsia="Arial" w:hAnsi="Arial"/>
                <w:sz w:val="16"/>
                <w:szCs w:val="16"/>
                <w:color w:val="auto"/>
              </w:rPr>
              <w:t>7</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349250</wp:posOffset>
            </wp:positionV>
            <wp:extent cx="1037590"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759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20"/>
                <w:szCs w:val="20"/>
                <w:color w:val="auto"/>
              </w:rPr>
            </w:pPr>
            <w:r>
              <w:rPr>
                <w:rFonts w:ascii="Arial" w:cs="Arial" w:eastAsia="Arial" w:hAnsi="Arial"/>
                <w:sz w:val="18"/>
                <w:szCs w:val="18"/>
                <w:color w:val="auto"/>
              </w:rPr>
              <w:t>(in millions)</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December 31,</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5"/>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6"/>
        </w:trPr>
        <w:tc>
          <w:tcPr>
            <w:tcW w:w="8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4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$5,628</w:t>
            </w:r>
          </w:p>
        </w:tc>
        <w:tc>
          <w:tcPr>
            <w:tcW w:w="0" w:type="dxa"/>
            <w:vAlign w:val="bottom"/>
          </w:tcPr>
          <w:p>
            <w:pPr>
              <w:spacing w:after="0"/>
              <w:rPr>
                <w:sz w:val="1"/>
                <w:szCs w:val="1"/>
                <w:color w:val="auto"/>
              </w:rPr>
            </w:pPr>
          </w:p>
        </w:tc>
      </w:tr>
      <w:tr>
        <w:trPr>
          <w:trHeight w:val="181"/>
        </w:trPr>
        <w:tc>
          <w:tcPr>
            <w:tcW w:w="8400" w:type="dxa"/>
            <w:vAlign w:val="bottom"/>
          </w:tcPr>
          <w:p>
            <w:pPr>
              <w:ind w:left="360"/>
              <w:spacing w:after="0" w:line="181" w:lineRule="exact"/>
              <w:rPr>
                <w:sz w:val="20"/>
                <w:szCs w:val="20"/>
                <w:color w:val="auto"/>
              </w:rPr>
            </w:pPr>
            <w:r>
              <w:rPr>
                <w:rFonts w:ascii="Arial" w:cs="Arial" w:eastAsia="Arial" w:hAnsi="Arial"/>
                <w:sz w:val="18"/>
                <w:szCs w:val="18"/>
                <w:color w:val="auto"/>
              </w:rPr>
              <w:t>Cash and cash equivalents</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$2,295</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360"/>
              <w:spacing w:after="0" w:line="202" w:lineRule="exact"/>
              <w:rPr>
                <w:sz w:val="20"/>
                <w:szCs w:val="20"/>
                <w:color w:val="auto"/>
              </w:rPr>
            </w:pPr>
            <w:r>
              <w:rPr>
                <w:rFonts w:ascii="Arial" w:cs="Arial" w:eastAsia="Arial" w:hAnsi="Arial"/>
                <w:sz w:val="18"/>
                <w:szCs w:val="18"/>
                <w:color w:val="auto"/>
              </w:rPr>
              <w:t>Receivables, net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6,896</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6,375</w:t>
            </w:r>
          </w:p>
        </w:tc>
        <w:tc>
          <w:tcPr>
            <w:tcW w:w="0" w:type="dxa"/>
            <w:vAlign w:val="bottom"/>
          </w:tcPr>
          <w:p>
            <w:pPr>
              <w:spacing w:after="0"/>
              <w:rPr>
                <w:sz w:val="1"/>
                <w:szCs w:val="1"/>
                <w:color w:val="auto"/>
              </w:rPr>
            </w:pPr>
          </w:p>
        </w:tc>
      </w:tr>
      <w:tr>
        <w:trPr>
          <w:trHeight w:val="203"/>
        </w:trPr>
        <w:tc>
          <w:tcPr>
            <w:tcW w:w="8400" w:type="dxa"/>
            <w:vAlign w:val="bottom"/>
          </w:tcPr>
          <w:p>
            <w:pPr>
              <w:ind w:left="360"/>
              <w:spacing w:after="0" w:line="202" w:lineRule="exact"/>
              <w:rPr>
                <w:sz w:val="20"/>
                <w:szCs w:val="20"/>
                <w:color w:val="auto"/>
              </w:rPr>
            </w:pPr>
            <w:r>
              <w:rPr>
                <w:rFonts w:ascii="Arial" w:cs="Arial" w:eastAsia="Arial" w:hAnsi="Arial"/>
                <w:sz w:val="18"/>
                <w:szCs w:val="18"/>
                <w:color w:val="auto"/>
              </w:rPr>
              <w:t>Programming rights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1,213</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1,390</w:t>
            </w:r>
          </w:p>
        </w:tc>
        <w:tc>
          <w:tcPr>
            <w:tcW w:w="0" w:type="dxa"/>
            <w:vAlign w:val="bottom"/>
          </w:tcPr>
          <w:p>
            <w:pPr>
              <w:spacing w:after="0"/>
              <w:rPr>
                <w:sz w:val="1"/>
                <w:szCs w:val="1"/>
                <w:color w:val="auto"/>
              </w:rPr>
            </w:pPr>
          </w:p>
        </w:tc>
      </w:tr>
      <w:tr>
        <w:trPr>
          <w:trHeight w:val="225"/>
        </w:trPr>
        <w:tc>
          <w:tcPr>
            <w:tcW w:w="84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0" w:type="dxa"/>
            <w:vAlign w:val="bottom"/>
          </w:tcPr>
          <w:p>
            <w:pPr>
              <w:spacing w:after="0"/>
              <w:rPr>
                <w:sz w:val="1"/>
                <w:szCs w:val="1"/>
                <w:color w:val="auto"/>
              </w:rPr>
            </w:pPr>
          </w:p>
        </w:tc>
      </w:tr>
      <w:tr>
        <w:trPr>
          <w:trHeight w:val="197"/>
        </w:trPr>
        <w:tc>
          <w:tcPr>
            <w:tcW w:w="8400" w:type="dxa"/>
            <w:vAlign w:val="bottom"/>
          </w:tcPr>
          <w:p>
            <w:pPr>
              <w:ind w:left="540"/>
              <w:spacing w:after="0" w:line="197" w:lineRule="exact"/>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12,303</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15,180</w:t>
            </w:r>
          </w:p>
        </w:tc>
        <w:tc>
          <w:tcPr>
            <w:tcW w:w="0" w:type="dxa"/>
            <w:vAlign w:val="bottom"/>
          </w:tcPr>
          <w:p>
            <w:pPr>
              <w:spacing w:after="0"/>
              <w:rPr>
                <w:sz w:val="1"/>
                <w:szCs w:val="1"/>
                <w:color w:val="auto"/>
              </w:rPr>
            </w:pPr>
          </w:p>
        </w:tc>
      </w:tr>
      <w:tr>
        <w:trPr>
          <w:trHeight w:val="412"/>
        </w:trPr>
        <w:tc>
          <w:tcPr>
            <w:tcW w:w="8400" w:type="dxa"/>
            <w:vAlign w:val="bottom"/>
          </w:tcPr>
          <w:p>
            <w:pPr>
              <w:ind w:left="180"/>
              <w:spacing w:after="0"/>
              <w:rPr>
                <w:sz w:val="20"/>
                <w:szCs w:val="20"/>
                <w:color w:val="auto"/>
              </w:rPr>
            </w:pPr>
            <w:r>
              <w:rPr>
                <w:rFonts w:ascii="Arial" w:cs="Arial" w:eastAsia="Arial" w:hAnsi="Arial"/>
                <w:sz w:val="18"/>
                <w:szCs w:val="18"/>
                <w:color w:val="auto"/>
              </w:rPr>
              <w:t>Film and television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5,855</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5,768</w:t>
            </w:r>
          </w:p>
        </w:tc>
        <w:tc>
          <w:tcPr>
            <w:tcW w:w="0" w:type="dxa"/>
            <w:vAlign w:val="bottom"/>
          </w:tcPr>
          <w:p>
            <w:pPr>
              <w:spacing w:after="0"/>
              <w:rPr>
                <w:sz w:val="1"/>
                <w:szCs w:val="1"/>
                <w:color w:val="auto"/>
              </w:rPr>
            </w:pPr>
          </w:p>
        </w:tc>
      </w:tr>
      <w:tr>
        <w:trPr>
          <w:trHeight w:val="405"/>
        </w:trPr>
        <w:tc>
          <w:tcPr>
            <w:tcW w:w="84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3,224</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3,638</w:t>
            </w:r>
          </w:p>
        </w:tc>
        <w:tc>
          <w:tcPr>
            <w:tcW w:w="0" w:type="dxa"/>
            <w:vAlign w:val="bottom"/>
          </w:tcPr>
          <w:p>
            <w:pPr>
              <w:spacing w:after="0"/>
              <w:rPr>
                <w:sz w:val="1"/>
                <w:szCs w:val="1"/>
                <w:color w:val="auto"/>
              </w:rPr>
            </w:pPr>
          </w:p>
        </w:tc>
      </w:tr>
      <w:tr>
        <w:trPr>
          <w:trHeight w:val="405"/>
        </w:trPr>
        <w:tc>
          <w:tcPr>
            <w:tcW w:w="84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380" w:type="dxa"/>
            <w:vAlign w:val="bottom"/>
          </w:tcPr>
          <w:p>
            <w:pPr>
              <w:jc w:val="right"/>
              <w:spacing w:after="0"/>
              <w:rPr>
                <w:sz w:val="20"/>
                <w:szCs w:val="20"/>
                <w:color w:val="auto"/>
              </w:rPr>
            </w:pPr>
            <w:r>
              <w:rPr>
                <w:rFonts w:ascii="Arial" w:cs="Arial" w:eastAsia="Arial" w:hAnsi="Arial"/>
                <w:sz w:val="18"/>
                <w:szCs w:val="18"/>
                <w:color w:val="auto"/>
              </w:rPr>
              <w:t>33,665</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34,122</w:t>
            </w:r>
          </w:p>
        </w:tc>
        <w:tc>
          <w:tcPr>
            <w:tcW w:w="0" w:type="dxa"/>
            <w:vAlign w:val="bottom"/>
          </w:tcPr>
          <w:p>
            <w:pPr>
              <w:spacing w:after="0"/>
              <w:rPr>
                <w:sz w:val="1"/>
                <w:szCs w:val="1"/>
                <w:color w:val="auto"/>
              </w:rPr>
            </w:pPr>
          </w:p>
        </w:tc>
      </w:tr>
      <w:tr>
        <w:trPr>
          <w:trHeight w:val="405"/>
        </w:trPr>
        <w:tc>
          <w:tcPr>
            <w:tcW w:w="8400" w:type="dxa"/>
            <w:vAlign w:val="bottom"/>
          </w:tcPr>
          <w:p>
            <w:pPr>
              <w:ind w:left="180"/>
              <w:spacing w:after="0"/>
              <w:rPr>
                <w:sz w:val="20"/>
                <w:szCs w:val="20"/>
                <w:color w:val="auto"/>
              </w:rPr>
            </w:pPr>
            <w:r>
              <w:rPr>
                <w:rFonts w:ascii="Arial" w:cs="Arial" w:eastAsia="Arial" w:hAnsi="Arial"/>
                <w:sz w:val="18"/>
                <w:szCs w:val="18"/>
                <w:color w:val="auto"/>
              </w:rPr>
              <w:t>Franchise rights</w:t>
            </w:r>
          </w:p>
        </w:tc>
        <w:tc>
          <w:tcPr>
            <w:tcW w:w="1380" w:type="dxa"/>
            <w:vAlign w:val="bottom"/>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05"/>
        </w:trPr>
        <w:tc>
          <w:tcPr>
            <w:tcW w:w="84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380" w:type="dxa"/>
            <w:vAlign w:val="bottom"/>
          </w:tcPr>
          <w:p>
            <w:pPr>
              <w:jc w:val="right"/>
              <w:spacing w:after="0"/>
              <w:rPr>
                <w:sz w:val="20"/>
                <w:szCs w:val="20"/>
                <w:color w:val="auto"/>
              </w:rPr>
            </w:pPr>
            <w:r>
              <w:rPr>
                <w:rFonts w:ascii="Arial" w:cs="Arial" w:eastAsia="Arial" w:hAnsi="Arial"/>
                <w:sz w:val="18"/>
                <w:szCs w:val="18"/>
                <w:color w:val="auto"/>
              </w:rPr>
              <w:t>32,945</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33,458</w:t>
            </w:r>
          </w:p>
        </w:tc>
        <w:tc>
          <w:tcPr>
            <w:tcW w:w="0" w:type="dxa"/>
            <w:vAlign w:val="bottom"/>
          </w:tcPr>
          <w:p>
            <w:pPr>
              <w:spacing w:after="0"/>
              <w:rPr>
                <w:sz w:val="1"/>
                <w:szCs w:val="1"/>
                <w:color w:val="auto"/>
              </w:rPr>
            </w:pPr>
          </w:p>
        </w:tc>
      </w:tr>
      <w:tr>
        <w:trPr>
          <w:trHeight w:val="405"/>
        </w:trPr>
        <w:tc>
          <w:tcPr>
            <w:tcW w:w="840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380" w:type="dxa"/>
            <w:vAlign w:val="bottom"/>
          </w:tcPr>
          <w:p>
            <w:pPr>
              <w:jc w:val="right"/>
              <w:spacing w:after="0"/>
              <w:rPr>
                <w:sz w:val="20"/>
                <w:szCs w:val="20"/>
                <w:color w:val="auto"/>
              </w:rPr>
            </w:pPr>
            <w:r>
              <w:rPr>
                <w:rFonts w:ascii="Arial" w:cs="Arial" w:eastAsia="Arial" w:hAnsi="Arial"/>
                <w:sz w:val="18"/>
                <w:szCs w:val="18"/>
                <w:color w:val="auto"/>
              </w:rPr>
              <w:t>16,946</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16,832</w:t>
            </w:r>
          </w:p>
        </w:tc>
        <w:tc>
          <w:tcPr>
            <w:tcW w:w="0" w:type="dxa"/>
            <w:vAlign w:val="bottom"/>
          </w:tcPr>
          <w:p>
            <w:pPr>
              <w:spacing w:after="0"/>
              <w:rPr>
                <w:sz w:val="1"/>
                <w:szCs w:val="1"/>
                <w:color w:val="auto"/>
              </w:rPr>
            </w:pPr>
          </w:p>
        </w:tc>
      </w:tr>
      <w:tr>
        <w:trPr>
          <w:trHeight w:val="392"/>
        </w:trPr>
        <w:tc>
          <w:tcPr>
            <w:tcW w:w="840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2,237</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$166,574</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400" w:type="dxa"/>
            <w:vAlign w:val="bottom"/>
          </w:tcPr>
          <w:p>
            <w:pPr>
              <w:ind w:left="36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$6,215</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360"/>
              <w:spacing w:after="0" w:line="202" w:lineRule="exact"/>
              <w:rPr>
                <w:sz w:val="20"/>
                <w:szCs w:val="20"/>
                <w:color w:val="auto"/>
              </w:rPr>
            </w:pPr>
            <w:r>
              <w:rPr>
                <w:rFonts w:ascii="Arial" w:cs="Arial" w:eastAsia="Arial" w:hAnsi="Arial"/>
                <w:sz w:val="18"/>
                <w:szCs w:val="18"/>
                <w:color w:val="auto"/>
              </w:rPr>
              <w:t>Accrued participations and residuals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1,572</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1,302</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5,462</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400" w:type="dxa"/>
            <w:vAlign w:val="bottom"/>
          </w:tcPr>
          <w:p>
            <w:pPr>
              <w:ind w:left="540"/>
              <w:spacing w:after="0" w:line="197" w:lineRule="exact"/>
              <w:rPr>
                <w:sz w:val="20"/>
                <w:szCs w:val="20"/>
                <w:color w:val="auto"/>
              </w:rPr>
            </w:pPr>
            <w:r>
              <w:rPr>
                <w:rFonts w:ascii="Arial" w:cs="Arial" w:eastAsia="Arial" w:hAnsi="Arial"/>
                <w:sz w:val="18"/>
                <w:szCs w:val="18"/>
                <w:color w:val="auto"/>
              </w:rPr>
              <w:t>Total current liabilities</w:t>
            </w:r>
          </w:p>
        </w:tc>
        <w:tc>
          <w:tcPr>
            <w:tcW w:w="13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18,178</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19,084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0" w:type="dxa"/>
            <w:vAlign w:val="bottom"/>
          </w:tcPr>
          <w:p>
            <w:pPr>
              <w:ind w:left="180"/>
              <w:spacing w:after="0"/>
              <w:rPr>
                <w:sz w:val="20"/>
                <w:szCs w:val="20"/>
                <w:color w:val="auto"/>
              </w:rPr>
            </w:pPr>
            <w:r>
              <w:rPr>
                <w:rFonts w:ascii="Arial" w:cs="Arial" w:eastAsia="Arial" w:hAnsi="Arial"/>
                <w:sz w:val="18"/>
                <w:szCs w:val="18"/>
                <w:color w:val="auto"/>
              </w:rPr>
              <w:t>Long-term debt, less current portion</w:t>
            </w:r>
          </w:p>
        </w:tc>
        <w:tc>
          <w:tcPr>
            <w:tcW w:w="1380" w:type="dxa"/>
            <w:vAlign w:val="bottom"/>
          </w:tcPr>
          <w:p>
            <w:pPr>
              <w:jc w:val="right"/>
              <w:spacing w:after="0"/>
              <w:rPr>
                <w:sz w:val="20"/>
                <w:szCs w:val="20"/>
                <w:color w:val="auto"/>
              </w:rPr>
            </w:pPr>
            <w:r>
              <w:rPr>
                <w:rFonts w:ascii="Arial" w:cs="Arial" w:eastAsia="Arial" w:hAnsi="Arial"/>
                <w:sz w:val="18"/>
                <w:szCs w:val="18"/>
                <w:color w:val="auto"/>
              </w:rPr>
              <w:t>48,994</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51,515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33,566</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33,821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10,637</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10,431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0" w:type="dxa"/>
            <w:vAlign w:val="bottom"/>
          </w:tcPr>
          <w:p>
            <w:pPr>
              <w:ind w:left="18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tcPr>
          <w:p>
            <w:pPr>
              <w:ind w:left="180"/>
              <w:spacing w:after="0"/>
              <w:rPr>
                <w:sz w:val="20"/>
                <w:szCs w:val="20"/>
                <w:color w:val="auto"/>
              </w:rPr>
            </w:pPr>
            <w:r>
              <w:rPr>
                <w:rFonts w:ascii="Arial" w:cs="Arial" w:eastAsia="Arial" w:hAnsi="Arial"/>
                <w:sz w:val="18"/>
                <w:szCs w:val="18"/>
                <w:color w:val="auto"/>
              </w:rPr>
              <w:t>Equity</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52,642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400" w:type="dxa"/>
            <w:vAlign w:val="bottom"/>
          </w:tcPr>
          <w:p>
            <w:pPr>
              <w:ind w:left="360"/>
              <w:spacing w:after="0" w:line="181" w:lineRule="exact"/>
              <w:rPr>
                <w:sz w:val="20"/>
                <w:szCs w:val="20"/>
                <w:color w:val="auto"/>
              </w:rPr>
            </w:pPr>
            <w:r>
              <w:rPr>
                <w:rFonts w:ascii="Arial" w:cs="Arial" w:eastAsia="Arial" w:hAnsi="Arial"/>
                <w:sz w:val="18"/>
                <w:szCs w:val="18"/>
                <w:color w:val="auto"/>
              </w:rPr>
              <w:t>Comcast Corporation shareholders’ equity</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52,269</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400" w:type="dxa"/>
            <w:vAlign w:val="bottom"/>
          </w:tcPr>
          <w:p>
            <w:pPr>
              <w:ind w:left="540"/>
              <w:spacing w:after="0" w:line="197" w:lineRule="exact"/>
              <w:rPr>
                <w:sz w:val="20"/>
                <w:szCs w:val="20"/>
                <w:color w:val="auto"/>
              </w:rPr>
            </w:pPr>
            <w:r>
              <w:rPr>
                <w:rFonts w:ascii="Arial" w:cs="Arial" w:eastAsia="Arial" w:hAnsi="Arial"/>
                <w:sz w:val="18"/>
                <w:szCs w:val="18"/>
                <w:color w:val="auto"/>
              </w:rPr>
              <w:t>Total equity</w:t>
            </w:r>
          </w:p>
        </w:tc>
        <w:tc>
          <w:tcPr>
            <w:tcW w:w="13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53,978</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54,512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40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$166,574</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4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349250</wp:posOffset>
            </wp:positionV>
            <wp:extent cx="1037590" cy="43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759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r>
              <w:rPr>
                <w:rFonts w:ascii="Arial" w:cs="Arial" w:eastAsia="Arial" w:hAnsi="Arial"/>
                <w:sz w:val="18"/>
                <w:szCs w:val="18"/>
                <w:color w:val="auto"/>
              </w:rPr>
              <w:t>(in millions)</w:t>
            </w:r>
          </w:p>
        </w:tc>
        <w:tc>
          <w:tcPr>
            <w:tcW w:w="31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r>
      <w:tr>
        <w:trPr>
          <w:trHeight w:val="257"/>
        </w:trPr>
        <w:tc>
          <w:tcPr>
            <w:tcW w:w="8240" w:type="dxa"/>
            <w:vAlign w:val="bottom"/>
          </w:tcPr>
          <w:p>
            <w:pPr>
              <w:spacing w:after="0"/>
              <w:rPr>
                <w:sz w:val="22"/>
                <w:szCs w:val="22"/>
                <w:color w:val="auto"/>
              </w:rPr>
            </w:pPr>
          </w:p>
        </w:tc>
        <w:tc>
          <w:tcPr>
            <w:tcW w:w="2080" w:type="dxa"/>
            <w:vAlign w:val="bottom"/>
            <w:gridSpan w:val="3"/>
          </w:tcPr>
          <w:p>
            <w:pPr>
              <w:ind w:left="112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2"/>
                <w:szCs w:val="22"/>
                <w:color w:val="auto"/>
              </w:rPr>
            </w:pPr>
          </w:p>
        </w:tc>
      </w:tr>
      <w:tr>
        <w:trPr>
          <w:trHeight w:val="243"/>
        </w:trPr>
        <w:tc>
          <w:tcPr>
            <w:tcW w:w="8240" w:type="dxa"/>
            <w:vAlign w:val="bottom"/>
          </w:tcPr>
          <w:p>
            <w:pPr>
              <w:spacing w:after="0"/>
              <w:rPr>
                <w:sz w:val="21"/>
                <w:szCs w:val="21"/>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412"/>
        </w:trPr>
        <w:tc>
          <w:tcPr>
            <w:tcW w:w="82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$2,141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$2,224</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2,066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2,278</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153</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Noncash interest expense (income),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55</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Equity in net (income) losses of investees, net</w:t>
            </w: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Cash received from investees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Net (gain) loss on investment activity and other</w:t>
            </w:r>
          </w:p>
        </w:tc>
        <w:tc>
          <w:tcPr>
            <w:tcW w:w="150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217</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Current and noncurrent receivables,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562</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Film and television costs, net</w:t>
            </w: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r>
      <w:tr>
        <w:trPr>
          <w:trHeight w:val="230"/>
        </w:trPr>
        <w:tc>
          <w:tcPr>
            <w:tcW w:w="8240" w:type="dxa"/>
            <w:vAlign w:val="bottom"/>
          </w:tcPr>
          <w:p>
            <w:pPr>
              <w:ind w:left="260"/>
              <w:spacing w:after="0"/>
              <w:rPr>
                <w:sz w:val="20"/>
                <w:szCs w:val="20"/>
                <w:color w:val="auto"/>
              </w:rPr>
            </w:pPr>
            <w:r>
              <w:rPr>
                <w:rFonts w:ascii="Arial" w:cs="Arial" w:eastAsia="Arial" w:hAnsi="Arial"/>
                <w:sz w:val="18"/>
                <w:szCs w:val="18"/>
                <w:color w:val="auto"/>
              </w:rPr>
              <w:t>Other operating assets and liabilities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r>
      <w:tr>
        <w:trPr>
          <w:trHeight w:val="439"/>
        </w:trPr>
        <w:tc>
          <w:tcPr>
            <w:tcW w:w="82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5,245</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5,110</w:t>
            </w:r>
          </w:p>
        </w:tc>
      </w:tr>
      <w:tr>
        <w:trPr>
          <w:trHeight w:val="453"/>
        </w:trPr>
        <w:tc>
          <w:tcPr>
            <w:tcW w:w="8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(1,885)</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Cash paid for intangible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(378)</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and construction of real estate properties</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net of cash acquired</w:t>
            </w:r>
          </w:p>
        </w:tc>
        <w:tc>
          <w:tcPr>
            <w:tcW w:w="1500" w:type="dxa"/>
            <w:vAlign w:val="bottom"/>
          </w:tcPr>
          <w:p>
            <w:pPr>
              <w:ind w:left="1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sales of businesses and investments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110</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w:t>
            </w:r>
          </w:p>
        </w:tc>
      </w:tr>
      <w:tr>
        <w:trPr>
          <w:trHeight w:val="439"/>
        </w:trPr>
        <w:tc>
          <w:tcPr>
            <w:tcW w:w="8240" w:type="dxa"/>
            <w:vAlign w:val="bottom"/>
          </w:tcPr>
          <w:p>
            <w:pPr>
              <w:ind w:left="60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(2,709)</w:t>
            </w:r>
          </w:p>
        </w:tc>
      </w:tr>
      <w:tr>
        <w:trPr>
          <w:trHeight w:val="453"/>
        </w:trPr>
        <w:tc>
          <w:tcPr>
            <w:tcW w:w="8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(repayments of) short-term borrowings, net</w:t>
            </w:r>
          </w:p>
        </w:tc>
        <w:tc>
          <w:tcPr>
            <w:tcW w:w="15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(538)</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1500" w:type="dxa"/>
            <w:vAlign w:val="bottom"/>
          </w:tcPr>
          <w:p>
            <w:pPr>
              <w:ind w:left="1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3,323</w:t>
            </w:r>
          </w:p>
        </w:tc>
      </w:tr>
    </w:tbl>
    <w:p>
      <w:pPr>
        <w:sectPr>
          <w:pgSz w:w="11900" w:h="16838" w:orient="portrait"/>
          <w:cols w:equalWidth="0" w:num="1">
            <w:col w:w="11460"/>
          </w:cols>
          <w:pgMar w:left="240" w:top="118"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repayments of debt</w:t>
            </w:r>
          </w:p>
        </w:tc>
        <w:tc>
          <w:tcPr>
            <w:tcW w:w="1500" w:type="dxa"/>
            <w:vAlign w:val="bottom"/>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retirements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Issuances of common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3,333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3,910</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$3,937</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2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39" w:lineRule="exact"/>
        <w:rPr>
          <w:sz w:val="20"/>
          <w:szCs w:val="20"/>
          <w:color w:val="auto"/>
        </w:rPr>
      </w:pPr>
    </w:p>
    <w:p>
      <w:pPr>
        <w:ind w:right="2940"/>
        <w:spacing w:after="0" w:line="261" w:lineRule="auto"/>
        <w:rPr>
          <w:sz w:val="20"/>
          <w:szCs w:val="20"/>
          <w:color w:val="auto"/>
        </w:rPr>
      </w:pPr>
      <w:r>
        <w:rPr>
          <w:rFonts w:ascii="Arial" w:cs="Arial" w:eastAsia="Arial" w:hAnsi="Arial"/>
          <w:sz w:val="22"/>
          <w:szCs w:val="22"/>
          <w:b w:val="1"/>
          <w:bCs w:val="1"/>
          <w:color w:val="C9C9C9"/>
        </w:rPr>
        <w:t>Alternate Presentation of Net Cash Provided by Operating Activities and Free Cash Flow (Unaudited)</w:t>
      </w:r>
    </w:p>
    <w:p>
      <w:pPr>
        <w:spacing w:after="0" w:line="200" w:lineRule="exact"/>
        <w:rPr>
          <w:sz w:val="20"/>
          <w:szCs w:val="20"/>
          <w:color w:val="auto"/>
        </w:rPr>
      </w:pPr>
    </w:p>
    <w:p>
      <w:pPr>
        <w:spacing w:after="0" w:line="3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27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9"/>
              </w:rPr>
              <w:t>Three Months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40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1300" w:type="dxa"/>
            <w:vAlign w:val="bottom"/>
            <w:vMerge w:val="restart"/>
          </w:tcPr>
          <w:p>
            <w:pPr>
              <w:jc w:val="right"/>
              <w:ind w:right="430"/>
              <w:spacing w:after="0"/>
              <w:rPr>
                <w:sz w:val="20"/>
                <w:szCs w:val="20"/>
                <w:color w:val="auto"/>
              </w:rPr>
            </w:pPr>
            <w:r>
              <w:rPr>
                <w:rFonts w:ascii="Arial" w:cs="Arial" w:eastAsia="Arial" w:hAnsi="Arial"/>
                <w:sz w:val="18"/>
                <w:szCs w:val="18"/>
                <w:color w:val="auto"/>
              </w:rPr>
              <w:t>2015</w:t>
            </w: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March 31,</w:t>
            </w:r>
          </w:p>
        </w:tc>
        <w:tc>
          <w:tcPr>
            <w:tcW w:w="9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3"/>
        </w:trPr>
        <w:tc>
          <w:tcPr>
            <w:tcW w:w="7400" w:type="dxa"/>
            <w:vAlign w:val="bottom"/>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1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$3,890</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$4,089</w:t>
            </w:r>
          </w:p>
        </w:tc>
        <w:tc>
          <w:tcPr>
            <w:tcW w:w="0" w:type="dxa"/>
            <w:vAlign w:val="bottom"/>
          </w:tcPr>
          <w:p>
            <w:pPr>
              <w:spacing w:after="0"/>
              <w:rPr>
                <w:sz w:val="1"/>
                <w:szCs w:val="1"/>
                <w:color w:val="auto"/>
              </w:rPr>
            </w:pPr>
          </w:p>
        </w:tc>
      </w:tr>
      <w:tr>
        <w:trPr>
          <w:trHeight w:val="225"/>
        </w:trPr>
        <w:tc>
          <w:tcPr>
            <w:tcW w:w="7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2,066</w:t>
            </w:r>
          </w:p>
        </w:tc>
        <w:tc>
          <w:tcPr>
            <w:tcW w:w="1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2,278</w:t>
            </w:r>
          </w:p>
        </w:tc>
        <w:tc>
          <w:tcPr>
            <w:tcW w:w="0" w:type="dxa"/>
            <w:vAlign w:val="bottom"/>
          </w:tcPr>
          <w:p>
            <w:pPr>
              <w:spacing w:after="0"/>
              <w:rPr>
                <w:sz w:val="1"/>
                <w:szCs w:val="1"/>
                <w:color w:val="auto"/>
              </w:rPr>
            </w:pPr>
          </w:p>
        </w:tc>
      </w:tr>
      <w:tr>
        <w:trPr>
          <w:trHeight w:val="200"/>
        </w:trPr>
        <w:tc>
          <w:tcPr>
            <w:tcW w:w="7400" w:type="dxa"/>
            <w:vAlign w:val="bottom"/>
          </w:tcPr>
          <w:p>
            <w:pPr>
              <w:spacing w:after="0" w:line="201" w:lineRule="exact"/>
              <w:rPr>
                <w:sz w:val="20"/>
                <w:szCs w:val="20"/>
                <w:color w:val="auto"/>
              </w:rPr>
            </w:pPr>
            <w:r>
              <w:rPr>
                <w:rFonts w:ascii="Arial" w:cs="Arial" w:eastAsia="Arial" w:hAnsi="Arial"/>
                <w:sz w:val="18"/>
                <w:szCs w:val="18"/>
                <w:color w:val="auto"/>
              </w:rPr>
              <w:t>Operating income before depreciation and amortization</w:t>
            </w:r>
          </w:p>
        </w:tc>
        <w:tc>
          <w:tcPr>
            <w:tcW w:w="1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5,956</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6,367</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Noncash share-based compensation expense</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25"/>
        </w:trPr>
        <w:tc>
          <w:tcPr>
            <w:tcW w:w="74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0" w:type="dxa"/>
            <w:vAlign w:val="bottom"/>
          </w:tcPr>
          <w:p>
            <w:pPr>
              <w:spacing w:after="0"/>
              <w:rPr>
                <w:sz w:val="1"/>
                <w:szCs w:val="1"/>
                <w:color w:val="auto"/>
              </w:rPr>
            </w:pPr>
          </w:p>
        </w:tc>
      </w:tr>
      <w:tr>
        <w:trPr>
          <w:trHeight w:val="200"/>
        </w:trPr>
        <w:tc>
          <w:tcPr>
            <w:tcW w:w="7400" w:type="dxa"/>
            <w:vAlign w:val="bottom"/>
          </w:tcPr>
          <w:p>
            <w:pPr>
              <w:spacing w:after="0" w:line="201" w:lineRule="exact"/>
              <w:rPr>
                <w:sz w:val="20"/>
                <w:szCs w:val="20"/>
                <w:color w:val="auto"/>
              </w:rPr>
            </w:pPr>
            <w:r>
              <w:rPr>
                <w:rFonts w:ascii="Arial" w:cs="Arial" w:eastAsia="Arial" w:hAnsi="Arial"/>
                <w:sz w:val="18"/>
                <w:szCs w:val="18"/>
                <w:color w:val="auto"/>
              </w:rPr>
              <w:t>Cash basis operating income</w:t>
            </w:r>
          </w:p>
        </w:tc>
        <w:tc>
          <w:tcPr>
            <w:tcW w:w="1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6,164</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6,084</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Payments of interest</w:t>
            </w:r>
          </w:p>
        </w:tc>
        <w:tc>
          <w:tcPr>
            <w:tcW w:w="1300" w:type="dxa"/>
            <w:vAlign w:val="bottom"/>
          </w:tcPr>
          <w:p>
            <w:pPr>
              <w:jc w:val="right"/>
              <w:spacing w:after="0"/>
              <w:rPr>
                <w:sz w:val="20"/>
                <w:szCs w:val="20"/>
                <w:color w:val="auto"/>
              </w:rPr>
            </w:pPr>
            <w:r>
              <w:rPr>
                <w:rFonts w:ascii="Arial" w:cs="Arial" w:eastAsia="Arial" w:hAnsi="Arial"/>
                <w:sz w:val="18"/>
                <w:szCs w:val="18"/>
                <w:color w:val="auto"/>
              </w:rPr>
              <w:t>(691)</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Excess tax benefits under share-based compensation</w:t>
            </w: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25"/>
        </w:trPr>
        <w:tc>
          <w:tcPr>
            <w:tcW w:w="740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1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$5,245</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$5,110</w:t>
            </w:r>
          </w:p>
        </w:tc>
        <w:tc>
          <w:tcPr>
            <w:tcW w:w="0" w:type="dxa"/>
            <w:vAlign w:val="bottom"/>
          </w:tcPr>
          <w:p>
            <w:pPr>
              <w:spacing w:after="0"/>
              <w:rPr>
                <w:sz w:val="1"/>
                <w:szCs w:val="1"/>
                <w:color w:val="auto"/>
              </w:rPr>
            </w:pPr>
          </w:p>
        </w:tc>
      </w:tr>
      <w:tr>
        <w:trPr>
          <w:trHeight w:val="200"/>
        </w:trPr>
        <w:tc>
          <w:tcPr>
            <w:tcW w:w="7400" w:type="dxa"/>
            <w:vAlign w:val="bottom"/>
          </w:tcPr>
          <w:p>
            <w:pPr>
              <w:spacing w:after="0" w:line="201" w:lineRule="exact"/>
              <w:rPr>
                <w:sz w:val="20"/>
                <w:szCs w:val="20"/>
                <w:color w:val="auto"/>
              </w:rPr>
            </w:pPr>
            <w:r>
              <w:rPr>
                <w:rFonts w:ascii="Arial" w:cs="Arial" w:eastAsia="Arial" w:hAnsi="Arial"/>
                <w:sz w:val="18"/>
                <w:szCs w:val="18"/>
                <w:color w:val="auto"/>
              </w:rPr>
              <w:t>Capital expenditures</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(1,726)</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(1,885)</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Cash paid for capitalized software and other intangible assets</w:t>
            </w: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0" w:type="dxa"/>
            <w:vAlign w:val="bottom"/>
          </w:tcPr>
          <w:p>
            <w:pPr>
              <w:spacing w:after="0"/>
              <w:rPr>
                <w:sz w:val="1"/>
                <w:szCs w:val="1"/>
                <w:color w:val="auto"/>
              </w:rPr>
            </w:pP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Principal payments on capital leases</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w:t>
            </w: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194"/>
        </w:trPr>
        <w:tc>
          <w:tcPr>
            <w:tcW w:w="7400" w:type="dxa"/>
            <w:vAlign w:val="bottom"/>
          </w:tcPr>
          <w:p>
            <w:pPr>
              <w:ind w:left="180"/>
              <w:spacing w:after="0" w:line="195" w:lineRule="exact"/>
              <w:rPr>
                <w:sz w:val="20"/>
                <w:szCs w:val="20"/>
                <w:color w:val="auto"/>
              </w:rPr>
            </w:pPr>
            <w:r>
              <w:rPr>
                <w:rFonts w:ascii="Arial" w:cs="Arial" w:eastAsia="Arial" w:hAnsi="Arial"/>
                <w:sz w:val="18"/>
                <w:szCs w:val="18"/>
                <w:color w:val="auto"/>
              </w:rPr>
              <w:t>stock</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(62)</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00" w:type="dxa"/>
            <w:vAlign w:val="bottom"/>
          </w:tcPr>
          <w:p>
            <w:pPr>
              <w:spacing w:after="0"/>
              <w:rPr>
                <w:sz w:val="20"/>
                <w:szCs w:val="20"/>
                <w:color w:val="auto"/>
              </w:rPr>
            </w:pPr>
            <w:r>
              <w:rPr>
                <w:rFonts w:ascii="Arial" w:cs="Arial" w:eastAsia="Arial" w:hAnsi="Arial"/>
                <w:sz w:val="18"/>
                <w:szCs w:val="18"/>
                <w:color w:val="auto"/>
              </w:rPr>
              <w:t>Nonoperating items</w:t>
            </w:r>
            <w:r>
              <w:rPr>
                <w:rFonts w:ascii="Arial" w:cs="Arial" w:eastAsia="Arial" w:hAnsi="Arial"/>
                <w:sz w:val="18"/>
                <w:szCs w:val="18"/>
                <w:color w:val="auto"/>
                <w:vertAlign w:val="superscript"/>
              </w:rPr>
              <w:t>(1)</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Free Cash Flow</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$3,183</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$2,805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Reconciliation of EPS Excluding Gains on Sales and Acquisition-Related Items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0" w:type="dxa"/>
            <w:vAlign w:val="bottom"/>
            <w:gridSpan w:val="4"/>
          </w:tcPr>
          <w:p>
            <w:pPr>
              <w:jc w:val="center"/>
              <w:ind w:right="650"/>
              <w:spacing w:after="0"/>
              <w:rPr>
                <w:sz w:val="20"/>
                <w:szCs w:val="20"/>
                <w:color w:val="auto"/>
              </w:rPr>
            </w:pPr>
            <w:r>
              <w:rPr>
                <w:rFonts w:ascii="Arial" w:cs="Arial" w:eastAsia="Arial" w:hAnsi="Arial"/>
                <w:sz w:val="18"/>
                <w:szCs w:val="18"/>
                <w:b w:val="1"/>
                <w:bCs w:val="1"/>
                <w:color w:val="auto"/>
                <w:w w:val="99"/>
              </w:rPr>
              <w:t>Three Months Ended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rPr>
              <w:t>March 31,</w:t>
            </w: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340" w:type="dxa"/>
            <w:vAlign w:val="bottom"/>
            <w:vMerge w:val="restart"/>
          </w:tcPr>
          <w:p>
            <w:pPr>
              <w:spacing w:after="0"/>
              <w:rPr>
                <w:sz w:val="20"/>
                <w:szCs w:val="20"/>
                <w:color w:val="auto"/>
              </w:rPr>
            </w:pPr>
            <w:r>
              <w:rPr>
                <w:rFonts w:ascii="Arial" w:cs="Arial" w:eastAsia="Arial" w:hAnsi="Arial"/>
                <w:sz w:val="18"/>
                <w:szCs w:val="18"/>
                <w:color w:val="auto"/>
              </w:rPr>
              <w:t>(in millions, except per share data)</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1680" w:type="dxa"/>
            <w:vAlign w:val="bottom"/>
            <w:vMerge w:val="restart"/>
          </w:tcPr>
          <w:p>
            <w:pPr>
              <w:jc w:val="right"/>
              <w:ind w:right="970"/>
              <w:spacing w:after="0"/>
              <w:rPr>
                <w:sz w:val="20"/>
                <w:szCs w:val="20"/>
                <w:color w:val="auto"/>
              </w:rPr>
            </w:pPr>
            <w:r>
              <w:rPr>
                <w:rFonts w:ascii="Arial" w:cs="Arial" w:eastAsia="Arial" w:hAnsi="Arial"/>
                <w:sz w:val="18"/>
                <w:szCs w:val="18"/>
                <w:color w:val="auto"/>
              </w:rPr>
              <w:t>$</w:t>
            </w:r>
          </w:p>
        </w:tc>
        <w:tc>
          <w:tcPr>
            <w:tcW w:w="1740" w:type="dxa"/>
            <w:vAlign w:val="bottom"/>
            <w:gridSpan w:val="3"/>
            <w:vMerge w:val="restart"/>
          </w:tcPr>
          <w:p>
            <w:pPr>
              <w:ind w:left="80"/>
              <w:spacing w:after="0"/>
              <w:rPr>
                <w:sz w:val="20"/>
                <w:szCs w:val="20"/>
                <w:color w:val="auto"/>
              </w:rPr>
            </w:pPr>
            <w:r>
              <w:rPr>
                <w:rFonts w:ascii="Arial" w:cs="Arial" w:eastAsia="Arial" w:hAnsi="Arial"/>
                <w:sz w:val="18"/>
                <w:szCs w:val="18"/>
                <w:color w:val="auto"/>
              </w:rPr>
              <w:t xml:space="preserve">EPS </w:t>
            </w:r>
            <w:r>
              <w:rPr>
                <w:rFonts w:ascii="Arial" w:cs="Arial" w:eastAsia="Arial" w:hAnsi="Arial"/>
                <w:sz w:val="18"/>
                <w:szCs w:val="18"/>
                <w:color w:val="auto"/>
                <w:vertAlign w:val="superscript"/>
              </w:rPr>
              <w:t>(2)</w:t>
            </w:r>
          </w:p>
        </w:tc>
        <w:tc>
          <w:tcPr>
            <w:tcW w:w="1260" w:type="dxa"/>
            <w:vAlign w:val="bottom"/>
            <w:vMerge w:val="restart"/>
          </w:tcPr>
          <w:p>
            <w:pPr>
              <w:jc w:val="right"/>
              <w:ind w:right="89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 xml:space="preserve">EPS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5340" w:type="dxa"/>
            <w:vAlign w:val="bottom"/>
          </w:tcPr>
          <w:p>
            <w:pPr>
              <w:spacing w:after="0"/>
              <w:rPr>
                <w:sz w:val="20"/>
                <w:szCs w:val="20"/>
                <w:color w:val="auto"/>
              </w:rPr>
            </w:pPr>
            <w:r>
              <w:rPr>
                <w:rFonts w:ascii="Arial" w:cs="Arial" w:eastAsia="Arial" w:hAnsi="Arial"/>
                <w:sz w:val="18"/>
                <w:szCs w:val="18"/>
                <w:color w:val="auto"/>
              </w:rPr>
              <w:t>Net income attributable to Comcast Corporation</w:t>
            </w:r>
          </w:p>
        </w:tc>
        <w:tc>
          <w:tcPr>
            <w:tcW w:w="16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$2,059</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$2,134</w:t>
            </w: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b w:val="1"/>
                <w:bCs w:val="1"/>
                <w:color w:val="auto"/>
              </w:rPr>
              <w:t>$0.87</w:t>
            </w:r>
          </w:p>
        </w:tc>
        <w:tc>
          <w:tcPr>
            <w:tcW w:w="0" w:type="dxa"/>
            <w:vAlign w:val="bottom"/>
          </w:tcPr>
          <w:p>
            <w:pPr>
              <w:spacing w:after="0"/>
              <w:rPr>
                <w:sz w:val="1"/>
                <w:szCs w:val="1"/>
                <w:color w:val="auto"/>
              </w:rPr>
            </w:pPr>
          </w:p>
        </w:tc>
      </w:tr>
      <w:tr>
        <w:trPr>
          <w:trHeight w:val="235"/>
        </w:trPr>
        <w:tc>
          <w:tcPr>
            <w:tcW w:w="5340" w:type="dxa"/>
            <w:vAlign w:val="bottom"/>
          </w:tcPr>
          <w:p>
            <w:pPr>
              <w:spacing w:after="0"/>
              <w:rPr>
                <w:sz w:val="20"/>
                <w:szCs w:val="20"/>
                <w:color w:val="auto"/>
              </w:rPr>
            </w:pPr>
            <w:r>
              <w:rPr>
                <w:rFonts w:ascii="Arial" w:cs="Arial" w:eastAsia="Arial" w:hAnsi="Arial"/>
                <w:sz w:val="18"/>
                <w:szCs w:val="18"/>
                <w:i w:val="1"/>
                <w:iCs w:val="1"/>
                <w:color w:val="auto"/>
              </w:rPr>
              <w:t>Growth %</w:t>
            </w: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i w:val="1"/>
                <w:iCs w:val="1"/>
                <w:color w:val="auto"/>
              </w:rPr>
              <w:t>3.6%</w:t>
            </w:r>
          </w:p>
        </w:tc>
        <w:tc>
          <w:tcPr>
            <w:tcW w:w="1060" w:type="dxa"/>
            <w:vAlign w:val="bottom"/>
          </w:tcPr>
          <w:p>
            <w:pPr>
              <w:jc w:val="right"/>
              <w:ind w:right="10"/>
              <w:spacing w:after="0"/>
              <w:rPr>
                <w:sz w:val="20"/>
                <w:szCs w:val="20"/>
                <w:color w:val="auto"/>
              </w:rPr>
            </w:pPr>
            <w:r>
              <w:rPr>
                <w:rFonts w:ascii="Arial" w:cs="Arial" w:eastAsia="Arial" w:hAnsi="Arial"/>
                <w:sz w:val="18"/>
                <w:szCs w:val="18"/>
                <w:i w:val="1"/>
                <w:iCs w:val="1"/>
                <w:color w:val="auto"/>
              </w:rPr>
              <w:t>7.4%</w:t>
            </w:r>
          </w:p>
        </w:tc>
        <w:tc>
          <w:tcPr>
            <w:tcW w:w="0" w:type="dxa"/>
            <w:vAlign w:val="bottom"/>
          </w:tcPr>
          <w:p>
            <w:pPr>
              <w:spacing w:after="0"/>
              <w:rPr>
                <w:sz w:val="1"/>
                <w:szCs w:val="1"/>
                <w:color w:val="auto"/>
              </w:rPr>
            </w:pPr>
          </w:p>
        </w:tc>
      </w:tr>
      <w:tr>
        <w:trPr>
          <w:trHeight w:val="350"/>
        </w:trPr>
        <w:tc>
          <w:tcPr>
            <w:tcW w:w="5340" w:type="dxa"/>
            <w:vAlign w:val="bottom"/>
          </w:tcPr>
          <w:p>
            <w:pPr>
              <w:ind w:left="320"/>
              <w:spacing w:after="0"/>
              <w:rPr>
                <w:sz w:val="20"/>
                <w:szCs w:val="20"/>
                <w:color w:val="auto"/>
              </w:rPr>
            </w:pPr>
            <w:r>
              <w:rPr>
                <w:rFonts w:ascii="Arial" w:cs="Arial" w:eastAsia="Arial" w:hAnsi="Arial"/>
                <w:sz w:val="18"/>
                <w:szCs w:val="18"/>
                <w:color w:val="auto"/>
              </w:rPr>
              <w:t>Gains on sales of businesses and investments</w:t>
            </w:r>
            <w:r>
              <w:rPr>
                <w:rFonts w:ascii="Arial" w:cs="Arial" w:eastAsia="Arial" w:hAnsi="Arial"/>
                <w:sz w:val="18"/>
                <w:szCs w:val="18"/>
                <w:color w:val="auto"/>
                <w:vertAlign w:val="superscript"/>
              </w:rPr>
              <w:t>(3)</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(95)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(67)</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(0.03)</w:t>
            </w:r>
          </w:p>
        </w:tc>
        <w:tc>
          <w:tcPr>
            <w:tcW w:w="0" w:type="dxa"/>
            <w:vAlign w:val="bottom"/>
          </w:tcPr>
          <w:p>
            <w:pPr>
              <w:spacing w:after="0"/>
              <w:rPr>
                <w:sz w:val="1"/>
                <w:szCs w:val="1"/>
                <w:color w:val="auto"/>
              </w:rPr>
            </w:pPr>
          </w:p>
        </w:tc>
      </w:tr>
      <w:tr>
        <w:trPr>
          <w:trHeight w:val="203"/>
        </w:trPr>
        <w:tc>
          <w:tcPr>
            <w:tcW w:w="5340" w:type="dxa"/>
            <w:vAlign w:val="bottom"/>
          </w:tcPr>
          <w:p>
            <w:pPr>
              <w:ind w:left="320"/>
              <w:spacing w:after="0" w:line="202" w:lineRule="exact"/>
              <w:rPr>
                <w:sz w:val="20"/>
                <w:szCs w:val="20"/>
                <w:color w:val="auto"/>
              </w:rPr>
            </w:pPr>
            <w:r>
              <w:rPr>
                <w:rFonts w:ascii="Arial" w:cs="Arial" w:eastAsia="Arial" w:hAnsi="Arial"/>
                <w:sz w:val="18"/>
                <w:szCs w:val="18"/>
                <w:color w:val="auto"/>
              </w:rPr>
              <w:t>Costs related to Time Warner Cable and Charter</w:t>
            </w: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340" w:type="dxa"/>
            <w:vAlign w:val="bottom"/>
          </w:tcPr>
          <w:p>
            <w:pPr>
              <w:ind w:left="500"/>
              <w:spacing w:after="0"/>
              <w:rPr>
                <w:sz w:val="20"/>
                <w:szCs w:val="20"/>
                <w:color w:val="auto"/>
              </w:rPr>
            </w:pPr>
            <w:r>
              <w:rPr>
                <w:rFonts w:ascii="Arial" w:cs="Arial" w:eastAsia="Arial" w:hAnsi="Arial"/>
                <w:sz w:val="18"/>
                <w:szCs w:val="18"/>
                <w:color w:val="auto"/>
              </w:rPr>
              <w:t>transactions</w:t>
            </w:r>
            <w:r>
              <w:rPr>
                <w:rFonts w:ascii="Arial" w:cs="Arial" w:eastAsia="Arial" w:hAnsi="Arial"/>
                <w:sz w:val="18"/>
                <w:szCs w:val="18"/>
                <w:color w:val="auto"/>
                <w:vertAlign w:val="superscript"/>
              </w:rPr>
              <w:t>(4)</w:t>
            </w: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61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3" w:lineRule="exact"/>
              <w:rPr>
                <w:sz w:val="20"/>
                <w:szCs w:val="20"/>
                <w:color w:val="auto"/>
              </w:rPr>
            </w:pPr>
            <w:r>
              <w:rPr>
                <w:rFonts w:ascii="Arial" w:cs="Arial" w:eastAsia="Arial" w:hAnsi="Arial"/>
                <w:sz w:val="18"/>
                <w:szCs w:val="18"/>
                <w:color w:val="auto"/>
              </w:rPr>
              <w:t>Net income attributable to Comcast Corporation</w:t>
            </w:r>
          </w:p>
        </w:tc>
        <w:tc>
          <w:tcPr>
            <w:tcW w:w="1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40" w:type="dxa"/>
            <w:vAlign w:val="bottom"/>
          </w:tcPr>
          <w:p>
            <w:pPr>
              <w:ind w:left="120"/>
              <w:spacing w:after="0"/>
              <w:rPr>
                <w:sz w:val="20"/>
                <w:szCs w:val="20"/>
                <w:color w:val="auto"/>
              </w:rPr>
            </w:pPr>
            <w:r>
              <w:rPr>
                <w:rFonts w:ascii="Arial" w:cs="Arial" w:eastAsia="Arial" w:hAnsi="Arial"/>
                <w:sz w:val="18"/>
                <w:szCs w:val="18"/>
                <w:color w:val="auto"/>
              </w:rPr>
              <w:t>(excluding gains on sales and acquisition-related items)</w:t>
            </w:r>
          </w:p>
        </w:tc>
        <w:tc>
          <w:tcPr>
            <w:tcW w:w="16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$0.79</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$2,067</w:t>
            </w:r>
          </w:p>
        </w:tc>
        <w:tc>
          <w:tcPr>
            <w:tcW w:w="10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rPr>
              <w:t>$0.84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i w:val="1"/>
                <w:iCs w:val="1"/>
                <w:color w:val="auto"/>
              </w:rPr>
              <w:t>Growth %</w:t>
            </w:r>
          </w:p>
        </w:tc>
        <w:tc>
          <w:tcPr>
            <w:tcW w:w="1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i w:val="1"/>
                <w:iCs w:val="1"/>
                <w:color w:val="auto"/>
              </w:rPr>
              <w:t>2.0%</w:t>
            </w:r>
          </w:p>
        </w:tc>
        <w:tc>
          <w:tcPr>
            <w:tcW w:w="1060" w:type="dxa"/>
            <w:vAlign w:val="bottom"/>
          </w:tcPr>
          <w:p>
            <w:pPr>
              <w:jc w:val="right"/>
              <w:ind w:right="10"/>
              <w:spacing w:after="0"/>
              <w:rPr>
                <w:sz w:val="20"/>
                <w:szCs w:val="20"/>
                <w:color w:val="auto"/>
              </w:rPr>
            </w:pPr>
            <w:r>
              <w:rPr>
                <w:rFonts w:ascii="Arial" w:cs="Arial" w:eastAsia="Arial" w:hAnsi="Arial"/>
                <w:sz w:val="18"/>
                <w:szCs w:val="18"/>
                <w:i w:val="1"/>
                <w:iCs w:val="1"/>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ind w:left="340" w:right="100" w:hanging="332"/>
        <w:spacing w:after="0" w:line="260" w:lineRule="auto"/>
        <w:tabs>
          <w:tab w:leader="none" w:pos="349"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Nonoperating items include adjustments for cash taxes paid related to certain investing and financing transactions, to reflect cash taxes paid in the year of the related taxable income and to exclude the impacts of Economic Stimulus packages.</w:t>
      </w:r>
    </w:p>
    <w:p>
      <w:pPr>
        <w:spacing w:after="0" w:line="20"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diluted weighted-average number of common shares for the respective periods as presented in Table 1.</w:t>
      </w:r>
    </w:p>
    <w:p>
      <w:pPr>
        <w:sectPr>
          <w:pgSz w:w="11900" w:h="16838" w:orient="portrait"/>
          <w:cols w:equalWidth="0" w:num="1">
            <w:col w:w="11460"/>
          </w:cols>
          <w:pgMar w:left="240" w:top="118" w:right="199" w:bottom="0" w:gutter="0" w:footer="0" w:header="0"/>
        </w:sectPr>
      </w:pPr>
    </w:p>
    <w:bookmarkStart w:id="9" w:name="page10"/>
    <w:bookmarkEnd w:id="9"/>
    <w:p>
      <w:pPr>
        <w:spacing w:after="0" w:line="62" w:lineRule="exact"/>
        <w:rPr>
          <w:sz w:val="20"/>
          <w:szCs w:val="20"/>
          <w:color w:val="auto"/>
        </w:rPr>
      </w:pPr>
    </w:p>
    <w:p>
      <w:pPr>
        <w:ind w:left="340" w:right="120" w:hanging="332"/>
        <w:spacing w:after="0" w:line="253" w:lineRule="auto"/>
        <w:tabs>
          <w:tab w:leader="none" w:pos="3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1st quarter 2016 net income attributable to Comcast Corporation includes $108 million of other income, $67 million net of tax, resulting from a gain on the sale of our investment in The Weather Channel’s product and technology business. 1st quarter 2015 net income attributable to Comcast Corporation includes $164 million of other income, $95 million net of tax and noncontrolling interests, resulting from the sale of CTI Towers.</w:t>
      </w:r>
    </w:p>
    <w:p>
      <w:pPr>
        <w:spacing w:after="0" w:line="25" w:lineRule="exact"/>
        <w:rPr>
          <w:rFonts w:ascii="Arial" w:cs="Arial" w:eastAsia="Arial" w:hAnsi="Arial"/>
          <w:sz w:val="16"/>
          <w:szCs w:val="16"/>
          <w:color w:val="auto"/>
        </w:rPr>
      </w:pPr>
    </w:p>
    <w:p>
      <w:pPr>
        <w:ind w:left="340" w:hanging="332"/>
        <w:spacing w:after="0" w:line="260" w:lineRule="auto"/>
        <w:tabs>
          <w:tab w:leader="none" w:pos="3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1st quarter 2015 net income attributable to Comcast Corporation includes $99 million of operating costs and expenses, $61 million net of tax, related to the Time Warner Cable and Charter transactions.</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443865</wp:posOffset>
            </wp:positionV>
            <wp:extent cx="1037590" cy="43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3759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5</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As Reported to Pro Forma</w:t>
      </w:r>
      <w:r>
        <w:rPr>
          <w:rFonts w:ascii="Arial" w:cs="Arial" w:eastAsia="Arial" w:hAnsi="Arial"/>
          <w:sz w:val="20"/>
          <w:szCs w:val="20"/>
          <w:b w:val="1"/>
          <w:bCs w:val="1"/>
          <w:color w:val="828282"/>
          <w:vertAlign w:val="superscript"/>
        </w:rPr>
        <w:t>(1)</w:t>
      </w:r>
      <w:r>
        <w:rPr>
          <w:rFonts w:ascii="Arial" w:cs="Arial" w:eastAsia="Arial" w:hAnsi="Arial"/>
          <w:sz w:val="20"/>
          <w:szCs w:val="20"/>
          <w:b w:val="1"/>
          <w:bCs w:val="1"/>
          <w:color w:val="828282"/>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Theme Parks</w:t>
            </w:r>
          </w:p>
        </w:tc>
        <w:tc>
          <w:tcPr>
            <w:tcW w:w="4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318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Pro Forma</w:t>
            </w:r>
          </w:p>
        </w:tc>
        <w:tc>
          <w:tcPr>
            <w:tcW w:w="400" w:type="dxa"/>
            <w:vAlign w:val="bottom"/>
            <w:gridSpan w:val="3"/>
            <w:vMerge w:val="restart"/>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220" w:type="dxa"/>
            <w:vAlign w:val="bottom"/>
            <w:gridSpan w:val="2"/>
            <w:vMerge w:val="restart"/>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As Reported</w:t>
            </w:r>
          </w:p>
        </w:tc>
        <w:tc>
          <w:tcPr>
            <w:tcW w:w="10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6"/>
                <w:szCs w:val="6"/>
                <w:b w:val="1"/>
                <w:bCs w:val="1"/>
                <w:color w:val="auto"/>
                <w:w w:val="81"/>
              </w:rPr>
              <w:t>(1)</w:t>
            </w:r>
          </w:p>
        </w:tc>
        <w:tc>
          <w:tcPr>
            <w:tcW w:w="360" w:type="dxa"/>
            <w:vAlign w:val="bottom"/>
            <w:gridSpan w:val="2"/>
            <w:vMerge w:val="restart"/>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right w:val="single" w:sz="8" w:color="auto"/>
            </w:tcBorders>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Theme Parks</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8"/>
                <w:szCs w:val="8"/>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6"/>
                <w:szCs w:val="6"/>
                <w:b w:val="1"/>
                <w:bCs w:val="1"/>
                <w:color w:val="auto"/>
                <w:w w:val="81"/>
              </w:rPr>
              <w:t>(1)</w:t>
            </w:r>
          </w:p>
        </w:tc>
        <w:tc>
          <w:tcPr>
            <w:tcW w:w="280" w:type="dxa"/>
            <w:vAlign w:val="bottom"/>
            <w:gridSpan w:val="3"/>
            <w:vMerge w:val="restart"/>
          </w:tcPr>
          <w:p>
            <w:pPr>
              <w:spacing w:after="0"/>
              <w:rPr>
                <w:sz w:val="8"/>
                <w:szCs w:val="8"/>
                <w:color w:val="auto"/>
              </w:rPr>
            </w:pPr>
          </w:p>
        </w:tc>
        <w:tc>
          <w:tcPr>
            <w:tcW w:w="13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NBCUniversal</w:t>
            </w:r>
          </w:p>
        </w:tc>
        <w:tc>
          <w:tcPr>
            <w:tcW w:w="0" w:type="dxa"/>
            <w:vAlign w:val="bottom"/>
          </w:tcPr>
          <w:p>
            <w:pPr>
              <w:spacing w:after="0"/>
              <w:rPr>
                <w:sz w:val="1"/>
                <w:szCs w:val="1"/>
                <w:color w:val="auto"/>
              </w:rPr>
            </w:pPr>
          </w:p>
        </w:tc>
      </w:tr>
      <w:tr>
        <w:trPr>
          <w:trHeight w:val="48"/>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2015</w:t>
            </w:r>
          </w:p>
        </w:tc>
        <w:tc>
          <w:tcPr>
            <w:tcW w:w="680" w:type="dxa"/>
            <w:vAlign w:val="bottom"/>
            <w:vMerge w:val="restart"/>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gridSpan w:val="3"/>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500" w:type="dxa"/>
            <w:vAlign w:val="bottom"/>
            <w:tcBorders>
              <w:bottom w:val="single" w:sz="8" w:color="auto"/>
            </w:tcBorders>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1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$651</w:t>
            </w:r>
          </w:p>
        </w:tc>
        <w:tc>
          <w:tcPr>
            <w:tcW w:w="160" w:type="dxa"/>
            <w:vAlign w:val="bottom"/>
          </w:tcPr>
          <w:p>
            <w:pPr>
              <w:spacing w:after="0"/>
              <w:rPr>
                <w:sz w:val="23"/>
                <w:szCs w:val="23"/>
                <w:color w:val="auto"/>
              </w:rPr>
            </w:pPr>
          </w:p>
        </w:tc>
        <w:tc>
          <w:tcPr>
            <w:tcW w:w="1360" w:type="dxa"/>
            <w:vAlign w:val="bottom"/>
            <w:gridSpan w:val="6"/>
          </w:tcPr>
          <w:p>
            <w:pPr>
              <w:jc w:val="right"/>
              <w:ind w:right="40"/>
              <w:spacing w:after="0"/>
              <w:rPr>
                <w:sz w:val="20"/>
                <w:szCs w:val="20"/>
                <w:color w:val="auto"/>
              </w:rPr>
            </w:pPr>
            <w:r>
              <w:rPr>
                <w:rFonts w:ascii="Arial" w:cs="Arial" w:eastAsia="Arial" w:hAnsi="Arial"/>
                <w:sz w:val="14"/>
                <w:szCs w:val="14"/>
                <w:color w:val="auto"/>
              </w:rPr>
              <w:t>$284</w:t>
            </w:r>
          </w:p>
        </w:tc>
        <w:tc>
          <w:tcPr>
            <w:tcW w:w="160" w:type="dxa"/>
            <w:vAlign w:val="bottom"/>
          </w:tcPr>
          <w:p>
            <w:pPr>
              <w:spacing w:after="0"/>
              <w:rPr>
                <w:sz w:val="23"/>
                <w:szCs w:val="2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$935</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$6,604</w:t>
            </w:r>
          </w:p>
        </w:tc>
        <w:tc>
          <w:tcPr>
            <w:tcW w:w="200" w:type="dxa"/>
            <w:vAlign w:val="bottom"/>
          </w:tcPr>
          <w:p>
            <w:pPr>
              <w:spacing w:after="0"/>
              <w:rPr>
                <w:sz w:val="23"/>
                <w:szCs w:val="23"/>
                <w:color w:val="auto"/>
              </w:rPr>
            </w:pPr>
          </w:p>
        </w:tc>
        <w:tc>
          <w:tcPr>
            <w:tcW w:w="1360" w:type="dxa"/>
            <w:vAlign w:val="bottom"/>
            <w:gridSpan w:val="6"/>
          </w:tcPr>
          <w:p>
            <w:pPr>
              <w:jc w:val="right"/>
              <w:ind w:right="40"/>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23"/>
                <w:szCs w:val="23"/>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color w:val="auto"/>
              </w:rPr>
              <w:t>$6,888</w:t>
            </w:r>
          </w:p>
        </w:tc>
        <w:tc>
          <w:tcPr>
            <w:tcW w:w="0" w:type="dxa"/>
            <w:vAlign w:val="bottom"/>
          </w:tcPr>
          <w:p>
            <w:pPr>
              <w:spacing w:after="0"/>
              <w:rPr>
                <w:sz w:val="1"/>
                <w:szCs w:val="1"/>
                <w:color w:val="auto"/>
              </w:rPr>
            </w:pPr>
          </w:p>
        </w:tc>
      </w:tr>
      <w:tr>
        <w:trPr>
          <w:trHeight w:val="242"/>
        </w:trPr>
        <w:tc>
          <w:tcPr>
            <w:tcW w:w="3180" w:type="dxa"/>
            <w:vAlign w:val="bottom"/>
            <w:gridSpan w:val="3"/>
          </w:tcPr>
          <w:p>
            <w:pPr>
              <w:spacing w:after="0"/>
              <w:rPr>
                <w:sz w:val="20"/>
                <w:szCs w:val="20"/>
                <w:color w:val="auto"/>
              </w:rPr>
            </w:pPr>
            <w:r>
              <w:rPr>
                <w:rFonts w:ascii="Arial" w:cs="Arial" w:eastAsia="Arial" w:hAnsi="Arial"/>
                <w:sz w:val="14"/>
                <w:szCs w:val="14"/>
                <w:color w:val="auto"/>
              </w:rPr>
              <w:t xml:space="preserve">Operating costs and expenses </w:t>
            </w:r>
            <w:r>
              <w:rPr>
                <w:rFonts w:ascii="Arial" w:cs="Arial" w:eastAsia="Arial" w:hAnsi="Arial"/>
                <w:sz w:val="14"/>
                <w:szCs w:val="14"/>
                <w:color w:val="auto"/>
                <w:vertAlign w:val="superscript"/>
              </w:rPr>
              <w:t>(2)</w:t>
            </w: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407</w:t>
            </w:r>
          </w:p>
        </w:tc>
        <w:tc>
          <w:tcPr>
            <w:tcW w:w="160" w:type="dxa"/>
            <w:vAlign w:val="bottom"/>
          </w:tcPr>
          <w:p>
            <w:pPr>
              <w:spacing w:after="0"/>
              <w:rPr>
                <w:sz w:val="21"/>
                <w:szCs w:val="21"/>
                <w:color w:val="auto"/>
              </w:rPr>
            </w:pPr>
          </w:p>
        </w:tc>
        <w:tc>
          <w:tcPr>
            <w:tcW w:w="13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165</w:t>
            </w:r>
          </w:p>
        </w:tc>
        <w:tc>
          <w:tcPr>
            <w:tcW w:w="160" w:type="dxa"/>
            <w:vAlign w:val="bottom"/>
          </w:tcPr>
          <w:p>
            <w:pPr>
              <w:spacing w:after="0"/>
              <w:rPr>
                <w:sz w:val="21"/>
                <w:szCs w:val="21"/>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572</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5,129</w:t>
            </w:r>
          </w:p>
        </w:tc>
        <w:tc>
          <w:tcPr>
            <w:tcW w:w="200" w:type="dxa"/>
            <w:vAlign w:val="bottom"/>
          </w:tcPr>
          <w:p>
            <w:pPr>
              <w:spacing w:after="0"/>
              <w:rPr>
                <w:sz w:val="21"/>
                <w:szCs w:val="21"/>
                <w:color w:val="auto"/>
              </w:rPr>
            </w:pPr>
          </w:p>
        </w:tc>
        <w:tc>
          <w:tcPr>
            <w:tcW w:w="13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21"/>
                <w:szCs w:val="21"/>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5,294</w:t>
            </w:r>
          </w:p>
        </w:tc>
        <w:tc>
          <w:tcPr>
            <w:tcW w:w="0" w:type="dxa"/>
            <w:vAlign w:val="bottom"/>
          </w:tcPr>
          <w:p>
            <w:pPr>
              <w:spacing w:after="0"/>
              <w:rPr>
                <w:sz w:val="1"/>
                <w:szCs w:val="1"/>
                <w:color w:val="auto"/>
              </w:rPr>
            </w:pPr>
          </w:p>
        </w:tc>
      </w:tr>
      <w:tr>
        <w:trPr>
          <w:trHeight w:val="223"/>
        </w:trPr>
        <w:tc>
          <w:tcPr>
            <w:tcW w:w="3180" w:type="dxa"/>
            <w:vAlign w:val="bottom"/>
            <w:gridSpan w:val="3"/>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$244</w:t>
            </w:r>
          </w:p>
        </w:tc>
        <w:tc>
          <w:tcPr>
            <w:tcW w:w="160" w:type="dxa"/>
            <w:vAlign w:val="bottom"/>
          </w:tcPr>
          <w:p>
            <w:pPr>
              <w:spacing w:after="0"/>
              <w:rPr>
                <w:sz w:val="19"/>
                <w:szCs w:val="19"/>
                <w:color w:val="auto"/>
              </w:rPr>
            </w:pPr>
          </w:p>
        </w:tc>
        <w:tc>
          <w:tcPr>
            <w:tcW w:w="13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$119</w:t>
            </w:r>
          </w:p>
        </w:tc>
        <w:tc>
          <w:tcPr>
            <w:tcW w:w="160" w:type="dxa"/>
            <w:vAlign w:val="bottom"/>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$363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$1,475</w:t>
            </w:r>
          </w:p>
        </w:tc>
        <w:tc>
          <w:tcPr>
            <w:tcW w:w="200" w:type="dxa"/>
            <w:vAlign w:val="bottom"/>
          </w:tcPr>
          <w:p>
            <w:pPr>
              <w:spacing w:after="0"/>
              <w:rPr>
                <w:sz w:val="19"/>
                <w:szCs w:val="19"/>
                <w:color w:val="auto"/>
              </w:rPr>
            </w:pPr>
          </w:p>
        </w:tc>
        <w:tc>
          <w:tcPr>
            <w:tcW w:w="13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2016</w:t>
            </w:r>
          </w:p>
        </w:tc>
        <w:tc>
          <w:tcPr>
            <w:tcW w:w="6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500" w:type="dxa"/>
            <w:vAlign w:val="bottom"/>
            <w:tcBorders>
              <w:bottom w:val="single" w:sz="8" w:color="auto"/>
            </w:tcBorders>
            <w:gridSpan w:val="2"/>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1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$1,026</w:t>
            </w:r>
          </w:p>
        </w:tc>
        <w:tc>
          <w:tcPr>
            <w:tcW w:w="160" w:type="dxa"/>
            <w:vAlign w:val="bottom"/>
          </w:tcPr>
          <w:p>
            <w:pPr>
              <w:spacing w:after="0"/>
              <w:rPr>
                <w:sz w:val="23"/>
                <w:szCs w:val="23"/>
                <w:color w:val="auto"/>
              </w:rPr>
            </w:pPr>
          </w:p>
        </w:tc>
        <w:tc>
          <w:tcPr>
            <w:tcW w:w="13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$1,026</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$6,861</w:t>
            </w:r>
          </w:p>
        </w:tc>
        <w:tc>
          <w:tcPr>
            <w:tcW w:w="200" w:type="dxa"/>
            <w:vAlign w:val="bottom"/>
          </w:tcPr>
          <w:p>
            <w:pPr>
              <w:spacing w:after="0"/>
              <w:rPr>
                <w:sz w:val="23"/>
                <w:szCs w:val="23"/>
                <w:color w:val="auto"/>
              </w:rPr>
            </w:pPr>
          </w:p>
        </w:tc>
        <w:tc>
          <w:tcPr>
            <w:tcW w:w="13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3"/>
                <w:szCs w:val="23"/>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color w:val="auto"/>
              </w:rPr>
              <w:t>$6,861</w:t>
            </w:r>
          </w:p>
        </w:tc>
        <w:tc>
          <w:tcPr>
            <w:tcW w:w="0" w:type="dxa"/>
            <w:vAlign w:val="bottom"/>
          </w:tcPr>
          <w:p>
            <w:pPr>
              <w:spacing w:after="0"/>
              <w:rPr>
                <w:sz w:val="1"/>
                <w:szCs w:val="1"/>
                <w:color w:val="auto"/>
              </w:rPr>
            </w:pPr>
          </w:p>
        </w:tc>
      </w:tr>
      <w:tr>
        <w:trPr>
          <w:trHeight w:val="242"/>
        </w:trPr>
        <w:tc>
          <w:tcPr>
            <w:tcW w:w="3180" w:type="dxa"/>
            <w:vAlign w:val="bottom"/>
            <w:gridSpan w:val="3"/>
          </w:tcPr>
          <w:p>
            <w:pPr>
              <w:spacing w:after="0"/>
              <w:rPr>
                <w:sz w:val="20"/>
                <w:szCs w:val="20"/>
                <w:color w:val="auto"/>
              </w:rPr>
            </w:pPr>
            <w:r>
              <w:rPr>
                <w:rFonts w:ascii="Arial" w:cs="Arial" w:eastAsia="Arial" w:hAnsi="Arial"/>
                <w:sz w:val="14"/>
                <w:szCs w:val="14"/>
                <w:color w:val="auto"/>
              </w:rPr>
              <w:t>Operating costs and expenses</w:t>
            </w: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651</w:t>
            </w:r>
          </w:p>
        </w:tc>
        <w:tc>
          <w:tcPr>
            <w:tcW w:w="160" w:type="dxa"/>
            <w:vAlign w:val="bottom"/>
          </w:tcPr>
          <w:p>
            <w:pPr>
              <w:spacing w:after="0"/>
              <w:rPr>
                <w:sz w:val="21"/>
                <w:szCs w:val="21"/>
                <w:color w:val="auto"/>
              </w:rPr>
            </w:pPr>
          </w:p>
        </w:tc>
        <w:tc>
          <w:tcPr>
            <w:tcW w:w="13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1"/>
                <w:szCs w:val="21"/>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651</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5,239</w:t>
            </w:r>
          </w:p>
        </w:tc>
        <w:tc>
          <w:tcPr>
            <w:tcW w:w="200" w:type="dxa"/>
            <w:vAlign w:val="bottom"/>
          </w:tcPr>
          <w:p>
            <w:pPr>
              <w:spacing w:after="0"/>
              <w:rPr>
                <w:sz w:val="21"/>
                <w:szCs w:val="21"/>
                <w:color w:val="auto"/>
              </w:rPr>
            </w:pPr>
          </w:p>
        </w:tc>
        <w:tc>
          <w:tcPr>
            <w:tcW w:w="13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5,239</w:t>
            </w:r>
          </w:p>
        </w:tc>
        <w:tc>
          <w:tcPr>
            <w:tcW w:w="0" w:type="dxa"/>
            <w:vAlign w:val="bottom"/>
          </w:tcPr>
          <w:p>
            <w:pPr>
              <w:spacing w:after="0"/>
              <w:rPr>
                <w:sz w:val="1"/>
                <w:szCs w:val="1"/>
                <w:color w:val="auto"/>
              </w:rPr>
            </w:pPr>
          </w:p>
        </w:tc>
      </w:tr>
      <w:tr>
        <w:trPr>
          <w:trHeight w:val="223"/>
        </w:trPr>
        <w:tc>
          <w:tcPr>
            <w:tcW w:w="3180" w:type="dxa"/>
            <w:vAlign w:val="bottom"/>
            <w:gridSpan w:val="3"/>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$375</w:t>
            </w:r>
          </w:p>
        </w:tc>
        <w:tc>
          <w:tcPr>
            <w:tcW w:w="160" w:type="dxa"/>
            <w:vAlign w:val="bottom"/>
          </w:tcPr>
          <w:p>
            <w:pPr>
              <w:spacing w:after="0"/>
              <w:rPr>
                <w:sz w:val="19"/>
                <w:szCs w:val="19"/>
                <w:color w:val="auto"/>
              </w:rPr>
            </w:pPr>
          </w:p>
        </w:tc>
        <w:tc>
          <w:tcPr>
            <w:tcW w:w="13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$375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$1,622</w:t>
            </w:r>
          </w:p>
        </w:tc>
        <w:tc>
          <w:tcPr>
            <w:tcW w:w="200" w:type="dxa"/>
            <w:vAlign w:val="bottom"/>
          </w:tcPr>
          <w:p>
            <w:pPr>
              <w:spacing w:after="0"/>
              <w:rPr>
                <w:sz w:val="19"/>
                <w:szCs w:val="19"/>
                <w:color w:val="auto"/>
              </w:rPr>
            </w:pPr>
          </w:p>
        </w:tc>
        <w:tc>
          <w:tcPr>
            <w:tcW w:w="13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80" w:type="dxa"/>
            <w:vAlign w:val="bottom"/>
            <w:gridSpan w:val="3"/>
            <w:vMerge w:val="continue"/>
          </w:tcPr>
          <w:p>
            <w:pPr>
              <w:spacing w:after="0"/>
              <w:rPr>
                <w:sz w:val="19"/>
                <w:szCs w:val="19"/>
                <w:color w:val="auto"/>
              </w:rPr>
            </w:pPr>
          </w:p>
        </w:tc>
        <w:tc>
          <w:tcPr>
            <w:tcW w:w="114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57.5%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9.6%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0"/>
        </w:trPr>
        <w:tc>
          <w:tcPr>
            <w:tcW w:w="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2240" w:type="dxa"/>
            <w:vAlign w:val="bottom"/>
            <w:gridSpan w:val="2"/>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80" w:type="dxa"/>
            <w:vAlign w:val="bottom"/>
            <w:gridSpan w:val="3"/>
          </w:tcPr>
          <w:p>
            <w:pPr>
              <w:spacing w:after="0" w:line="157" w:lineRule="exact"/>
              <w:rPr>
                <w:sz w:val="20"/>
                <w:szCs w:val="20"/>
                <w:color w:val="auto"/>
              </w:rPr>
            </w:pPr>
            <w:r>
              <w:rPr>
                <w:rFonts w:ascii="Arial" w:cs="Arial" w:eastAsia="Arial" w:hAnsi="Arial"/>
                <w:sz w:val="14"/>
                <w:szCs w:val="14"/>
                <w:color w:val="auto"/>
              </w:rPr>
              <w:t>Operating Cash Flow</w:t>
            </w:r>
          </w:p>
        </w:tc>
        <w:tc>
          <w:tcPr>
            <w:tcW w:w="114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53.6%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3.3%</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80" w:firstLine="8"/>
        <w:spacing w:after="0" w:line="246" w:lineRule="auto"/>
        <w:tabs>
          <w:tab w:leader="none" w:pos="2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 Forma information is presented as if the acquisition of the 51% interest of Universal Studios Japan occurred January 1, 2014. Pro forma data does not include adjustments for costs related to integration activities, cost savings or synergies that have been or may be achieved by the combined businesses. Pro forma amounts are not necessarily indicative of what our results would have been had we operated Universal Studios Japan since January 1, 2014, nor of our future results. The pro forma amounts are based on historical results of operations and are subject to change. We will adjust these pro forma amounts as valuations are completed and we obtain information necessary to complete the analyses.</w:t>
      </w:r>
    </w:p>
    <w:p>
      <w:pPr>
        <w:spacing w:after="0" w:line="244" w:lineRule="exact"/>
        <w:rPr>
          <w:rFonts w:ascii="Arial" w:cs="Arial" w:eastAsia="Arial" w:hAnsi="Arial"/>
          <w:sz w:val="14"/>
          <w:szCs w:val="14"/>
          <w:color w:val="auto"/>
        </w:rPr>
      </w:pPr>
    </w:p>
    <w:p>
      <w:pPr>
        <w:jc w:val="both"/>
        <w:ind w:right="160" w:firstLine="8"/>
        <w:spacing w:after="0" w:line="247" w:lineRule="auto"/>
        <w:tabs>
          <w:tab w:leader="none" w:pos="208"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reported results for Theme Parks and total NBCUniversal for 2015 have been adjusted for the change in NBCUniversal’s method of accounting for a contractual obligation that involves an interest held by a third party in the revenue of certain theme parks. As a result of the change, the amounts that are payable based on current period revenue are now presented in operating costs and expenses, rather than other income (expense), net in our consolidated statement of income. The change was effective beginning in the 4th quarter of 2015 and for segment reporting purposes we also adjusted prior periods to reflect management reporting presentation of such amounts on a consistent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-67945</wp:posOffset>
            </wp:positionV>
            <wp:extent cx="1037590" cy="43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37590" cy="437515"/>
                    </a:xfrm>
                    <a:prstGeom prst="rect">
                      <a:avLst/>
                    </a:prstGeom>
                    <a:noFill/>
                  </pic:spPr>
                </pic:pic>
              </a:graphicData>
            </a:graphic>
          </wp:anchor>
        </w:drawing>
      </w:r>
    </w:p>
    <w:p>
      <w:pPr>
        <w:spacing w:after="0" w:line="132" w:lineRule="exact"/>
        <w:rPr>
          <w:sz w:val="20"/>
          <w:szCs w:val="20"/>
          <w:color w:val="auto"/>
        </w:rPr>
      </w:pPr>
    </w:p>
    <w:p>
      <w:pPr>
        <w:ind w:right="2440"/>
        <w:spacing w:after="0" w:line="271" w:lineRule="auto"/>
        <w:rPr>
          <w:sz w:val="20"/>
          <w:szCs w:val="20"/>
          <w:color w:val="auto"/>
        </w:rPr>
      </w:pPr>
      <w:r>
        <w:rPr>
          <w:rFonts w:ascii="Arial" w:cs="Arial" w:eastAsia="Arial" w:hAnsi="Arial"/>
          <w:sz w:val="18"/>
          <w:szCs w:val="18"/>
          <w:b w:val="1"/>
          <w:bCs w:val="1"/>
          <w:color w:val="828282"/>
        </w:rPr>
        <w:t>Reconciliation of Consolidated Revenue Excluding 2015 Super Bowl and Operating Cash Flow Excluding Costs Related to Time Warner Cable and Charter Transactions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740" w:type="dxa"/>
            <w:vAlign w:val="bottom"/>
            <w:gridSpan w:val="5"/>
          </w:tcPr>
          <w:p>
            <w:pPr>
              <w:jc w:val="center"/>
              <w:ind w:left="8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260"/>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60" w:type="dxa"/>
            <w:vAlign w:val="bottom"/>
          </w:tcPr>
          <w:p>
            <w:pPr>
              <w:ind w:left="260"/>
              <w:spacing w:after="0"/>
              <w:rPr>
                <w:sz w:val="20"/>
                <w:szCs w:val="20"/>
                <w:color w:val="auto"/>
              </w:rPr>
            </w:pPr>
            <w:r>
              <w:rPr>
                <w:rFonts w:ascii="Arial" w:cs="Arial" w:eastAsia="Arial" w:hAnsi="Arial"/>
                <w:sz w:val="16"/>
                <w:szCs w:val="16"/>
                <w:color w:val="auto"/>
              </w:rPr>
              <w:t>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$17,853</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$18,790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660" w:type="dxa"/>
            <w:vAlign w:val="bottom"/>
          </w:tcPr>
          <w:p>
            <w:pPr>
              <w:ind w:left="260"/>
              <w:spacing w:after="0"/>
              <w:rPr>
                <w:sz w:val="20"/>
                <w:szCs w:val="20"/>
                <w:color w:val="auto"/>
              </w:rPr>
            </w:pPr>
            <w:r>
              <w:rPr>
                <w:rFonts w:ascii="Arial" w:cs="Arial" w:eastAsia="Arial" w:hAnsi="Arial"/>
                <w:sz w:val="16"/>
                <w:szCs w:val="16"/>
                <w:color w:val="auto"/>
              </w:rPr>
              <w:t>2015 Super Bowl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60" w:type="dxa"/>
            <w:vAlign w:val="bottom"/>
          </w:tcPr>
          <w:p>
            <w:pPr>
              <w:ind w:left="260"/>
              <w:spacing w:after="0"/>
              <w:rPr>
                <w:sz w:val="20"/>
                <w:szCs w:val="20"/>
                <w:color w:val="auto"/>
              </w:rPr>
            </w:pPr>
            <w:r>
              <w:rPr>
                <w:rFonts w:ascii="Arial" w:cs="Arial" w:eastAsia="Arial" w:hAnsi="Arial"/>
                <w:sz w:val="16"/>
                <w:szCs w:val="16"/>
                <w:color w:val="auto"/>
              </w:rPr>
              <w:t>Revenue excluding 2015 Super Bowl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$17,477</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$18,790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60" w:type="dxa"/>
            <w:vAlign w:val="bottom"/>
          </w:tcPr>
          <w:p>
            <w:pPr>
              <w:ind w:left="260"/>
              <w:spacing w:after="0"/>
              <w:rPr>
                <w:sz w:val="20"/>
                <w:szCs w:val="20"/>
                <w:color w:val="auto"/>
              </w:rPr>
            </w:pPr>
            <w:r>
              <w:rPr>
                <w:rFonts w:ascii="Arial" w:cs="Arial" w:eastAsia="Arial" w:hAnsi="Arial"/>
                <w:sz w:val="16"/>
                <w:szCs w:val="16"/>
                <w:color w:val="auto"/>
              </w:rPr>
              <w:t>Operating Cash Flow</w:t>
            </w:r>
          </w:p>
        </w:tc>
        <w:tc>
          <w:tcPr>
            <w:tcW w:w="1120" w:type="dxa"/>
            <w:vAlign w:val="bottom"/>
          </w:tcPr>
          <w:p>
            <w:pPr>
              <w:jc w:val="right"/>
              <w:spacing w:after="0"/>
              <w:rPr>
                <w:sz w:val="20"/>
                <w:szCs w:val="20"/>
                <w:color w:val="auto"/>
              </w:rPr>
            </w:pPr>
            <w:r>
              <w:rPr>
                <w:rFonts w:ascii="Arial" w:cs="Arial" w:eastAsia="Arial" w:hAnsi="Arial"/>
                <w:sz w:val="16"/>
                <w:szCs w:val="16"/>
                <w:color w:val="auto"/>
              </w:rPr>
              <w:t>$5,956</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$6,367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660" w:type="dxa"/>
            <w:vAlign w:val="bottom"/>
          </w:tcPr>
          <w:p>
            <w:pPr>
              <w:ind w:left="260"/>
              <w:spacing w:after="0"/>
              <w:rPr>
                <w:sz w:val="20"/>
                <w:szCs w:val="20"/>
                <w:color w:val="auto"/>
              </w:rPr>
            </w:pPr>
            <w:r>
              <w:rPr>
                <w:rFonts w:ascii="Arial" w:cs="Arial" w:eastAsia="Arial" w:hAnsi="Arial"/>
                <w:sz w:val="16"/>
                <w:szCs w:val="16"/>
                <w:color w:val="auto"/>
              </w:rPr>
              <w:t>Costs related to Time Warner Cable and Charter transactions</w:t>
            </w: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7660" w:type="dxa"/>
            <w:vAlign w:val="bottom"/>
            <w:vMerge w:val="restart"/>
          </w:tcPr>
          <w:p>
            <w:pPr>
              <w:ind w:left="260"/>
              <w:spacing w:after="0"/>
              <w:rPr>
                <w:sz w:val="20"/>
                <w:szCs w:val="20"/>
                <w:color w:val="auto"/>
              </w:rPr>
            </w:pPr>
            <w:r>
              <w:rPr>
                <w:rFonts w:ascii="Arial" w:cs="Arial" w:eastAsia="Arial" w:hAnsi="Arial"/>
                <w:sz w:val="16"/>
                <w:szCs w:val="16"/>
                <w:color w:val="auto"/>
              </w:rPr>
              <w:t>Operating Cash Flow excluding costs related to Time Warner Cable and Charter transactions</w:t>
            </w:r>
          </w:p>
        </w:tc>
        <w:tc>
          <w:tcPr>
            <w:tcW w:w="11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766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$6,055</w:t>
            </w: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$6,367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940" w:type="dxa"/>
            <w:vAlign w:val="bottom"/>
            <w:gridSpan w:val="3"/>
          </w:tcPr>
          <w:p>
            <w:pPr>
              <w:spacing w:after="0"/>
              <w:rPr>
                <w:sz w:val="20"/>
                <w:szCs w:val="20"/>
                <w:color w:val="auto"/>
              </w:rPr>
            </w:pPr>
            <w:r>
              <w:rPr>
                <w:rFonts w:ascii="Arial" w:cs="Arial" w:eastAsia="Arial" w:hAnsi="Arial"/>
                <w:sz w:val="18"/>
                <w:szCs w:val="18"/>
                <w:b w:val="1"/>
                <w:bCs w:val="1"/>
                <w:color w:val="828282"/>
              </w:rPr>
              <w:t>Reconciliation of Consolidated NBCUniversal Revenue Excluding 2015 Super Bowl (Unaudited)</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60" w:type="dxa"/>
            <w:vAlign w:val="bottom"/>
            <w:tcBorders>
              <w:bottom w:val="single" w:sz="8" w:color="0050B9"/>
            </w:tcBorders>
          </w:tcPr>
          <w:p>
            <w:pPr>
              <w:spacing w:after="0"/>
              <w:rPr>
                <w:sz w:val="4"/>
                <w:szCs w:val="4"/>
                <w:color w:val="auto"/>
              </w:rPr>
            </w:pPr>
          </w:p>
        </w:tc>
        <w:tc>
          <w:tcPr>
            <w:tcW w:w="2740" w:type="dxa"/>
            <w:vAlign w:val="bottom"/>
            <w:tcBorders>
              <w:bottom w:val="single" w:sz="8" w:color="0050B9"/>
            </w:tcBorders>
            <w:gridSpan w:val="5"/>
          </w:tcPr>
          <w:p>
            <w:pPr>
              <w:spacing w:after="0"/>
              <w:rPr>
                <w:sz w:val="4"/>
                <w:szCs w:val="4"/>
                <w:color w:val="auto"/>
              </w:rPr>
            </w:pPr>
          </w:p>
        </w:tc>
        <w:tc>
          <w:tcPr>
            <w:tcW w:w="920" w:type="dxa"/>
            <w:vAlign w:val="bottom"/>
            <w:tcBorders>
              <w:bottom w:val="single" w:sz="8" w:color="0050B9"/>
            </w:tcBorders>
          </w:tcPr>
          <w:p>
            <w:pPr>
              <w:spacing w:after="0"/>
              <w:rPr>
                <w:sz w:val="4"/>
                <w:szCs w:val="4"/>
                <w:color w:val="auto"/>
              </w:rPr>
            </w:pPr>
          </w:p>
        </w:tc>
        <w:tc>
          <w:tcPr>
            <w:tcW w:w="100" w:type="dxa"/>
            <w:vAlign w:val="bottom"/>
            <w:tcBorders>
              <w:bottom w:val="single" w:sz="8" w:color="0050B9"/>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660" w:type="dxa"/>
            <w:vAlign w:val="bottom"/>
          </w:tcPr>
          <w:p>
            <w:pPr>
              <w:spacing w:after="0"/>
              <w:rPr>
                <w:sz w:val="22"/>
                <w:szCs w:val="22"/>
                <w:color w:val="auto"/>
              </w:rPr>
            </w:pPr>
          </w:p>
        </w:tc>
        <w:tc>
          <w:tcPr>
            <w:tcW w:w="2740" w:type="dxa"/>
            <w:vAlign w:val="bottom"/>
            <w:gridSpan w:val="5"/>
          </w:tcPr>
          <w:p>
            <w:pPr>
              <w:jc w:val="center"/>
              <w:ind w:left="8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260"/>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60" w:type="dxa"/>
            <w:vAlign w:val="bottom"/>
          </w:tcPr>
          <w:p>
            <w:pPr>
              <w:ind w:left="260"/>
              <w:spacing w:after="0"/>
              <w:rPr>
                <w:sz w:val="20"/>
                <w:szCs w:val="20"/>
                <w:color w:val="auto"/>
              </w:rPr>
            </w:pPr>
            <w:r>
              <w:rPr>
                <w:rFonts w:ascii="Arial" w:cs="Arial" w:eastAsia="Arial" w:hAnsi="Arial"/>
                <w:sz w:val="16"/>
                <w:szCs w:val="16"/>
                <w:color w:val="auto"/>
              </w:rPr>
              <w:t>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$6,604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$6,861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260"/>
              <w:spacing w:after="0"/>
              <w:rPr>
                <w:sz w:val="20"/>
                <w:szCs w:val="20"/>
                <w:color w:val="auto"/>
              </w:rPr>
            </w:pPr>
            <w:r>
              <w:rPr>
                <w:rFonts w:ascii="Arial" w:cs="Arial" w:eastAsia="Arial" w:hAnsi="Arial"/>
                <w:sz w:val="16"/>
                <w:szCs w:val="16"/>
                <w:color w:val="auto"/>
              </w:rPr>
              <w:t>2015 Super Bowl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1" w:right="239" w:bottom="0" w:gutter="0" w:footer="0" w:header="0"/>
        </w:sectPr>
      </w:pPr>
    </w:p>
    <w:bookmarkStart w:id="10" w:name="page11"/>
    <w:bookmarkEnd w:id="10"/>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400" w:type="dxa"/>
            <w:vAlign w:val="bottom"/>
          </w:tcPr>
          <w:p>
            <w:pPr>
              <w:spacing w:after="0"/>
              <w:rPr>
                <w:sz w:val="20"/>
                <w:szCs w:val="20"/>
                <w:color w:val="auto"/>
              </w:rPr>
            </w:pPr>
            <w:r>
              <w:rPr>
                <w:rFonts w:ascii="Arial" w:cs="Arial" w:eastAsia="Arial" w:hAnsi="Arial"/>
                <w:sz w:val="16"/>
                <w:szCs w:val="16"/>
                <w:color w:val="auto"/>
              </w:rPr>
              <w:t>Revenue excluding 2015 Super Bowl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$6,228</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$6,861</w:t>
            </w:r>
          </w:p>
        </w:tc>
        <w:tc>
          <w:tcPr>
            <w:tcW w:w="12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7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Consolidated NBCUniversal Pro Forma Revenue Excluding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2740" w:type="dxa"/>
            <w:vAlign w:val="bottom"/>
            <w:gridSpan w:val="5"/>
          </w:tcPr>
          <w:p>
            <w:pPr>
              <w:jc w:val="center"/>
              <w:ind w:left="8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Pr>
          <w:p>
            <w:pPr>
              <w:spacing w:after="0"/>
              <w:rPr>
                <w:sz w:val="16"/>
                <w:szCs w:val="16"/>
                <w:color w:val="auto"/>
              </w:rPr>
            </w:pPr>
          </w:p>
        </w:tc>
      </w:tr>
      <w:tr>
        <w:trPr>
          <w:trHeight w:val="215"/>
        </w:trPr>
        <w:tc>
          <w:tcPr>
            <w:tcW w:w="7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r>
      <w:tr>
        <w:trPr>
          <w:trHeight w:val="276"/>
        </w:trPr>
        <w:tc>
          <w:tcPr>
            <w:tcW w:w="7400" w:type="dxa"/>
            <w:vAlign w:val="bottom"/>
          </w:tcPr>
          <w:p>
            <w:pPr>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r>
      <w:tr>
        <w:trPr>
          <w:trHeight w:val="285"/>
        </w:trPr>
        <w:tc>
          <w:tcPr>
            <w:tcW w:w="7400" w:type="dxa"/>
            <w:vAlign w:val="bottom"/>
          </w:tcPr>
          <w:p>
            <w:pPr>
              <w:spacing w:after="0"/>
              <w:rPr>
                <w:sz w:val="20"/>
                <w:szCs w:val="20"/>
                <w:color w:val="auto"/>
              </w:rPr>
            </w:pPr>
            <w:r>
              <w:rPr>
                <w:rFonts w:ascii="Arial" w:cs="Arial" w:eastAsia="Arial" w:hAnsi="Arial"/>
                <w:sz w:val="16"/>
                <w:szCs w:val="16"/>
                <w:color w:val="auto"/>
              </w:rPr>
              <w:t>Pro Forma 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$6,888</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$6,861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76"/>
        </w:trPr>
        <w:tc>
          <w:tcPr>
            <w:tcW w:w="7400" w:type="dxa"/>
            <w:vAlign w:val="bottom"/>
          </w:tcPr>
          <w:p>
            <w:pPr>
              <w:spacing w:after="0"/>
              <w:rPr>
                <w:sz w:val="20"/>
                <w:szCs w:val="20"/>
                <w:color w:val="auto"/>
              </w:rPr>
            </w:pPr>
            <w:r>
              <w:rPr>
                <w:rFonts w:ascii="Arial" w:cs="Arial" w:eastAsia="Arial" w:hAnsi="Arial"/>
                <w:sz w:val="16"/>
                <w:szCs w:val="16"/>
                <w:color w:val="auto"/>
              </w:rPr>
              <w:t>2015 Super Bowl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7"/>
        </w:trPr>
        <w:tc>
          <w:tcPr>
            <w:tcW w:w="7400" w:type="dxa"/>
            <w:vAlign w:val="bottom"/>
          </w:tcPr>
          <w:p>
            <w:pPr>
              <w:spacing w:after="0"/>
              <w:rPr>
                <w:sz w:val="20"/>
                <w:szCs w:val="20"/>
                <w:color w:val="auto"/>
              </w:rPr>
            </w:pPr>
            <w:r>
              <w:rPr>
                <w:rFonts w:ascii="Arial" w:cs="Arial" w:eastAsia="Arial" w:hAnsi="Arial"/>
                <w:sz w:val="16"/>
                <w:szCs w:val="16"/>
                <w:color w:val="auto"/>
              </w:rPr>
              <w:t>Pro Forma Revenue excluding 2015 Super Bowl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$6,512</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$6,861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
        </w:trPr>
        <w:tc>
          <w:tcPr>
            <w:tcW w:w="7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Broadcast Television Revenue Excluding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2740" w:type="dxa"/>
            <w:vAlign w:val="bottom"/>
            <w:gridSpan w:val="5"/>
          </w:tcPr>
          <w:p>
            <w:pPr>
              <w:jc w:val="center"/>
              <w:ind w:left="8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tcPr>
          <w:p>
            <w:pPr>
              <w:spacing w:after="0"/>
              <w:rPr>
                <w:sz w:val="16"/>
                <w:szCs w:val="16"/>
                <w:color w:val="auto"/>
              </w:rPr>
            </w:pPr>
          </w:p>
        </w:tc>
      </w:tr>
      <w:tr>
        <w:trPr>
          <w:trHeight w:val="215"/>
        </w:trPr>
        <w:tc>
          <w:tcPr>
            <w:tcW w:w="7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r>
      <w:tr>
        <w:trPr>
          <w:trHeight w:val="276"/>
        </w:trPr>
        <w:tc>
          <w:tcPr>
            <w:tcW w:w="7400" w:type="dxa"/>
            <w:vAlign w:val="bottom"/>
          </w:tcPr>
          <w:p>
            <w:pPr>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r>
      <w:tr>
        <w:trPr>
          <w:trHeight w:val="285"/>
        </w:trPr>
        <w:tc>
          <w:tcPr>
            <w:tcW w:w="7400" w:type="dxa"/>
            <w:vAlign w:val="bottom"/>
          </w:tcPr>
          <w:p>
            <w:pPr>
              <w:spacing w:after="0"/>
              <w:rPr>
                <w:sz w:val="20"/>
                <w:szCs w:val="20"/>
                <w:color w:val="auto"/>
              </w:rPr>
            </w:pPr>
            <w:r>
              <w:rPr>
                <w:rFonts w:ascii="Arial" w:cs="Arial" w:eastAsia="Arial" w:hAnsi="Arial"/>
                <w:sz w:val="16"/>
                <w:szCs w:val="16"/>
                <w:color w:val="auto"/>
              </w:rPr>
              <w:t>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$2,248</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$2,084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76"/>
        </w:trPr>
        <w:tc>
          <w:tcPr>
            <w:tcW w:w="7400" w:type="dxa"/>
            <w:vAlign w:val="bottom"/>
          </w:tcPr>
          <w:p>
            <w:pPr>
              <w:spacing w:after="0"/>
              <w:rPr>
                <w:sz w:val="20"/>
                <w:szCs w:val="20"/>
                <w:color w:val="auto"/>
              </w:rPr>
            </w:pPr>
            <w:r>
              <w:rPr>
                <w:rFonts w:ascii="Arial" w:cs="Arial" w:eastAsia="Arial" w:hAnsi="Arial"/>
                <w:sz w:val="16"/>
                <w:szCs w:val="16"/>
                <w:color w:val="auto"/>
              </w:rPr>
              <w:t>2015 Super Bowl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7"/>
        </w:trPr>
        <w:tc>
          <w:tcPr>
            <w:tcW w:w="7400" w:type="dxa"/>
            <w:vAlign w:val="bottom"/>
          </w:tcPr>
          <w:p>
            <w:pPr>
              <w:spacing w:after="0"/>
              <w:rPr>
                <w:sz w:val="20"/>
                <w:szCs w:val="20"/>
                <w:color w:val="auto"/>
              </w:rPr>
            </w:pPr>
            <w:r>
              <w:rPr>
                <w:rFonts w:ascii="Arial" w:cs="Arial" w:eastAsia="Arial" w:hAnsi="Arial"/>
                <w:sz w:val="16"/>
                <w:szCs w:val="16"/>
                <w:color w:val="auto"/>
              </w:rPr>
              <w:t>Revenue excluding 2015 Super Bowl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7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216"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2019-12-07T15:59:15Z</dcterms:created>
  <dcterms:modified xsi:type="dcterms:W3CDTF">2019-12-07T15:59:15Z</dcterms:modified>
</cp:coreProperties>
</file>