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1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tLeast" w:line="176"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                       to     </w:t>
      </w:r>
      <w:r>
        <w:rPr>
          <w:color w:val="000000"/>
        </w:rPr>
        <w:t>  </w:t>
      </w:r>
    </w:p>
    <w:p>
      <w:pPr>
        <w:pStyle w:val="TextBody"/>
        <w:bidi w:val="0"/>
        <w:spacing w:lineRule="atLeast" w:line="142" w:before="0" w:after="0"/>
        <w:jc w:val="center"/>
        <w:rPr>
          <w:color w:val="000000"/>
        </w:rPr>
      </w:pPr>
      <w:r>
        <w:rPr>
          <w:color w:val="000000"/>
        </w:rPr>
        <w:t>               </w:t>
      </w:r>
    </w:p>
    <w:tbl>
      <w:tblPr>
        <w:tblW w:w="8324" w:type="dxa"/>
        <w:jc w:val="left"/>
        <w:tblInd w:w="0" w:type="dxa"/>
        <w:tblLayout w:type="fixed"/>
        <w:tblCellMar>
          <w:top w:w="28" w:type="dxa"/>
          <w:left w:w="28" w:type="dxa"/>
          <w:bottom w:w="28" w:type="dxa"/>
          <w:right w:w="28" w:type="dxa"/>
        </w:tblCellMar>
      </w:tblPr>
      <w:tblGrid>
        <w:gridCol w:w="793"/>
        <w:gridCol w:w="697"/>
        <w:gridCol w:w="700"/>
        <w:gridCol w:w="1074"/>
        <w:gridCol w:w="1074"/>
        <w:gridCol w:w="1077"/>
        <w:gridCol w:w="851"/>
        <w:gridCol w:w="851"/>
        <w:gridCol w:w="120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3716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42925"/>
                          </a:xfrm>
                          <a:prstGeom prst="rect">
                            <a:avLst/>
                          </a:prstGeom>
                        </pic:spPr>
                      </pic:pic>
                    </a:graphicData>
                  </a:graphic>
                </wp:inline>
              </w:drawing>
            </w:r>
            <w:bookmarkStart w:id="0" w:name="i-1"/>
            <w:bookmarkEnd w:id="0"/>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State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Address and Telephone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 Principal Executive Offices</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001-32871</w:t>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COMCAST CORPORATION</w:t>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27-0000798</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Pennsylvania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Comcast Center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Philadelphia, PA 19103-2838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 286-1700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08"/>
        <w:gridCol w:w="1359"/>
        <w:gridCol w:w="1376"/>
        <w:gridCol w:w="109"/>
        <w:gridCol w:w="109"/>
        <w:gridCol w:w="109"/>
        <w:gridCol w:w="555"/>
        <w:gridCol w:w="537"/>
        <w:gridCol w:w="539"/>
        <w:gridCol w:w="109"/>
        <w:gridCol w:w="109"/>
        <w:gridCol w:w="109"/>
        <w:gridCol w:w="1044"/>
        <w:gridCol w:w="1044"/>
        <w:gridCol w:w="1489"/>
      </w:tblGrid>
      <w:tr>
        <w:trPr/>
        <w:tc>
          <w:tcPr>
            <w:tcW w:w="160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0.250%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CMCS29A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3.250%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CMCS32A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1.875%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3.550%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CMCS36A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 Notes due 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5.250% Notes due 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CMCS40A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CCGBP29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Exchangeable Subordinated Debentures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40"/>
        <w:jc w:val="both"/>
        <w:rPr/>
      </w:pPr>
      <w:r>
        <w:rPr>
          <w:rFonts w:ascii="Times New Roman;serif" w:hAnsi="Times New Roman;serif"/>
          <w:b w:val="false"/>
          <w:color w:val="000000"/>
          <w:sz w:val="19"/>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60" w:after="180"/>
        <w:jc w:val="both"/>
        <w:rPr/>
      </w:pPr>
      <w:r>
        <w:rPr>
          <w:rFonts w:ascii="Times New Roman;serif" w:hAnsi="Times New Roman;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87"/>
        <w:gridCol w:w="516"/>
        <w:gridCol w:w="518"/>
        <w:gridCol w:w="109"/>
        <w:gridCol w:w="109"/>
        <w:gridCol w:w="109"/>
        <w:gridCol w:w="480"/>
        <w:gridCol w:w="480"/>
        <w:gridCol w:w="481"/>
        <w:gridCol w:w="109"/>
        <w:gridCol w:w="109"/>
        <w:gridCol w:w="109"/>
        <w:gridCol w:w="600"/>
        <w:gridCol w:w="600"/>
        <w:gridCol w:w="601"/>
        <w:gridCol w:w="109"/>
        <w:gridCol w:w="109"/>
        <w:gridCol w:w="109"/>
        <w:gridCol w:w="606"/>
        <w:gridCol w:w="606"/>
        <w:gridCol w:w="609"/>
        <w:gridCol w:w="109"/>
        <w:gridCol w:w="109"/>
        <w:gridCol w:w="109"/>
        <w:gridCol w:w="611"/>
        <w:gridCol w:w="611"/>
        <w:gridCol w:w="614"/>
        <w:gridCol w:w="109"/>
        <w:gridCol w:w="109"/>
        <w:gridCol w:w="15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8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80"/>
        <w:jc w:val="both"/>
        <w:rPr/>
      </w:pPr>
      <w:r>
        <w:rPr>
          <w:rFonts w:ascii="Times New Roman;serif" w:hAnsi="Times New Roman;serif"/>
          <w:b w:val="false"/>
          <w:color w:val="000000"/>
          <w:sz w:val="19"/>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Indicate the number of shares outstanding of each of the issuer’s classes of common stock, as of the latest practicable date:</w:t>
      </w:r>
    </w:p>
    <w:p>
      <w:pPr>
        <w:pStyle w:val="TextBody"/>
        <w:bidi w:val="0"/>
        <w:spacing w:lineRule="auto" w:line="288" w:before="0" w:after="240"/>
        <w:jc w:val="both"/>
        <w:rPr/>
      </w:pPr>
      <w:r>
        <w:rPr>
          <w:rFonts w:ascii="Times New Roman;serif" w:hAnsi="Times New Roman;serif"/>
          <w:b w:val="false"/>
          <w:color w:val="000000"/>
          <w:sz w:val="19"/>
        </w:rPr>
        <w:t xml:space="preserve">As of July 15, 2026, there were </w:t>
      </w:r>
      <w:r>
        <w:rPr>
          <w:rFonts w:ascii="Times New Roman;serif" w:hAnsi="Times New Roman;serif"/>
          <w:b w:val="false"/>
          <w:color w:val="000000"/>
          <w:sz w:val="20"/>
        </w:rPr>
        <w:t xml:space="preserve">3,539,192,198 </w:t>
      </w:r>
      <w:r>
        <w:rPr>
          <w:rFonts w:ascii="Times New Roman;serif" w:hAnsi="Times New Roman;serif"/>
          <w:b w:val="false"/>
          <w:color w:val="000000"/>
          <w:sz w:val="19"/>
        </w:rPr>
        <w:t xml:space="preserve">shares of Comcast Corporation Class A common stock and </w:t>
      </w:r>
      <w:r>
        <w:rPr>
          <w:rFonts w:ascii="Times New Roman;serif" w:hAnsi="Times New Roman;serif"/>
          <w:b w:val="false"/>
          <w:color w:val="000000"/>
          <w:sz w:val="20"/>
        </w:rPr>
        <w:t xml:space="preserve">9,444,375 </w:t>
      </w:r>
      <w:r>
        <w:rPr>
          <w:rFonts w:ascii="Times New Roman;serif" w:hAnsi="Times New Roman;serif"/>
          <w:b w:val="false"/>
          <w:color w:val="000000"/>
          <w:sz w:val="19"/>
        </w:rPr>
        <w:t>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both"/>
                        <w:rPr/>
                      </w:pPr>
                      <w:r>
                        <w:rPr/>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center"/>
        <w:rPr>
          <w:rFonts w:ascii="Helvetica;sans-serif" w:hAnsi="Helvetica;sans-serif"/>
          <w:b/>
          <w:color w:val="000000"/>
          <w:sz w:val="24"/>
        </w:rPr>
      </w:pPr>
      <w:r>
        <w:rPr>
          <w:rFonts w:ascii="Helvetica;sans-serif" w:hAnsi="Helvetica;sans-serif"/>
          <w:b/>
          <w:color w:val="000000"/>
          <w:sz w:val="24"/>
        </w:rPr>
        <w:t>TABLE OF CONTENTS</w:t>
      </w:r>
    </w:p>
    <w:tbl>
      <w:tblPr>
        <w:tblW w:w="10004" w:type="dxa"/>
        <w:jc w:val="left"/>
        <w:tblInd w:w="0" w:type="dxa"/>
        <w:tblLayout w:type="fixed"/>
        <w:tblCellMar>
          <w:top w:w="28" w:type="dxa"/>
          <w:left w:w="28" w:type="dxa"/>
          <w:bottom w:w="28" w:type="dxa"/>
          <w:right w:w="28" w:type="dxa"/>
        </w:tblCellMar>
      </w:tblPr>
      <w:tblGrid>
        <w:gridCol w:w="305"/>
        <w:gridCol w:w="268"/>
        <w:gridCol w:w="268"/>
        <w:gridCol w:w="2452"/>
        <w:gridCol w:w="2452"/>
        <w:gridCol w:w="2461"/>
        <w:gridCol w:w="522"/>
        <w:gridCol w:w="522"/>
        <w:gridCol w:w="754"/>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17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br/>
              <w:t>Number</w:t>
            </w:r>
          </w:p>
        </w:tc>
      </w:tr>
      <w:tr>
        <w:trPr/>
        <w:tc>
          <w:tcPr>
            <w:tcW w:w="10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7866c302f63f44c2a518e3b04d09d2ea_10">
              <w:r>
                <w:rPr>
                  <w:rStyle w:val="InternetLink"/>
                  <w:rFonts w:ascii="Times New Roman;serif" w:hAnsi="Times New Roman;serif"/>
                  <w:b/>
                  <w:color w:val="0000FF"/>
                  <w:sz w:val="20"/>
                  <w:u w:val="single"/>
                </w:rPr>
                <w:t>PART I. FINANCIAL INFORMATION</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0">
              <w:r>
                <w:rPr>
                  <w:rStyle w:val="InternetLink"/>
                  <w:rFonts w:ascii="Times New Roman;serif" w:hAnsi="Times New Roman;serif"/>
                  <w:b w:val="false"/>
                  <w:color w:val="0000FF"/>
                  <w:sz w:val="20"/>
                  <w:u w:val="single"/>
                </w:rPr>
                <w:t>Financial Statements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0">
              <w:r>
                <w:rPr>
                  <w:rStyle w:val="InternetLink"/>
                  <w:rFonts w:ascii="Times New Roman;serif" w:hAnsi="Times New Roman;serif"/>
                  <w:b w:val="false"/>
                  <w:strike w:val="false"/>
                  <w:dstrike w:val="false"/>
                  <w:color w:val="2C2C2C"/>
                  <w:sz w:val="20"/>
                  <w:u w:val="none"/>
                  <w:effect w:val="none"/>
                </w:rPr>
                <w:t>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3">
              <w:r>
                <w:rPr>
                  <w:rStyle w:val="InternetLink"/>
                  <w:rFonts w:ascii="Times New Roman;serif" w:hAnsi="Times New Roman;serif"/>
                  <w:b w:val="false"/>
                  <w:color w:val="0000FF"/>
                  <w:sz w:val="20"/>
                  <w:u w:val="single"/>
                </w:rPr>
                <w:t>Condensed Consolidated Statements of Income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3">
              <w:r>
                <w:rPr>
                  <w:rStyle w:val="InternetLink"/>
                  <w:rFonts w:ascii="Times New Roman;serif" w:hAnsi="Times New Roman;serif"/>
                  <w:b w:val="false"/>
                  <w:strike w:val="false"/>
                  <w:dstrike w:val="false"/>
                  <w:color w:val="2C2C2C"/>
                  <w:sz w:val="20"/>
                  <w:u w:val="none"/>
                  <w:effect w:val="none"/>
                </w:rPr>
                <w:t>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6">
              <w:r>
                <w:rPr>
                  <w:rStyle w:val="InternetLink"/>
                  <w:rFonts w:ascii="Times New Roman;serif" w:hAnsi="Times New Roman;serif"/>
                  <w:b w:val="false"/>
                  <w:color w:val="0000FF"/>
                  <w:sz w:val="20"/>
                  <w:u w:val="single"/>
                </w:rPr>
                <w:t>Condensed Consolidated Statements of Comprehensive Income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6">
              <w:r>
                <w:rPr>
                  <w:rStyle w:val="InternetLink"/>
                  <w:rFonts w:ascii="Times New Roman;serif" w:hAnsi="Times New Roman;serif"/>
                  <w:b w:val="false"/>
                  <w:strike w:val="false"/>
                  <w:dstrike w:val="false"/>
                  <w:color w:val="2C2C2C"/>
                  <w:sz w:val="20"/>
                  <w:u w:val="none"/>
                  <w:effect w:val="non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9">
              <w:r>
                <w:rPr>
                  <w:rStyle w:val="InternetLink"/>
                  <w:rFonts w:ascii="Times New Roman;serif" w:hAnsi="Times New Roman;serif"/>
                  <w:b w:val="false"/>
                  <w:color w:val="0000FF"/>
                  <w:sz w:val="20"/>
                  <w:u w:val="single"/>
                </w:rPr>
                <w:t>Condensed Consolidated Statements of Cash Flows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9">
              <w:r>
                <w:rPr>
                  <w:rStyle w:val="InternetLink"/>
                  <w:rFonts w:ascii="Times New Roman;serif" w:hAnsi="Times New Roman;serif"/>
                  <w:b w:val="false"/>
                  <w:strike w:val="false"/>
                  <w:dstrike w:val="false"/>
                  <w:color w:val="2C2C2C"/>
                  <w:sz w:val="20"/>
                  <w:u w:val="none"/>
                  <w:effect w:val="non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22">
              <w:r>
                <w:rPr>
                  <w:rStyle w:val="InternetLink"/>
                  <w:rFonts w:ascii="Times New Roman;serif" w:hAnsi="Times New Roman;serif"/>
                  <w:b w:val="false"/>
                  <w:color w:val="0000FF"/>
                  <w:sz w:val="20"/>
                  <w:u w:val="single"/>
                </w:rPr>
                <w:t xml:space="preserve">Condensed Consolidated Balance Sheets (Unaudited) </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22">
              <w:r>
                <w:rPr>
                  <w:rStyle w:val="InternetLink"/>
                  <w:rFonts w:ascii="Times New Roman;serif" w:hAnsi="Times New Roman;serif"/>
                  <w:b w:val="false"/>
                  <w:strike w:val="false"/>
                  <w:dstrike w:val="false"/>
                  <w:color w:val="2C2C2C"/>
                  <w:sz w:val="20"/>
                  <w:u w:val="none"/>
                  <w:effect w:val="non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25">
              <w:r>
                <w:rPr>
                  <w:rStyle w:val="InternetLink"/>
                  <w:rFonts w:ascii="Times New Roman;serif" w:hAnsi="Times New Roman;serif"/>
                  <w:b w:val="false"/>
                  <w:color w:val="0000FF"/>
                  <w:sz w:val="20"/>
                  <w:u w:val="single"/>
                </w:rPr>
                <w:t>Condensed Consolidated Statements of Changes in Equity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25">
              <w:r>
                <w:rPr>
                  <w:rStyle w:val="InternetLink"/>
                  <w:rFonts w:ascii="Times New Roman;serif" w:hAnsi="Times New Roman;serif"/>
                  <w:b w:val="false"/>
                  <w:strike w:val="false"/>
                  <w:dstrike w:val="false"/>
                  <w:color w:val="2C2C2C"/>
                  <w:sz w:val="20"/>
                  <w:u w:val="none"/>
                  <w:effect w:val="non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28">
              <w:r>
                <w:rPr>
                  <w:rStyle w:val="InternetLink"/>
                  <w:rFonts w:ascii="Times New Roman;serif" w:hAnsi="Times New Roman;serif"/>
                  <w:b w:val="false"/>
                  <w:color w:val="0000FF"/>
                  <w:sz w:val="20"/>
                  <w:u w:val="single"/>
                </w:rPr>
                <w:t>Notes to Condensed Consolidated Financial Statements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28">
              <w:r>
                <w:rPr>
                  <w:rStyle w:val="InternetLink"/>
                  <w:rFonts w:ascii="Times New Roman;serif" w:hAnsi="Times New Roman;serif"/>
                  <w:b w:val="false"/>
                  <w:strike w:val="false"/>
                  <w:dstrike w:val="false"/>
                  <w:color w:val="2C2C2C"/>
                  <w:sz w:val="20"/>
                  <w:u w:val="none"/>
                  <w:effect w:val="non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31">
              <w:r>
                <w:rPr>
                  <w:rStyle w:val="InternetLink"/>
                  <w:rFonts w:ascii="Times New Roman;serif" w:hAnsi="Times New Roman;serif"/>
                  <w:b w:val="false"/>
                  <w:color w:val="0000FF"/>
                  <w:sz w:val="20"/>
                  <w:u w:val="single"/>
                </w:rPr>
                <w:t>Note 1: Condensed Consolidated Financial Statements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31">
              <w:r>
                <w:rPr>
                  <w:rStyle w:val="InternetLink"/>
                  <w:rFonts w:ascii="Times New Roman;serif" w:hAnsi="Times New Roman;serif"/>
                  <w:b w:val="false"/>
                  <w:strike w:val="false"/>
                  <w:dstrike w:val="false"/>
                  <w:color w:val="2C2C2C"/>
                  <w:sz w:val="20"/>
                  <w:u w:val="none"/>
                  <w:effect w:val="non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34">
              <w:r>
                <w:rPr>
                  <w:rStyle w:val="InternetLink"/>
                  <w:rFonts w:ascii="Times New Roman;serif" w:hAnsi="Times New Roman;serif"/>
                  <w:b w:val="false"/>
                  <w:color w:val="0000FF"/>
                  <w:sz w:val="20"/>
                  <w:u w:val="single"/>
                </w:rPr>
                <w:t>Note 2: Segment Information</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34">
              <w:r>
                <w:rPr>
                  <w:rStyle w:val="InternetLink"/>
                  <w:rFonts w:ascii="Times New Roman;serif" w:hAnsi="Times New Roman;serif"/>
                  <w:b w:val="false"/>
                  <w:strike w:val="false"/>
                  <w:dstrike w:val="false"/>
                  <w:color w:val="2C2C2C"/>
                  <w:sz w:val="20"/>
                  <w:u w:val="none"/>
                  <w:effect w:val="none"/>
                </w:rPr>
                <w:t>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37">
              <w:r>
                <w:rPr>
                  <w:rStyle w:val="InternetLink"/>
                  <w:rFonts w:ascii="Times New Roman;serif" w:hAnsi="Times New Roman;serif"/>
                  <w:b w:val="false"/>
                  <w:color w:val="0000FF"/>
                  <w:sz w:val="20"/>
                  <w:u w:val="single"/>
                </w:rPr>
                <w:t>Note 3: Revenue</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37">
              <w:r>
                <w:rPr>
                  <w:rStyle w:val="InternetLink"/>
                  <w:rFonts w:ascii="Times New Roman;serif" w:hAnsi="Times New Roman;serif"/>
                  <w:b w:val="false"/>
                  <w:strike w:val="false"/>
                  <w:dstrike w:val="false"/>
                  <w:color w:val="2C2C2C"/>
                  <w:sz w:val="20"/>
                  <w:u w:val="none"/>
                  <w:effect w:val="none"/>
                </w:rPr>
                <w:t>11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40">
              <w:r>
                <w:rPr>
                  <w:rStyle w:val="InternetLink"/>
                  <w:rFonts w:ascii="Times New Roman;serif" w:hAnsi="Times New Roman;serif"/>
                  <w:b w:val="false"/>
                  <w:color w:val="0000FF"/>
                  <w:sz w:val="20"/>
                  <w:u w:val="single"/>
                </w:rPr>
                <w:t>Note 4: Programming and Production Costs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40">
              <w:r>
                <w:rPr>
                  <w:rStyle w:val="InternetLink"/>
                  <w:rFonts w:ascii="Times New Roman;serif" w:hAnsi="Times New Roman;serif"/>
                  <w:b w:val="false"/>
                  <w:strike w:val="false"/>
                  <w:dstrike w:val="false"/>
                  <w:color w:val="2C2C2C"/>
                  <w:sz w:val="20"/>
                  <w:u w:val="none"/>
                  <w:effect w:val="none"/>
                </w:rPr>
                <w:t>12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43">
              <w:r>
                <w:rPr>
                  <w:rStyle w:val="InternetLink"/>
                  <w:rFonts w:ascii="Times New Roman;serif" w:hAnsi="Times New Roman;serif"/>
                  <w:b w:val="false"/>
                  <w:color w:val="0000FF"/>
                  <w:sz w:val="20"/>
                  <w:u w:val="single"/>
                </w:rPr>
                <w:t>Note 5: Debt</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43">
              <w:r>
                <w:rPr>
                  <w:rStyle w:val="InternetLink"/>
                  <w:rFonts w:ascii="Times New Roman;serif" w:hAnsi="Times New Roman;serif"/>
                  <w:b w:val="false"/>
                  <w:strike w:val="false"/>
                  <w:dstrike w:val="false"/>
                  <w:color w:val="2C2C2C"/>
                  <w:sz w:val="20"/>
                  <w:u w:val="none"/>
                  <w:effect w:val="none"/>
                </w:rPr>
                <w:t>12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46">
              <w:r>
                <w:rPr>
                  <w:rStyle w:val="InternetLink"/>
                  <w:rFonts w:ascii="Times New Roman;serif" w:hAnsi="Times New Roman;serif"/>
                  <w:b w:val="false"/>
                  <w:color w:val="0000FF"/>
                  <w:sz w:val="20"/>
                  <w:u w:val="single"/>
                </w:rPr>
                <w:t>Note 6: Significant Transactions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46">
              <w:r>
                <w:rPr>
                  <w:rStyle w:val="InternetLink"/>
                  <w:rFonts w:ascii="Times New Roman;serif" w:hAnsi="Times New Roman;serif"/>
                  <w:b w:val="false"/>
                  <w:strike w:val="false"/>
                  <w:dstrike w:val="false"/>
                  <w:color w:val="2C2C2C"/>
                  <w:sz w:val="20"/>
                  <w:u w:val="none"/>
                  <w:effect w:val="none"/>
                </w:rPr>
                <w:t>12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52">
              <w:r>
                <w:rPr>
                  <w:rStyle w:val="InternetLink"/>
                  <w:rFonts w:ascii="Times New Roman;serif" w:hAnsi="Times New Roman;serif"/>
                  <w:b w:val="false"/>
                  <w:color w:val="0000FF"/>
                  <w:sz w:val="20"/>
                  <w:u w:val="single"/>
                </w:rPr>
                <w:t>Note 7: Investments and Variable Interest Entities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52">
              <w:r>
                <w:rPr>
                  <w:rStyle w:val="InternetLink"/>
                  <w:rFonts w:ascii="Times New Roman;serif" w:hAnsi="Times New Roman;serif"/>
                  <w:b w:val="false"/>
                  <w:strike w:val="false"/>
                  <w:dstrike w:val="false"/>
                  <w:color w:val="2C2C2C"/>
                  <w:sz w:val="20"/>
                  <w:u w:val="none"/>
                  <w:effect w:val="none"/>
                </w:rPr>
                <w:t>13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58">
              <w:r>
                <w:rPr>
                  <w:rStyle w:val="InternetLink"/>
                  <w:rFonts w:ascii="Times New Roman;serif" w:hAnsi="Times New Roman;serif"/>
                  <w:b w:val="false"/>
                  <w:color w:val="0000FF"/>
                  <w:sz w:val="20"/>
                  <w:u w:val="single"/>
                </w:rPr>
                <w:t>Note 8: Goodwill and Intangible Assets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58">
              <w:r>
                <w:rPr>
                  <w:rStyle w:val="InternetLink"/>
                  <w:rFonts w:ascii="Times New Roman;serif" w:hAnsi="Times New Roman;serif"/>
                  <w:b w:val="false"/>
                  <w:strike w:val="false"/>
                  <w:dstrike w:val="false"/>
                  <w:color w:val="2C2C2C"/>
                  <w:sz w:val="20"/>
                  <w:u w:val="none"/>
                  <w:effect w:val="none"/>
                </w:rPr>
                <w:t>14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61">
              <w:r>
                <w:rPr>
                  <w:rStyle w:val="InternetLink"/>
                  <w:rFonts w:ascii="Times New Roman;serif" w:hAnsi="Times New Roman;serif"/>
                  <w:b w:val="false"/>
                  <w:color w:val="0000FF"/>
                  <w:sz w:val="20"/>
                  <w:u w:val="single"/>
                </w:rPr>
                <w:t>Note 9: Equity and Share-Based Compensation</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61">
              <w:r>
                <w:rPr>
                  <w:rStyle w:val="InternetLink"/>
                  <w:rFonts w:ascii="Times New Roman;serif" w:hAnsi="Times New Roman;serif"/>
                  <w:b w:val="false"/>
                  <w:strike w:val="false"/>
                  <w:dstrike w:val="false"/>
                  <w:color w:val="2C2C2C"/>
                  <w:sz w:val="20"/>
                  <w:u w:val="none"/>
                  <w:effect w:val="none"/>
                </w:rPr>
                <w:t>15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64">
              <w:r>
                <w:rPr>
                  <w:rStyle w:val="InternetLink"/>
                  <w:rFonts w:ascii="Times New Roman;serif" w:hAnsi="Times New Roman;serif"/>
                  <w:b w:val="false"/>
                  <w:color w:val="0000FF"/>
                  <w:sz w:val="20"/>
                  <w:u w:val="single"/>
                </w:rPr>
                <w:t>Note 10: Supplemental Financial Information</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64">
              <w:r>
                <w:rPr>
                  <w:rStyle w:val="InternetLink"/>
                  <w:rFonts w:ascii="Times New Roman;serif" w:hAnsi="Times New Roman;serif"/>
                  <w:b w:val="false"/>
                  <w:strike w:val="false"/>
                  <w:dstrike w:val="false"/>
                  <w:color w:val="2C2C2C"/>
                  <w:sz w:val="20"/>
                  <w:u w:val="none"/>
                  <w:effect w:val="none"/>
                </w:rPr>
                <w:t>1</w:t>
              </w:r>
            </w:hyperlink>
            <w:r>
              <w:rPr>
                <w:rFonts w:ascii="Times New Roman;serif" w:hAnsi="Times New Roman;serif"/>
                <w:b w:val="false"/>
                <w:color w:val="2C2C2C"/>
                <w:sz w:val="20"/>
              </w:rPr>
              <w:t>5</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67">
              <w:r>
                <w:rPr>
                  <w:rStyle w:val="InternetLink"/>
                  <w:rFonts w:ascii="Times New Roman;serif" w:hAnsi="Times New Roman;serif"/>
                  <w:b w:val="false"/>
                  <w:color w:val="0000FF"/>
                  <w:sz w:val="20"/>
                  <w:u w:val="single"/>
                </w:rPr>
                <w:t>Note 11: Commitments and Contingencies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67">
              <w:r>
                <w:rPr>
                  <w:rStyle w:val="InternetLink"/>
                  <w:rFonts w:ascii="Times New Roman;serif" w:hAnsi="Times New Roman;serif"/>
                  <w:b w:val="false"/>
                  <w:strike w:val="false"/>
                  <w:dstrike w:val="false"/>
                  <w:color w:val="2C2C2C"/>
                  <w:sz w:val="20"/>
                  <w:u w:val="none"/>
                  <w:effect w:val="none"/>
                </w:rPr>
                <w:t>16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70">
              <w:r>
                <w:rPr>
                  <w:rStyle w:val="InternetLink"/>
                  <w:rFonts w:ascii="Times New Roman;serif" w:hAnsi="Times New Roman;serif"/>
                  <w:b w:val="false"/>
                  <w:strike w:val="false"/>
                  <w:dstrike w:val="false"/>
                  <w:color w:val="000000"/>
                  <w:sz w:val="20"/>
                  <w:u w:val="none"/>
                  <w:effect w:val="none"/>
                </w:rPr>
                <w:t>17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27">
              <w:r>
                <w:rPr>
                  <w:rStyle w:val="InternetLink"/>
                  <w:rFonts w:ascii="Times New Roman;serif" w:hAnsi="Times New Roman;serif"/>
                  <w:b w:val="false"/>
                  <w:color w:val="0000FF"/>
                  <w:sz w:val="20"/>
                  <w:u w:val="single"/>
                </w:rPr>
                <w:t>Quantitative and Qualitative Disclosures About Market Risk</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27">
              <w:r>
                <w:rPr>
                  <w:rStyle w:val="InternetLink"/>
                  <w:rFonts w:ascii="Times New Roman;serif" w:hAnsi="Times New Roman;serif"/>
                  <w:b w:val="false"/>
                  <w:strike w:val="false"/>
                  <w:dstrike w:val="false"/>
                  <w:color w:val="000000"/>
                  <w:sz w:val="20"/>
                  <w:u w:val="none"/>
                  <w:effect w:val="none"/>
                </w:rPr>
                <w:t>36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30">
              <w:r>
                <w:rPr>
                  <w:rStyle w:val="InternetLink"/>
                  <w:rFonts w:ascii="Times New Roman;serif" w:hAnsi="Times New Roman;serif"/>
                  <w:b w:val="false"/>
                  <w:color w:val="0000FF"/>
                  <w:sz w:val="20"/>
                  <w:u w:val="single"/>
                </w:rPr>
                <w:t>Controls and Procedures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30">
              <w:r>
                <w:rPr>
                  <w:rStyle w:val="InternetLink"/>
                  <w:rFonts w:ascii="Times New Roman;serif" w:hAnsi="Times New Roman;serif"/>
                  <w:b w:val="false"/>
                  <w:strike w:val="false"/>
                  <w:dstrike w:val="false"/>
                  <w:color w:val="000000"/>
                  <w:sz w:val="20"/>
                  <w:u w:val="none"/>
                  <w:effect w:val="none"/>
                </w:rPr>
                <w:t>36</w:t>
              </w:r>
            </w:hyperlink>
          </w:p>
        </w:tc>
      </w:tr>
      <w:tr>
        <w:trPr/>
        <w:tc>
          <w:tcPr>
            <w:tcW w:w="100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33">
              <w:r>
                <w:rPr>
                  <w:rStyle w:val="InternetLink"/>
                  <w:rFonts w:ascii="Times New Roman;serif" w:hAnsi="Times New Roman;serif"/>
                  <w:b/>
                  <w:color w:val="0000FF"/>
                  <w:sz w:val="20"/>
                  <w:u w:val="single"/>
                </w:rPr>
                <w:t>PART II. OTHER INFORMATION</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36">
              <w:r>
                <w:rPr>
                  <w:rStyle w:val="InternetLink"/>
                  <w:rFonts w:ascii="Times New Roman;serif" w:hAnsi="Times New Roman;serif"/>
                  <w:b w:val="false"/>
                  <w:color w:val="0000FF"/>
                  <w:sz w:val="20"/>
                  <w:u w:val="single"/>
                </w:rPr>
                <w:t>Legal Proceedings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36">
              <w:r>
                <w:rPr>
                  <w:rStyle w:val="InternetLink"/>
                  <w:rFonts w:ascii="Times New Roman;serif" w:hAnsi="Times New Roman;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39">
              <w:r>
                <w:rPr>
                  <w:rStyle w:val="InternetLink"/>
                  <w:rFonts w:ascii="Times New Roman;serif" w:hAnsi="Times New Roman;serif"/>
                  <w:b w:val="false"/>
                  <w:color w:val="0000FF"/>
                  <w:sz w:val="20"/>
                  <w:u w:val="single"/>
                </w:rPr>
                <w:t>Risk Factors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39">
              <w:r>
                <w:rPr>
                  <w:rStyle w:val="InternetLink"/>
                  <w:rFonts w:ascii="Times New Roman;serif" w:hAnsi="Times New Roman;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42">
              <w:r>
                <w:rPr>
                  <w:rStyle w:val="InternetLink"/>
                  <w:rFonts w:ascii="Times New Roman;serif" w:hAnsi="Times New Roman;serif"/>
                  <w:b w:val="false"/>
                  <w:color w:val="0000FF"/>
                  <w:sz w:val="20"/>
                  <w:u w:val="single"/>
                </w:rPr>
                <w:t>Unregistered Sales of Equity Securities and Use of Proceeds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42">
              <w:r>
                <w:rPr>
                  <w:rStyle w:val="InternetLink"/>
                  <w:rFonts w:ascii="Times New Roman;serif" w:hAnsi="Times New Roman;serif"/>
                  <w:b w:val="false"/>
                  <w:strike w:val="false"/>
                  <w:dstrike w:val="false"/>
                  <w:color w:val="000000"/>
                  <w:sz w:val="20"/>
                  <w:u w:val="none"/>
                  <w:effect w:val="none"/>
                </w:rPr>
                <w:t>37</w:t>
              </w:r>
            </w:hyperlink>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866c302f63f44c2a518e3b04d09d2ea_148">
              <w:r>
                <w:rPr>
                  <w:rStyle w:val="InternetLink"/>
                  <w:rFonts w:ascii="Times New Roman;serif" w:hAnsi="Times New Roman;serif"/>
                  <w:b w:val="false"/>
                  <w:color w:val="0000FF"/>
                  <w:sz w:val="20"/>
                  <w:u w:val="single"/>
                </w:rPr>
                <w:t>Exhibits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66c302f63f44c2a518e3b04d09d2ea_148">
              <w:r>
                <w:rPr>
                  <w:rStyle w:val="InternetLink"/>
                  <w:rFonts w:ascii="Times New Roman;serif" w:hAnsi="Times New Roman;serif"/>
                  <w:b w:val="false"/>
                  <w:strike w:val="false"/>
                  <w:dstrike w:val="false"/>
                  <w:color w:val="000000"/>
                  <w:sz w:val="20"/>
                  <w:u w:val="none"/>
                  <w:effect w:val="none"/>
                </w:rPr>
                <w:t>37</w:t>
              </w:r>
            </w:hyperlink>
          </w:p>
        </w:tc>
      </w:tr>
      <w:tr>
        <w:trPr/>
        <w:tc>
          <w:tcPr>
            <w:tcW w:w="82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7866c302f63f44c2a518e3b04d09d2ea_151">
              <w:r>
                <w:rPr>
                  <w:rStyle w:val="InternetLink"/>
                  <w:rFonts w:ascii="Times New Roman;serif" w:hAnsi="Times New Roman;serif"/>
                  <w:b/>
                  <w:color w:val="0000FF"/>
                  <w:sz w:val="20"/>
                  <w:u w:val="single"/>
                </w:rPr>
                <w:t>SIGNATURES</w:t>
              </w:r>
            </w:hyperlink>
          </w:p>
        </w:tc>
        <w:tc>
          <w:tcPr>
            <w:tcW w:w="17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hyperlink w:anchor="i7866c302f63f44c2a518e3b04d09d2ea_151">
              <w:r>
                <w:rPr>
                  <w:rStyle w:val="InternetLink"/>
                  <w:rFonts w:ascii="Times New Roman;serif" w:hAnsi="Times New Roman;serif"/>
                  <w:b w:val="false"/>
                  <w:strike w:val="false"/>
                  <w:dstrike w:val="false"/>
                  <w:color w:val="000000"/>
                  <w:sz w:val="20"/>
                  <w:u w:val="none"/>
                  <w:effect w:val="none"/>
                </w:rPr>
                <w:t>38</w:t>
              </w:r>
            </w:hyperlink>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40"/>
        <w:jc w:val="center"/>
        <w:rPr>
          <w:color w:val="000000"/>
        </w:rPr>
      </w:pPr>
      <w:r>
        <w:rPr>
          <w:color w:val="000000"/>
        </w:rPr>
        <w:t> </w:t>
      </w:r>
    </w:p>
    <w:p>
      <w:pPr>
        <w:pStyle w:val="TextBody"/>
        <w:bidi w:val="0"/>
        <w:spacing w:lineRule="auto" w:line="288" w:before="120" w:after="120"/>
        <w:jc w:val="center"/>
        <w:rPr>
          <w:rFonts w:ascii="Helvetica;sans-serif" w:hAnsi="Helvetica;sans-serif"/>
          <w:b/>
          <w:color w:val="000000"/>
          <w:sz w:val="20"/>
        </w:rPr>
      </w:pPr>
      <w:r>
        <w:rPr>
          <w:rFonts w:ascii="Helvetica;sans-serif" w:hAnsi="Helvetica;sans-serif"/>
          <w:b/>
          <w:color w:val="000000"/>
          <w:sz w:val="20"/>
        </w:rPr>
        <w:t>Explanatory Note</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is for the three and six months ended June 30, 2026.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Numerical information in this report is presented on a rounded basis using actual amounts. Minor differences in totals and percentage calculations may exist due to rounding.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both"/>
                        <w:rPr/>
                      </w:pPr>
                      <w:r>
                        <w:rPr/>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80" w:after="120"/>
        <w:jc w:val="center"/>
        <w:rPr>
          <w:rFonts w:ascii="Times New Roman;serif" w:hAnsi="Times New Roman;serif"/>
          <w:b/>
          <w:color w:val="000000"/>
          <w:sz w:val="20"/>
        </w:rPr>
      </w:pPr>
      <w:r>
        <w:rPr>
          <w:rFonts w:ascii="Times New Roman;serif" w:hAnsi="Times New Roman;serif"/>
          <w:b/>
          <w:color w:val="000000"/>
          <w:sz w:val="20"/>
        </w:rPr>
        <w:t>CAUTION CONCERNING FORWARD-LOOKING STATEMENTS</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“would,” “will,” “continue,” “will likely result” and similar expressions. In evaluating these statements, you should consider various factors, including the risks and uncertainties we describe in the “Risk Factors” sections of our Forms 10-K and 10-Q and in other reports we file with the SEC.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pStyle w:val="TextBody"/>
        <w:bidi w:val="0"/>
        <w:spacing w:lineRule="auto" w:line="288" w:before="80" w:after="60"/>
        <w:jc w:val="both"/>
        <w:rPr>
          <w:rFonts w:ascii="Times New Roman;serif" w:hAnsi="Times New Roman;serif"/>
          <w:b w:val="false"/>
          <w:color w:val="000000"/>
          <w:sz w:val="20"/>
        </w:rPr>
      </w:pPr>
      <w:r>
        <w:rPr>
          <w:rFonts w:ascii="Times New Roman;serif" w:hAnsi="Times New Roman;serif"/>
          <w:b w:val="false"/>
          <w:color w:val="000000"/>
          <w:sz w:val="20"/>
        </w:rPr>
        <w:t>Our businesses may be affected by, among other things,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businesses operate in highly competitive and dynamic industries, and our businesses and results of operations could be adversely affected if we do not compete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consumer behavior continue to adversely affect our businesses and challenge existing business models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decline in advertisers’ expenditures or changes in advertising markets could negatively impact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depends on consumer acceptance of our content, and our businesses may be adversely affected if our content fails to achieve sufficient consumer acceptance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programming expenses for our video services are increasing on a per subscriber basis, which could adversely affect our video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programming distribution agreements, or the renewal of these agreements on less favorable terms, could adversely affect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businesses depend on using and protecting certain intellectual property rights and on not infringing, misappropriating or otherwise violating the intellectual property rights of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obtain necessary hardware, software and operational support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businesses depend on keeping pace with technological developments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 attack, information or security breach, or technology disruption or failure may negatively impact our ability to conduct our business or result in the misuse of confidential information, all of which could adversely affect our business, reputation or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weak economic conditions may have a negative impact on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acquisitions and other strategic initiatives present many risks, and we may not realize the financial and strategic goals that we had contemplated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face risks relating to doing business internationally that could adversely affect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natural disasters, severe weather and other uncontrollable events could adversely affect our business, reputation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key management personnel or popular on-air and creative talent could have an adverse effect on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labor disputes, whether involving employees or sports organizations, may disrupt our operations and adversely affect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Versant Separation does not qualify as non-taxable, we and/or holders of our common stock could be subject to significant tax liability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regulation by federal, state, local and foreign authorities, which impose additional costs and restrictions on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unfavorable litigation or governmental investigation results could require us to pay significant amounts or lead to onerous operating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Class B common stock has substantial voting rights and separate approval rights over several potentially material transactions, and our Chairman and Co-CEO has considerable influence over our company through his beneficial ownership of our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both"/>
                        <w:rPr/>
                      </w:pPr>
                      <w:r>
                        <w:rPr/>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are risks related to our intention to separate into two independent publicly traded companies through a tax-free spin-off of NBCUniversal and Sky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both"/>
                        <w:rPr/>
                      </w:pPr>
                      <w:r>
                        <w:rPr/>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center"/>
        <w:rPr>
          <w:rFonts w:ascii="Helvetica;sans-serif" w:hAnsi="Helvetica;sans-serif"/>
          <w:b/>
          <w:color w:val="000000"/>
          <w:sz w:val="24"/>
        </w:rPr>
      </w:pPr>
      <w:r>
        <w:rPr>
          <w:rFonts w:ascii="Helvetica;sans-serif" w:hAnsi="Helvetica;sans-serif"/>
          <w:b/>
          <w:color w:val="000000"/>
          <w:sz w:val="24"/>
        </w:rPr>
        <w:t>PART I: FINANCIAL INFORMATION</w:t>
      </w: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1: FINANCIAL STATEMENTS</w:t>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Income</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66"/>
        <w:gridCol w:w="1502"/>
        <w:gridCol w:w="1515"/>
        <w:gridCol w:w="211"/>
        <w:gridCol w:w="721"/>
        <w:gridCol w:w="109"/>
        <w:gridCol w:w="109"/>
        <w:gridCol w:w="109"/>
        <w:gridCol w:w="109"/>
        <w:gridCol w:w="211"/>
        <w:gridCol w:w="736"/>
        <w:gridCol w:w="109"/>
        <w:gridCol w:w="109"/>
        <w:gridCol w:w="109"/>
        <w:gridCol w:w="109"/>
        <w:gridCol w:w="211"/>
        <w:gridCol w:w="721"/>
        <w:gridCol w:w="109"/>
        <w:gridCol w:w="109"/>
        <w:gridCol w:w="109"/>
        <w:gridCol w:w="109"/>
        <w:gridCol w:w="211"/>
        <w:gridCol w:w="736"/>
        <w:gridCol w:w="156"/>
      </w:tblGrid>
      <w:tr>
        <w:trPr/>
        <w:tc>
          <w:tcPr>
            <w:tcW w:w="196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4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Comcast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Basic earnings per common share attributable to Comcast Corporation shareholders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Diluted earnings per common share attributable to Comcast Corporation shareholders</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0.99</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5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Income</w:t>
      </w:r>
    </w:p>
    <w:p>
      <w:pPr>
        <w:pStyle w:val="TextBody"/>
        <w:bidi w:val="0"/>
        <w:spacing w:lineRule="auto" w:line="288" w:before="0" w:after="0"/>
        <w:jc w:val="center"/>
        <w:rPr/>
      </w:pPr>
      <w:r>
        <w:rPr>
          <w:rFonts w:ascii="Helvetica;sans-serif" w:hAnsi="Helvetica;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016"/>
        <w:gridCol w:w="1591"/>
        <w:gridCol w:w="1557"/>
        <w:gridCol w:w="211"/>
        <w:gridCol w:w="631"/>
        <w:gridCol w:w="109"/>
        <w:gridCol w:w="109"/>
        <w:gridCol w:w="109"/>
        <w:gridCol w:w="109"/>
        <w:gridCol w:w="211"/>
        <w:gridCol w:w="736"/>
        <w:gridCol w:w="109"/>
        <w:gridCol w:w="109"/>
        <w:gridCol w:w="109"/>
        <w:gridCol w:w="109"/>
        <w:gridCol w:w="211"/>
        <w:gridCol w:w="631"/>
        <w:gridCol w:w="109"/>
        <w:gridCol w:w="109"/>
        <w:gridCol w:w="109"/>
        <w:gridCol w:w="109"/>
        <w:gridCol w:w="211"/>
        <w:gridCol w:w="736"/>
        <w:gridCol w:w="155"/>
      </w:tblGrid>
      <w:tr>
        <w:trPr/>
        <w:tc>
          <w:tcPr>
            <w:tcW w:w="201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(expense) benefit:</w:t>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net of deferred taxes of $(15), $124, $(46), and $198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gains (losses), net of deferred taxes of $(3), $(15), $(5), and $(15)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(gains) losses reclassified to net income, net of deferred taxes of $(3), $13, $(5), and $19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Employee benefit obligations and other, net of deferred taxes of $(5), $2, $—, and $20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6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Comcast Corporation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17,067</w:t>
            </w:r>
            <w:r>
              <w:rPr>
                <w:color w:val="000000"/>
              </w:rPr>
              <w:t>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0"/>
        <w:jc w:val="center"/>
        <w:rPr/>
      </w:pPr>
      <w:r>
        <w:rPr>
          <w:rFonts w:ascii="Helvetica;sans-serif" w:hAnsi="Helvetica;sans-serif"/>
          <w:b/>
          <w:color w:val="000000"/>
          <w:sz w:val="20"/>
        </w:rPr>
        <w:t>(Unaudited)</w:t>
      </w:r>
      <w:r>
        <w:rPr>
          <w:color w:val="000000"/>
        </w:rPr>
        <w:t> </w:t>
      </w:r>
    </w:p>
    <w:tbl>
      <w:tblPr>
        <w:tblW w:w="9668" w:type="dxa"/>
        <w:jc w:val="left"/>
        <w:tblInd w:w="0" w:type="dxa"/>
        <w:tblLayout w:type="fixed"/>
        <w:tblCellMar>
          <w:top w:w="28" w:type="dxa"/>
          <w:left w:w="28" w:type="dxa"/>
          <w:bottom w:w="28" w:type="dxa"/>
          <w:right w:w="28" w:type="dxa"/>
        </w:tblCellMar>
      </w:tblPr>
      <w:tblGrid>
        <w:gridCol w:w="2645"/>
        <w:gridCol w:w="2322"/>
        <w:gridCol w:w="2337"/>
        <w:gridCol w:w="211"/>
        <w:gridCol w:w="631"/>
        <w:gridCol w:w="109"/>
        <w:gridCol w:w="109"/>
        <w:gridCol w:w="109"/>
        <w:gridCol w:w="109"/>
        <w:gridCol w:w="211"/>
        <w:gridCol w:w="721"/>
        <w:gridCol w:w="154"/>
      </w:tblGrid>
      <w:tr>
        <w:trPr/>
        <w:tc>
          <w:tcPr>
            <w:tcW w:w="2645"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Activities </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investment activity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 and divestitures: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receivables,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Film and television costs,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to trade creditors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of Universal Beijing Resort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businesses and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and repayments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to Versant,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on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Condensed Consolidated Balance Sheets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27"/>
        <w:gridCol w:w="2280"/>
        <w:gridCol w:w="2303"/>
        <w:gridCol w:w="211"/>
        <w:gridCol w:w="841"/>
        <w:gridCol w:w="109"/>
        <w:gridCol w:w="109"/>
        <w:gridCol w:w="109"/>
        <w:gridCol w:w="109"/>
        <w:gridCol w:w="211"/>
        <w:gridCol w:w="841"/>
        <w:gridCol w:w="155"/>
      </w:tblGrid>
      <w:tr>
        <w:trPr/>
        <w:tc>
          <w:tcPr>
            <w:tcW w:w="2927"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share data)</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Film and television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$62,017 and $60,754</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rights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 of $31,818 and $39,362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257,548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272,631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to trade creditors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portion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stock—authorized, 20,000,000 shares; issued, zero</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value—authorized, 7,500,000,000 shares: issued, 4,455,985,852 and 4,513,794,607; outstanding, 3,536,959,497 and 3,594,768,252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value—authorized, 75,000,000 shares; issued and outstanding, 9,444,375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919,026,355 Class A common shares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Comcast Corporation shareholders’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257,548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272,631</w:t>
            </w:r>
            <w:r>
              <w:rPr>
                <w:color w:val="000000"/>
              </w:rPr>
              <w:t>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Changes in Equity</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97"/>
        <w:gridCol w:w="1751"/>
        <w:gridCol w:w="1760"/>
        <w:gridCol w:w="211"/>
        <w:gridCol w:w="736"/>
        <w:gridCol w:w="109"/>
        <w:gridCol w:w="211"/>
        <w:gridCol w:w="736"/>
        <w:gridCol w:w="109"/>
        <w:gridCol w:w="109"/>
        <w:gridCol w:w="109"/>
        <w:gridCol w:w="109"/>
        <w:gridCol w:w="211"/>
        <w:gridCol w:w="736"/>
        <w:gridCol w:w="109"/>
        <w:gridCol w:w="211"/>
        <w:gridCol w:w="736"/>
        <w:gridCol w:w="155"/>
      </w:tblGrid>
      <w:tr>
        <w:trPr/>
        <w:tc>
          <w:tcPr>
            <w:tcW w:w="2097"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5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Redeemable Noncontrolling Interests </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Contributions from (distributions to) noncontrolling interests,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Common Stock</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Class B Common Stock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beginning and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stock under employee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37,797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Separation (see Note 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w:t>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66,000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 at Cost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and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Noncontrolling Interests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(distributions to) noncontrolling interests,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Separation (see Note 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97,228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97,228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declared per common share</w:t>
            </w:r>
          </w:p>
        </w:tc>
        <w:tc>
          <w:tcPr>
            <w:tcW w:w="211"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0.33</w:t>
            </w:r>
            <w:r>
              <w:rPr>
                <w:color w:val="000000"/>
              </w:rPr>
              <w:t> </w:t>
            </w:r>
          </w:p>
        </w:tc>
        <w:tc>
          <w:tcPr>
            <w:tcW w:w="109"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0.33</w:t>
            </w:r>
            <w:r>
              <w:rPr>
                <w:color w:val="000000"/>
              </w:rPr>
              <w:t> </w:t>
            </w:r>
          </w:p>
        </w:tc>
        <w:tc>
          <w:tcPr>
            <w:tcW w:w="109"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0.66</w:t>
            </w:r>
            <w:r>
              <w:rPr>
                <w:color w:val="000000"/>
              </w:rPr>
              <w:t> </w:t>
            </w:r>
          </w:p>
        </w:tc>
        <w:tc>
          <w:tcPr>
            <w:tcW w:w="109"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0.66</w:t>
            </w:r>
            <w:r>
              <w:rPr>
                <w:color w:val="000000"/>
              </w:rPr>
              <w:t> </w:t>
            </w:r>
          </w:p>
        </w:tc>
        <w:tc>
          <w:tcPr>
            <w:tcW w:w="155"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NOTES TO CONDENSED CONSOLIDATED FINANCIAL STATEMENTS</w:t>
      </w:r>
    </w:p>
    <w:p>
      <w:pPr>
        <w:pStyle w:val="TextBody"/>
        <w:bidi w:val="0"/>
        <w:spacing w:lineRule="auto" w:line="288" w:before="0" w:after="0"/>
        <w:jc w:val="left"/>
        <w:rPr>
          <w:rFonts w:ascii="Helvetica;sans-serif" w:hAnsi="Helvetica;sans-serif"/>
          <w:b/>
          <w:color w:val="000000"/>
          <w:sz w:val="24"/>
        </w:rPr>
      </w:pPr>
      <w:r>
        <w:rPr>
          <w:rFonts w:ascii="Helvetica;sans-serif" w:hAnsi="Helvetica;sans-serif"/>
          <w:b/>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1: Condensed Consolidated Financial Statements</w:t>
      </w:r>
    </w:p>
    <w:p>
      <w:pPr>
        <w:pStyle w:val="TextBody"/>
        <w:bidi w:val="0"/>
        <w:spacing w:lineRule="auto" w:line="288" w:before="136" w:after="283"/>
        <w:jc w:val="left"/>
        <w:rPr>
          <w:rFonts w:ascii="Helvetica;sans-serif" w:hAnsi="Helvetica;sans-serif"/>
          <w:b/>
          <w:color w:val="000000"/>
          <w:sz w:val="20"/>
        </w:rPr>
      </w:pPr>
      <w:r>
        <w:rPr>
          <w:rFonts w:ascii="Helvetica;sans-serif" w:hAnsi="Helvetica;sans-serif"/>
          <w:b/>
          <w:color w:val="000000"/>
          <w:sz w:val="20"/>
        </w:rPr>
        <w:t>Basis of Presentation</w:t>
      </w:r>
    </w:p>
    <w:p>
      <w:pPr>
        <w:pStyle w:val="TextBody"/>
        <w:bidi w:val="0"/>
        <w:spacing w:lineRule="auto" w:line="288" w:before="76" w:after="283"/>
        <w:jc w:val="both"/>
        <w:rPr>
          <w:rFonts w:ascii="Times New Roman;serif" w:hAnsi="Times New Roman;serif"/>
          <w:b w:val="false"/>
          <w:color w:val="000000"/>
          <w:sz w:val="20"/>
        </w:rPr>
      </w:pPr>
      <w:r>
        <w:rPr>
          <w:rFonts w:ascii="Times New Roman;serif" w:hAnsi="Times New Roman;serif"/>
          <w:b w:val="false"/>
          <w:color w:val="000000"/>
          <w:sz w:val="20"/>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2025 Annual Report on Form 10-K.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June 2026, we announced our intention to separate into two independent publicly traded companies through a tax-free spin-off of NBCUniversal and Sky (the “NBCUniversal Spin-off”) comprised primarily of the Media, Studios and Theme Parks segments and the Sky businesses within our Residential Connectivity &amp; Platforms and Business Services segments. The NBCUniversal Spin-off is expected to be completed in mid-2027, subject to the satisfaction of customary conditions, including obtaining final approval from our Board of Directors, receipt of tax opinions and regulatory approvals, and completion of financing arrangements. We expect to retain an ownership interest of up to 19.9% in the NBCUniversal Spin-off entities for up to one year after the completion of the spin-off, which we intend to monetize in a tax-efficient manner over time. There can be no assurance that a separation transaction will occur, or, if one does occur, of its terms or timing. The condensed consolidated financial statements and related notes do not reflect the proposed NBCUniversal Spin-off.</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31, 2026, we completed the previously announced sale of our Sky operations in Germany. The sale did not meet the criteria to be presented as a discontinued operation, and the results of our Sky operations in Germany are included in our consolidated results of operations through the date of sale. See Note 6 for additional information.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January 2, 2026 (the “Versant Separation Date”), we completed the previously announced separation of Versant Media Group, Inc. (“Versant”) into an independent publicly traded company comprised of select cable television networks and complementary digital platforms through a tax-free spin-off (the “Versant Separation”). The Versant Separation did not meet the criteria to be presented as a discontinued operation, and Versant’s results are included in our results of operations for the three and six months ended June 30, 2025. See Note 6 for additional information.</w:t>
      </w:r>
    </w:p>
    <w:p>
      <w:pPr>
        <w:pStyle w:val="TextBody"/>
        <w:bidi w:val="0"/>
        <w:spacing w:lineRule="auto" w:line="288" w:before="136" w:after="283"/>
        <w:jc w:val="left"/>
        <w:rPr>
          <w:rFonts w:ascii="Helvetica;sans-serif" w:hAnsi="Helvetica;sans-serif"/>
          <w:b/>
          <w:color w:val="000000"/>
          <w:sz w:val="20"/>
        </w:rPr>
      </w:pPr>
      <w:r>
        <w:rPr>
          <w:rFonts w:ascii="Helvetica;sans-serif" w:hAnsi="Helvetica;sans-serif"/>
          <w:b/>
          <w:color w:val="000000"/>
          <w:sz w:val="20"/>
        </w:rPr>
        <w:t>Reclassifications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See Note 2 for a discussion of the changes in our presentation of segment operating results. See Note 3 for a discussion of the changes in our presentation of disaggregated revenue.</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Recent Accounting Pronouncements</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Disaggregation of Income Statement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updated accounting guidance related to disclosures about certain costs and expenses. The updated accounting guidance, among other things, requires quantitative disclosures for employee compensation, selling expenses and purchases of inventory. The updated guidance is effective beginning with our Annual Report on Form 10-K for the year ending December 31, 2027. We are currently evaluating the impact the adoption of the new accounting guidance will have on our disclosures.</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Internal-Use Software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updated the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and early adoption is permitted. We are currently in the process of determining the impact that the updated accounting guidance will have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Government Grants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currently in the process of determining the impact that the updated accounting guidance will have on our consolidated financial statements.</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Interim Reporting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as of January 1, 2028, and early adoption is permitted. We are currently evaluating the impact the adoption of the new accounting guidance will have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 w:after="120"/>
        <w:jc w:val="left"/>
        <w:rPr>
          <w:rFonts w:ascii="Helvetica;sans-serif" w:hAnsi="Helvetica;sans-serif"/>
          <w:b/>
          <w:color w:val="000000"/>
          <w:sz w:val="24"/>
        </w:rPr>
      </w:pPr>
      <w:r>
        <w:rPr>
          <w:rFonts w:ascii="Helvetica;sans-serif" w:hAnsi="Helvetica;sans-serif"/>
          <w:b/>
          <w:color w:val="000000"/>
          <w:sz w:val="24"/>
        </w:rPr>
        <w:t>Note 2: Segment Information</w:t>
      </w:r>
    </w:p>
    <w:p>
      <w:pPr>
        <w:pStyle w:val="TextBody"/>
        <w:bidi w:val="0"/>
        <w:spacing w:lineRule="auto" w:line="288" w:before="76" w:after="120"/>
        <w:jc w:val="both"/>
        <w:rPr>
          <w:rFonts w:ascii="Times New Roman;serif" w:hAnsi="Times New Roman;serif"/>
          <w:b w:val="false"/>
          <w:color w:val="000000"/>
          <w:sz w:val="20"/>
        </w:rPr>
      </w:pPr>
      <w:r>
        <w:rPr>
          <w:rFonts w:ascii="Times New Roman;serif" w:hAnsi="Times New Roman;serif"/>
          <w:b w:val="false"/>
          <w:color w:val="000000"/>
          <w:sz w:val="20"/>
        </w:rPr>
        <w:t>We are a global media and technology company with five segments: Residential Connectivity &amp; Platforms, Business Services Connectivity, Media, Studios and Theme Parks. Beginning in the first quarter of 2026, we updated the composition of our segments to align with the segment-level information that is regularly provided to our Co-Chief Executive Officers, who are the chief operating decision maker, including (1) adjusting the Media segment to exclude the historical results of Versant; (2) reclassifying the results of our regional sports networks to Corporate and other from the Media segment; (3) reclassifying the results of Xumo, our streaming platform joint venture with Charter Communications, to the Residential Connectivity &amp; Platforms segment from Corporate and other; (4) reclassifying certain shared expenses into the related Media, Studios and Theme Parks segments from Media, Studios and Theme Parks headquarters and other; and (5) adjusting the Media segment and Versant for the effects of the commercial services agreement (see Note 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segments and other businesses generally include intercompany profit consistent with third-party transactions. The Residential Connectivity &amp; Platforms and the Business Services Connectivity segments use certain shared infrastructure, including our network in the United States, and each segment is presented with its direct costs and an allocation of shared costs, as well as revenue from its customers.</w:t>
      </w:r>
    </w:p>
    <w:p>
      <w:pPr>
        <w:pStyle w:val="TextBody"/>
        <w:bidi w:val="0"/>
        <w:spacing w:before="76"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76" w:after="283"/>
        <w:jc w:val="both"/>
        <w:rPr>
          <w:rFonts w:ascii="Times New Roman;serif" w:hAnsi="Times New Roman;serif"/>
          <w:b w:val="false"/>
          <w:color w:val="000000"/>
          <w:sz w:val="20"/>
        </w:rPr>
      </w:pPr>
      <w:r>
        <w:rPr>
          <w:rFonts w:ascii="Times New Roman;serif" w:hAnsi="Times New Roman;serif"/>
          <w:b w:val="false"/>
          <w:color w:val="000000"/>
          <w:sz w:val="20"/>
        </w:rPr>
        <w:t>Our financial data by segment is presented in the tables below and has been updated to reflect the change in our segment composition. We do not present asset information for our segments as this information is not used to allocate resources.</w:t>
      </w:r>
    </w:p>
    <w:tbl>
      <w:tblPr>
        <w:tblW w:w="10205" w:type="dxa"/>
        <w:jc w:val="left"/>
        <w:tblInd w:w="0" w:type="dxa"/>
        <w:tblLayout w:type="fixed"/>
        <w:tblCellMar>
          <w:top w:w="28" w:type="dxa"/>
          <w:left w:w="28" w:type="dxa"/>
          <w:bottom w:w="28" w:type="dxa"/>
          <w:right w:w="28" w:type="dxa"/>
        </w:tblCellMar>
      </w:tblPr>
      <w:tblGrid>
        <w:gridCol w:w="1020"/>
        <w:gridCol w:w="754"/>
        <w:gridCol w:w="739"/>
        <w:gridCol w:w="409"/>
        <w:gridCol w:w="1397"/>
        <w:gridCol w:w="211"/>
        <w:gridCol w:w="391"/>
        <w:gridCol w:w="1143"/>
        <w:gridCol w:w="203"/>
        <w:gridCol w:w="211"/>
        <w:gridCol w:w="616"/>
        <w:gridCol w:w="109"/>
        <w:gridCol w:w="211"/>
        <w:gridCol w:w="616"/>
        <w:gridCol w:w="109"/>
        <w:gridCol w:w="220"/>
        <w:gridCol w:w="643"/>
        <w:gridCol w:w="113"/>
        <w:gridCol w:w="211"/>
        <w:gridCol w:w="721"/>
        <w:gridCol w:w="158"/>
      </w:tblGrid>
      <w:tr>
        <w:trPr/>
        <w:tc>
          <w:tcPr>
            <w:tcW w:w="10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Media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16"/>
              </w:rPr>
            </w:pPr>
            <w:r>
              <w:rPr>
                <w:rFonts w:ascii="Times New Roman;serif" w:hAnsi="Times New Roman;serif"/>
                <w:b w:val="false"/>
                <w:color w:val="000000"/>
                <w:sz w:val="16"/>
              </w:rPr>
              <w:t>Studios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16"/>
              </w:rPr>
            </w:pPr>
            <w:r>
              <w:rPr>
                <w:rFonts w:ascii="Times New Roman;serif" w:hAnsi="Times New Roman;serif"/>
                <w:b w:val="false"/>
                <w:color w:val="000000"/>
                <w:sz w:val="16"/>
              </w:rPr>
              <w:t>Theme Parks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revenue</w:t>
            </w:r>
            <w:r>
              <w:rPr>
                <w:rFonts w:ascii="Times New Roman;serif" w:hAnsi="Times New Roman;serif"/>
                <w:b w:val="false"/>
                <w:color w:val="000000"/>
                <w:sz w:val="13"/>
              </w:rPr>
              <w:t>(a)</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(b)</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(a)</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segment expenses:</w:t>
            </w:r>
            <w:r>
              <w:rPr>
                <w:rFonts w:ascii="Times New Roman;serif" w:hAnsi="Times New Roman;serif"/>
                <w:b w:val="false"/>
                <w:color w:val="000000"/>
                <w:sz w:val="13"/>
              </w:rPr>
              <w:t>(c)</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(e)</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7"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EBITDA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Media, Studios and Theme Parks headquarters and other</w:t>
            </w:r>
            <w:r>
              <w:rPr>
                <w:rFonts w:ascii="Times New Roman;serif" w:hAnsi="Times New Roman;serif"/>
                <w:b w:val="false"/>
                <w:color w:val="000000"/>
                <w:sz w:val="13"/>
              </w:rPr>
              <w:t>(f)</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(b)(e)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01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tbl>
      <w:tblPr>
        <w:tblW w:w="10205" w:type="dxa"/>
        <w:jc w:val="left"/>
        <w:tblInd w:w="0" w:type="dxa"/>
        <w:tblLayout w:type="fixed"/>
        <w:tblCellMar>
          <w:top w:w="28" w:type="dxa"/>
          <w:left w:w="28" w:type="dxa"/>
          <w:bottom w:w="28" w:type="dxa"/>
          <w:right w:w="28" w:type="dxa"/>
        </w:tblCellMar>
      </w:tblPr>
      <w:tblGrid>
        <w:gridCol w:w="1020"/>
        <w:gridCol w:w="754"/>
        <w:gridCol w:w="739"/>
        <w:gridCol w:w="409"/>
        <w:gridCol w:w="1397"/>
        <w:gridCol w:w="211"/>
        <w:gridCol w:w="391"/>
        <w:gridCol w:w="1143"/>
        <w:gridCol w:w="203"/>
        <w:gridCol w:w="211"/>
        <w:gridCol w:w="616"/>
        <w:gridCol w:w="109"/>
        <w:gridCol w:w="211"/>
        <w:gridCol w:w="616"/>
        <w:gridCol w:w="109"/>
        <w:gridCol w:w="220"/>
        <w:gridCol w:w="643"/>
        <w:gridCol w:w="113"/>
        <w:gridCol w:w="211"/>
        <w:gridCol w:w="721"/>
        <w:gridCol w:w="158"/>
      </w:tblGrid>
      <w:tr>
        <w:trPr/>
        <w:tc>
          <w:tcPr>
            <w:tcW w:w="10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Media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Studios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Theme Parks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revenue</w:t>
            </w:r>
            <w:r>
              <w:rPr>
                <w:rFonts w:ascii="Times New Roman;serif" w:hAnsi="Times New Roman;serif"/>
                <w:b w:val="false"/>
                <w:color w:val="000000"/>
                <w:sz w:val="13"/>
              </w:rPr>
              <w:t>(a)</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revenue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(b)</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(a)</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2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segment expenses:</w:t>
            </w:r>
            <w:r>
              <w:rPr>
                <w:rFonts w:ascii="Times New Roman;serif" w:hAnsi="Times New Roman;serif"/>
                <w:b w:val="false"/>
                <w:color w:val="000000"/>
                <w:sz w:val="13"/>
              </w:rPr>
              <w:t>(c)</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(e)</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EBITDA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Media, Studios and Theme Parks headquarters and other</w:t>
            </w:r>
            <w:r>
              <w:rPr>
                <w:rFonts w:ascii="Times New Roman;serif" w:hAnsi="Times New Roman;serif"/>
                <w:b w:val="false"/>
                <w:color w:val="000000"/>
                <w:sz w:val="13"/>
              </w:rPr>
              <w:t>(f)</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(b)(e)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01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1"/>
        <w:gridCol w:w="738"/>
        <w:gridCol w:w="722"/>
        <w:gridCol w:w="401"/>
        <w:gridCol w:w="1373"/>
        <w:gridCol w:w="207"/>
        <w:gridCol w:w="385"/>
        <w:gridCol w:w="1125"/>
        <w:gridCol w:w="199"/>
        <w:gridCol w:w="211"/>
        <w:gridCol w:w="721"/>
        <w:gridCol w:w="109"/>
        <w:gridCol w:w="211"/>
        <w:gridCol w:w="616"/>
        <w:gridCol w:w="109"/>
        <w:gridCol w:w="219"/>
        <w:gridCol w:w="642"/>
        <w:gridCol w:w="113"/>
        <w:gridCol w:w="211"/>
        <w:gridCol w:w="721"/>
        <w:gridCol w:w="161"/>
      </w:tblGrid>
      <w:tr>
        <w:trPr/>
        <w:tc>
          <w:tcPr>
            <w:tcW w:w="10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w:t>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Media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Studios</w:t>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Theme Parks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revenue</w:t>
            </w:r>
            <w:r>
              <w:rPr>
                <w:rFonts w:ascii="Times New Roman;serif" w:hAnsi="Times New Roman;serif"/>
                <w:b w:val="false"/>
                <w:color w:val="000000"/>
                <w:sz w:val="13"/>
              </w:rPr>
              <w:t>(a)</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(b)</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(a)</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segment expenses:</w:t>
            </w:r>
            <w:r>
              <w:rPr>
                <w:rFonts w:ascii="Times New Roman;serif" w:hAnsi="Times New Roman;serif"/>
                <w:b w:val="false"/>
                <w:color w:val="000000"/>
                <w:sz w:val="13"/>
              </w:rPr>
              <w:t>(c)</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(e)</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EBITDA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Media, Studios and Theme Parks headquarters and other</w:t>
            </w:r>
            <w:r>
              <w:rPr>
                <w:rFonts w:ascii="Times New Roman;serif" w:hAnsi="Times New Roman;serif"/>
                <w:b w:val="false"/>
                <w:color w:val="000000"/>
                <w:sz w:val="13"/>
              </w:rPr>
              <w:t>(f)</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(b)(e)</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98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tbl>
      <w:tblPr>
        <w:tblW w:w="10205" w:type="dxa"/>
        <w:jc w:val="left"/>
        <w:tblInd w:w="0" w:type="dxa"/>
        <w:tblLayout w:type="fixed"/>
        <w:tblCellMar>
          <w:top w:w="28" w:type="dxa"/>
          <w:left w:w="28" w:type="dxa"/>
          <w:bottom w:w="28" w:type="dxa"/>
          <w:right w:w="28" w:type="dxa"/>
        </w:tblCellMar>
      </w:tblPr>
      <w:tblGrid>
        <w:gridCol w:w="1020"/>
        <w:gridCol w:w="754"/>
        <w:gridCol w:w="739"/>
        <w:gridCol w:w="409"/>
        <w:gridCol w:w="1397"/>
        <w:gridCol w:w="211"/>
        <w:gridCol w:w="391"/>
        <w:gridCol w:w="1143"/>
        <w:gridCol w:w="203"/>
        <w:gridCol w:w="211"/>
        <w:gridCol w:w="616"/>
        <w:gridCol w:w="109"/>
        <w:gridCol w:w="211"/>
        <w:gridCol w:w="616"/>
        <w:gridCol w:w="109"/>
        <w:gridCol w:w="220"/>
        <w:gridCol w:w="643"/>
        <w:gridCol w:w="113"/>
        <w:gridCol w:w="211"/>
        <w:gridCol w:w="721"/>
        <w:gridCol w:w="158"/>
      </w:tblGrid>
      <w:tr>
        <w:trPr/>
        <w:tc>
          <w:tcPr>
            <w:tcW w:w="10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Media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Studios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Theme Parks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revenue</w:t>
            </w:r>
            <w:r>
              <w:rPr>
                <w:rFonts w:ascii="Times New Roman;serif" w:hAnsi="Times New Roman;serif"/>
                <w:b w:val="false"/>
                <w:color w:val="000000"/>
                <w:sz w:val="13"/>
              </w:rPr>
              <w:t>(a)</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revenue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(b)</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(a)</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2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segment expenses:</w:t>
            </w:r>
            <w:r>
              <w:rPr>
                <w:rFonts w:ascii="Times New Roman;serif" w:hAnsi="Times New Roman;serif"/>
                <w:b w:val="false"/>
                <w:color w:val="000000"/>
                <w:sz w:val="13"/>
              </w:rPr>
              <w:t>(c)</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(e)</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EBITDA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Media, Studios and Theme Parks headquarters and other</w:t>
            </w:r>
            <w:r>
              <w:rPr>
                <w:rFonts w:ascii="Times New Roman;serif" w:hAnsi="Times New Roman;serif"/>
                <w:b w:val="false"/>
                <w:color w:val="000000"/>
                <w:sz w:val="13"/>
              </w:rPr>
              <w:t>(f)</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(b)(e)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01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 Amounts in 2025 also include intersegment revenue transactions between our segments and Versant.</w:t>
      </w:r>
    </w:p>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the operations of our Sky-branded video services and television networks in Germany through the completion of the sale on May 31, 2026 (see Note 6); our regional sports networks; and Comcast Spectacor, which owns the Philadelphia Flyers and the Xfinity Mobile Arena in Philadelphia, Pennsylvania. Corporate and other also includes overhead and personnel costs for Corporate. The six months ended June 30, 2026 includes $51 million of transaction costs associated with the Versant Separation. The three and six months ended June 30, 2025 include $110 million and $132 million, respectively, of transaction and transaction-related costs associated with the Versant Separation.</w:t>
      </w:r>
    </w:p>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significant expense categories and amounts align with the segment-level information that is regularly provided to our chief operating decision maker. Intersegment expenses are included in the amounts shown.</w:t>
      </w:r>
    </w:p>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(d)Other for each segment primarily includes:</w:t>
      </w:r>
    </w:p>
    <w:p>
      <w:pPr>
        <w:pStyle w:val="TextBody"/>
        <w:bidi w:val="0"/>
        <w:spacing w:lineRule="auto" w:line="288" w:before="80" w:after="283"/>
        <w:jc w:val="both"/>
        <w:rPr>
          <w:rFonts w:ascii="Times New Roman;serif" w:hAnsi="Times New Roman;serif"/>
          <w:b w:val="false"/>
          <w:color w:val="000000"/>
          <w:sz w:val="16"/>
        </w:rPr>
      </w:pPr>
      <w:r>
        <w:rPr>
          <w:rFonts w:ascii="Times New Roman;serif" w:hAnsi="Times New Roman;serif"/>
          <w:b w:val="false"/>
          <w:color w:val="000000"/>
          <w:sz w:val="16"/>
        </w:rPr>
        <w:t>Residential Connectivity &amp; Platforms and Business Services Connectivity: technical and support expenses; direct product costs; marketing and promotion expenses; customer service expenses; administrative personnel costs; franchise and other regulatory fees; fees paid to third parties where we are acting as the principal in the advertising representation arrangement; bad debt; and other business, headquarters and support costs, including building and office expenses, taxes and billing costs necessary to operate the Residential Connectivity &amp; Platforms and Business Services Connectivity segments. Our chief operating decision maker uses aggregate expense information to manage the operations of the Business Services Connectivity segment.</w:t>
      </w:r>
    </w:p>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Media and Studios: salaries, employee benefits, rent and other overhead expenses.</w:t>
      </w:r>
    </w:p>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Theme Parks: theme park operations, including repairs and maintenance and related administrative expenses; food, beverage and merchandise costs; labor costs; and sales and marketing costs. Our chief operating decision maker uses aggregate expense information to manage the operations of the Theme Parks segment.</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(e)We use Adjusted EBITDA as the measure of profit or loss for our segments. For each of our segments, our chief operating decision maker uses Adjusted EBITDA to measure operational strength and performance, assist in the evaluation of underlying trends, and allocate resources in the annual budget and forecasting process. Adjusted EBITDA is also a significant performance measure in our annual incentive compensation programs. From time to time, we may report the impact of certain events, gains, losses or other charges related to our segments within Corporate and other.</w:t>
      </w:r>
    </w:p>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(f)Includes overhead, personnel costs and other costs necessary to operate the Media, Studios and Theme Parks segments.</w:t>
      </w:r>
    </w:p>
    <w:p>
      <w:pPr>
        <w:pStyle w:val="TextBody"/>
        <w:bidi w:val="0"/>
        <w:spacing w:before="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3: Revenue</w:t>
      </w:r>
    </w:p>
    <w:tbl>
      <w:tblPr>
        <w:tblW w:w="9659" w:type="dxa"/>
        <w:jc w:val="left"/>
        <w:tblInd w:w="0" w:type="dxa"/>
        <w:tblLayout w:type="fixed"/>
        <w:tblCellMar>
          <w:top w:w="28" w:type="dxa"/>
          <w:left w:w="28" w:type="dxa"/>
          <w:bottom w:w="28" w:type="dxa"/>
          <w:right w:w="28" w:type="dxa"/>
        </w:tblCellMar>
      </w:tblPr>
      <w:tblGrid>
        <w:gridCol w:w="1596"/>
        <w:gridCol w:w="1401"/>
        <w:gridCol w:w="1412"/>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2025</w:t>
            </w:r>
            <w:r>
              <w:rPr>
                <w:rFonts w:ascii="Times New Roman;serif" w:hAnsi="Times New Roman;serif"/>
                <w:b w:val="false"/>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2025</w:t>
            </w:r>
            <w:r>
              <w:rPr>
                <w:rFonts w:ascii="Times New Roman;serif" w:hAnsi="Times New Roman;serif"/>
                <w:b w:val="false"/>
                <w:color w:val="000000"/>
                <w:sz w:val="10"/>
              </w:rPr>
              <w:t>(a)</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broadband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connectivity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Connectivity &amp; Platforms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Business Services Connectivity Segment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advertising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distribution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networks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Media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Studios Segment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Theme Parks Segment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Versant revenue</w:t>
            </w:r>
            <w:r>
              <w:rPr>
                <w:rFonts w:ascii="Times New Roman;serif" w:hAnsi="Times New Roman;serif"/>
                <w:b w:val="false"/>
                <w:color w:val="000000"/>
                <w:sz w:val="13"/>
              </w:rPr>
              <w:t>(b)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29,940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30,313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61,396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60,199</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16"/>
        </w:rPr>
      </w:pPr>
      <w:r>
        <w:rPr>
          <w:rFonts w:ascii="Times New Roman;serif" w:hAnsi="Times New Roman;serif"/>
          <w:b w:val="false"/>
          <w:color w:val="000000"/>
          <w:sz w:val="16"/>
        </w:rPr>
        <w:t>(a) Beginning in the first quarter of 2026, commission revenue from the sale of certain direct to consumer (“DTC”) streaming services is presented in broadband revenue or video revenue based on whether a customer is entitled to receive the DTC streaming service through a broadband or video service offering. Broadband revenue also includes revenue from streaming devices available to our broadband customers. Previously, all of these amounts were in video revenue. Prior periods have been reclassified to reflect the current year presentation.</w:t>
      </w:r>
    </w:p>
    <w:p>
      <w:pPr>
        <w:pStyle w:val="TextBody"/>
        <w:bidi w:val="0"/>
        <w:spacing w:lineRule="auto" w:line="288" w:before="60" w:after="120"/>
        <w:jc w:val="both"/>
        <w:rPr>
          <w:rFonts w:ascii="Times New Roman;serif" w:hAnsi="Times New Roman;serif"/>
          <w:b w:val="false"/>
          <w:color w:val="000000"/>
          <w:sz w:val="16"/>
        </w:rPr>
      </w:pPr>
      <w:r>
        <w:rPr>
          <w:rFonts w:ascii="Times New Roman;serif" w:hAnsi="Times New Roman;serif"/>
          <w:b w:val="false"/>
          <w:color w:val="000000"/>
          <w:sz w:val="16"/>
        </w:rPr>
        <w:t>(b) Includes the historical results of operations of the Versant business, primarily including domestic distribution revenue, domestic advertising revenue and other revenue generated from digital properties.</w:t>
      </w:r>
    </w:p>
    <w:p>
      <w:pPr>
        <w:pStyle w:val="TextBody"/>
        <w:bidi w:val="0"/>
        <w:spacing w:lineRule="auto" w:line="288" w:before="60" w:after="120"/>
        <w:jc w:val="both"/>
        <w:rPr>
          <w:rFonts w:ascii="Times New Roman;serif" w:hAnsi="Times New Roman;serif"/>
          <w:b w:val="false"/>
          <w:color w:val="000000"/>
          <w:sz w:val="16"/>
        </w:rPr>
      </w:pPr>
      <w:r>
        <w:rPr>
          <w:rFonts w:ascii="Times New Roman;serif" w:hAnsi="Times New Roman;serif"/>
          <w:b w:val="false"/>
          <w:color w:val="000000"/>
          <w:sz w:val="16"/>
        </w:rPr>
        <w:t>(c) See Note 2 for additional information on intersegment revenue transactions.</w:t>
      </w:r>
    </w:p>
    <w:p>
      <w:pPr>
        <w:pStyle w:val="TextBody"/>
        <w:bidi w:val="0"/>
        <w:spacing w:lineRule="auto" w:line="288" w:before="0" w:after="120"/>
        <w:jc w:val="left"/>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accounts receivable and other balances that are not separately presented in our condensed consolidated balance sheets that relate to the recognition of revenue and collection of the related cash.</w:t>
      </w:r>
    </w:p>
    <w:tbl>
      <w:tblPr>
        <w:tblW w:w="8252" w:type="dxa"/>
        <w:jc w:val="left"/>
        <w:tblInd w:w="0" w:type="dxa"/>
        <w:tblLayout w:type="fixed"/>
        <w:tblCellMar>
          <w:top w:w="28" w:type="dxa"/>
          <w:left w:w="28" w:type="dxa"/>
          <w:bottom w:w="28" w:type="dxa"/>
          <w:right w:w="28" w:type="dxa"/>
        </w:tblCellMar>
      </w:tblPr>
      <w:tblGrid>
        <w:gridCol w:w="2078"/>
        <w:gridCol w:w="1823"/>
        <w:gridCol w:w="1844"/>
        <w:gridCol w:w="211"/>
        <w:gridCol w:w="736"/>
        <w:gridCol w:w="109"/>
        <w:gridCol w:w="109"/>
        <w:gridCol w:w="109"/>
        <w:gridCol w:w="109"/>
        <w:gridCol w:w="215"/>
        <w:gridCol w:w="752"/>
        <w:gridCol w:w="157"/>
      </w:tblGrid>
      <w:tr>
        <w:trPr/>
        <w:tc>
          <w:tcPr>
            <w:tcW w:w="2078"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5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gross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receivables, net (included in other noncurrent assets,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 (included in other noncurrent liabilities)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accounts receivables include amounts not yet billed related to equipment installment plans, as summarized in the table below.</w:t>
      </w:r>
    </w:p>
    <w:tbl>
      <w:tblPr>
        <w:tblW w:w="8087" w:type="dxa"/>
        <w:jc w:val="left"/>
        <w:tblInd w:w="0" w:type="dxa"/>
        <w:tblLayout w:type="fixed"/>
        <w:tblCellMar>
          <w:top w:w="28" w:type="dxa"/>
          <w:left w:w="28" w:type="dxa"/>
          <w:bottom w:w="28" w:type="dxa"/>
          <w:right w:w="28" w:type="dxa"/>
        </w:tblCellMar>
      </w:tblPr>
      <w:tblGrid>
        <w:gridCol w:w="2055"/>
        <w:gridCol w:w="1805"/>
        <w:gridCol w:w="1824"/>
        <w:gridCol w:w="211"/>
        <w:gridCol w:w="631"/>
        <w:gridCol w:w="109"/>
        <w:gridCol w:w="109"/>
        <w:gridCol w:w="109"/>
        <w:gridCol w:w="109"/>
        <w:gridCol w:w="238"/>
        <w:gridCol w:w="713"/>
        <w:gridCol w:w="174"/>
      </w:tblGrid>
      <w:tr>
        <w:trPr/>
        <w:tc>
          <w:tcPr>
            <w:tcW w:w="205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5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receivables, net (included in other noncurrent assets,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3,491</w:t>
            </w:r>
            <w:r>
              <w:rPr>
                <w:color w:val="000000"/>
              </w:rPr>
              <w:t> </w:t>
            </w:r>
          </w:p>
        </w:tc>
        <w:tc>
          <w:tcPr>
            <w:tcW w:w="1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4: Programming and Production Costs</w:t>
      </w:r>
    </w:p>
    <w:tbl>
      <w:tblPr>
        <w:tblW w:w="9200" w:type="dxa"/>
        <w:jc w:val="center"/>
        <w:tblInd w:w="0" w:type="dxa"/>
        <w:tblLayout w:type="fixed"/>
        <w:tblCellMar>
          <w:top w:w="28" w:type="dxa"/>
          <w:left w:w="28" w:type="dxa"/>
          <w:bottom w:w="28" w:type="dxa"/>
          <w:right w:w="28" w:type="dxa"/>
        </w:tblCellMar>
      </w:tblPr>
      <w:tblGrid>
        <w:gridCol w:w="1308"/>
        <w:gridCol w:w="1148"/>
        <w:gridCol w:w="1159"/>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09"/>
        <w:gridCol w:w="109"/>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Video distribution programming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Film and television content: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Owned</w:t>
            </w: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Licensed, including sports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Total programming and production costs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19,273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15,991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pPr>
      <w:r>
        <w:rPr>
          <w:rFonts w:ascii="Times New Roman;serif" w:hAnsi="Times New Roman;serif"/>
          <w:b w:val="false"/>
          <w:color w:val="000000"/>
          <w:sz w:val="16"/>
        </w:rPr>
        <w:t>(a) Amount includes amortization of owned content of $1.9 billion and $3.9 billion for the three and six months ended June 30, 2026, respectively, and $1.8 billion</w:t>
      </w:r>
      <w:r>
        <w:rPr>
          <w:color w:val="000000"/>
        </w:rPr>
        <w:t xml:space="preserve"> </w:t>
      </w:r>
      <w:r>
        <w:rPr>
          <w:rFonts w:ascii="Times New Roman;serif" w:hAnsi="Times New Roman;serif"/>
          <w:b w:val="false"/>
          <w:color w:val="000000"/>
          <w:sz w:val="16"/>
        </w:rPr>
        <w:t>and $4.0 billion for the three and six months ended June 30, 2025, respectively, as well as participations and residuals expenses.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Capitalized Film and Television Costs</w:t>
      </w:r>
    </w:p>
    <w:tbl>
      <w:tblPr>
        <w:tblW w:w="5566" w:type="dxa"/>
        <w:jc w:val="left"/>
        <w:tblInd w:w="0" w:type="dxa"/>
        <w:tblLayout w:type="fixed"/>
        <w:tblCellMar>
          <w:top w:w="28" w:type="dxa"/>
          <w:left w:w="28" w:type="dxa"/>
          <w:bottom w:w="28" w:type="dxa"/>
          <w:right w:w="28" w:type="dxa"/>
        </w:tblCellMar>
      </w:tblPr>
      <w:tblGrid>
        <w:gridCol w:w="1151"/>
        <w:gridCol w:w="952"/>
        <w:gridCol w:w="956"/>
        <w:gridCol w:w="211"/>
        <w:gridCol w:w="736"/>
        <w:gridCol w:w="109"/>
        <w:gridCol w:w="109"/>
        <w:gridCol w:w="109"/>
        <w:gridCol w:w="109"/>
        <w:gridCol w:w="215"/>
        <w:gridCol w:w="752"/>
        <w:gridCol w:w="157"/>
      </w:tblGrid>
      <w:tr>
        <w:trPr/>
        <w:tc>
          <w:tcPr>
            <w:tcW w:w="11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production and in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not released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 less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including sports advances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Film and television costs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10,467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12,214</w:t>
            </w:r>
            <w:r>
              <w:rPr>
                <w:color w:val="000000"/>
              </w:rPr>
              <w:t>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120"/>
        <w:jc w:val="left"/>
        <w:rPr>
          <w:rFonts w:ascii="Helvetica;sans-serif" w:hAnsi="Helvetica;sans-serif"/>
          <w:b/>
          <w:color w:val="000000"/>
          <w:sz w:val="24"/>
        </w:rPr>
      </w:pPr>
      <w:r>
        <w:rPr>
          <w:rFonts w:ascii="Helvetica;sans-serif" w:hAnsi="Helvetica;sans-serif"/>
          <w:b/>
          <w:color w:val="000000"/>
          <w:sz w:val="24"/>
        </w:rPr>
        <w:t>Note 5: Debt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debt had a carrying value of $90.4 billion and an estimated fair value of $79.7 billion. As of December 31, 2025, our debt had a carrying value of $98.9 billion and an estimated fair value of $90.3 billion. The estimated fair value of our publicly traded debt was primarily based on Level 1 inputs that use quoted market prices for the debt. The estimated fair value of debt for which there are no quoted market prices was based on Level 2 inputs that use interest rates available to us for debt with similar terms and remaining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6: Significant Transactions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Versant Separation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2, 2026, we completed the previously announced separation of Versant into an independent, publicly traded company with its Class A common stock listed on The Nasdaq Stock Market under the ticker symbol “VSNT.” The Versant business is comprised of select cable television networks, including MS NOW, CNBC, USA Network, Golf Channel, E!, SYFY and Oxygen, and complementary digital platforms, including GolfNow, Fandango, Rotten Tomatoes and SportsEngine.</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The Versant Separation was structured to qualify as a tax-free spin-off for U.S. federal income tax purposes and achieved through the transfer of assets and liabilities comprising the Versant business to Versant and its subsidiaries, followed by the distribution on January 2, 2026 of 100% of the shares of Versant common stock to Comcast shareholders in which each Comcast shareholder received 1 share of Versant common stock for every 25 shares of Comcast common stock owned as of the close of business on the record date of December 16, 2025 (the “Distribution”). Because the Versant business was not historically operated as a distinct business unit or division of Comcast, we undertook a series of corporate reorganization transactions in anticipation of the Versant Separation. Assets of approximately $12.5 billion, including approximately $7.7 billion of goodwill and $1.4 billion of other intangible assets, net of accumulated amortization, and liabilities of approximately $4.3 billion, including $3.0 billion of indebtedness from the issuance of certain notes and borrowings from a Term A loan facility and Term B loan facility associated with the Versant business were distributed through retained earnings as of the Versant Separation Date. Following the Versant Separation, we do not beneficially own any equity interest in Versant and no longer consolidate the results of the Versant business into our consolidated financial results.</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the Versant Separation Date, Versant distributed to us $2.25 billion of cash, which was funded by the $3.0 billion of prior indebtedness, resulting in a net cash distribution of $750 million to Versant in the first quarter of 2026. The proceeds from the $2.25 billion distribution, together with cash on hand, were used for the redemption on January 15, 2026 of all outstanding amounts of our 3.15% Notes due March 2026, including accrued and unpaid interest, totaling approximately $2.1 billion and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outstanding amounts of our 5.35% Notes due November 2027, including accrued and unpaid interest, totaling approximately $650 million.</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As part of the Versant Separation, we entered into a Separation and Distribution Agreement, a Tax Matters Agreement, a Transition Services Agreement, an Employee Matters Agreement and several other agreements with Versant to effect the Versant Separation and provide a framework for our relationship with Versant after the Versant Separation. Pursuant to a commercial services agreement with Versant, we will sell domestic linear and related digital advertising inventory on their behalf for approximately two years, and we record net commission revenue as earned.</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Sale of Sky Operations in Germany</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On May 31, 2026, we completed the sale of our Sky operations in Germany in exchange for net pre-tax cash proceeds of $59 million and other variable consideration. Upon completion of the sale, we derecognized assets of $770 million and liabilities of $644 million and recorded a $9 million pre-tax loss, presented in depreciation in our condensed consolidated statement of income. The pre-tax loss includes $30 million of accumulated other comprehensive income (loss) that was reclassified into net income. The related assets and liabilities were presented as held for sale as of December 31, 2025, with $892 million included in other current assets and $848 million included in accrued expenses and other current liabilities within our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shd w:fill="FFFFFF" w:val="clear"/>
        </w:rPr>
      </w:pPr>
      <w:r>
        <w:rPr>
          <w:rFonts w:ascii="Helvetica;sans-serif" w:hAnsi="Helvetica;sans-serif"/>
          <w:b/>
          <w:color w:val="000000"/>
          <w:sz w:val="24"/>
          <w:shd w:fill="FFFFFF" w:val="clear"/>
        </w:rPr>
        <w:t>Note 7: Investments and Variable Interest Entities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Investment and Other Income (Loss), Net</w:t>
      </w:r>
    </w:p>
    <w:tbl>
      <w:tblPr>
        <w:tblW w:w="9780" w:type="dxa"/>
        <w:jc w:val="center"/>
        <w:tblInd w:w="0" w:type="dxa"/>
        <w:tblLayout w:type="fixed"/>
        <w:tblCellMar>
          <w:top w:w="28" w:type="dxa"/>
          <w:left w:w="28" w:type="dxa"/>
          <w:bottom w:w="28" w:type="dxa"/>
          <w:right w:w="28" w:type="dxa"/>
        </w:tblCellMar>
      </w:tblPr>
      <w:tblGrid>
        <w:gridCol w:w="1881"/>
        <w:gridCol w:w="1652"/>
        <w:gridCol w:w="1657"/>
        <w:gridCol w:w="211"/>
        <w:gridCol w:w="481"/>
        <w:gridCol w:w="109"/>
        <w:gridCol w:w="109"/>
        <w:gridCol w:w="109"/>
        <w:gridCol w:w="109"/>
        <w:gridCol w:w="211"/>
        <w:gridCol w:w="631"/>
        <w:gridCol w:w="109"/>
        <w:gridCol w:w="109"/>
        <w:gridCol w:w="109"/>
        <w:gridCol w:w="109"/>
        <w:gridCol w:w="211"/>
        <w:gridCol w:w="541"/>
        <w:gridCol w:w="109"/>
        <w:gridCol w:w="109"/>
        <w:gridCol w:w="109"/>
        <w:gridCol w:w="109"/>
        <w:gridCol w:w="211"/>
        <w:gridCol w:w="631"/>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(losses) of investees,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(losses) on equity securities,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and other income (loss), net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9,644</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pPr>
      <w:r>
        <w:rPr>
          <w:rFonts w:ascii="Times New Roman;serif" w:hAnsi="Times New Roman;serif"/>
          <w:b w:val="false"/>
          <w:color w:val="000000"/>
          <w:sz w:val="20"/>
        </w:rPr>
        <w:t xml:space="preserve">The amount of unrealized gains (losses), net recognized for the three months ended June 30, 2026 and 2025 that related to equity securities still held as of the end of each reporting period was $(16) million and $(7) million, respectively. The amount of unrealized gains (losses), net recognized for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June 30, 2026 and 2025 that related to equity securities still held as of the end of each reporting period was $(27) million and $(30) million, respectively. </w:t>
      </w:r>
    </w:p>
    <w:p>
      <w:pPr>
        <w:pStyle w:val="TextBody"/>
        <w:bidi w:val="0"/>
        <w:spacing w:lineRule="auto" w:line="288" w:before="210" w:after="120"/>
        <w:jc w:val="left"/>
        <w:rPr>
          <w:rFonts w:ascii="Helvetica;sans-serif" w:hAnsi="Helvetica;sans-serif"/>
          <w:b/>
          <w:color w:val="000000"/>
          <w:sz w:val="20"/>
        </w:rPr>
      </w:pPr>
      <w:r>
        <w:rPr>
          <w:rFonts w:ascii="Helvetica;sans-serif" w:hAnsi="Helvetica;sans-serif"/>
          <w:b/>
          <w:color w:val="000000"/>
          <w:sz w:val="20"/>
        </w:rPr>
        <w:t>Investments</w:t>
      </w:r>
    </w:p>
    <w:tbl>
      <w:tblPr>
        <w:tblW w:w="5147" w:type="dxa"/>
        <w:jc w:val="left"/>
        <w:tblInd w:w="0" w:type="dxa"/>
        <w:tblLayout w:type="fixed"/>
        <w:tblCellMar>
          <w:top w:w="28" w:type="dxa"/>
          <w:left w:w="28" w:type="dxa"/>
          <w:bottom w:w="28" w:type="dxa"/>
          <w:right w:w="28" w:type="dxa"/>
        </w:tblCellMar>
      </w:tblPr>
      <w:tblGrid>
        <w:gridCol w:w="1096"/>
        <w:gridCol w:w="823"/>
        <w:gridCol w:w="825"/>
        <w:gridCol w:w="211"/>
        <w:gridCol w:w="631"/>
        <w:gridCol w:w="109"/>
        <w:gridCol w:w="109"/>
        <w:gridCol w:w="109"/>
        <w:gridCol w:w="109"/>
        <w:gridCol w:w="238"/>
        <w:gridCol w:w="713"/>
        <w:gridCol w:w="174"/>
      </w:tblGrid>
      <w:tr>
        <w:trPr/>
        <w:tc>
          <w:tcPr>
            <w:tcW w:w="10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investments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7,952</w:t>
            </w:r>
            <w:r>
              <w:rPr>
                <w:color w:val="000000"/>
              </w:rPr>
              <w:t> </w:t>
            </w:r>
          </w:p>
        </w:tc>
        <w:tc>
          <w:tcPr>
            <w:tcW w:w="1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left"/>
        <w:rPr/>
      </w:pPr>
      <w:r>
        <w:rPr>
          <w:rFonts w:ascii="Helvetica;sans-serif" w:hAnsi="Helvetica;sans-serif"/>
          <w:b/>
          <w:color w:val="000000"/>
          <w:sz w:val="20"/>
        </w:rPr>
        <w:t>Equity Me</w:t>
      </w:r>
      <w:r>
        <w:rPr>
          <w:rFonts w:ascii="Helvetica;sans-serif" w:hAnsi="Helvetica;sans-serif"/>
          <w:b/>
          <w:color w:val="000000"/>
          <w:sz w:val="20"/>
          <w:shd w:fill="FFFFFF" w:val="clear"/>
        </w:rPr>
        <w:t>thod Investments</w:t>
      </w:r>
    </w:p>
    <w:p>
      <w:pPr>
        <w:pStyle w:val="TextBody"/>
        <w:bidi w:val="0"/>
        <w:spacing w:lineRule="auto" w:line="288" w:before="8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amount of cash distributions received from equity method investments presented within operating activities in the condensed consolidated statements of cash flows in the six months ended June 30, 2026 and 2025 was $89 million and $69 million, respectively.</w:t>
      </w:r>
    </w:p>
    <w:p>
      <w:pPr>
        <w:pStyle w:val="TextBody"/>
        <w:bidi w:val="0"/>
        <w:spacing w:lineRule="auto" w:line="288" w:before="60" w:after="6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Atairos</w:t>
      </w:r>
    </w:p>
    <w:p>
      <w:pPr>
        <w:pStyle w:val="TextBody"/>
        <w:bidi w:val="0"/>
        <w:spacing w:lineRule="auto" w:line="288" w:before="60" w:after="120"/>
        <w:jc w:val="both"/>
        <w:rPr/>
      </w:pPr>
      <w:r>
        <w:rPr>
          <w:rFonts w:ascii="Times New Roman;serif" w:hAnsi="Times New Roman;serif"/>
          <w:b w:val="false"/>
          <w:color w:val="000000"/>
          <w:sz w:val="20"/>
          <w:shd w:fill="FFFFFF" w:val="clear"/>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six months ended June 30, 2026 and 2025, we made cash capital contributions totaling $267 million and $103 million, respectively, to Atairos. As of June 30, 2026 and December 31, 2025, our investment, inclusive of advances classified withi</w:t>
      </w:r>
      <w:r>
        <w:rPr>
          <w:rFonts w:ascii="Times New Roman;serif" w:hAnsi="Times New Roman;serif"/>
          <w:b w:val="false"/>
          <w:color w:val="000000"/>
          <w:sz w:val="20"/>
        </w:rPr>
        <w:t>n other investments, was $5.0 billion and $4.7 billion, respectively. As of June 30, 2026, our remaining unfunded capital commitment was $1.1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Consolidated Variable Interest Entity</w:t>
      </w:r>
    </w:p>
    <w:p>
      <w:pPr>
        <w:pStyle w:val="TextBody"/>
        <w:bidi w:val="0"/>
        <w:spacing w:lineRule="auto" w:line="288" w:before="60" w:after="6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Universal Beijing Resort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June 30, 2026, Universal Beijing Resort had $3.7 billion of debt outstanding, including $3.3 billion principal amount of a term loan outstanding under the debt financing agreement. As of December 31, 2025, Universal Beijing Resort had $3.6 billion of debt outstanding, including $3.2 billion principal amount of a term loan outstanding under the debt financing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our condensed consolidated balance sheet included assets and liabilities of Universal Beijing Resort totaling $7.6 billion and $7.7 billion, respectively. As of December 31, 2025, our condensed consolidated balance sheet included assets and liabilities of Universal Beijing Resort totaling $7.4 billion and $7.3 billion, respectively. The assets and liabilities of Universal Beijing Resort primarily consist of property and equipment, operating lease assets and liabilities, and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Note 8: Goodwill and Intangible Assets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Goodwill</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segment for the six months ended June 30, 2026 are presented in the table below.</w:t>
      </w:r>
    </w:p>
    <w:tbl>
      <w:tblPr>
        <w:tblW w:w="10205" w:type="dxa"/>
        <w:jc w:val="left"/>
        <w:tblInd w:w="0" w:type="dxa"/>
        <w:tblLayout w:type="fixed"/>
        <w:tblCellMar>
          <w:top w:w="28" w:type="dxa"/>
          <w:left w:w="28" w:type="dxa"/>
          <w:bottom w:w="28" w:type="dxa"/>
          <w:right w:w="28" w:type="dxa"/>
        </w:tblCellMar>
      </w:tblPr>
      <w:tblGrid>
        <w:gridCol w:w="931"/>
        <w:gridCol w:w="818"/>
        <w:gridCol w:w="746"/>
        <w:gridCol w:w="512"/>
        <w:gridCol w:w="1278"/>
        <w:gridCol w:w="265"/>
        <w:gridCol w:w="506"/>
        <w:gridCol w:w="1011"/>
        <w:gridCol w:w="262"/>
        <w:gridCol w:w="211"/>
        <w:gridCol w:w="526"/>
        <w:gridCol w:w="109"/>
        <w:gridCol w:w="211"/>
        <w:gridCol w:w="421"/>
        <w:gridCol w:w="109"/>
        <w:gridCol w:w="211"/>
        <w:gridCol w:w="421"/>
        <w:gridCol w:w="109"/>
        <w:gridCol w:w="211"/>
        <w:gridCol w:w="526"/>
        <w:gridCol w:w="109"/>
        <w:gridCol w:w="109"/>
        <w:gridCol w:w="109"/>
        <w:gridCol w:w="109"/>
        <w:gridCol w:w="109"/>
        <w:gridCol w:w="109"/>
        <w:gridCol w:w="157"/>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7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84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Media</w:t>
            </w:r>
          </w:p>
        </w:tc>
        <w:tc>
          <w:tcPr>
            <w:tcW w:w="7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Studios</w:t>
            </w:r>
          </w:p>
        </w:tc>
        <w:tc>
          <w:tcPr>
            <w:tcW w:w="7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Theme</w:t>
              <w:br/>
              <w:t>Parks</w:t>
            </w:r>
          </w:p>
        </w:tc>
        <w:tc>
          <w:tcPr>
            <w:tcW w:w="8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impairment losses</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w:t>
            </w: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Separation (see Note 6)</w:t>
            </w:r>
          </w:p>
        </w:tc>
        <w:tc>
          <w:tcPr>
            <w:tcW w:w="1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w:t>
            </w: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impairment losses</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Helvetica;sans-serif" w:hAnsi="Helvetica;sans-serif"/>
          <w:b/>
          <w:color w:val="000000"/>
          <w:sz w:val="20"/>
        </w:rPr>
      </w:pPr>
      <w:r>
        <w:rPr>
          <w:rFonts w:ascii="Helvetica;sans-serif" w:hAnsi="Helvetica;sans-serif"/>
          <w:b/>
          <w:color w:val="000000"/>
          <w:sz w:val="20"/>
        </w:rPr>
        <w:t>Intangible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Versant Separation, customer relationships decreased by a gross carrying amount of $9.0 billion and related accumulated amortization of $7.9 billion and other agreements and rights decreased by a gross carrying amount of $0.7 billion and related accumulated amortization of $0.5 billion.</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estimated amortization expense of our customer relationships and other agreements and rights, including trade names, intellectual property rights and certain Federal Communications Commission (“FCC”) broadcast licenses. Beginning in the first quarter of 2026, we began amortizing certain FCC broadcast licenses with a gross carrying value of $0.6 billion, which were previously accounted for as indefinite-lived intangible assets.</w:t>
      </w:r>
    </w:p>
    <w:tbl>
      <w:tblPr>
        <w:tblW w:w="3996" w:type="dxa"/>
        <w:jc w:val="left"/>
        <w:tblInd w:w="0" w:type="dxa"/>
        <w:tblLayout w:type="fixed"/>
        <w:tblCellMar>
          <w:top w:w="28" w:type="dxa"/>
          <w:left w:w="28" w:type="dxa"/>
          <w:bottom w:w="28" w:type="dxa"/>
          <w:right w:w="28" w:type="dxa"/>
        </w:tblCellMar>
      </w:tblPr>
      <w:tblGrid>
        <w:gridCol w:w="1167"/>
        <w:gridCol w:w="1028"/>
        <w:gridCol w:w="1030"/>
        <w:gridCol w:w="211"/>
        <w:gridCol w:w="40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Helvetica;sans-serif" w:hAnsi="Helvetica;sans-serif"/>
                <w:b/>
                <w:color w:val="000000"/>
                <w:sz w:val="20"/>
              </w:rPr>
            </w:pPr>
            <w:r>
              <w:rPr>
                <w:rFonts w:ascii="Helvetica;sans-serif" w:hAnsi="Helvetica;sans-serif"/>
                <w:b/>
                <w:color w:val="000000"/>
                <w:sz w:val="20"/>
              </w:rPr>
              <w:t xml:space="preserve">Estimated Amortization Expense </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six months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210" w:after="120"/>
        <w:jc w:val="left"/>
        <w:rPr>
          <w:rFonts w:ascii="Helvetica;sans-serif" w:hAnsi="Helvetica;sans-serif"/>
          <w:b/>
          <w:color w:val="000000"/>
          <w:sz w:val="24"/>
        </w:rPr>
      </w:pPr>
      <w:r>
        <w:rPr>
          <w:rFonts w:ascii="Helvetica;sans-serif" w:hAnsi="Helvetica;sans-serif"/>
          <w:b/>
          <w:color w:val="000000"/>
          <w:sz w:val="24"/>
        </w:rPr>
        <w:t>Note 9: Equity and Share-Based Compensation</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Weighted-Average Common Shares Outstanding</w:t>
      </w:r>
    </w:p>
    <w:tbl>
      <w:tblPr>
        <w:tblW w:w="9735" w:type="dxa"/>
        <w:jc w:val="left"/>
        <w:tblInd w:w="0" w:type="dxa"/>
        <w:tblLayout w:type="fixed"/>
        <w:tblCellMar>
          <w:top w:w="28" w:type="dxa"/>
          <w:left w:w="28" w:type="dxa"/>
          <w:bottom w:w="28" w:type="dxa"/>
          <w:right w:w="28" w:type="dxa"/>
        </w:tblCellMar>
      </w:tblPr>
      <w:tblGrid>
        <w:gridCol w:w="2017"/>
        <w:gridCol w:w="1767"/>
        <w:gridCol w:w="1781"/>
        <w:gridCol w:w="308"/>
        <w:gridCol w:w="308"/>
        <w:gridCol w:w="175"/>
        <w:gridCol w:w="175"/>
        <w:gridCol w:w="175"/>
        <w:gridCol w:w="175"/>
        <w:gridCol w:w="308"/>
        <w:gridCol w:w="308"/>
        <w:gridCol w:w="175"/>
        <w:gridCol w:w="308"/>
        <w:gridCol w:w="308"/>
        <w:gridCol w:w="156"/>
        <w:gridCol w:w="153"/>
        <w:gridCol w:w="153"/>
        <w:gridCol w:w="153"/>
        <w:gridCol w:w="308"/>
        <w:gridCol w:w="308"/>
        <w:gridCol w:w="216"/>
      </w:tblGrid>
      <w:tr>
        <w:trPr/>
        <w:tc>
          <w:tcPr>
            <w:tcW w:w="201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diluted</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securities</w:t>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40"/>
        <w:jc w:val="both"/>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Accumulated Other Comprehensive Income (Loss)</w:t>
      </w:r>
    </w:p>
    <w:tbl>
      <w:tblPr>
        <w:tblW w:w="8447" w:type="dxa"/>
        <w:jc w:val="left"/>
        <w:tblInd w:w="0" w:type="dxa"/>
        <w:tblLayout w:type="fixed"/>
        <w:tblCellMar>
          <w:top w:w="28" w:type="dxa"/>
          <w:left w:w="28" w:type="dxa"/>
          <w:bottom w:w="28" w:type="dxa"/>
          <w:right w:w="28" w:type="dxa"/>
        </w:tblCellMar>
      </w:tblPr>
      <w:tblGrid>
        <w:gridCol w:w="2169"/>
        <w:gridCol w:w="1900"/>
        <w:gridCol w:w="1915"/>
        <w:gridCol w:w="211"/>
        <w:gridCol w:w="691"/>
        <w:gridCol w:w="109"/>
        <w:gridCol w:w="109"/>
        <w:gridCol w:w="109"/>
        <w:gridCol w:w="109"/>
        <w:gridCol w:w="262"/>
        <w:gridCol w:w="672"/>
        <w:gridCol w:w="191"/>
      </w:tblGrid>
      <w:tr>
        <w:trPr/>
        <w:tc>
          <w:tcPr>
            <w:tcW w:w="216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5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gains (losses) on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gains (losses) on employee benefit obligations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income (loss), net of deferred taxes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Helvetica;sans-serif" w:hAnsi="Helvetica;sans-serif"/>
          <w:b/>
          <w:color w:val="000000"/>
          <w:sz w:val="20"/>
        </w:rPr>
      </w:pPr>
      <w:r>
        <w:rPr>
          <w:rFonts w:ascii="Helvetica;sans-serif" w:hAnsi="Helvetica;sans-serif"/>
          <w:b/>
          <w:color w:val="000000"/>
          <w:sz w:val="20"/>
        </w:rPr>
        <w:t>Share-Based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share-based compensation plans consist primarily of awards of restricted share units (“RSUs”), and prior to 2026, the plans had included grants of stock options, to certain employees and directors as part of our long-term incentive compensation structure. RSUs granted during 2026 generally vest over a period of 3 years and RSUs granted prior to 2026 generally vest over a period of 5 years. Additionally, through our employee stock purchase plans, employees are able to purchase shares of our common stock at a discount through payroll deductions.</w:t>
      </w:r>
    </w:p>
    <w:p>
      <w:pPr>
        <w:pStyle w:val="TextBody"/>
        <w:bidi w:val="0"/>
        <w:spacing w:lineRule="auto" w:line="288" w:before="76" w:after="283"/>
        <w:jc w:val="both"/>
        <w:rPr/>
      </w:pPr>
      <w:r>
        <w:rPr>
          <w:rFonts w:ascii="Times New Roman;serif" w:hAnsi="Times New Roman;serif"/>
          <w:b w:val="false"/>
          <w:color w:val="000000"/>
          <w:sz w:val="20"/>
        </w:rPr>
        <w:t>In February 2026, we granted 49 million RSUs under our annual management awards program. The weighted-average fair value associated with these grants was $29.60 per RSU. During the three months ended June 30, 2026 and 2025, share-based compensation expense recognized in our condensed consolidated statements of income was $319 million and $268 million, respectively. During the six months ended</w:t>
      </w:r>
      <w:r>
        <w:rPr>
          <w:color w:val="000000"/>
        </w:rPr>
        <w:t xml:space="preserve"> </w:t>
      </w:r>
      <w:r>
        <w:rPr>
          <w:rFonts w:ascii="Times New Roman;serif" w:hAnsi="Times New Roman;serif"/>
          <w:b w:val="false"/>
          <w:color w:val="000000"/>
          <w:sz w:val="20"/>
        </w:rPr>
        <w:t>June 30, 2026 and 2025, share-based compensation expense recognized in our condensed consolidated statements of income was $696 million and $589 million, respectively. As of June 30, 2026, we had unrecognized pre-tax compensation expense of $2.8 billion related to unvested RSUs and unvested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10: Supplemental Financial Information</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 xml:space="preserve">Cash Payments for Interest and Income Taxes </w:t>
      </w:r>
    </w:p>
    <w:tbl>
      <w:tblPr>
        <w:tblW w:w="3579" w:type="dxa"/>
        <w:jc w:val="left"/>
        <w:tblInd w:w="0" w:type="dxa"/>
        <w:tblLayout w:type="fixed"/>
        <w:tblCellMar>
          <w:top w:w="28" w:type="dxa"/>
          <w:left w:w="28" w:type="dxa"/>
          <w:bottom w:w="28" w:type="dxa"/>
          <w:right w:w="28" w:type="dxa"/>
        </w:tblCellMar>
      </w:tblPr>
      <w:tblGrid>
        <w:gridCol w:w="484"/>
        <w:gridCol w:w="425"/>
        <w:gridCol w:w="426"/>
        <w:gridCol w:w="211"/>
        <w:gridCol w:w="616"/>
        <w:gridCol w:w="109"/>
        <w:gridCol w:w="109"/>
        <w:gridCol w:w="109"/>
        <w:gridCol w:w="109"/>
        <w:gridCol w:w="211"/>
        <w:gridCol w:w="61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w:t>
            </w:r>
            <w:r>
              <w:rPr>
                <w:rFonts w:ascii="Times New Roman;serif" w:hAnsi="Times New Roman;serif"/>
                <w:b w:val="false"/>
                <w:color w:val="000000"/>
                <w:sz w:val="13"/>
              </w:rPr>
              <w:t>(a)</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color w:val="000000"/>
          <w:sz w:val="16"/>
        </w:rPr>
      </w:pPr>
      <w:r>
        <w:rPr>
          <w:rFonts w:ascii="Times New Roman;serif" w:hAnsi="Times New Roman;serif"/>
          <w:b w:val="false"/>
          <w:color w:val="000000"/>
          <w:sz w:val="16"/>
        </w:rPr>
        <w:t>(a) Cash payments for income taxes for the six months ended June 30, 2026 and 2025 include $52 million and $334 million, respectively, related to the purchase of third-party transferable tax credits.</w:t>
      </w:r>
    </w:p>
    <w:p>
      <w:pPr>
        <w:pStyle w:val="TextBody"/>
        <w:bidi w:val="0"/>
        <w:spacing w:lineRule="auto" w:line="288" w:before="36" w:after="283"/>
        <w:jc w:val="both"/>
        <w:rPr>
          <w:rFonts w:ascii="Helvetica;sans-serif" w:hAnsi="Helvetica;sans-serif"/>
          <w:b/>
          <w:color w:val="000000"/>
          <w:sz w:val="20"/>
        </w:rPr>
      </w:pPr>
      <w:r>
        <w:rPr>
          <w:rFonts w:ascii="Helvetica;sans-serif" w:hAnsi="Helvetica;sans-serif"/>
          <w:b/>
          <w:color w:val="000000"/>
          <w:sz w:val="20"/>
        </w:rPr>
        <w:t>Noncash Activities</w:t>
      </w:r>
    </w:p>
    <w:p>
      <w:pPr>
        <w:pStyle w:val="TextBody"/>
        <w:bidi w:val="0"/>
        <w:spacing w:lineRule="auto" w:line="288" w:before="76"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w:t>
      </w:r>
    </w:p>
    <w:p>
      <w:pPr>
        <w:pStyle w:val="TextBody"/>
        <w:bidi w:val="0"/>
        <w:spacing w:lineRule="auto" w:line="288" w:before="76" w:after="283"/>
        <w:ind w:left="0" w:right="0" w:hanging="360"/>
        <w:jc w:val="both"/>
        <w:rPr/>
      </w:pPr>
      <w:r>
        <w:rPr>
          <w:color w:val="000000"/>
        </w:rPr>
        <w:t>•</w:t>
      </w:r>
      <w:r>
        <w:rPr>
          <w:rFonts w:ascii="Times New Roman;serif" w:hAnsi="Times New Roman;serif"/>
          <w:b w:val="false"/>
          <w:color w:val="000000"/>
          <w:sz w:val="20"/>
        </w:rPr>
        <w:t>we acquired $2.1 billion of property and equipment and intangible assets that were accrued but unpaid</w:t>
      </w:r>
    </w:p>
    <w:p>
      <w:pPr>
        <w:pStyle w:val="TextBody"/>
        <w:bidi w:val="0"/>
        <w:spacing w:lineRule="auto" w:line="288" w:before="76" w:after="283"/>
        <w:ind w:left="0" w:right="0" w:hanging="360"/>
        <w:jc w:val="both"/>
        <w:rPr/>
      </w:pPr>
      <w:r>
        <w:rPr>
          <w:color w:val="000000"/>
        </w:rPr>
        <w:t>•</w:t>
      </w:r>
      <w:r>
        <w:rPr>
          <w:rFonts w:ascii="Times New Roman;serif" w:hAnsi="Times New Roman;serif"/>
          <w:b w:val="false"/>
          <w:color w:val="000000"/>
          <w:sz w:val="20"/>
        </w:rPr>
        <w:t>we recorded a liability of $1.2 billion for a quarterly cash dividend of $0.33 per common share paid in July 2026</w:t>
      </w:r>
    </w:p>
    <w:p>
      <w:pPr>
        <w:pStyle w:val="TextBody"/>
        <w:bidi w:val="0"/>
        <w:spacing w:lineRule="auto" w:line="288" w:before="76"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w:t>
      </w:r>
    </w:p>
    <w:p>
      <w:pPr>
        <w:pStyle w:val="TextBody"/>
        <w:bidi w:val="0"/>
        <w:spacing w:lineRule="auto" w:line="288" w:before="76" w:after="283"/>
        <w:ind w:left="0" w:right="0" w:hanging="360"/>
        <w:jc w:val="both"/>
        <w:rPr/>
      </w:pPr>
      <w:r>
        <w:rPr>
          <w:color w:val="000000"/>
        </w:rPr>
        <w:t>•</w:t>
      </w:r>
      <w:r>
        <w:rPr>
          <w:rFonts w:ascii="Times New Roman;serif" w:hAnsi="Times New Roman;serif"/>
          <w:b w:val="false"/>
          <w:color w:val="000000"/>
          <w:sz w:val="20"/>
        </w:rPr>
        <w:t>we acquired $2.0 billion of property and equipment and intangible assets that were accrued but unpaid</w:t>
      </w:r>
    </w:p>
    <w:p>
      <w:pPr>
        <w:pStyle w:val="TextBody"/>
        <w:bidi w:val="0"/>
        <w:spacing w:lineRule="auto" w:line="288" w:before="76" w:after="283"/>
        <w:ind w:left="0" w:right="0" w:hanging="360"/>
        <w:jc w:val="both"/>
        <w:rPr/>
      </w:pPr>
      <w:r>
        <w:rPr>
          <w:color w:val="000000"/>
        </w:rPr>
        <w:t>•</w:t>
      </w:r>
      <w:r>
        <w:rPr>
          <w:rFonts w:ascii="Times New Roman;serif" w:hAnsi="Times New Roman;serif"/>
          <w:b w:val="false"/>
          <w:color w:val="000000"/>
          <w:sz w:val="20"/>
        </w:rPr>
        <w:t>we recorded a liability of $1.2 billion for a quarterly cash dividend of $0.33 per common share paid in July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Cash, Cash Equivalents and Restricted Cash</w:t>
      </w:r>
    </w:p>
    <w:p>
      <w:pPr>
        <w:pStyle w:val="TextBody"/>
        <w:bidi w:val="0"/>
        <w:spacing w:lineRule="auto" w:line="288" w:before="10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cash, cash equivalents and restricted cash reported in the condensed consolidated balance sheets to the total of the amounts reported in our condensed consolidated statements of cash flows. </w:t>
      </w:r>
    </w:p>
    <w:tbl>
      <w:tblPr>
        <w:tblW w:w="9062" w:type="dxa"/>
        <w:jc w:val="center"/>
        <w:tblInd w:w="0" w:type="dxa"/>
        <w:tblLayout w:type="fixed"/>
        <w:tblCellMar>
          <w:top w:w="28" w:type="dxa"/>
          <w:left w:w="28" w:type="dxa"/>
          <w:bottom w:w="28" w:type="dxa"/>
          <w:right w:w="28" w:type="dxa"/>
        </w:tblCellMar>
      </w:tblPr>
      <w:tblGrid>
        <w:gridCol w:w="2412"/>
        <w:gridCol w:w="2118"/>
        <w:gridCol w:w="2130"/>
        <w:gridCol w:w="211"/>
        <w:gridCol w:w="631"/>
        <w:gridCol w:w="109"/>
        <w:gridCol w:w="109"/>
        <w:gridCol w:w="109"/>
        <w:gridCol w:w="109"/>
        <w:gridCol w:w="215"/>
        <w:gridCol w:w="752"/>
        <w:gridCol w:w="157"/>
      </w:tblGrid>
      <w:tr>
        <w:trPr/>
        <w:tc>
          <w:tcPr>
            <w:tcW w:w="241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6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cash included in other current assets and other noncurrent assets, net</w:t>
            </w:r>
            <w:r>
              <w:rPr>
                <w:rFonts w:ascii="Times New Roman;serif" w:hAnsi="Times New Roman;serif"/>
                <w:b w:val="false"/>
                <w:color w:val="000000"/>
                <w:sz w:val="13"/>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7,735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10,559</w:t>
            </w:r>
            <w:r>
              <w:rPr>
                <w:color w:val="000000"/>
              </w:rPr>
              <w:t>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(a)Restricted cash in other current assets as of December 31, 2025 includes the net proceeds from Versant’s issuance of $1.0 billion aggregate principal amount of 7.25% senior secured notes, plus accrued and unpaid interest, which were held in an escrow account due to a special mandatory redemption if the Versant Separation did not consummate by March 2, 2026. These funds were transferred to Versant on the Versant Separation Date (see Note 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11: Commitments and Contingencies</w:t>
      </w:r>
    </w:p>
    <w:p>
      <w:pPr>
        <w:pStyle w:val="TextBody"/>
        <w:bidi w:val="0"/>
        <w:spacing w:lineRule="auto" w:line="288" w:before="136" w:after="283"/>
        <w:jc w:val="left"/>
        <w:rPr>
          <w:rFonts w:ascii="Helvetica;sans-serif" w:hAnsi="Helvetica;sans-serif"/>
          <w:b/>
          <w:color w:val="000000"/>
          <w:sz w:val="20"/>
        </w:rPr>
      </w:pPr>
      <w:r>
        <w:rPr>
          <w:rFonts w:ascii="Helvetica;sans-serif" w:hAnsi="Helvetica;sans-serif"/>
          <w:b/>
          <w:color w:val="000000"/>
          <w:sz w:val="20"/>
        </w:rPr>
        <w:t>Contingencies</w:t>
      </w:r>
    </w:p>
    <w:p>
      <w:pPr>
        <w:pStyle w:val="TextBody"/>
        <w:bidi w:val="0"/>
        <w:spacing w:lineRule="auto" w:line="288" w:before="76" w:after="30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legal proceedings and claims that arise in the ordinary course of our business. While the amount of ultimate liability with respect to such proceedings and claims is not expected to materially affect our </w:t>
      </w:r>
      <w:bookmarkStart w:id="1" w:name="i785a5e583919498196fdc8a93170135f_435"/>
      <w:bookmarkEnd w:id="1"/>
      <w:r>
        <w:rPr>
          <w:rFonts w:ascii="Times New Roman;serif" w:hAnsi="Times New Roman;serif"/>
          <w:b w:val="false"/>
          <w:color w:val="000000"/>
          <w:sz w:val="20"/>
        </w:rPr>
        <w:t>results of operations, cash flows or financial position, any such legal proceedings or claims could be time-consuming and injure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Helvetica;sans-serif" w:hAnsi="Helvetica;sans-serif"/>
          <w:b/>
          <w:color w:val="000000"/>
          <w:sz w:val="24"/>
        </w:rPr>
      </w:pPr>
      <w:r>
        <w:rPr>
          <w:rFonts w:ascii="Helvetica;sans-serif" w:hAnsi="Helvetica;sans-serif"/>
          <w:b/>
          <w:color w:val="000000"/>
          <w:sz w:val="24"/>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is provided as a supplement to, and should be read in conjunction with, the condensed consolidated financial statements and related notes (“Notes”) included in this Quarterly Report on Form 10-Q and our 2025 Annual Report on Form 10-K.</w:t>
      </w: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Overview</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a global media and technology company with two primary businesses: Connectivity &amp; Platforms and Content &amp; Experiences. We present the operations of (1) our Connectivity &amp; Platforms business in two segments: Residential Connectivity &amp; Platforms and Business Services Connectivity; and (2) our Content &amp; Experiences business in three segments: Media, Studios and Theme Parks. Refer to Note 2 for information on our segments, including a description of the segment composition change implemented in the first quarter of 2026. All amounts are presented under the updated segment structure.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Versant Separation occurred on January 2, 2026. The results of Versant are included in our consolidated results of operations for the three and six months ended June 30, 2025 and are excluded from our segment operating results (see Note 2). The sale of our Sky operations in Germany was completed on May 31, 2026; its results are included in our consolidated results of operations through the date of sale (see Note 6) and are excluded from our segment operating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June 2026, we announced our intention to separate into two independent publicly traded companies through a tax-free spin-off of NBCUniversal and Sky. The NBCUniversal Spin-off is expected to be completed in mid-2027, subject to the satisfaction of customary conditions. There can be no assurance that a separation transaction will occur, or, if one does occur, of its terms or timing. The discussion and analysis that follows includes the results of the businesses proposed to be included in the NBCUniversal Spin-off and does not reflect or give effect to what our results of operations and financial condition may be following the NBCUniversal Spin-off, if consummated.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240" w:after="40"/>
        <w:jc w:val="left"/>
        <w:rPr>
          <w:rFonts w:ascii="Helvetica;sans-serif" w:hAnsi="Helvetica;sans-serif"/>
          <w:b/>
          <w:color w:val="000000"/>
          <w:sz w:val="24"/>
        </w:rPr>
      </w:pPr>
      <w:r>
        <w:rPr>
          <w:rFonts w:ascii="Helvetica;sans-serif" w:hAnsi="Helvetica;sans-serif"/>
          <w:b/>
          <w:color w:val="000000"/>
          <w:sz w:val="24"/>
        </w:rPr>
        <w:t>Consolidated Operating Results</w:t>
      </w:r>
    </w:p>
    <w:tbl>
      <w:tblPr>
        <w:tblW w:w="10205" w:type="dxa"/>
        <w:jc w:val="left"/>
        <w:tblInd w:w="0" w:type="dxa"/>
        <w:tblLayout w:type="fixed"/>
        <w:tblCellMar>
          <w:top w:w="28" w:type="dxa"/>
          <w:left w:w="28" w:type="dxa"/>
          <w:bottom w:w="28" w:type="dxa"/>
          <w:right w:w="28" w:type="dxa"/>
        </w:tblCellMar>
      </w:tblPr>
      <w:tblGrid>
        <w:gridCol w:w="1725"/>
        <w:gridCol w:w="1027"/>
        <w:gridCol w:w="1036"/>
        <w:gridCol w:w="211"/>
        <w:gridCol w:w="721"/>
        <w:gridCol w:w="109"/>
        <w:gridCol w:w="211"/>
        <w:gridCol w:w="736"/>
        <w:gridCol w:w="109"/>
        <w:gridCol w:w="271"/>
        <w:gridCol w:w="276"/>
        <w:gridCol w:w="367"/>
        <w:gridCol w:w="109"/>
        <w:gridCol w:w="109"/>
        <w:gridCol w:w="109"/>
        <w:gridCol w:w="211"/>
        <w:gridCol w:w="736"/>
        <w:gridCol w:w="109"/>
        <w:gridCol w:w="211"/>
        <w:gridCol w:w="736"/>
        <w:gridCol w:w="109"/>
        <w:gridCol w:w="272"/>
        <w:gridCol w:w="275"/>
        <w:gridCol w:w="420"/>
      </w:tblGrid>
      <w:tr>
        <w:trPr/>
        <w:tc>
          <w:tcPr>
            <w:tcW w:w="172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7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3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378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3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r>
      <w:tr>
        <w:trPr/>
        <w:tc>
          <w:tcPr>
            <w:tcW w:w="3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Net income (loss) attributable to noncontrolling interests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Comcast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(68.3)</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(60.7)</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8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Basic earnings per common share attributable to Comcast Corporation shareholders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(66.9)</w:t>
            </w:r>
          </w:p>
        </w:tc>
        <w:tc>
          <w:tcPr>
            <w:tcW w:w="3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(58.9)</w:t>
            </w:r>
          </w:p>
        </w:tc>
        <w:tc>
          <w:tcPr>
            <w:tcW w:w="4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Diluted earnings per common share attributable to Comcast Corporation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(58.9)</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rFonts w:ascii="Times New Roman;serif" w:hAnsi="Times New Roman;serif"/>
                <w:b w:val="false"/>
                <w:color w:val="000000"/>
                <w:sz w:val="13"/>
              </w:rPr>
              <w:t>(a)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8,902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10,283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16,831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19,815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w:t>
            </w:r>
          </w:p>
        </w:tc>
        <w:tc>
          <w:tcPr>
            <w:tcW w:w="4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(a)Adjusted EBITDA is a non-GAAP financial measure. Refer to the “Non-GAAP Financial Measures” section on page 29 for additional information, including our definition and our use of Adjusted EBITDA, and for a reconciliation from net income attributable to Comcast Corporation to Adjusted EBITDA.</w:t>
      </w:r>
    </w:p>
    <w:p>
      <w:pPr>
        <w:pStyle w:val="TextBody"/>
        <w:bidi w:val="0"/>
        <w:spacing w:lineRule="auto" w:line="288" w:before="60" w:after="120"/>
        <w:jc w:val="both"/>
        <w:rPr/>
      </w:pPr>
      <w:r>
        <w:rPr>
          <w:rFonts w:ascii="Helvetica;sans-serif" w:hAnsi="Helvetica;sans-serif"/>
          <w:b/>
          <w:color w:val="000000"/>
          <w:sz w:val="20"/>
        </w:rPr>
        <w:t>Consolidated revenue</w:t>
      </w:r>
      <w:r>
        <w:rPr>
          <w:color w:val="000000"/>
        </w:rPr>
        <w:t xml:space="preserve"> </w:t>
      </w:r>
      <w:r>
        <w:rPr>
          <w:rFonts w:ascii="Times New Roman;serif" w:hAnsi="Times New Roman;serif"/>
          <w:b w:val="false"/>
          <w:color w:val="000000"/>
          <w:sz w:val="20"/>
        </w:rPr>
        <w:t xml:space="preserve">decreased for the three months ended June 30, 2026 compared to the same period in 2025 primarily due to the Versant Separation and a decrease in the Connectivity &amp; Platforms business, partially offset by an increase in the Content &amp; Experiences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Consolidated revenue increased for the six months ended June 30, 2026 compared to the same period in 2025 primarily due to an increase in the Content &amp; Experiences business, partially offset by a decrease due to the Versant Separation and a decrease in the Connectivity &amp; Platforms business. Revenue for our segments and other businesses is discussed separately below under the heading “Segment Operating Results.”</w:t>
      </w:r>
    </w:p>
    <w:p>
      <w:pPr>
        <w:pStyle w:val="TextBody"/>
        <w:bidi w:val="0"/>
        <w:spacing w:lineRule="auto" w:line="288" w:before="60" w:after="120"/>
        <w:jc w:val="both"/>
        <w:rPr/>
      </w:pPr>
      <w:r>
        <w:rPr>
          <w:rFonts w:ascii="Helvetica;sans-serif" w:hAnsi="Helvetica;sans-serif"/>
          <w:b/>
          <w:color w:val="000000"/>
          <w:sz w:val="20"/>
        </w:rPr>
        <w:t>Consolidated costs and expenses</w:t>
      </w:r>
      <w:r>
        <w:rPr>
          <w:rFonts w:ascii="Times New Roman;serif" w:hAnsi="Times New Roman;serif"/>
          <w:b w:val="false"/>
          <w:color w:val="000000"/>
          <w:sz w:val="20"/>
        </w:rPr>
        <w:t xml:space="preserve">, excluding depreciation and amortization expense, increased for the three months ended June 30, 2026 compared to the same period in 2025 primarily due to an increase in the Content &amp; Experiences business, partially offset by a decrease due to the Versant Separation and a decrease in the Connectivity &amp; Platforms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Consolidated costs and expenses, excluding depreciation and amortization expense, increased for the six months ended June 30, 2026 compared to the same period in 2025 primarily due to an increase in the Content &amp; Experiences business, partially offset by a decrease due to the Versant Separation. Costs and expenses for our segments and our corporate operations and other businesses are discussed separately below under the heading “Segment Operating Results.”</w:t>
      </w:r>
    </w:p>
    <w:p>
      <w:pPr>
        <w:pStyle w:val="TextBody"/>
        <w:bidi w:val="0"/>
        <w:spacing w:lineRule="auto" w:line="288" w:before="60" w:after="120"/>
        <w:jc w:val="both"/>
        <w:rPr/>
      </w:pPr>
      <w:r>
        <w:rPr>
          <w:rFonts w:ascii="Helvetica;sans-serif" w:hAnsi="Helvetica;sans-serif"/>
          <w:b/>
          <w:color w:val="000000"/>
          <w:sz w:val="20"/>
        </w:rPr>
        <w:t>Consolidated depreciation and amortization expense</w:t>
      </w:r>
      <w:r>
        <w:rPr>
          <w:color w:val="000000"/>
        </w:rPr>
        <w:t xml:space="preserve"> </w:t>
      </w:r>
      <w:r>
        <w:rPr>
          <w:rFonts w:ascii="Times New Roman;serif" w:hAnsi="Times New Roman;serif"/>
          <w:b w:val="false"/>
          <w:color w:val="000000"/>
          <w:sz w:val="20"/>
        </w:rPr>
        <w:t>decreased for the three months ended June 30, 2026 compared to the same period in 2025 primarily due to lower amortization of customer relationships and other agreements and rights due to the Versant Separation and an impairment of certain long-lived assets in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depreciation and amortization expense decreased for the six months ended June 30, 2026 compared to the same period in 2025 primarily due to lower amortization of customer relationships and other agreements and rights due to the Versant Separation, partially offset by increased depreciation due to the opening of Epic Universe in May 2025 and increased impairments of certain long-lived assets in the current year period compared to the prior year period.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from acquisition-related intangible assets totaled $525 million and $1.1 billion for the three and six months ended June 30, 2026, respectively, and $810 million and $1.6 billion for the three and six months ended June 30, 2025, respectively. Amounts primarily relate to intangible assets, including customer relationships and other agreements and rights, recorded in connection with the Sky transaction in 2018 and the NBCUniversal transaction in 2011.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pPr>
      <w:r>
        <w:rPr>
          <w:rFonts w:ascii="Helvetica;sans-serif" w:hAnsi="Helvetica;sans-serif"/>
          <w:b/>
          <w:color w:val="000000"/>
          <w:sz w:val="20"/>
        </w:rPr>
        <w:t xml:space="preserve">Consolidated interest expense </w:t>
      </w:r>
      <w:r>
        <w:rPr>
          <w:rFonts w:ascii="Times New Roman;serif" w:hAnsi="Times New Roman;serif"/>
          <w:b w:val="false"/>
          <w:color w:val="000000"/>
          <w:sz w:val="20"/>
        </w:rPr>
        <w:t>decreased for the three months ended June 30, 2026 c</w:t>
      </w:r>
      <w:r>
        <w:rPr>
          <w:rFonts w:ascii="Times New Roman;serif" w:hAnsi="Times New Roman;serif"/>
          <w:b w:val="false"/>
          <w:color w:val="000000"/>
          <w:sz w:val="20"/>
          <w:shd w:fill="FFFFFF" w:val="clear"/>
        </w:rPr>
        <w:t xml:space="preserve">ompared to the same period in 2025 </w:t>
      </w:r>
      <w:r>
        <w:rPr>
          <w:rFonts w:ascii="Times New Roman;serif" w:hAnsi="Times New Roman;serif"/>
          <w:b w:val="false"/>
          <w:color w:val="000000"/>
          <w:sz w:val="20"/>
        </w:rPr>
        <w:t>primarily due to a decrease in average debt outstanding. Consolidated interest expense was consistent for the six months ended June 30, 2026 compared to the same period in 2025.</w:t>
      </w:r>
    </w:p>
    <w:p>
      <w:pPr>
        <w:pStyle w:val="TextBody"/>
        <w:bidi w:val="0"/>
        <w:spacing w:lineRule="auto" w:line="288" w:before="60" w:after="120"/>
        <w:jc w:val="both"/>
        <w:rPr/>
      </w:pPr>
      <w:r>
        <w:rPr>
          <w:rFonts w:ascii="Helvetica;sans-serif" w:hAnsi="Helvetica;sans-serif"/>
          <w:b/>
          <w:color w:val="000000"/>
          <w:sz w:val="20"/>
        </w:rPr>
        <w:t xml:space="preserve">Consolidated investment and other income (loss), net </w:t>
      </w:r>
      <w:r>
        <w:rPr>
          <w:rFonts w:ascii="Times New Roman;serif" w:hAnsi="Times New Roman;serif"/>
          <w:b w:val="false"/>
          <w:color w:val="000000"/>
          <w:sz w:val="20"/>
          <w:shd w:fill="FFFFFF" w:val="clear"/>
        </w:rPr>
        <w:t>decreased for the three and six months ended June 30, 2026 compared to the same periods in 2025.</w:t>
      </w:r>
    </w:p>
    <w:tbl>
      <w:tblPr>
        <w:tblW w:w="9780" w:type="dxa"/>
        <w:jc w:val="center"/>
        <w:tblInd w:w="0" w:type="dxa"/>
        <w:tblLayout w:type="fixed"/>
        <w:tblCellMar>
          <w:top w:w="28" w:type="dxa"/>
          <w:left w:w="28" w:type="dxa"/>
          <w:bottom w:w="28" w:type="dxa"/>
          <w:right w:w="28" w:type="dxa"/>
        </w:tblCellMar>
      </w:tblPr>
      <w:tblGrid>
        <w:gridCol w:w="1881"/>
        <w:gridCol w:w="1652"/>
        <w:gridCol w:w="1657"/>
        <w:gridCol w:w="211"/>
        <w:gridCol w:w="481"/>
        <w:gridCol w:w="109"/>
        <w:gridCol w:w="109"/>
        <w:gridCol w:w="109"/>
        <w:gridCol w:w="109"/>
        <w:gridCol w:w="211"/>
        <w:gridCol w:w="631"/>
        <w:gridCol w:w="109"/>
        <w:gridCol w:w="109"/>
        <w:gridCol w:w="109"/>
        <w:gridCol w:w="109"/>
        <w:gridCol w:w="211"/>
        <w:gridCol w:w="541"/>
        <w:gridCol w:w="109"/>
        <w:gridCol w:w="109"/>
        <w:gridCol w:w="109"/>
        <w:gridCol w:w="109"/>
        <w:gridCol w:w="211"/>
        <w:gridCol w:w="631"/>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(losses) of investees,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(losses) on equity securities,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and other income (loss), net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9,644</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pPr>
      <w:r>
        <w:rPr>
          <w:rFonts w:ascii="Times New Roman;serif" w:hAnsi="Times New Roman;serif"/>
          <w:b w:val="false"/>
          <w:color w:val="000000"/>
          <w:sz w:val="20"/>
        </w:rPr>
        <w:t xml:space="preserve">The changes in equity in net income (losses) of investees, net for the three and six months ended June 30, 2026 compared to the same periods in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were primarily due to our investment in Atairos. </w:t>
      </w:r>
      <w:r>
        <w:rPr>
          <w:rFonts w:ascii="Times New Roman;serif" w:hAnsi="Times New Roman;serif"/>
          <w:b w:val="false"/>
          <w:color w:val="000000"/>
          <w:sz w:val="20"/>
          <w:shd w:fill="FFFFFF" w:val="clear"/>
        </w:rPr>
        <w:t xml:space="preserve">The income (losses) at Atairos were driven by fair value adjustments on its underlying investments with income (loss) of $341 million and $7 million for the three and six months ended June 30, 2026, respectively, and $(26) million and $(194) million for the three and six months ended </w:t>
      </w:r>
      <w:r>
        <w:rPr>
          <w:rFonts w:ascii="Times New Roman;serif" w:hAnsi="Times New Roman;serif"/>
          <w:b w:val="false"/>
          <w:color w:val="000000"/>
          <w:sz w:val="20"/>
        </w:rPr>
        <w:t xml:space="preserve">June 30, 2025, </w:t>
      </w:r>
      <w:r>
        <w:rPr>
          <w:rFonts w:ascii="Times New Roman;serif" w:hAnsi="Times New Roman;serif"/>
          <w:b w:val="false"/>
          <w:color w:val="000000"/>
          <w:sz w:val="20"/>
          <w:shd w:fill="FFFFFF" w:val="clear"/>
        </w:rPr>
        <w:t>respectively.</w:t>
      </w:r>
    </w:p>
    <w:p>
      <w:pPr>
        <w:pStyle w:val="TextBody"/>
        <w:bidi w:val="0"/>
        <w:spacing w:lineRule="auto" w:line="288" w:before="60" w:after="120"/>
        <w:jc w:val="both"/>
        <w:rPr/>
      </w:pPr>
      <w:r>
        <w:rPr>
          <w:rFonts w:ascii="Times New Roman;serif" w:hAnsi="Times New Roman;serif"/>
          <w:b w:val="false"/>
          <w:color w:val="000000"/>
          <w:sz w:val="20"/>
          <w:shd w:fill="FFFFFF" w:val="clear"/>
        </w:rPr>
        <w:t>The changes in realized and unrealized gains (losses) on equity securi</w:t>
      </w:r>
      <w:r>
        <w:rPr>
          <w:rFonts w:ascii="Times New Roman;serif" w:hAnsi="Times New Roman;serif"/>
          <w:b w:val="false"/>
          <w:color w:val="000000"/>
          <w:sz w:val="20"/>
        </w:rPr>
        <w:t>ties, net for the</w:t>
      </w:r>
      <w:r>
        <w:rPr>
          <w:color w:val="000000"/>
          <w:shd w:fill="FFFFFF" w:val="clear"/>
        </w:rPr>
        <w:t xml:space="preserve"> </w:t>
      </w:r>
      <w:r>
        <w:rPr>
          <w:rFonts w:ascii="Times New Roman;serif" w:hAnsi="Times New Roman;serif"/>
          <w:b w:val="false"/>
          <w:color w:val="000000"/>
          <w:sz w:val="20"/>
          <w:shd w:fill="FFFFFF" w:val="clear"/>
        </w:rPr>
        <w:t>three and six</w:t>
      </w:r>
      <w:r>
        <w:rPr>
          <w:color w:val="000000"/>
        </w:rPr>
        <w:t xml:space="preserve"> </w:t>
      </w:r>
      <w:r>
        <w:rPr>
          <w:rFonts w:ascii="Times New Roman;serif" w:hAnsi="Times New Roman;serif"/>
          <w:b w:val="false"/>
          <w:color w:val="000000"/>
          <w:sz w:val="20"/>
        </w:rPr>
        <w:t>months ended June 30, 2026</w:t>
      </w:r>
      <w:r>
        <w:rPr>
          <w:color w:val="000000"/>
          <w:shd w:fill="FFFFFF" w:val="clear"/>
        </w:rPr>
        <w:t xml:space="preserve"> </w:t>
      </w:r>
      <w:r>
        <w:rPr>
          <w:rFonts w:ascii="Times New Roman;serif" w:hAnsi="Times New Roman;serif"/>
          <w:b w:val="false"/>
          <w:color w:val="000000"/>
          <w:sz w:val="20"/>
          <w:shd w:fill="FFFFFF" w:val="clear"/>
        </w:rPr>
        <w:t>were primarily due to a gain on the sale of a nonmarketable security in the prior year periods.</w:t>
      </w:r>
    </w:p>
    <w:p>
      <w:pPr>
        <w:pStyle w:val="TextBody"/>
        <w:bidi w:val="0"/>
        <w:spacing w:lineRule="auto" w:line="288" w:before="60" w:after="120"/>
        <w:jc w:val="both"/>
        <w:rPr/>
      </w:pPr>
      <w:r>
        <w:rPr>
          <w:rFonts w:ascii="Times New Roman;serif" w:hAnsi="Times New Roman;serif"/>
          <w:b w:val="false"/>
          <w:color w:val="000000"/>
          <w:sz w:val="20"/>
        </w:rPr>
        <w:t xml:space="preserve">The changes in other income (loss), net for the </w:t>
      </w:r>
      <w:r>
        <w:rPr>
          <w:rFonts w:ascii="Times New Roman;serif" w:hAnsi="Times New Roman;serif"/>
          <w:b w:val="false"/>
          <w:color w:val="000000"/>
          <w:sz w:val="20"/>
          <w:shd w:fill="FFFFFF" w:val="clear"/>
        </w:rPr>
        <w:t xml:space="preserve">three and six </w:t>
      </w:r>
      <w:r>
        <w:rPr>
          <w:rFonts w:ascii="Times New Roman;serif" w:hAnsi="Times New Roman;serif"/>
          <w:b w:val="false"/>
          <w:color w:val="000000"/>
          <w:sz w:val="20"/>
        </w:rPr>
        <w:t xml:space="preserve">months ended June 30, 2026 primarily resulted from a </w:t>
      </w:r>
      <w:r>
        <w:rPr>
          <w:rFonts w:ascii="Times New Roman;serif" w:hAnsi="Times New Roman;serif"/>
          <w:b w:val="false"/>
          <w:color w:val="000000"/>
          <w:sz w:val="20"/>
          <w:shd w:fill="FFFFFF" w:val="clear"/>
        </w:rPr>
        <w:t>$9.4 billion</w:t>
      </w:r>
      <w:r>
        <w:rPr>
          <w:color w:val="000000"/>
        </w:rPr>
        <w:t xml:space="preserve"> </w:t>
      </w:r>
      <w:r>
        <w:rPr>
          <w:rFonts w:ascii="Times New Roman;serif" w:hAnsi="Times New Roman;serif"/>
          <w:b w:val="false"/>
          <w:color w:val="000000"/>
          <w:sz w:val="20"/>
        </w:rPr>
        <w:t xml:space="preserve">gain from the sale of our interest in Hulu in the prior year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pPr>
      <w:r>
        <w:rPr>
          <w:rFonts w:ascii="Helvetica;sans-serif" w:hAnsi="Helvetica;sans-serif"/>
          <w:b/>
          <w:color w:val="000000"/>
          <w:sz w:val="20"/>
          <w:shd w:fill="FFFFFF" w:val="clear"/>
        </w:rPr>
        <w:t>Consolidated income tax expense</w:t>
      </w:r>
      <w:r>
        <w:rPr>
          <w:color w:val="000000"/>
          <w:shd w:fill="FFFFFF" w:val="clear"/>
        </w:rPr>
        <w:t xml:space="preserve"> </w:t>
      </w:r>
      <w:r>
        <w:rPr>
          <w:rFonts w:ascii="Times New Roman;serif" w:hAnsi="Times New Roman;serif"/>
          <w:b w:val="false"/>
          <w:color w:val="000000"/>
          <w:sz w:val="20"/>
          <w:shd w:fill="FFFFFF" w:val="clear"/>
        </w:rPr>
        <w:t xml:space="preserve">for the three and six months ended June 30, 2026 and 2025 reflects an effective income tax rate that differs from the federal statutory rate due to state and foreign income taxes and adjustments associated with uncertain tax positions. The decreases in income tax expense for the three and six months ended June 30, 2026 compared to the same periods in 2025 were primarily driven by lower domestic income before income taxes. </w:t>
      </w:r>
    </w:p>
    <w:p>
      <w:pPr>
        <w:pStyle w:val="TextBody"/>
        <w:bidi w:val="0"/>
        <w:spacing w:lineRule="auto" w:line="288" w:before="60" w:after="120"/>
        <w:jc w:val="both"/>
        <w:rPr/>
      </w:pPr>
      <w:r>
        <w:rPr>
          <w:rFonts w:ascii="Helvetica;sans-serif" w:hAnsi="Helvetica;sans-serif"/>
          <w:b/>
          <w:color w:val="000000"/>
          <w:sz w:val="20"/>
          <w:shd w:fill="FFFFFF" w:val="clear"/>
        </w:rPr>
        <w:t>Consolidated net income (loss) attributable to noncontrolling interests</w:t>
      </w:r>
      <w:r>
        <w:rPr>
          <w:color w:val="000000"/>
        </w:rPr>
        <w:t xml:space="preserve"> </w:t>
      </w:r>
      <w:r>
        <w:rPr>
          <w:rFonts w:ascii="Times New Roman;serif" w:hAnsi="Times New Roman;serif"/>
          <w:b w:val="false"/>
          <w:color w:val="000000"/>
          <w:sz w:val="20"/>
        </w:rPr>
        <w:t>changed</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three months ended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 xml:space="preserve">compared to the same period in </w:t>
      </w:r>
      <w:r>
        <w:rPr>
          <w:rFonts w:ascii="Times New Roman;serif" w:hAnsi="Times New Roman;serif"/>
          <w:b w:val="false"/>
          <w:color w:val="000000"/>
          <w:sz w:val="20"/>
          <w:shd w:fill="FFFFFF" w:val="clear"/>
        </w:rPr>
        <w:t xml:space="preserve">2025 primarily due to Universal Beijing Resort. Consolidated net income (loss) attributable to noncontrolling interests changed for the </w:t>
      </w: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June 30, 2026 primarily due to our regional sports networks and Universal Beijing Resort.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240" w:after="60"/>
        <w:jc w:val="left"/>
        <w:rPr>
          <w:rFonts w:ascii="Helvetica;sans-serif" w:hAnsi="Helvetica;sans-serif"/>
          <w:b/>
          <w:color w:val="000000"/>
          <w:sz w:val="24"/>
        </w:rPr>
      </w:pPr>
      <w:r>
        <w:rPr>
          <w:rFonts w:ascii="Helvetica;sans-serif" w:hAnsi="Helvetica;sans-serif"/>
          <w:b/>
          <w:color w:val="000000"/>
          <w:sz w:val="24"/>
        </w:rPr>
        <w:t>Segment Operating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segment operating results are presented based on how we assess operating performance and internally report financial information. See Note 2 for additional information on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Connectivity &amp; Platforms Results of Operations</w:t>
      </w:r>
    </w:p>
    <w:tbl>
      <w:tblPr>
        <w:tblW w:w="10205" w:type="dxa"/>
        <w:jc w:val="center"/>
        <w:tblInd w:w="0" w:type="dxa"/>
        <w:tblLayout w:type="fixed"/>
        <w:tblCellMar>
          <w:top w:w="28" w:type="dxa"/>
          <w:left w:w="28" w:type="dxa"/>
          <w:bottom w:w="28" w:type="dxa"/>
          <w:right w:w="28" w:type="dxa"/>
        </w:tblCellMar>
      </w:tblPr>
      <w:tblGrid>
        <w:gridCol w:w="650"/>
        <w:gridCol w:w="500"/>
        <w:gridCol w:w="399"/>
        <w:gridCol w:w="284"/>
        <w:gridCol w:w="242"/>
        <w:gridCol w:w="497"/>
        <w:gridCol w:w="284"/>
        <w:gridCol w:w="242"/>
        <w:gridCol w:w="497"/>
        <w:gridCol w:w="109"/>
        <w:gridCol w:w="109"/>
        <w:gridCol w:w="109"/>
        <w:gridCol w:w="213"/>
        <w:gridCol w:w="214"/>
        <w:gridCol w:w="367"/>
        <w:gridCol w:w="279"/>
        <w:gridCol w:w="182"/>
        <w:gridCol w:w="507"/>
        <w:gridCol w:w="109"/>
        <w:gridCol w:w="109"/>
        <w:gridCol w:w="109"/>
        <w:gridCol w:w="284"/>
        <w:gridCol w:w="242"/>
        <w:gridCol w:w="497"/>
        <w:gridCol w:w="284"/>
        <w:gridCol w:w="242"/>
        <w:gridCol w:w="497"/>
        <w:gridCol w:w="109"/>
        <w:gridCol w:w="109"/>
        <w:gridCol w:w="109"/>
        <w:gridCol w:w="213"/>
        <w:gridCol w:w="214"/>
        <w:gridCol w:w="367"/>
        <w:gridCol w:w="280"/>
        <w:gridCol w:w="176"/>
        <w:gridCol w:w="571"/>
      </w:tblGrid>
      <w:tr>
        <w:trPr/>
        <w:tc>
          <w:tcPr>
            <w:tcW w:w="6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(b)</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Connectivity &amp; Platforms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17,124</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34,446</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revenue</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19,795</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20,414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39,757</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40,575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Connectivity &amp; Platforms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Adjusted EBITDA</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7,964</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8,450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15,875</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16,714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 Margin</w:t>
            </w:r>
            <w:r>
              <w:rPr>
                <w:rFonts w:ascii="Times New Roman;serif" w:hAnsi="Times New Roman;serif"/>
                <w:b/>
                <w:color w:val="000000"/>
                <w:sz w:val="13"/>
              </w:rPr>
              <w:t>(a)</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Connectivity &amp; Platforms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bps</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bps</w:t>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bps</w:t>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bps</w:t>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bps</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(20) bps</w:t>
            </w:r>
          </w:p>
        </w:tc>
      </w:tr>
      <w:tr>
        <w:trPr/>
        <w:tc>
          <w:tcPr>
            <w:tcW w:w="15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Adjusted EBITDA margin</w:t>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 bps</w:t>
            </w:r>
          </w:p>
        </w:tc>
        <w:tc>
          <w:tcPr>
            <w:tcW w:w="96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 bps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39.9</w:t>
            </w:r>
            <w:r>
              <w:rPr>
                <w:color w:val="000000"/>
              </w:rPr>
              <w:t>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 bps</w:t>
            </w:r>
          </w:p>
        </w:tc>
        <w:tc>
          <w:tcPr>
            <w:tcW w:w="10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 bps</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(a)Our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 </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(b)Constant currency is a non-GAAP financial measure. Refer to the “Non-GAAP Financial Measures” section on page 29 for additional information, including our definition and our use of constant currency, and for a reconciliation of constant currency amounts.</w:t>
      </w:r>
    </w:p>
    <w:p>
      <w:pPr>
        <w:pStyle w:val="TextBody"/>
        <w:bidi w:val="0"/>
        <w:spacing w:lineRule="auto" w:line="288" w:before="0" w:after="12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We continue to focus on growing our higher-margin connectivity businesses while managing overall operating costs. We also continue to invest in our network to support higher-speed broadband offerings and to expand the number of residential and business passings. Our customer relationship additions/(losses) continue to be negatively impacted by an increasingly competitive environment. We are focused on increasing our residential connectivity revenue. In 2025, we simplified our broadband pricing structure and began offering a free wireless line for one year to new and existing domestic broadband customers, which we expect will improve customer retention and strengthen our ability to compete for new customers, but will negatively impact average domestic broadband revenue per customer. We also expect continued declines in video revenue as a result of domestic customer net losses due to shifting video consumption patterns and the competitive environment, although customer net losses typically mitigate the impact of continued rate increases on programming expenses, as well as continued declines in other revenue related to declines in wireline voice revenue. We are also focused on growing our Business Services Connectivity segment revenue by offering competitive services, including enterprise solutions, and driving higher adoption of our advanced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left"/>
        <w:rPr>
          <w:rFonts w:ascii="Helvetica;sans-serif" w:hAnsi="Helvetica;sans-serif"/>
          <w:b/>
          <w:color w:val="000000"/>
          <w:sz w:val="20"/>
          <w:shd w:fill="FFFFFF" w:val="clear"/>
        </w:rPr>
      </w:pPr>
      <w:r>
        <w:rPr>
          <w:rFonts w:ascii="Helvetica;sans-serif" w:hAnsi="Helvetica;sans-serif"/>
          <w:b/>
          <w:color w:val="000000"/>
          <w:sz w:val="20"/>
          <w:shd w:fill="FFFFFF" w:val="clear"/>
        </w:rPr>
        <w:t>Connectivity &amp; Platforms Customer Metrics</w:t>
      </w:r>
    </w:p>
    <w:tbl>
      <w:tblPr>
        <w:tblW w:w="10205" w:type="dxa"/>
        <w:jc w:val="left"/>
        <w:tblInd w:w="0" w:type="dxa"/>
        <w:tblLayout w:type="fixed"/>
        <w:tblCellMar>
          <w:top w:w="28" w:type="dxa"/>
          <w:left w:w="28" w:type="dxa"/>
          <w:bottom w:w="28" w:type="dxa"/>
          <w:right w:w="28" w:type="dxa"/>
        </w:tblCellMar>
      </w:tblPr>
      <w:tblGrid>
        <w:gridCol w:w="1876"/>
        <w:gridCol w:w="1646"/>
        <w:gridCol w:w="1658"/>
        <w:gridCol w:w="360"/>
        <w:gridCol w:w="361"/>
        <w:gridCol w:w="271"/>
        <w:gridCol w:w="360"/>
        <w:gridCol w:w="361"/>
        <w:gridCol w:w="271"/>
        <w:gridCol w:w="268"/>
        <w:gridCol w:w="258"/>
        <w:gridCol w:w="227"/>
        <w:gridCol w:w="268"/>
        <w:gridCol w:w="258"/>
        <w:gridCol w:w="227"/>
        <w:gridCol w:w="307"/>
        <w:gridCol w:w="218"/>
        <w:gridCol w:w="197"/>
        <w:gridCol w:w="307"/>
        <w:gridCol w:w="218"/>
        <w:gridCol w:w="288"/>
      </w:tblGrid>
      <w:tr>
        <w:trPr/>
        <w:tc>
          <w:tcPr>
            <w:tcW w:w="187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Additions / (Losses)</w:t>
            </w:r>
          </w:p>
        </w:tc>
      </w:tr>
      <w:tr>
        <w:trPr/>
        <w:tc>
          <w:tcPr>
            <w:tcW w:w="5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15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153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5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Residential Connectivity &amp; Platforms Customer Relationships</w:t>
            </w:r>
            <w:r>
              <w:rPr>
                <w:rFonts w:ascii="Times New Roman;serif" w:hAnsi="Times New Roman;serif"/>
                <w:b/>
                <w:color w:val="000000"/>
                <w:sz w:val="13"/>
              </w:rPr>
              <w:t>(a)</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Residential Connectivity &amp; Platforms customer relationships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International Residential Connectivity &amp; Platforms customer relationships</w:t>
            </w:r>
            <w:r>
              <w:rPr>
                <w:rFonts w:ascii="Times New Roman;serif" w:hAnsi="Times New Roman;serif"/>
                <w:b w:val="false"/>
                <w:color w:val="000000"/>
                <w:sz w:val="13"/>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Residential Connectivity &amp; Platforms customer relationships</w:t>
            </w:r>
            <w:r>
              <w:rPr>
                <w:rFonts w:ascii="Times New Roman;serif" w:hAnsi="Times New Roman;serif"/>
                <w:b w:val="false"/>
                <w:color w:val="000000"/>
                <w:sz w:val="13"/>
              </w:rPr>
              <w:t>(b)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Residential Broadband</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broadband residential customers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Domestic residential passings</w:t>
            </w:r>
            <w:r>
              <w:rPr>
                <w:rFonts w:ascii="Times New Roman;serif" w:hAnsi="Times New Roman;serif"/>
                <w:b w:val="false"/>
                <w:color w:val="000000"/>
                <w:sz w:val="13"/>
              </w:rPr>
              <w:t>(c)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Domestic broadband residential penetration of residential passings</w:t>
            </w:r>
            <w:r>
              <w:rPr>
                <w:rFonts w:ascii="Times New Roman;serif" w:hAnsi="Times New Roman;serif"/>
                <w:b w:val="false"/>
                <w:color w:val="000000"/>
                <w:sz w:val="13"/>
              </w:rPr>
              <w:t>(d)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Domestic Wireless </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Domestic wireless lines</w:t>
            </w:r>
            <w:r>
              <w:rPr>
                <w:rFonts w:ascii="Times New Roman;serif" w:hAnsi="Times New Roman;serif"/>
                <w:b w:val="false"/>
                <w:color w:val="000000"/>
                <w:sz w:val="13"/>
              </w:rPr>
              <w: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Video</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video customers</w:t>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10,668 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w:t>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2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2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518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(a)Residential Connectivity &amp; Platforms customer relationships generally represent the number of residential customers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 </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(b)Total Residential Connectivity &amp; Platforms customer relationships and International Residential Connectivity &amp; Platforms customer relationships were updated in the first quarter of 2026 due to a conforming change in methodology, resulting in a decrease of 125,000 customers. There was no impact to net additions and information for the prior periods has been recast on a comparable basis.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(c)Connectivity &amp; Platforms domestic residential passings are considered passings if we can connect them to our network in the United States without further extending the transmission lines. The number of domestic residential passings is an estimate based on the best available information.</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(d)Penetration is calculated by dividing the number of domestic broadband residential customers located within our network by the number of domestic residential passings.</w:t>
      </w:r>
    </w:p>
    <w:p>
      <w:pPr>
        <w:pStyle w:val="TextBody"/>
        <w:bidi w:val="0"/>
        <w:spacing w:lineRule="auto" w:line="288" w:before="0" w:after="40"/>
        <w:ind w:left="0" w:right="0" w:hanging="270"/>
        <w:jc w:val="both"/>
        <w:rPr/>
      </w:pPr>
      <w:r>
        <w:rPr>
          <w:rFonts w:ascii="Times New Roman;serif" w:hAnsi="Times New Roman;serif"/>
          <w:b w:val="false"/>
          <w:color w:val="000000"/>
          <w:sz w:val="16"/>
          <w:shd w:fill="FFFFFF" w:val="clear"/>
        </w:rPr>
        <w:t>(e)Domestic wireless lines represent the number of residential and business customers</w:t>
      </w:r>
      <w:r>
        <w:rPr>
          <w:color w:val="000000"/>
        </w:rPr>
        <w:t>’</w:t>
      </w:r>
      <w:r>
        <w:rPr>
          <w:color w:val="000000"/>
          <w:shd w:fill="FFFFFF" w:val="clear"/>
        </w:rPr>
        <w:t xml:space="preserve"> </w:t>
      </w:r>
      <w:r>
        <w:rPr>
          <w:rFonts w:ascii="Times New Roman;serif" w:hAnsi="Times New Roman;serif"/>
          <w:b w:val="false"/>
          <w:color w:val="000000"/>
          <w:sz w:val="16"/>
          <w:shd w:fill="FFFFFF" w:val="clear"/>
        </w:rPr>
        <w:t>wireless devices. An individual customer relationship may have multiple wireless lines.</w:t>
      </w:r>
    </w:p>
    <w:p>
      <w:pPr>
        <w:pStyle w:val="TextBody"/>
        <w:bidi w:val="0"/>
        <w:spacing w:lineRule="auto" w:line="288" w:before="0" w:after="108"/>
        <w:jc w:val="both"/>
        <w:rPr>
          <w:rFonts w:ascii="Helvetica;sans-serif" w:hAnsi="Helvetica;sans-serif"/>
          <w:b/>
          <w:color w:val="000000"/>
          <w:sz w:val="20"/>
          <w:shd w:fill="FFFFFF" w:val="clear"/>
        </w:rPr>
      </w:pPr>
      <w:r>
        <w:rPr>
          <w:rFonts w:ascii="Helvetica;sans-serif" w:hAnsi="Helvetica;sans-serif"/>
          <w:b/>
          <w:color w:val="000000"/>
          <w:sz w:val="20"/>
          <w:shd w:fill="FFFFFF" w:val="clear"/>
        </w:rPr>
        <w:t>Connectivity &amp; Platforms — Supplemental Costs and Expenses Information</w:t>
      </w:r>
    </w:p>
    <w:p>
      <w:pPr>
        <w:pStyle w:val="TextBody"/>
        <w:bidi w:val="0"/>
        <w:spacing w:lineRule="auto" w:line="288" w:before="36" w:after="108"/>
        <w:jc w:val="both"/>
        <w:rPr>
          <w:rFonts w:ascii="Times New Roman;serif" w:hAnsi="Times New Roman;serif"/>
          <w:b w:val="false"/>
          <w:color w:val="000000"/>
          <w:sz w:val="20"/>
        </w:rPr>
      </w:pPr>
      <w:r>
        <w:rPr>
          <w:rFonts w:ascii="Times New Roman;serif" w:hAnsi="Times New Roman;serif"/>
          <w:b w:val="false"/>
          <w:color w:val="000000"/>
          <w:sz w:val="20"/>
        </w:rPr>
        <w:t xml:space="preserve">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 </w:t>
      </w:r>
    </w:p>
    <w:tbl>
      <w:tblPr>
        <w:tblW w:w="10205" w:type="dxa"/>
        <w:jc w:val="left"/>
        <w:tblInd w:w="0" w:type="dxa"/>
        <w:tblLayout w:type="fixed"/>
        <w:tblCellMar>
          <w:top w:w="28" w:type="dxa"/>
          <w:left w:w="28" w:type="dxa"/>
          <w:bottom w:w="28" w:type="dxa"/>
          <w:right w:w="28" w:type="dxa"/>
        </w:tblCellMar>
      </w:tblPr>
      <w:tblGrid>
        <w:gridCol w:w="698"/>
        <w:gridCol w:w="363"/>
        <w:gridCol w:w="294"/>
        <w:gridCol w:w="211"/>
        <w:gridCol w:w="736"/>
        <w:gridCol w:w="109"/>
        <w:gridCol w:w="109"/>
        <w:gridCol w:w="109"/>
        <w:gridCol w:w="109"/>
        <w:gridCol w:w="211"/>
        <w:gridCol w:w="736"/>
        <w:gridCol w:w="109"/>
        <w:gridCol w:w="211"/>
        <w:gridCol w:w="212"/>
        <w:gridCol w:w="367"/>
        <w:gridCol w:w="272"/>
        <w:gridCol w:w="170"/>
        <w:gridCol w:w="474"/>
        <w:gridCol w:w="109"/>
        <w:gridCol w:w="109"/>
        <w:gridCol w:w="109"/>
        <w:gridCol w:w="211"/>
        <w:gridCol w:w="736"/>
        <w:gridCol w:w="109"/>
        <w:gridCol w:w="109"/>
        <w:gridCol w:w="109"/>
        <w:gridCol w:w="109"/>
        <w:gridCol w:w="211"/>
        <w:gridCol w:w="736"/>
        <w:gridCol w:w="109"/>
        <w:gridCol w:w="254"/>
        <w:gridCol w:w="257"/>
        <w:gridCol w:w="367"/>
        <w:gridCol w:w="360"/>
        <w:gridCol w:w="165"/>
        <w:gridCol w:w="536"/>
      </w:tblGrid>
      <w:tr>
        <w:trPr/>
        <w:tc>
          <w:tcPr>
            <w:tcW w:w="69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(g)</w:t>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Programming</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Technical and support</w:t>
            </w:r>
            <w:r>
              <w:rPr>
                <w:rFonts w:ascii="Times New Roman;serif" w:hAnsi="Times New Roman;serif"/>
                <w:b w:val="false"/>
                <w:color w:val="000000"/>
                <w:sz w:val="13"/>
              </w:rPr>
              <w:t>(b)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Direct product costs</w:t>
            </w:r>
            <w:r>
              <w:rPr>
                <w:rFonts w:ascii="Times New Roman;serif" w:hAnsi="Times New Roman;serif"/>
                <w:b w:val="false"/>
                <w:color w:val="000000"/>
                <w:sz w:val="13"/>
              </w:rPr>
              <w:t>(c)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Marketing and promotion</w:t>
            </w:r>
            <w:r>
              <w:rPr>
                <w:rFonts w:ascii="Times New Roman;serif" w:hAnsi="Times New Roman;serif"/>
                <w:b w:val="false"/>
                <w:color w:val="000000"/>
                <w:sz w:val="13"/>
              </w:rPr>
              <w:t>(d)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Customer service</w:t>
            </w:r>
            <w:r>
              <w:rPr>
                <w:rFonts w:ascii="Times New Roman;serif" w:hAnsi="Times New Roman;serif"/>
                <w:b w:val="false"/>
                <w:color w:val="000000"/>
                <w:sz w:val="13"/>
              </w:rPr>
              <w: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rFonts w:ascii="Times New Roman;serif" w:hAnsi="Times New Roman;serif"/>
                <w:b w:val="false"/>
                <w:color w:val="000000"/>
                <w:sz w:val="13"/>
              </w:rPr>
              <w:t>(f)</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3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costs and expenses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11,965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4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23,883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23,862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5"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5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(b)Technical and support expenses primarily consist of costs for labor to complete service call and installation activities; and costs for network operations and satellite transmission, product development, fulfillment and provisioning.</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(c)Direct product costs primarily consist of access fees related to using wireless and broadband networks owned by third parties to deliver our services and costs of products sold, including wireless devices and Sky Glass smart televisions.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(d)Marketing and promotion expenses primarily consist of the costs associated with attracting new customers and promoting our service offerings.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(e)Customer service expenses primarily consist of the personnel and other costs associated with customer service and certain selling activities.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(f)Other expenses primarily consist of administrative personnel costs; franchise and other regulatory fees; fees paid to third parties where we are acting as the principal in the advertising representation arrangement; bad debt; building and office expenses, taxes and billing costs; and other business, headquarters and support costs necessary to operate the Connectivity &amp; Platforms business.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(g)Constant currency is a non-GAAP financial measure. Refer to the “Non-GAAP Financial Measures” section on page 29 for additional information, including our definition and our use of constant currency, and for a reconciliation of constant currency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Residential Connectivity &amp; Platforms Segment Results of Operations</w:t>
      </w:r>
    </w:p>
    <w:tbl>
      <w:tblPr>
        <w:tblW w:w="10205" w:type="dxa"/>
        <w:jc w:val="left"/>
        <w:tblInd w:w="0" w:type="dxa"/>
        <w:tblLayout w:type="fixed"/>
        <w:tblCellMar>
          <w:top w:w="28" w:type="dxa"/>
          <w:left w:w="28" w:type="dxa"/>
          <w:bottom w:w="28" w:type="dxa"/>
          <w:right w:w="28" w:type="dxa"/>
        </w:tblCellMar>
      </w:tblPr>
      <w:tblGrid>
        <w:gridCol w:w="672"/>
        <w:gridCol w:w="358"/>
        <w:gridCol w:w="297"/>
        <w:gridCol w:w="211"/>
        <w:gridCol w:w="631"/>
        <w:gridCol w:w="109"/>
        <w:gridCol w:w="109"/>
        <w:gridCol w:w="109"/>
        <w:gridCol w:w="109"/>
        <w:gridCol w:w="211"/>
        <w:gridCol w:w="631"/>
        <w:gridCol w:w="109"/>
        <w:gridCol w:w="254"/>
        <w:gridCol w:w="257"/>
        <w:gridCol w:w="367"/>
        <w:gridCol w:w="360"/>
        <w:gridCol w:w="178"/>
        <w:gridCol w:w="497"/>
        <w:gridCol w:w="109"/>
        <w:gridCol w:w="109"/>
        <w:gridCol w:w="109"/>
        <w:gridCol w:w="211"/>
        <w:gridCol w:w="736"/>
        <w:gridCol w:w="109"/>
        <w:gridCol w:w="109"/>
        <w:gridCol w:w="109"/>
        <w:gridCol w:w="109"/>
        <w:gridCol w:w="211"/>
        <w:gridCol w:w="736"/>
        <w:gridCol w:w="109"/>
        <w:gridCol w:w="254"/>
        <w:gridCol w:w="257"/>
        <w:gridCol w:w="367"/>
        <w:gridCol w:w="361"/>
        <w:gridCol w:w="172"/>
        <w:gridCol w:w="559"/>
      </w:tblGrid>
      <w:tr>
        <w:trPr/>
        <w:tc>
          <w:tcPr>
            <w:tcW w:w="67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(a)</w:t>
            </w:r>
          </w:p>
        </w:tc>
      </w:tr>
      <w:tr>
        <w:trPr/>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2025</w:t>
            </w:r>
            <w:r>
              <w:rPr>
                <w:rFonts w:ascii="Times New Roman;serif" w:hAnsi="Times New Roman;serif"/>
                <w:b w:val="false"/>
                <w:color w:val="000000"/>
                <w:sz w:val="10"/>
              </w:rPr>
              <w:t>(b)</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2025</w:t>
            </w:r>
            <w:r>
              <w:rPr>
                <w:rFonts w:ascii="Times New Roman;serif" w:hAnsi="Times New Roman;serif"/>
                <w:b w:val="false"/>
                <w:color w:val="000000"/>
                <w:sz w:val="10"/>
              </w:rPr>
              <w:t>(b)</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broadband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service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convergence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connectivity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residential connectivity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3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w:t>
            </w:r>
          </w:p>
        </w:tc>
        <w:tc>
          <w:tcPr>
            <w:tcW w:w="4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12,882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33"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5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(a)Constant currency is a non-GAAP financial measure. Refer to the “Non-GAAP Financial Measures” section on page 29 for additional information, including our definition and our use of constant currency, and for a reconciliation of constant currency amounts.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(b)Beginning in the first quarter of 2026, commission revenue from the sale of certain DTC streaming services is presented in domestic broadband revenue or video revenue based on whether a customer is entitled to receive the DTC streaming service through a broadband or video service offering. Domestic broadband revenue also includes revenue from streaming devices available to our broadband customers. Previously, all of these amounts were in video revenue. Prior periods have been reclassified to reflect the current year presentation.</w:t>
      </w:r>
    </w:p>
    <w:p>
      <w:pPr>
        <w:pStyle w:val="TextBody"/>
        <w:bidi w:val="0"/>
        <w:spacing w:lineRule="auto" w:line="288" w:before="60" w:after="120"/>
        <w:jc w:val="both"/>
        <w:rPr>
          <w:rFonts w:ascii="Helvetica;sans-serif" w:hAnsi="Helvetica;sans-serif"/>
          <w:b/>
          <w:color w:val="000000"/>
          <w:sz w:val="20"/>
        </w:rPr>
      </w:pPr>
      <w:r>
        <w:rPr>
          <w:rFonts w:ascii="Helvetica;sans-serif" w:hAnsi="Helvetica;sans-serif"/>
          <w:b/>
          <w:color w:val="000000"/>
          <w:sz w:val="20"/>
        </w:rPr>
        <w:t>Residential Connectivity &amp; Platforms Segment – Revenue</w:t>
      </w:r>
    </w:p>
    <w:p>
      <w:pPr>
        <w:pStyle w:val="TextBody"/>
        <w:bidi w:val="0"/>
        <w:spacing w:lineRule="auto" w:line="288" w:before="60" w:after="60"/>
        <w:jc w:val="both"/>
        <w:rPr/>
      </w:pPr>
      <w:r>
        <w:rPr>
          <w:rFonts w:ascii="Helvetica;sans-serif" w:hAnsi="Helvetica;sans-serif"/>
          <w:b/>
          <w:i/>
          <w:color w:val="000000"/>
          <w:sz w:val="20"/>
        </w:rPr>
        <w:t xml:space="preserve">Domestic broadband revenue </w:t>
      </w:r>
      <w:r>
        <w:rPr>
          <w:rFonts w:ascii="Times New Roman;serif" w:hAnsi="Times New Roman;serif"/>
          <w:b w:val="false"/>
          <w:color w:val="000000"/>
          <w:sz w:val="20"/>
        </w:rPr>
        <w:t>primarily consists of revenue from sales of broadband services to residential customers in the United States, including equipment and installation services. Domestic broadband revenue also includes commission revenue from the sale of DTC streaming services that a customer is entitled to receive through a broadband service offering, as well as revenue from streaming devices available to our broadband customers.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Domestic broadband revenue decreased for the three and six months ended June 30, 2026 compared to the same periods in 2025 due to decreases in average rates and declines in the number of domestic broadband customers.</w:t>
      </w:r>
    </w:p>
    <w:p>
      <w:pPr>
        <w:pStyle w:val="TextBody"/>
        <w:bidi w:val="0"/>
        <w:spacing w:lineRule="auto" w:line="288" w:before="0" w:after="0"/>
        <w:jc w:val="both"/>
        <w:rPr/>
      </w:pPr>
      <w:r>
        <w:rPr>
          <w:rFonts w:ascii="Helvetica;sans-serif" w:hAnsi="Helvetica;sans-serif"/>
          <w:b/>
          <w:i/>
          <w:color w:val="000000"/>
          <w:sz w:val="20"/>
        </w:rPr>
        <w:t xml:space="preserve">Domestic wireless service revenue </w:t>
      </w:r>
      <w:r>
        <w:rPr>
          <w:rFonts w:ascii="Times New Roman;serif" w:hAnsi="Times New Roman;serif"/>
          <w:b w:val="false"/>
          <w:color w:val="000000"/>
          <w:sz w:val="20"/>
        </w:rPr>
        <w:t>primarily consists of revenue from sales of wireless services to residential customers in the United States.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 xml:space="preserve">Domestic wireless service revenue increased for the three and six months ended June 30, 2026 compared to the same periods in 2025 due to increases in the number of customer lines. </w:t>
      </w:r>
    </w:p>
    <w:p>
      <w:pPr>
        <w:pStyle w:val="TextBody"/>
        <w:bidi w:val="0"/>
        <w:spacing w:lineRule="auto" w:line="268" w:before="0" w:after="0"/>
        <w:jc w:val="both"/>
        <w:rPr/>
      </w:pPr>
      <w:r>
        <w:rPr>
          <w:rFonts w:ascii="Helvetica;sans-serif" w:hAnsi="Helvetica;sans-serif"/>
          <w:b/>
          <w:i/>
          <w:color w:val="000000"/>
          <w:sz w:val="20"/>
        </w:rPr>
        <w:t xml:space="preserve">Domestic wireless equipment revenue </w:t>
      </w:r>
      <w:r>
        <w:rPr>
          <w:rFonts w:ascii="Times New Roman;serif" w:hAnsi="Times New Roman;serif"/>
          <w:b w:val="false"/>
          <w:color w:val="000000"/>
          <w:sz w:val="20"/>
        </w:rPr>
        <w:t>primarily consists of revenue from sales of wireless devices, including handsets, tablets and smart watches, to residential customers in the United States.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Domestic wireless equipment revenue increased for the three and six months ended June 30, 2026 compared to the same periods in 2025 due to increases in device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both"/>
        <w:rPr/>
      </w:pPr>
      <w:r>
        <w:rPr>
          <w:rFonts w:ascii="Helvetica;sans-serif" w:hAnsi="Helvetica;sans-serif"/>
          <w:b/>
          <w:i/>
          <w:color w:val="000000"/>
          <w:sz w:val="20"/>
        </w:rPr>
        <w:t>International connectivity revenue</w:t>
      </w:r>
      <w:r>
        <w:rPr>
          <w:color w:val="000000"/>
        </w:rPr>
        <w:t xml:space="preserve"> </w:t>
      </w:r>
      <w:r>
        <w:rPr>
          <w:rFonts w:ascii="Times New Roman;serif" w:hAnsi="Times New Roman;serif"/>
          <w:b w:val="false"/>
          <w:color w:val="000000"/>
          <w:sz w:val="20"/>
        </w:rPr>
        <w:t>primarily consists of revenue from sales of broadband services, including equipment and installation services, wireless services and wireless devices to residential customers in the United Kingdom and Italy.</w:t>
      </w:r>
    </w:p>
    <w:p>
      <w:pPr>
        <w:pStyle w:val="TextBody"/>
        <w:bidi w:val="0"/>
        <w:spacing w:lineRule="auto" w:line="288" w:before="60" w:after="120"/>
        <w:jc w:val="both"/>
        <w:rPr/>
      </w:pPr>
      <w:r>
        <w:rPr>
          <w:rFonts w:ascii="Times New Roman;serif" w:hAnsi="Times New Roman;serif"/>
          <w:b w:val="false"/>
          <w:color w:val="000000"/>
          <w:sz w:val="20"/>
        </w:rPr>
        <w:t xml:space="preserve">International connectivity revenue increased for the three months ended June 30, 2026 </w:t>
      </w:r>
      <w:r>
        <w:rPr>
          <w:rFonts w:ascii="Times New Roman;serif" w:hAnsi="Times New Roman;serif"/>
          <w:b w:val="false"/>
          <w:color w:val="000000"/>
          <w:sz w:val="20"/>
          <w:shd w:fill="FFFFFF" w:val="clear"/>
        </w:rPr>
        <w:t>compared to the same period in 2025</w:t>
      </w:r>
      <w:r>
        <w:rPr>
          <w:color w:val="000000"/>
        </w:rPr>
        <w:t xml:space="preserve"> </w:t>
      </w:r>
      <w:r>
        <w:rPr>
          <w:rFonts w:ascii="Times New Roman;serif" w:hAnsi="Times New Roman;serif"/>
          <w:b w:val="false"/>
          <w:color w:val="000000"/>
          <w:sz w:val="20"/>
        </w:rPr>
        <w:t>primarily due to an increase in wireless revenue, reflecting higher equipment and services revenue, as well as the positive impact of foreign currency.</w:t>
      </w:r>
    </w:p>
    <w:p>
      <w:pPr>
        <w:pStyle w:val="TextBody"/>
        <w:bidi w:val="0"/>
        <w:spacing w:lineRule="auto" w:line="288" w:before="60" w:after="120"/>
        <w:jc w:val="both"/>
        <w:rPr/>
      </w:pPr>
      <w:r>
        <w:rPr>
          <w:rFonts w:ascii="Times New Roman;serif" w:hAnsi="Times New Roman;serif"/>
          <w:b w:val="false"/>
          <w:color w:val="000000"/>
          <w:sz w:val="20"/>
        </w:rPr>
        <w:t>International connectivity revenue increased for the six months ended June 30, 2026</w:t>
      </w:r>
      <w:r>
        <w:rPr>
          <w:color w:val="000000"/>
          <w:shd w:fill="FFFFFF" w:val="clear"/>
        </w:rPr>
        <w:t xml:space="preserve"> </w:t>
      </w:r>
      <w:r>
        <w:rPr>
          <w:rFonts w:ascii="Times New Roman;serif" w:hAnsi="Times New Roman;serif"/>
          <w:b w:val="false"/>
          <w:color w:val="000000"/>
          <w:sz w:val="20"/>
          <w:shd w:fill="FFFFFF" w:val="clear"/>
        </w:rPr>
        <w:t>compared to the same period in 2025</w:t>
      </w:r>
      <w:r>
        <w:rPr>
          <w:color w:val="000000"/>
        </w:rPr>
        <w:t xml:space="preserve"> </w:t>
      </w:r>
      <w:r>
        <w:rPr>
          <w:rFonts w:ascii="Times New Roman;serif" w:hAnsi="Times New Roman;serif"/>
          <w:b w:val="false"/>
          <w:color w:val="000000"/>
          <w:sz w:val="20"/>
        </w:rPr>
        <w:t>primarily due to the positive impact of foreign currency, an increase in broadband revenue primarily reflecting higher average rates, and an increase in wireless revenue reflecting higher equipment and services revenue.</w:t>
      </w:r>
    </w:p>
    <w:p>
      <w:pPr>
        <w:pStyle w:val="TextBody"/>
        <w:bidi w:val="0"/>
        <w:spacing w:lineRule="auto" w:line="268" w:before="0" w:after="0"/>
        <w:jc w:val="both"/>
        <w:rPr/>
      </w:pPr>
      <w:r>
        <w:rPr>
          <w:rFonts w:ascii="Helvetica;sans-serif" w:hAnsi="Helvetica;sans-serif"/>
          <w:b/>
          <w:i/>
          <w:color w:val="000000"/>
          <w:sz w:val="20"/>
        </w:rPr>
        <w:t>Video revenue</w:t>
      </w:r>
      <w:r>
        <w:rPr>
          <w:color w:val="000000"/>
        </w:rPr>
        <w:t xml:space="preserve"> </w:t>
      </w:r>
      <w:r>
        <w:rPr>
          <w:rFonts w:ascii="Times New Roman;serif" w:hAnsi="Times New Roman;serif"/>
          <w:b w:val="false"/>
          <w:color w:val="000000"/>
          <w:sz w:val="20"/>
        </w:rPr>
        <w:t>primarily consists of revenue from sales of video services to residential and business customers across the Connectivity &amp; Platforms markets, including equipment and installation services. Video revenue includes pay-per-view and other transactional revenue and franchise fees, and revenue from sales of certain hardware, including Sky Glass smart televisions. Video revenue also includes commission revenue from sales of DTC streaming services that a customer is entitled to receive through a video service offering.</w:t>
      </w:r>
    </w:p>
    <w:p>
      <w:pPr>
        <w:pStyle w:val="TextBody"/>
        <w:bidi w:val="0"/>
        <w:spacing w:lineRule="auto" w:line="288" w:before="60" w:after="120"/>
        <w:jc w:val="both"/>
        <w:rPr/>
      </w:pPr>
      <w:r>
        <w:rPr>
          <w:rFonts w:ascii="Times New Roman;serif" w:hAnsi="Times New Roman;serif"/>
          <w:b w:val="false"/>
          <w:color w:val="000000"/>
          <w:sz w:val="20"/>
          <w:shd w:fill="FFFFFF" w:val="clear"/>
        </w:rPr>
        <w:t xml:space="preserve">Video revenue decreased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compared to the same periods in 2025 primarily due to declines in the overall number of video customers. The decrease for the </w:t>
      </w:r>
      <w:r>
        <w:rPr>
          <w:rFonts w:ascii="Times New Roman;serif" w:hAnsi="Times New Roman;serif"/>
          <w:b w:val="false"/>
          <w:color w:val="000000"/>
          <w:sz w:val="20"/>
        </w:rPr>
        <w:t xml:space="preserve">six months ended June 30, 2026 was </w:t>
      </w:r>
      <w:r>
        <w:rPr>
          <w:rFonts w:ascii="Times New Roman;serif" w:hAnsi="Times New Roman;serif"/>
          <w:b w:val="false"/>
          <w:color w:val="000000"/>
          <w:sz w:val="20"/>
          <w:shd w:fill="FFFFFF" w:val="clear"/>
        </w:rPr>
        <w:t xml:space="preserve">partially offset by the positive impact of foreign currency. </w:t>
      </w:r>
    </w:p>
    <w:p>
      <w:pPr>
        <w:pStyle w:val="TextBody"/>
        <w:bidi w:val="0"/>
        <w:spacing w:lineRule="auto" w:line="288" w:before="0" w:after="0"/>
        <w:jc w:val="both"/>
        <w:rPr/>
      </w:pPr>
      <w:r>
        <w:rPr>
          <w:rFonts w:ascii="Helvetica;sans-serif" w:hAnsi="Helvetica;sans-serif"/>
          <w:b/>
          <w:i/>
          <w:color w:val="000000"/>
          <w:sz w:val="20"/>
          <w:shd w:fill="FFFFFF" w:val="clear"/>
        </w:rPr>
        <w:t xml:space="preserve">Advertising </w:t>
      </w:r>
      <w:r>
        <w:rPr>
          <w:rFonts w:ascii="Helvetica;sans-serif" w:hAnsi="Helvetica;sans-serif"/>
          <w:b/>
          <w:i/>
          <w:color w:val="000000"/>
          <w:sz w:val="20"/>
        </w:rPr>
        <w:t>revenue</w:t>
      </w:r>
      <w:r>
        <w:rPr>
          <w:color w:val="000000"/>
        </w:rPr>
        <w:t xml:space="preserve"> </w:t>
      </w:r>
      <w:r>
        <w:rPr>
          <w:rFonts w:ascii="Times New Roman;serif" w:hAnsi="Times New Roman;serif"/>
          <w:b w:val="false"/>
          <w:color w:val="000000"/>
          <w:sz w:val="20"/>
        </w:rPr>
        <w:t>primarily consists of revenue from sales of advertising across our platforms in the Connectivity &amp; Platforms markets, including advertising as part of our distribution agreements with cable networks in the United States, and advertising on Sky-branded entertainment television networks and on our digital properties. Advertising also includes revenue where we enter into representation agreements under which we sell advertising on behalf of third parties and from our advanced advertising businesses.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Advertising revenue increased for the three and six months ended June 30, 2026 compared to the same periods in 2025 primarily due to higher domestic political advertising and increases in revenue from our advanced advertising business, partially offset by lower domestic nonpolitical advertising and lower international advertising. The increase for the six months ended June 30, 2026 also includes the positive impact of foreign currency.</w:t>
      </w:r>
    </w:p>
    <w:p>
      <w:pPr>
        <w:pStyle w:val="TextBody"/>
        <w:bidi w:val="0"/>
        <w:spacing w:lineRule="auto" w:line="268" w:before="0" w:after="0"/>
        <w:jc w:val="both"/>
        <w:rPr/>
      </w:pPr>
      <w:r>
        <w:rPr>
          <w:rFonts w:ascii="Helvetica;sans-serif" w:hAnsi="Helvetica;sans-serif"/>
          <w:b/>
          <w:i/>
          <w:color w:val="000000"/>
          <w:sz w:val="20"/>
          <w:shd w:fill="FFFFFF" w:val="clear"/>
        </w:rPr>
        <w:t xml:space="preserve">Other </w:t>
      </w:r>
      <w:r>
        <w:rPr>
          <w:rFonts w:ascii="Helvetica;sans-serif" w:hAnsi="Helvetica;sans-serif"/>
          <w:b/>
          <w:i/>
          <w:color w:val="000000"/>
          <w:sz w:val="20"/>
        </w:rPr>
        <w:t>revenue</w:t>
      </w:r>
      <w:r>
        <w:rPr>
          <w:color w:val="000000"/>
        </w:rPr>
        <w:t xml:space="preserve"> </w:t>
      </w:r>
      <w:r>
        <w:rPr>
          <w:rFonts w:ascii="Times New Roman;serif" w:hAnsi="Times New Roman;serif"/>
          <w:b w:val="false"/>
          <w:color w:val="000000"/>
          <w:sz w:val="20"/>
        </w:rPr>
        <w:t>primarily consists of revenue in the Connectivity &amp; Platforms markets from sales of wireline voice services to residential customers; our residential security and automation services businesses; the licensing of our technology platforms to other multichannel video providers; the distribution of certain of our Sky-branded entertainment television networks to third-party video service providers; commissions from electronic retailing networks; and certain billing and collection fees.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decreased for the three and six months ended June 30, 2026 compared to the same periods in 2025 primarily due to decreases in residential wireline voice revenue driven by declines in the number of customers. </w:t>
      </w:r>
    </w:p>
    <w:p>
      <w:pPr>
        <w:pStyle w:val="TextBody"/>
        <w:bidi w:val="0"/>
        <w:spacing w:lineRule="auto" w:line="288" w:before="0" w:after="108"/>
        <w:jc w:val="both"/>
        <w:rPr>
          <w:rFonts w:ascii="Helvetica;sans-serif" w:hAnsi="Helvetica;sans-serif"/>
          <w:b/>
          <w:color w:val="000000"/>
          <w:sz w:val="20"/>
          <w:shd w:fill="FFFFFF" w:val="clear"/>
        </w:rPr>
      </w:pPr>
      <w:r>
        <w:rPr>
          <w:rFonts w:ascii="Helvetica;sans-serif" w:hAnsi="Helvetica;sans-serif"/>
          <w:b/>
          <w:color w:val="000000"/>
          <w:sz w:val="20"/>
          <w:shd w:fill="FFFFFF" w:val="clear"/>
        </w:rPr>
        <w:t>Residential Connectivity &amp; Platforms Segment – Costs and Expenses</w:t>
      </w:r>
    </w:p>
    <w:p>
      <w:pPr>
        <w:pStyle w:val="TextBody"/>
        <w:bidi w:val="0"/>
        <w:spacing w:lineRule="auto" w:line="288" w:before="60" w:after="60"/>
        <w:jc w:val="both"/>
        <w:rPr/>
      </w:pPr>
      <w:r>
        <w:rPr>
          <w:rFonts w:ascii="Helvetica;sans-serif" w:hAnsi="Helvetica;sans-serif"/>
          <w:b/>
          <w:i/>
          <w:color w:val="000000"/>
          <w:sz w:val="20"/>
        </w:rPr>
        <w:t>Programming expenses</w:t>
      </w:r>
      <w:r>
        <w:rPr>
          <w:color w:val="000000"/>
          <w:shd w:fill="FFFFFF" w:val="clear"/>
        </w:rPr>
        <w:t xml:space="preserve"> </w:t>
      </w:r>
      <w:r>
        <w:rPr>
          <w:rFonts w:ascii="Times New Roman;serif" w:hAnsi="Times New Roman;serif"/>
          <w:b w:val="false"/>
          <w:color w:val="000000"/>
          <w:sz w:val="20"/>
          <w:shd w:fill="FFFFFF" w:val="clear"/>
        </w:rPr>
        <w:t xml:space="preserve">decreased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shd w:fill="FFFFFF" w:val="clear"/>
        </w:rPr>
        <w:t xml:space="preserve">June 30, 2026 compared to the same periods in 2025 primarily due to declines in the number of domestic video subscribers. The decrease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2026 is partially offset by the impact of foreign currency.</w:t>
      </w:r>
    </w:p>
    <w:p>
      <w:pPr>
        <w:pStyle w:val="TextBody"/>
        <w:bidi w:val="0"/>
        <w:spacing w:lineRule="auto" w:line="288" w:before="60" w:after="60"/>
        <w:jc w:val="both"/>
        <w:rPr/>
      </w:pPr>
      <w:r>
        <w:rPr>
          <w:rFonts w:ascii="Helvetica;sans-serif" w:hAnsi="Helvetica;sans-serif"/>
          <w:b/>
          <w:i/>
          <w:color w:val="000000"/>
          <w:sz w:val="20"/>
        </w:rPr>
        <w:t>Other expenses</w:t>
      </w:r>
      <w:r>
        <w:rPr>
          <w:color w:val="000000"/>
        </w:rPr>
        <w:t xml:space="preserve"> </w:t>
      </w:r>
      <w:r>
        <w:rPr>
          <w:rFonts w:ascii="Times New Roman;serif" w:hAnsi="Times New Roman;serif"/>
          <w:b w:val="false"/>
          <w:color w:val="000000"/>
          <w:sz w:val="20"/>
        </w:rPr>
        <w:t>increased for the three months ended June 30, 2026 compared to the same period in 2025 primarily due to increased direct product costs mainly due to growth in our domestic wireless business, increased spending on marketing and promotion, and the impact of foreign currency.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Other expenses increased for the six months ended June 30, 2026 compared to the same period in 2025 primarily due to increased direct product costs mainly due to growth in our domestic wireless business, the impact of foreign currency, and increased spending on marketing and promotion.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Business Services Connectivity Segment Results of Operations</w:t>
      </w:r>
    </w:p>
    <w:tbl>
      <w:tblPr>
        <w:tblW w:w="8758" w:type="dxa"/>
        <w:jc w:val="left"/>
        <w:tblInd w:w="0" w:type="dxa"/>
        <w:tblLayout w:type="fixed"/>
        <w:tblCellMar>
          <w:top w:w="28" w:type="dxa"/>
          <w:left w:w="28" w:type="dxa"/>
          <w:bottom w:w="28" w:type="dxa"/>
          <w:right w:w="28" w:type="dxa"/>
        </w:tblCellMar>
      </w:tblPr>
      <w:tblGrid>
        <w:gridCol w:w="614"/>
        <w:gridCol w:w="539"/>
        <w:gridCol w:w="541"/>
        <w:gridCol w:w="211"/>
        <w:gridCol w:w="631"/>
        <w:gridCol w:w="109"/>
        <w:gridCol w:w="109"/>
        <w:gridCol w:w="109"/>
        <w:gridCol w:w="109"/>
        <w:gridCol w:w="211"/>
        <w:gridCol w:w="631"/>
        <w:gridCol w:w="109"/>
        <w:gridCol w:w="109"/>
        <w:gridCol w:w="109"/>
        <w:gridCol w:w="109"/>
        <w:gridCol w:w="210"/>
        <w:gridCol w:w="211"/>
        <w:gridCol w:w="367"/>
        <w:gridCol w:w="109"/>
        <w:gridCol w:w="109"/>
        <w:gridCol w:w="109"/>
        <w:gridCol w:w="211"/>
        <w:gridCol w:w="631"/>
        <w:gridCol w:w="109"/>
        <w:gridCol w:w="109"/>
        <w:gridCol w:w="109"/>
        <w:gridCol w:w="109"/>
        <w:gridCol w:w="211"/>
        <w:gridCol w:w="631"/>
        <w:gridCol w:w="109"/>
        <w:gridCol w:w="109"/>
        <w:gridCol w:w="109"/>
        <w:gridCol w:w="109"/>
        <w:gridCol w:w="210"/>
        <w:gridCol w:w="211"/>
        <w:gridCol w:w="41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60"/>
        <w:jc w:val="both"/>
        <w:rPr/>
      </w:pPr>
      <w:r>
        <w:rPr>
          <w:rFonts w:ascii="Helvetica;sans-serif" w:hAnsi="Helvetica;sans-serif"/>
          <w:b/>
          <w:i/>
          <w:color w:val="000000"/>
          <w:sz w:val="20"/>
        </w:rPr>
        <w:t>Business services connectivity revenue</w:t>
      </w:r>
      <w:r>
        <w:rPr>
          <w:color w:val="000000"/>
        </w:rPr>
        <w:t xml:space="preserve"> </w:t>
      </w:r>
      <w:r>
        <w:rPr>
          <w:rFonts w:ascii="Times New Roman;serif" w:hAnsi="Times New Roman;serif"/>
          <w:b w:val="false"/>
          <w:color w:val="000000"/>
          <w:sz w:val="20"/>
        </w:rPr>
        <w:t>increased for the three and six months ended June 30, 2026 compared to the same periods in 2025 primarily due to increases in revenue from enterprise solutions offerings. The increase in enterprise solutions offerings for the six</w:t>
      </w:r>
      <w:r>
        <w:rPr>
          <w:color w:val="000000"/>
          <w:shd w:fill="FFFFFF" w:val="clear"/>
        </w:rPr>
        <w:t xml:space="preserve"> </w:t>
      </w:r>
      <w:r>
        <w:rPr>
          <w:rFonts w:ascii="Times New Roman;serif" w:hAnsi="Times New Roman;serif"/>
          <w:b w:val="false"/>
          <w:color w:val="000000"/>
          <w:sz w:val="20"/>
          <w:shd w:fill="FFFFFF" w:val="clear"/>
        </w:rPr>
        <w:t>months ended June 30, 2026 reflects the A</w:t>
      </w:r>
      <w:r>
        <w:rPr>
          <w:rFonts w:ascii="Times New Roman;serif" w:hAnsi="Times New Roman;serif"/>
          <w:b w:val="false"/>
          <w:color w:val="000000"/>
          <w:sz w:val="20"/>
        </w:rPr>
        <w:t>pril 2025 acquisition of Nitel.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60"/>
        <w:jc w:val="both"/>
        <w:rPr/>
      </w:pPr>
      <w:r>
        <w:rPr>
          <w:rFonts w:ascii="Helvetica;sans-serif" w:hAnsi="Helvetica;sans-serif"/>
          <w:b/>
          <w:i/>
          <w:color w:val="000000"/>
          <w:sz w:val="20"/>
        </w:rPr>
        <w:t>Business services connectivity costs and expenses</w:t>
      </w:r>
      <w:r>
        <w:rPr>
          <w:color w:val="000000"/>
        </w:rPr>
        <w:t xml:space="preserve"> </w:t>
      </w:r>
      <w:r>
        <w:rPr>
          <w:rFonts w:ascii="Times New Roman;serif" w:hAnsi="Times New Roman;serif"/>
          <w:b w:val="false"/>
          <w:color w:val="000000"/>
          <w:sz w:val="20"/>
        </w:rPr>
        <w:t>increased for the three and six months ended June 30, 2026 compared to the same periods in 2025 primarily due to increases in marketing and promotion expenses and increases in direct product costs. The increase in direct product costs for the six</w:t>
      </w:r>
      <w:r>
        <w:rPr>
          <w:color w:val="000000"/>
          <w:shd w:fill="FFFFFF" w:val="clear"/>
        </w:rPr>
        <w:t xml:space="preserve"> </w:t>
      </w:r>
      <w:r>
        <w:rPr>
          <w:rFonts w:ascii="Times New Roman;serif" w:hAnsi="Times New Roman;serif"/>
          <w:b w:val="false"/>
          <w:color w:val="000000"/>
          <w:sz w:val="20"/>
          <w:shd w:fill="FFFFFF" w:val="clear"/>
        </w:rPr>
        <w:t>months ended June 30, 2026 reflects the A</w:t>
      </w:r>
      <w:r>
        <w:rPr>
          <w:rFonts w:ascii="Times New Roman;serif" w:hAnsi="Times New Roman;serif"/>
          <w:b w:val="false"/>
          <w:color w:val="000000"/>
          <w:sz w:val="20"/>
        </w:rPr>
        <w:t>pril 2025 acquisition of Nitel.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Content &amp; Experiences Results of Operations</w:t>
      </w:r>
    </w:p>
    <w:tbl>
      <w:tblPr>
        <w:tblW w:w="10205" w:type="dxa"/>
        <w:jc w:val="center"/>
        <w:tblInd w:w="0" w:type="dxa"/>
        <w:tblLayout w:type="fixed"/>
        <w:tblCellMar>
          <w:top w:w="28" w:type="dxa"/>
          <w:left w:w="28" w:type="dxa"/>
          <w:bottom w:w="28" w:type="dxa"/>
          <w:right w:w="28" w:type="dxa"/>
        </w:tblCellMar>
      </w:tblPr>
      <w:tblGrid>
        <w:gridCol w:w="1395"/>
        <w:gridCol w:w="1038"/>
        <w:gridCol w:w="983"/>
        <w:gridCol w:w="211"/>
        <w:gridCol w:w="736"/>
        <w:gridCol w:w="109"/>
        <w:gridCol w:w="211"/>
        <w:gridCol w:w="631"/>
        <w:gridCol w:w="109"/>
        <w:gridCol w:w="307"/>
        <w:gridCol w:w="309"/>
        <w:gridCol w:w="367"/>
        <w:gridCol w:w="109"/>
        <w:gridCol w:w="109"/>
        <w:gridCol w:w="109"/>
        <w:gridCol w:w="211"/>
        <w:gridCol w:w="736"/>
        <w:gridCol w:w="109"/>
        <w:gridCol w:w="211"/>
        <w:gridCol w:w="736"/>
        <w:gridCol w:w="109"/>
        <w:gridCol w:w="109"/>
        <w:gridCol w:w="109"/>
        <w:gridCol w:w="109"/>
        <w:gridCol w:w="306"/>
        <w:gridCol w:w="310"/>
        <w:gridCol w:w="417"/>
      </w:tblGrid>
      <w:tr>
        <w:trPr/>
        <w:tc>
          <w:tcPr>
            <w:tcW w:w="139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3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Studios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Theme Parks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Headquarters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Content &amp; Experiences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41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Adjusted EBITDA</w:t>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Studios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Theme Parks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Headquarters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1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Content &amp; Experiences Adjusted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4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96" w:after="108"/>
        <w:jc w:val="both"/>
        <w:rPr>
          <w:rFonts w:ascii="Times New Roman;serif" w:hAnsi="Times New Roman;serif"/>
          <w:b w:val="false"/>
          <w:color w:val="000000"/>
          <w:sz w:val="20"/>
        </w:rPr>
      </w:pPr>
      <w:r>
        <w:rPr>
          <w:rFonts w:ascii="Times New Roman;serif" w:hAnsi="Times New Roman;serif"/>
          <w:b w:val="false"/>
          <w:color w:val="000000"/>
          <w:sz w:val="20"/>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growth in both paid subscribers and advertising revenue at Peacock. We expect to continue to incur significant costs related to content and marketing at Peacock. Revenue and programming expenses are also impacted by the timing of certain sporting events, including the Milan Cortina Olympics, Super Bowl and FIFA World Cup in the current year period and the NBA season beginning in the fourth quarter of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Studios segment generates revenue primarily from third parties and from licensing content to our Media segment. While the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continue to invest significantly in existing and new theme park attractions, hotels and infrastructure, including Epic Universe in Orlando, which opened in May 2025, as well as in new destinations and experiences, including Universal United Kingdom Resort, a theme park and resort with a projected opening date in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136" w:after="283"/>
        <w:jc w:val="left"/>
        <w:rPr>
          <w:rFonts w:ascii="Helvetica;sans-serif" w:hAnsi="Helvetica;sans-serif"/>
          <w:b/>
          <w:color w:val="000000"/>
          <w:sz w:val="24"/>
        </w:rPr>
      </w:pPr>
      <w:r>
        <w:rPr>
          <w:rFonts w:ascii="Helvetica;sans-serif" w:hAnsi="Helvetica;sans-serif"/>
          <w:b/>
          <w:color w:val="000000"/>
          <w:sz w:val="24"/>
        </w:rPr>
        <w:t>Media Segment Results of Operations</w:t>
      </w:r>
    </w:p>
    <w:tbl>
      <w:tblPr>
        <w:tblW w:w="8528" w:type="dxa"/>
        <w:jc w:val="center"/>
        <w:tblInd w:w="0" w:type="dxa"/>
        <w:tblLayout w:type="fixed"/>
        <w:tblCellMar>
          <w:top w:w="28" w:type="dxa"/>
          <w:left w:w="28" w:type="dxa"/>
          <w:bottom w:w="28" w:type="dxa"/>
          <w:right w:w="28" w:type="dxa"/>
        </w:tblCellMar>
      </w:tblPr>
      <w:tblGrid>
        <w:gridCol w:w="1006"/>
        <w:gridCol w:w="777"/>
        <w:gridCol w:w="721"/>
        <w:gridCol w:w="211"/>
        <w:gridCol w:w="616"/>
        <w:gridCol w:w="109"/>
        <w:gridCol w:w="211"/>
        <w:gridCol w:w="616"/>
        <w:gridCol w:w="109"/>
        <w:gridCol w:w="291"/>
        <w:gridCol w:w="294"/>
        <w:gridCol w:w="367"/>
        <w:gridCol w:w="109"/>
        <w:gridCol w:w="109"/>
        <w:gridCol w:w="109"/>
        <w:gridCol w:w="211"/>
        <w:gridCol w:w="616"/>
        <w:gridCol w:w="109"/>
        <w:gridCol w:w="211"/>
        <w:gridCol w:w="616"/>
        <w:gridCol w:w="109"/>
        <w:gridCol w:w="291"/>
        <w:gridCol w:w="294"/>
        <w:gridCol w:w="416"/>
      </w:tblGrid>
      <w:tr>
        <w:trPr/>
        <w:tc>
          <w:tcPr>
            <w:tcW w:w="100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advertising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distribution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networks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(64.3)</w:t>
            </w:r>
          </w:p>
        </w:tc>
        <w:tc>
          <w:tcPr>
            <w:tcW w:w="4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96" w:after="108"/>
        <w:jc w:val="left"/>
        <w:rPr>
          <w:rFonts w:ascii="Helvetica;sans-serif" w:hAnsi="Helvetica;sans-serif"/>
          <w:b/>
          <w:color w:val="000000"/>
          <w:sz w:val="20"/>
        </w:rPr>
      </w:pPr>
      <w:r>
        <w:rPr>
          <w:rFonts w:ascii="Helvetica;sans-serif" w:hAnsi="Helvetica;sans-serif"/>
          <w:b/>
          <w:color w:val="000000"/>
          <w:sz w:val="20"/>
        </w:rPr>
        <w:t>Media Segment – Revenue</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Revenue increased for the three months ended June 30, 2026 compared to the same period in 2025, including the impact of the FIFA World Cup in the second quarter of 2026. Revenue increased for the six months ended June 30, 2026 compared to the same period in 2025 primarily due to the Milan Cortina Olympics, Super Bowl and FIFA World Cup. Excluding incremental revenue associated with these events, revenue for the three and six months ended June 30, 2026 increased primarily due to increases in domestic distribution, domestic advertising and international networks revenue.</w:t>
      </w:r>
    </w:p>
    <w:tbl>
      <w:tblPr>
        <w:tblW w:w="10205" w:type="dxa"/>
        <w:jc w:val="left"/>
        <w:tblInd w:w="0" w:type="dxa"/>
        <w:tblLayout w:type="fixed"/>
        <w:tblCellMar>
          <w:top w:w="28" w:type="dxa"/>
          <w:left w:w="28" w:type="dxa"/>
          <w:bottom w:w="28" w:type="dxa"/>
          <w:right w:w="28" w:type="dxa"/>
        </w:tblCellMar>
      </w:tblPr>
      <w:tblGrid>
        <w:gridCol w:w="1598"/>
        <w:gridCol w:w="1281"/>
        <w:gridCol w:w="1253"/>
        <w:gridCol w:w="211"/>
        <w:gridCol w:w="631"/>
        <w:gridCol w:w="109"/>
        <w:gridCol w:w="211"/>
        <w:gridCol w:w="631"/>
        <w:gridCol w:w="109"/>
        <w:gridCol w:w="263"/>
        <w:gridCol w:w="263"/>
        <w:gridCol w:w="367"/>
        <w:gridCol w:w="109"/>
        <w:gridCol w:w="109"/>
        <w:gridCol w:w="109"/>
        <w:gridCol w:w="211"/>
        <w:gridCol w:w="736"/>
        <w:gridCol w:w="109"/>
        <w:gridCol w:w="211"/>
        <w:gridCol w:w="631"/>
        <w:gridCol w:w="109"/>
        <w:gridCol w:w="263"/>
        <w:gridCol w:w="263"/>
        <w:gridCol w:w="418"/>
      </w:tblGrid>
      <w:tr>
        <w:trPr/>
        <w:tc>
          <w:tcPr>
            <w:tcW w:w="159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Olympics, Super Bowl, and FIFA World Cup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revenue, excluding Olympics, Super Bowl and FIFA World Cup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5,250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4,543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15.6</w:t>
            </w: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10,352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9,069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14.1</w:t>
            </w: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4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domestic advertising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w:t>
            </w: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96.2</w:t>
            </w: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Olympics, Super Bowl, and FIFA World Cup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Domestic advertising revenue, excluding Olympics, Super Bowl and FIFA World Cup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1,723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23.5</w:t>
            </w: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3,259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2,863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13.8</w:t>
            </w: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4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domestic distribution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w:t>
            </w:r>
            <w:r>
              <w:rPr>
                <w:color w:val="000000"/>
              </w:rPr>
              <w:t>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Olympics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13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Domestic distribution revenue, excluding Olympics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1,993</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1,632</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22.1</w:t>
            </w:r>
            <w:r>
              <w:rPr>
                <w:color w:val="000000"/>
              </w:rPr>
              <w:t> </w:t>
            </w:r>
          </w:p>
        </w:tc>
        <w:tc>
          <w:tcPr>
            <w:tcW w:w="3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4,014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3,299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21.7</w:t>
            </w:r>
            <w:r>
              <w:rPr>
                <w:color w:val="000000"/>
              </w:rPr>
              <w:t> </w:t>
            </w:r>
          </w:p>
        </w:tc>
        <w:tc>
          <w:tcPr>
            <w:tcW w:w="4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0" w:after="60"/>
        <w:jc w:val="both"/>
        <w:rPr/>
      </w:pPr>
      <w:r>
        <w:rPr>
          <w:rFonts w:ascii="Helvetica;sans-serif" w:hAnsi="Helvetica;sans-serif"/>
          <w:b/>
          <w:i/>
          <w:color w:val="000000"/>
          <w:sz w:val="20"/>
        </w:rPr>
        <w:t>Domestic advertising revenue</w:t>
      </w:r>
      <w:r>
        <w:rPr>
          <w:color w:val="000000"/>
        </w:rPr>
        <w:t xml:space="preserve"> </w:t>
      </w:r>
      <w:r>
        <w:rPr>
          <w:rFonts w:ascii="Times New Roman;serif" w:hAnsi="Times New Roman;serif"/>
          <w:b w:val="false"/>
          <w:color w:val="000000"/>
          <w:sz w:val="20"/>
        </w:rPr>
        <w:t>primarily consists of revenue generated from sales of advertising on our linear television networks operating predominantly in the United States and on Peacock.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Domestic advertising revenue increased for the three months ended June 30, 2026 compared to the same period in 2025, including the impact of the FIFA World Cup. Excluding the incremental revenue associated with this event, domestic advertising revenue increased for the three months ended June 30, 2026 primarily due to an increase in revenue at our linear television networks and an increase in revenue at Peacock.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Domestic advertising revenue increased for the six months ended June 30, 2026 compared to the same period in 2025 primarily due to the Milan Cortina Olympics, Super Bowl and FIFA World Cup. Excluding the incremental revenue associated with these events, domestic advertising revenue increased for the six months ended June 30, 2026 primarily due to an increase in revenue at Peacock and an increase in revenue at our linear television networks.</w:t>
      </w:r>
    </w:p>
    <w:p>
      <w:pPr>
        <w:pStyle w:val="TextBody"/>
        <w:bidi w:val="0"/>
        <w:spacing w:lineRule="auto" w:line="288" w:before="60" w:after="60"/>
        <w:jc w:val="both"/>
        <w:rPr/>
      </w:pPr>
      <w:r>
        <w:rPr>
          <w:rFonts w:ascii="Helvetica;sans-serif" w:hAnsi="Helvetica;sans-serif"/>
          <w:b/>
          <w:i/>
          <w:color w:val="000000"/>
          <w:sz w:val="20"/>
        </w:rPr>
        <w:t>Domestic distribution revenue</w:t>
      </w:r>
      <w:r>
        <w:rPr>
          <w:color w:val="000000"/>
        </w:rPr>
        <w:t xml:space="preserve"> </w:t>
      </w:r>
      <w:r>
        <w:rPr>
          <w:rFonts w:ascii="Times New Roman;serif" w:hAnsi="Times New Roman;serif"/>
          <w:b w:val="false"/>
          <w:color w:val="000000"/>
          <w:sz w:val="20"/>
        </w:rPr>
        <w:t>primarily consists of revenue generated from Peacock subscription fees and from the distribution of our television networks operating predominantly in the United States to traditional and virtual multichannel video providers, and from NBC-affiliated and Telemundo-affiliated local broadcast television stations.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Domestic distribution revenue increased for the three months ended June 30, 2026 compared to the same period in 2025 primarily due to an increase in revenue at Peacock driven by higher average rates and an increase in paid subscribers compared to the prior year period, partially offset by a decrease in revenue at our linear television networks. The decrease at our linear television networks was primarily due to a decline in the number of subscribers, partially offset by contractual rate increases.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Domestic distribution revenue increased for the six months ended June 30, 2026 compared to the same period in 2025, including the impact of the Milan Cortina Olympics in the first quarter of 2026. Excluding the incremental revenue associated with this event, domestic distribution revenue increased for the six months ended June 30, 2026 primarily due to an increase in revenue at Peacock driven by higher average rates and an increase in paid subscribers compared to the prior year period, partially offset by a decrease in revenue at our linear television networks. The decrease at our linear television networks was primarily due to a decline in the number of subscribers, partially offset by contractual rate increases.</w:t>
      </w:r>
    </w:p>
    <w:p>
      <w:pPr>
        <w:pStyle w:val="TextBody"/>
        <w:bidi w:val="0"/>
        <w:spacing w:lineRule="auto" w:line="288" w:before="60" w:after="60"/>
        <w:jc w:val="both"/>
        <w:rPr/>
      </w:pPr>
      <w:r>
        <w:rPr>
          <w:rFonts w:ascii="Helvetica;sans-serif" w:hAnsi="Helvetica;sans-serif"/>
          <w:b/>
          <w:i/>
          <w:color w:val="000000"/>
          <w:sz w:val="20"/>
        </w:rPr>
        <w:t>International networks revenue</w:t>
      </w:r>
      <w:r>
        <w:rPr>
          <w:color w:val="000000"/>
        </w:rPr>
        <w:t xml:space="preserve"> </w:t>
      </w:r>
      <w:r>
        <w:rPr>
          <w:rFonts w:ascii="Times New Roman;serif" w:hAnsi="Times New Roman;serif"/>
          <w:b w:val="false"/>
          <w:color w:val="000000"/>
          <w:sz w:val="20"/>
        </w:rPr>
        <w:t>primarily consists of revenue generated by our networks operating predominantly outside the United States, including</w:t>
      </w:r>
      <w:r>
        <w:rPr>
          <w:color w:val="000000"/>
          <w:shd w:fill="FFFFFF" w:val="clear"/>
        </w:rPr>
        <w:t xml:space="preserve"> </w:t>
      </w:r>
      <w:r>
        <w:rPr>
          <w:rFonts w:ascii="Times New Roman;serif" w:hAnsi="Times New Roman;serif"/>
          <w:b w:val="false"/>
          <w:color w:val="000000"/>
          <w:sz w:val="20"/>
          <w:shd w:fill="FFFFFF" w:val="clear"/>
        </w:rPr>
        <w:t xml:space="preserve">the Sky Sports networks in the United Kingdom and Italy. This revenue primarily results from the distribution of our television networks to traditional and virtual multichannel video providers and other platforms, as well as sales of advertising. A significant portion of this revenue comes from the Residential Connectivity &amp; Platforms segment.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International networks revenue increased for the three and six months ended June 30, 2026 compared to the same periods in 2025 primarily due to the positive impact of foreign currency.</w:t>
      </w:r>
    </w:p>
    <w:p>
      <w:pPr>
        <w:pStyle w:val="TextBody"/>
        <w:bidi w:val="0"/>
        <w:spacing w:lineRule="auto" w:line="288" w:before="60" w:after="60"/>
        <w:jc w:val="both"/>
        <w:rPr/>
      </w:pPr>
      <w:r>
        <w:rPr>
          <w:rFonts w:ascii="Helvetica;sans-serif" w:hAnsi="Helvetica;sans-serif"/>
          <w:b/>
          <w:i/>
          <w:color w:val="000000"/>
          <w:sz w:val="20"/>
        </w:rPr>
        <w:t xml:space="preserve">Other revenue </w:t>
      </w:r>
      <w:r>
        <w:rPr>
          <w:rFonts w:ascii="Times New Roman;serif" w:hAnsi="Times New Roman;serif"/>
          <w:b w:val="false"/>
          <w:color w:val="000000"/>
          <w:sz w:val="20"/>
        </w:rPr>
        <w:t>primarily consists of revenue generated from the licensing of our owned content and revenue generated from the commission earned from our commercial services agreement with Versant.</w:t>
      </w:r>
    </w:p>
    <w:p>
      <w:pPr>
        <w:pStyle w:val="TextBody"/>
        <w:bidi w:val="0"/>
        <w:spacing w:lineRule="auto" w:line="288" w:before="60" w:after="120"/>
        <w:ind w:left="0" w:right="0" w:firstLine="99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Media segment total revenue included $1.9 billion and $4.0 billion related to Peacock for the three and six months ended June 30, 2026, respectively, including amounts related to the FIFA World Cup for the three months ended June 30, 2026 and to the Milan Cortina Olympics, Super Bowl, and FIFA World Cup for the six months ended June 30, 2026. Media segment total revenue included $1.2 billion and $2.5 billion related to Peacock for the three and six months ended June 30, 2025, respectively. Peacock revenue includes advertising, distribution and other revenue for our Peacock DTC streaming service, as well as distribution and advertising revenue from NBC Sports Network due to shared programming. We had 48 million and 41 million paid subscribers of Peacock as of June 30, 2026 and 2025, respectively. Peacock paid subscribers represent customers from which we recognize distribution revenue from the Peacock service,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w:t>
      </w:r>
    </w:p>
    <w:p>
      <w:pPr>
        <w:pStyle w:val="TextBody"/>
        <w:bidi w:val="0"/>
        <w:spacing w:lineRule="auto" w:line="288" w:before="60" w:after="120"/>
        <w:jc w:val="both"/>
        <w:rPr>
          <w:rFonts w:ascii="Helvetica;sans-serif" w:hAnsi="Helvetica;sans-serif"/>
          <w:b/>
          <w:color w:val="000000"/>
          <w:sz w:val="20"/>
          <w:shd w:fill="FFFFFF" w:val="clear"/>
        </w:rPr>
      </w:pPr>
      <w:r>
        <w:rPr>
          <w:rFonts w:ascii="Helvetica;sans-serif" w:hAnsi="Helvetica;sans-serif"/>
          <w:b/>
          <w:color w:val="000000"/>
          <w:sz w:val="20"/>
          <w:shd w:fill="FFFFFF" w:val="clear"/>
        </w:rPr>
        <w:t>Media Segment – Costs and Expenses</w:t>
      </w:r>
    </w:p>
    <w:p>
      <w:pPr>
        <w:pStyle w:val="TextBody"/>
        <w:bidi w:val="0"/>
        <w:spacing w:lineRule="auto" w:line="288" w:before="60" w:after="60"/>
        <w:jc w:val="both"/>
        <w:rPr/>
      </w:pPr>
      <w:r>
        <w:rPr>
          <w:rFonts w:ascii="Helvetica;sans-serif" w:hAnsi="Helvetica;sans-serif"/>
          <w:b/>
          <w:i/>
          <w:color w:val="000000"/>
          <w:sz w:val="20"/>
        </w:rPr>
        <w:t xml:space="preserve">Programming and production costs </w:t>
      </w:r>
      <w:r>
        <w:rPr>
          <w:rFonts w:ascii="Times New Roman;serif" w:hAnsi="Times New Roman;serif"/>
          <w:b w:val="false"/>
          <w:color w:val="000000"/>
          <w:sz w:val="20"/>
        </w:rPr>
        <w:t>primarily consists of the amortization of owned and licensed content, including sports rights, direct production costs, production overhead, on-air talent costs and costs associated with the distribution of our television networks to multichannel video providers.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Programming and production costs increased for the three months ended June 30, 2026 compared to the same period in 2025 primarily due to the impact of NBA rights and costs associated with the FIFA World Cup in the current year period.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Programming and production costs increased for the six months ended June 30, 2026 compared to the same period in 2025 primarily due to costs associated with the Milan Cortina Olympics, Super Bowl and FIFA World Cup and an increase due to the impact of NBA rights in the current year period.</w:t>
      </w:r>
    </w:p>
    <w:p>
      <w:pPr>
        <w:pStyle w:val="TextBody"/>
        <w:bidi w:val="0"/>
        <w:spacing w:lineRule="auto" w:line="288" w:before="60" w:after="60"/>
        <w:jc w:val="both"/>
        <w:rPr/>
      </w:pPr>
      <w:r>
        <w:rPr>
          <w:rFonts w:ascii="Helvetica;sans-serif" w:hAnsi="Helvetica;sans-serif"/>
          <w:b/>
          <w:i/>
          <w:color w:val="000000"/>
          <w:sz w:val="20"/>
        </w:rPr>
        <w:t>Marketing and promotion expenses</w:t>
      </w:r>
      <w:r>
        <w:rPr>
          <w:color w:val="000000"/>
        </w:rPr>
        <w:t xml:space="preserve"> </w:t>
      </w:r>
      <w:r>
        <w:rPr>
          <w:rFonts w:ascii="Times New Roman;serif" w:hAnsi="Times New Roman;serif"/>
          <w:b w:val="false"/>
          <w:color w:val="000000"/>
          <w:sz w:val="20"/>
        </w:rPr>
        <w:t>primarily consists of the costs associated with promoting Peacock and our television networks.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Marketing and promotion expenses increased for the three months ended June 30, 2026 compared to the same period in 2025 primarily due to higher costs associated with the FIFA World Cup, partially offset by lower costs related to marketing for Peacock.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Marketing and promotion expenses increased for the six months ended June 30, 2026 compared to the same period in 2025 primarily due to higher costs associated with the Milan Cortina Olympics and FIFA World Cup, and higher costs related to marketing for Peacock.</w:t>
      </w:r>
    </w:p>
    <w:p>
      <w:pPr>
        <w:pStyle w:val="TextBody"/>
        <w:bidi w:val="0"/>
        <w:spacing w:lineRule="auto" w:line="288" w:before="60" w:after="60"/>
        <w:jc w:val="both"/>
        <w:rPr/>
      </w:pPr>
      <w:r>
        <w:rPr>
          <w:rFonts w:ascii="Helvetica;sans-serif" w:hAnsi="Helvetica;sans-serif"/>
          <w:b/>
          <w:i/>
          <w:color w:val="000000"/>
          <w:sz w:val="20"/>
        </w:rPr>
        <w:t>Other expenses</w:t>
      </w:r>
      <w:r>
        <w:rPr>
          <w:color w:val="000000"/>
        </w:rPr>
        <w:t xml:space="preserve"> </w:t>
      </w:r>
      <w:r>
        <w:rPr>
          <w:rFonts w:ascii="Times New Roman;serif" w:hAnsi="Times New Roman;serif"/>
          <w:b w:val="false"/>
          <w:color w:val="000000"/>
          <w:sz w:val="20"/>
        </w:rPr>
        <w:t>primarily consists of salaries, employee benefits, rent and other overhead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expenses increased for the three months ended June 30, 2026 compared to the same period in 2025 primarily due to an increase in costs related to Peacock.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Other expenses increased for the six months ended June 30, 2026 compared to the same period in 2025 primarily due to an increase in costs related to Peacock and increases in costs related to the Milan Cortina Olympics and Super Bowl.</w:t>
      </w:r>
    </w:p>
    <w:p>
      <w:pPr>
        <w:pStyle w:val="TextBody"/>
        <w:bidi w:val="0"/>
        <w:spacing w:lineRule="auto" w:line="288" w:before="60" w:after="120"/>
        <w:ind w:left="0" w:right="0" w:firstLine="99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60" w:after="120"/>
        <w:jc w:val="both"/>
        <w:rPr/>
      </w:pPr>
      <w:r>
        <w:rPr>
          <w:rFonts w:ascii="Times New Roman;serif" w:hAnsi="Times New Roman;serif"/>
          <w:b w:val="false"/>
          <w:color w:val="000000"/>
          <w:sz w:val="20"/>
        </w:rPr>
        <w:t xml:space="preserve">Media segment total costs and expenses included $1.7 billion and $4.2 billion related to Peacock for the three and six months ended June 30, 2026, respectively, including amounts related to the FIFA World Cup for the three months ended June 30, 2026 and to the Milan Cortina Olympics, Super Bowl, and FIFA World Cup for the six months ended June 30, 2026. Media segment total costs and expenses included $1.3 billion and $2.8 billion </w:t>
      </w:r>
      <w:r>
        <w:rPr>
          <w:rFonts w:ascii="Times New Roman;serif" w:hAnsi="Times New Roman;serif"/>
          <w:b w:val="false"/>
          <w:color w:val="000000"/>
          <w:sz w:val="20"/>
          <w:shd w:fill="FFFFFF" w:val="clear"/>
        </w:rPr>
        <w:t xml:space="preserve">related to Peacock for the </w:t>
      </w:r>
      <w:r>
        <w:rPr>
          <w:rFonts w:ascii="Times New Roman;serif" w:hAnsi="Times New Roman;serif"/>
          <w:b w:val="false"/>
          <w:color w:val="000000"/>
          <w:sz w:val="20"/>
        </w:rPr>
        <w:t>three and six months ended June 30, 2025, respectively</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Studios Segment Results of Operations</w:t>
      </w:r>
    </w:p>
    <w:tbl>
      <w:tblPr>
        <w:tblW w:w="8559" w:type="dxa"/>
        <w:jc w:val="left"/>
        <w:tblInd w:w="0" w:type="dxa"/>
        <w:tblLayout w:type="fixed"/>
        <w:tblCellMar>
          <w:top w:w="28" w:type="dxa"/>
          <w:left w:w="28" w:type="dxa"/>
          <w:bottom w:w="28" w:type="dxa"/>
          <w:right w:w="28" w:type="dxa"/>
        </w:tblCellMar>
      </w:tblPr>
      <w:tblGrid>
        <w:gridCol w:w="908"/>
        <w:gridCol w:w="797"/>
        <w:gridCol w:w="800"/>
        <w:gridCol w:w="211"/>
        <w:gridCol w:w="616"/>
        <w:gridCol w:w="109"/>
        <w:gridCol w:w="211"/>
        <w:gridCol w:w="616"/>
        <w:gridCol w:w="109"/>
        <w:gridCol w:w="291"/>
        <w:gridCol w:w="294"/>
        <w:gridCol w:w="351"/>
        <w:gridCol w:w="109"/>
        <w:gridCol w:w="109"/>
        <w:gridCol w:w="109"/>
        <w:gridCol w:w="211"/>
        <w:gridCol w:w="616"/>
        <w:gridCol w:w="109"/>
        <w:gridCol w:w="211"/>
        <w:gridCol w:w="616"/>
        <w:gridCol w:w="109"/>
        <w:gridCol w:w="314"/>
        <w:gridCol w:w="317"/>
        <w:gridCol w:w="416"/>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125.9</w:t>
            </w:r>
            <w:r>
              <w:rPr>
                <w:color w:val="000000"/>
              </w:rPr>
              <w:t> </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60" w:after="283"/>
        <w:jc w:val="left"/>
        <w:rPr/>
      </w:pPr>
      <w:r>
        <w:rPr>
          <w:rFonts w:ascii="Helvetica;sans-serif" w:hAnsi="Helvetica;sans-serif"/>
          <w:b/>
          <w:color w:val="000000"/>
          <w:sz w:val="20"/>
        </w:rPr>
        <w:t>Studios Seg</w:t>
      </w:r>
      <w:r>
        <w:rPr>
          <w:rFonts w:ascii="Helvetica;sans-serif" w:hAnsi="Helvetica;sans-serif"/>
          <w:b/>
          <w:color w:val="000000"/>
          <w:sz w:val="20"/>
          <w:shd w:fill="FFFFFF" w:val="clear"/>
        </w:rPr>
        <w:t>ment – Revenue</w:t>
      </w:r>
    </w:p>
    <w:p>
      <w:pPr>
        <w:pStyle w:val="TextBody"/>
        <w:bidi w:val="0"/>
        <w:spacing w:lineRule="auto" w:line="288" w:before="60" w:after="283"/>
        <w:jc w:val="both"/>
        <w:rPr/>
      </w:pPr>
      <w:r>
        <w:rPr>
          <w:rFonts w:ascii="Helvetica;sans-serif" w:hAnsi="Helvetica;sans-serif"/>
          <w:b/>
          <w:i/>
          <w:color w:val="000000"/>
          <w:sz w:val="20"/>
        </w:rPr>
        <w:t>Content licensing revenue</w:t>
      </w:r>
      <w:r>
        <w:rPr>
          <w:color w:val="000000"/>
        </w:rPr>
        <w:t xml:space="preserve"> </w:t>
      </w:r>
      <w:r>
        <w:rPr>
          <w:rFonts w:ascii="Times New Roman;serif" w:hAnsi="Times New Roman;serif"/>
          <w:b w:val="false"/>
          <w:color w:val="000000"/>
          <w:sz w:val="20"/>
        </w:rPr>
        <w:t xml:space="preserve">was consistent for the three months ended </w:t>
      </w:r>
      <w:r>
        <w:rPr>
          <w:rFonts w:ascii="Times New Roman;serif" w:hAnsi="Times New Roman;serif"/>
          <w:b w:val="false"/>
          <w:color w:val="000000"/>
          <w:sz w:val="20"/>
          <w:shd w:fill="FFFFFF" w:val="clear"/>
        </w:rPr>
        <w:t xml:space="preserve">June 30, 2026 compared to the same period in 2025 </w:t>
      </w:r>
      <w:r>
        <w:rPr>
          <w:rFonts w:ascii="Times New Roman;serif" w:hAnsi="Times New Roman;serif"/>
          <w:b w:val="false"/>
          <w:color w:val="000000"/>
          <w:sz w:val="20"/>
        </w:rPr>
        <w:t xml:space="preserve">primarily due to the timing of when content was made available by our film studios, offset by the timing of when content was made available by our television studios under licensing agreements. </w:t>
      </w:r>
    </w:p>
    <w:p>
      <w:pPr>
        <w:pStyle w:val="TextBody"/>
        <w:bidi w:val="0"/>
        <w:spacing w:lineRule="auto" w:line="288" w:before="60" w:after="283"/>
        <w:jc w:val="both"/>
        <w:rPr/>
      </w:pPr>
      <w:r>
        <w:rPr>
          <w:rFonts w:ascii="Times New Roman;serif" w:hAnsi="Times New Roman;serif"/>
          <w:b w:val="false"/>
          <w:color w:val="000000"/>
          <w:sz w:val="20"/>
        </w:rPr>
        <w:t xml:space="preserve">Content licensing revenue increased for the six months ended </w:t>
      </w:r>
      <w:r>
        <w:rPr>
          <w:rFonts w:ascii="Times New Roman;serif" w:hAnsi="Times New Roman;serif"/>
          <w:b w:val="false"/>
          <w:color w:val="000000"/>
          <w:sz w:val="20"/>
          <w:shd w:fill="FFFFFF" w:val="clear"/>
        </w:rPr>
        <w:t xml:space="preserve">June 30, 2026 compared to the same period in 2025 </w:t>
      </w:r>
      <w:r>
        <w:rPr>
          <w:rFonts w:ascii="Times New Roman;serif" w:hAnsi="Times New Roman;serif"/>
          <w:b w:val="false"/>
          <w:color w:val="000000"/>
          <w:sz w:val="20"/>
        </w:rPr>
        <w:t>primarily due to the timing of when content was made available by our television studios under licensing agreements, mostly driven by a renewed licensing agreement for content exclusively available for streaming on Peacock in the current year period.</w:t>
      </w:r>
    </w:p>
    <w:p>
      <w:pPr>
        <w:pStyle w:val="TextBody"/>
        <w:bidi w:val="0"/>
        <w:spacing w:lineRule="auto" w:line="288" w:before="60" w:after="60"/>
        <w:jc w:val="both"/>
        <w:rPr/>
      </w:pPr>
      <w:r>
        <w:rPr>
          <w:rFonts w:ascii="Helvetica;sans-serif" w:hAnsi="Helvetica;sans-serif"/>
          <w:b/>
          <w:i/>
          <w:color w:val="000000"/>
          <w:sz w:val="20"/>
        </w:rPr>
        <w:t>Theatrical revenue</w:t>
      </w:r>
      <w:r>
        <w:rPr>
          <w:color w:val="000000"/>
        </w:rPr>
        <w:t xml:space="preserve"> </w:t>
      </w:r>
      <w:r>
        <w:rPr>
          <w:rFonts w:ascii="Times New Roman;serif" w:hAnsi="Times New Roman;serif"/>
          <w:b w:val="false"/>
          <w:color w:val="000000"/>
          <w:sz w:val="20"/>
        </w:rPr>
        <w:t xml:space="preserve">increased for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three and six months ended </w:t>
      </w:r>
      <w:r>
        <w:rPr>
          <w:rFonts w:ascii="Times New Roman;serif" w:hAnsi="Times New Roman;serif"/>
          <w:b w:val="false"/>
          <w:color w:val="000000"/>
          <w:sz w:val="20"/>
          <w:shd w:fill="FFFFFF" w:val="clear"/>
        </w:rPr>
        <w:t xml:space="preserve">June 30, 2026 compared to the same periods in 2025 primarily due to higher revenue from recent releases, including </w:t>
      </w:r>
      <w:r>
        <w:rPr>
          <w:rFonts w:ascii="Times New Roman;serif" w:hAnsi="Times New Roman;serif"/>
          <w:b w:val="false"/>
          <w:i/>
          <w:color w:val="000000"/>
          <w:sz w:val="20"/>
          <w:shd w:fill="FFFFFF" w:val="clear"/>
        </w:rPr>
        <w:t xml:space="preserve">The Super Mario Galaxy Movie, Obsession </w:t>
      </w:r>
      <w:r>
        <w:rPr>
          <w:rFonts w:ascii="Times New Roman;serif" w:hAnsi="Times New Roman;serif"/>
          <w:b w:val="false"/>
          <w:color w:val="000000"/>
          <w:sz w:val="20"/>
          <w:shd w:fill="FFFFFF" w:val="clear"/>
        </w:rPr>
        <w:t>and the international distribution of</w:t>
      </w:r>
      <w:r>
        <w:rPr>
          <w:color w:val="000000"/>
          <w:shd w:fill="FFFFFF" w:val="clear"/>
        </w:rPr>
        <w:t xml:space="preserve"> </w:t>
      </w:r>
      <w:r>
        <w:rPr>
          <w:rFonts w:ascii="Times New Roman;serif" w:hAnsi="Times New Roman;serif"/>
          <w:b w:val="false"/>
          <w:i/>
          <w:color w:val="000000"/>
          <w:sz w:val="20"/>
          <w:shd w:fill="FFFFFF" w:val="clear"/>
        </w:rPr>
        <w:t>Michael</w:t>
      </w:r>
      <w:r>
        <w:rPr>
          <w:rFonts w:ascii="Times New Roman;serif" w:hAnsi="Times New Roman;serif"/>
          <w:b w:val="false"/>
          <w:color w:val="000000"/>
          <w:sz w:val="20"/>
          <w:shd w:fill="FFFFFF" w:val="clear"/>
        </w:rPr>
        <w:t>, compared to revenue from releases impacting the prior year period.</w:t>
      </w:r>
    </w:p>
    <w:p>
      <w:pPr>
        <w:pStyle w:val="TextBody"/>
        <w:bidi w:val="0"/>
        <w:spacing w:lineRule="auto" w:line="288" w:before="60" w:after="283"/>
        <w:jc w:val="left"/>
        <w:rPr>
          <w:rFonts w:ascii="Helvetica;sans-serif" w:hAnsi="Helvetica;sans-serif"/>
          <w:b/>
          <w:color w:val="000000"/>
          <w:sz w:val="20"/>
          <w:shd w:fill="FFFFFF" w:val="clear"/>
        </w:rPr>
      </w:pPr>
      <w:r>
        <w:rPr>
          <w:rFonts w:ascii="Helvetica;sans-serif" w:hAnsi="Helvetica;sans-serif"/>
          <w:b/>
          <w:color w:val="000000"/>
          <w:sz w:val="20"/>
          <w:shd w:fill="FFFFFF" w:val="clear"/>
        </w:rPr>
        <w:t>Studios Segment – Costs and Expenses</w:t>
      </w:r>
    </w:p>
    <w:p>
      <w:pPr>
        <w:pStyle w:val="TextBody"/>
        <w:bidi w:val="0"/>
        <w:spacing w:lineRule="auto" w:line="288" w:before="60" w:after="283"/>
        <w:jc w:val="both"/>
        <w:rPr/>
      </w:pPr>
      <w:r>
        <w:rPr>
          <w:rFonts w:ascii="Helvetica;sans-serif" w:hAnsi="Helvetica;sans-serif"/>
          <w:b/>
          <w:i/>
          <w:color w:val="000000"/>
          <w:sz w:val="20"/>
        </w:rPr>
        <w:t>Programming and production costs</w:t>
      </w:r>
      <w:r>
        <w:rPr>
          <w:color w:val="000000"/>
        </w:rPr>
        <w:t xml:space="preserve"> </w:t>
      </w:r>
      <w:r>
        <w:rPr>
          <w:rFonts w:ascii="Times New Roman;serif" w:hAnsi="Times New Roman;serif"/>
          <w:b w:val="false"/>
          <w:color w:val="000000"/>
          <w:sz w:val="20"/>
        </w:rPr>
        <w:t xml:space="preserve">increased for the three months ended </w:t>
      </w:r>
      <w:r>
        <w:rPr>
          <w:rFonts w:ascii="Times New Roman;serif" w:hAnsi="Times New Roman;serif"/>
          <w:b w:val="false"/>
          <w:color w:val="000000"/>
          <w:sz w:val="20"/>
          <w:shd w:fill="FFFFFF" w:val="clear"/>
        </w:rPr>
        <w:t xml:space="preserve">June 30, 2026 compared to the same period in </w:t>
      </w:r>
      <w:r>
        <w:rPr>
          <w:rFonts w:ascii="Times New Roman;serif" w:hAnsi="Times New Roman;serif"/>
          <w:b w:val="false"/>
          <w:color w:val="000000"/>
          <w:sz w:val="20"/>
        </w:rPr>
        <w:t>2025 primarily due to higher costs associated with theatrical releases.</w:t>
      </w:r>
    </w:p>
    <w:p>
      <w:pPr>
        <w:pStyle w:val="TextBody"/>
        <w:bidi w:val="0"/>
        <w:spacing w:lineRule="auto" w:line="288" w:before="60" w:after="283"/>
        <w:jc w:val="both"/>
        <w:rPr/>
      </w:pPr>
      <w:r>
        <w:rPr>
          <w:rFonts w:ascii="Times New Roman;serif" w:hAnsi="Times New Roman;serif"/>
          <w:b w:val="false"/>
          <w:color w:val="000000"/>
          <w:sz w:val="20"/>
        </w:rPr>
        <w:t xml:space="preserve">Programming and production costs increased for the six months ended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compared to the same period in 2025 primarily due to higher costs associated with the renewed licensing agreement for content exclusively available for streaming on Peacock and higher costs associated with theatrical releases.</w:t>
      </w:r>
    </w:p>
    <w:p>
      <w:pPr>
        <w:pStyle w:val="TextBody"/>
        <w:bidi w:val="0"/>
        <w:spacing w:lineRule="auto" w:line="288" w:before="60" w:after="60"/>
        <w:jc w:val="both"/>
        <w:rPr/>
      </w:pPr>
      <w:r>
        <w:rPr>
          <w:rFonts w:ascii="Helvetica;sans-serif" w:hAnsi="Helvetica;sans-serif"/>
          <w:b/>
          <w:i/>
          <w:color w:val="000000"/>
          <w:sz w:val="20"/>
        </w:rPr>
        <w:t>Marketing and promotion expenses</w:t>
      </w:r>
      <w:r>
        <w:rPr>
          <w:color w:val="000000"/>
        </w:rPr>
        <w:t xml:space="preserve"> </w:t>
      </w:r>
      <w:r>
        <w:rPr>
          <w:rFonts w:ascii="Times New Roman;serif" w:hAnsi="Times New Roman;serif"/>
          <w:b w:val="false"/>
          <w:color w:val="000000"/>
          <w:sz w:val="20"/>
        </w:rPr>
        <w:t xml:space="preserve">increased for the </w:t>
      </w:r>
      <w:r>
        <w:rPr>
          <w:rFonts w:ascii="Times New Roman;serif" w:hAnsi="Times New Roman;serif"/>
          <w:b w:val="false"/>
          <w:color w:val="000000"/>
          <w:sz w:val="20"/>
          <w:shd w:fill="FFFFFF" w:val="clear"/>
        </w:rPr>
        <w:t xml:space="preserve">three and six months ended </w:t>
      </w:r>
      <w:r>
        <w:rPr>
          <w:rFonts w:ascii="Times New Roman;serif" w:hAnsi="Times New Roman;serif"/>
          <w:b w:val="false"/>
          <w:color w:val="000000"/>
          <w:sz w:val="20"/>
        </w:rPr>
        <w:t xml:space="preserve">June 30, 2026 </w:t>
      </w:r>
      <w:r>
        <w:rPr>
          <w:rFonts w:ascii="Times New Roman;serif" w:hAnsi="Times New Roman;serif"/>
          <w:b w:val="false"/>
          <w:color w:val="000000"/>
          <w:sz w:val="20"/>
          <w:shd w:fill="FFFFFF" w:val="clear"/>
        </w:rPr>
        <w:t>compared to the same periods in 2025 primarily due to increased spending on recent and upcoming theatrical film releases.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136" w:after="283"/>
        <w:jc w:val="left"/>
        <w:rPr>
          <w:rFonts w:ascii="Helvetica;sans-serif" w:hAnsi="Helvetica;sans-serif"/>
          <w:b/>
          <w:color w:val="000000"/>
          <w:sz w:val="24"/>
        </w:rPr>
      </w:pPr>
      <w:r>
        <w:rPr>
          <w:rFonts w:ascii="Helvetica;sans-serif" w:hAnsi="Helvetica;sans-serif"/>
          <w:b/>
          <w:color w:val="000000"/>
          <w:sz w:val="24"/>
        </w:rPr>
        <w:t xml:space="preserve">Theme Parks Segment Results of Operations </w:t>
      </w:r>
    </w:p>
    <w:tbl>
      <w:tblPr>
        <w:tblW w:w="7569" w:type="dxa"/>
        <w:jc w:val="center"/>
        <w:tblInd w:w="0" w:type="dxa"/>
        <w:tblLayout w:type="fixed"/>
        <w:tblCellMar>
          <w:top w:w="28" w:type="dxa"/>
          <w:left w:w="28" w:type="dxa"/>
          <w:bottom w:w="28" w:type="dxa"/>
          <w:right w:w="28" w:type="dxa"/>
        </w:tblCellMar>
      </w:tblPr>
      <w:tblGrid>
        <w:gridCol w:w="614"/>
        <w:gridCol w:w="539"/>
        <w:gridCol w:w="541"/>
        <w:gridCol w:w="211"/>
        <w:gridCol w:w="616"/>
        <w:gridCol w:w="109"/>
        <w:gridCol w:w="211"/>
        <w:gridCol w:w="616"/>
        <w:gridCol w:w="109"/>
        <w:gridCol w:w="239"/>
        <w:gridCol w:w="241"/>
        <w:gridCol w:w="367"/>
        <w:gridCol w:w="109"/>
        <w:gridCol w:w="109"/>
        <w:gridCol w:w="109"/>
        <w:gridCol w:w="211"/>
        <w:gridCol w:w="631"/>
        <w:gridCol w:w="109"/>
        <w:gridCol w:w="211"/>
        <w:gridCol w:w="631"/>
        <w:gridCol w:w="109"/>
        <w:gridCol w:w="255"/>
        <w:gridCol w:w="256"/>
        <w:gridCol w:w="41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40" w:after="283"/>
        <w:jc w:val="both"/>
        <w:rPr/>
      </w:pPr>
      <w:r>
        <w:rPr>
          <w:rFonts w:ascii="Helvetica;sans-serif" w:hAnsi="Helvetica;sans-serif"/>
          <w:b/>
          <w:color w:val="000000"/>
          <w:sz w:val="20"/>
        </w:rPr>
        <w:t>Theme parks segment revenue</w:t>
      </w:r>
      <w:r>
        <w:rPr>
          <w:color w:val="000000"/>
        </w:rPr>
        <w:t xml:space="preserve"> </w:t>
      </w:r>
      <w:r>
        <w:rPr>
          <w:rFonts w:ascii="Times New Roman;serif" w:hAnsi="Times New Roman;serif"/>
          <w:b w:val="false"/>
          <w:color w:val="000000"/>
          <w:sz w:val="20"/>
        </w:rPr>
        <w:t>increased for the three and six months ended June 30, 2026 compared to the same periods in 2025 primarily due to higher revenue at our theme parks in Orlando driven by the opening of Epic Universe in May 2025, partially offset by decreases at our international theme parks.</w:t>
      </w:r>
    </w:p>
    <w:p>
      <w:pPr>
        <w:pStyle w:val="TextBody"/>
        <w:bidi w:val="0"/>
        <w:spacing w:lineRule="auto" w:line="288" w:before="60" w:after="120"/>
        <w:jc w:val="both"/>
        <w:rPr/>
      </w:pPr>
      <w:r>
        <w:rPr>
          <w:rFonts w:ascii="Helvetica;sans-serif" w:hAnsi="Helvetica;sans-serif"/>
          <w:b/>
          <w:color w:val="000000"/>
          <w:sz w:val="20"/>
        </w:rPr>
        <w:t>Theme parks segment costs and expenses</w:t>
      </w:r>
      <w:r>
        <w:rPr>
          <w:color w:val="000000"/>
        </w:rPr>
        <w:t xml:space="preserve"> </w:t>
      </w:r>
      <w:r>
        <w:rPr>
          <w:rFonts w:ascii="Times New Roman;serif" w:hAnsi="Times New Roman;serif"/>
          <w:b w:val="false"/>
          <w:color w:val="000000"/>
          <w:sz w:val="20"/>
        </w:rPr>
        <w:t>increased for the three and six months ended June 30, 2026 compared to the same periods in 2025 primarily due to operating costs associated with our domestic theme parks, including Epic Universe.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Content &amp; Experiences Headquarters, Other and Eliminations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Headquarters and Other Results of Operations</w:t>
      </w:r>
    </w:p>
    <w:tbl>
      <w:tblPr>
        <w:tblW w:w="7375" w:type="dxa"/>
        <w:jc w:val="left"/>
        <w:tblInd w:w="0" w:type="dxa"/>
        <w:tblLayout w:type="fixed"/>
        <w:tblCellMar>
          <w:top w:w="28" w:type="dxa"/>
          <w:left w:w="28" w:type="dxa"/>
          <w:bottom w:w="28" w:type="dxa"/>
          <w:right w:w="28" w:type="dxa"/>
        </w:tblCellMar>
      </w:tblPr>
      <w:tblGrid>
        <w:gridCol w:w="614"/>
        <w:gridCol w:w="539"/>
        <w:gridCol w:w="541"/>
        <w:gridCol w:w="211"/>
        <w:gridCol w:w="541"/>
        <w:gridCol w:w="109"/>
        <w:gridCol w:w="211"/>
        <w:gridCol w:w="541"/>
        <w:gridCol w:w="109"/>
        <w:gridCol w:w="308"/>
        <w:gridCol w:w="308"/>
        <w:gridCol w:w="367"/>
        <w:gridCol w:w="109"/>
        <w:gridCol w:w="109"/>
        <w:gridCol w:w="109"/>
        <w:gridCol w:w="211"/>
        <w:gridCol w:w="541"/>
        <w:gridCol w:w="109"/>
        <w:gridCol w:w="211"/>
        <w:gridCol w:w="541"/>
        <w:gridCol w:w="109"/>
        <w:gridCol w:w="255"/>
        <w:gridCol w:w="256"/>
        <w:gridCol w:w="41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(396)</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Headquarters and Other expenses primarily consist of overhead, personnel and other costs necessary to operate the Content &amp; Experiences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Eliminations</w:t>
      </w:r>
    </w:p>
    <w:tbl>
      <w:tblPr>
        <w:tblW w:w="7631" w:type="dxa"/>
        <w:jc w:val="left"/>
        <w:tblInd w:w="0" w:type="dxa"/>
        <w:tblLayout w:type="fixed"/>
        <w:tblCellMar>
          <w:top w:w="28" w:type="dxa"/>
          <w:left w:w="28" w:type="dxa"/>
          <w:bottom w:w="28" w:type="dxa"/>
          <w:right w:w="28" w:type="dxa"/>
        </w:tblCellMar>
      </w:tblPr>
      <w:tblGrid>
        <w:gridCol w:w="614"/>
        <w:gridCol w:w="539"/>
        <w:gridCol w:w="541"/>
        <w:gridCol w:w="211"/>
        <w:gridCol w:w="541"/>
        <w:gridCol w:w="109"/>
        <w:gridCol w:w="211"/>
        <w:gridCol w:w="541"/>
        <w:gridCol w:w="109"/>
        <w:gridCol w:w="293"/>
        <w:gridCol w:w="293"/>
        <w:gridCol w:w="367"/>
        <w:gridCol w:w="109"/>
        <w:gridCol w:w="109"/>
        <w:gridCol w:w="109"/>
        <w:gridCol w:w="211"/>
        <w:gridCol w:w="691"/>
        <w:gridCol w:w="109"/>
        <w:gridCol w:w="211"/>
        <w:gridCol w:w="691"/>
        <w:gridCol w:w="109"/>
        <w:gridCol w:w="255"/>
        <w:gridCol w:w="256"/>
        <w:gridCol w:w="402"/>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(55.0)</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Amounts represent eliminations of transactions between segments in our Content &amp; Experiences business, the most significant being content licensing between the Studios and Media segments, which are affected by the timing of recognition of content licenses. The six months ended June 30, 2026 includes the impact of a renewed licensing agreement for content exclusively available for streaming on Peacock.</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Eliminations increase or decrease to the extent that additional content is made available to our other segments within the Content &amp; Experiences business. Refer to Note 2 for additional information on transactions between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Helvetica;sans-serif" w:hAnsi="Helvetica;sans-serif"/>
          <w:b/>
          <w:color w:val="000000"/>
          <w:sz w:val="24"/>
        </w:rPr>
      </w:pPr>
      <w:r>
        <w:rPr>
          <w:rFonts w:ascii="Helvetica;sans-serif" w:hAnsi="Helvetica;sans-serif"/>
          <w:b/>
          <w:color w:val="000000"/>
          <w:sz w:val="24"/>
        </w:rPr>
        <w:t>Corporate, Other and Eliminations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Corporate and Other Results of Operations</w:t>
      </w:r>
    </w:p>
    <w:tbl>
      <w:tblPr>
        <w:tblW w:w="7418" w:type="dxa"/>
        <w:jc w:val="center"/>
        <w:tblInd w:w="0" w:type="dxa"/>
        <w:tblLayout w:type="fixed"/>
        <w:tblCellMar>
          <w:top w:w="28" w:type="dxa"/>
          <w:left w:w="28" w:type="dxa"/>
          <w:bottom w:w="28" w:type="dxa"/>
          <w:right w:w="28" w:type="dxa"/>
        </w:tblCellMar>
      </w:tblPr>
      <w:tblGrid>
        <w:gridCol w:w="614"/>
        <w:gridCol w:w="539"/>
        <w:gridCol w:w="541"/>
        <w:gridCol w:w="211"/>
        <w:gridCol w:w="541"/>
        <w:gridCol w:w="109"/>
        <w:gridCol w:w="211"/>
        <w:gridCol w:w="541"/>
        <w:gridCol w:w="109"/>
        <w:gridCol w:w="291"/>
        <w:gridCol w:w="294"/>
        <w:gridCol w:w="367"/>
        <w:gridCol w:w="109"/>
        <w:gridCol w:w="109"/>
        <w:gridCol w:w="109"/>
        <w:gridCol w:w="211"/>
        <w:gridCol w:w="541"/>
        <w:gridCol w:w="109"/>
        <w:gridCol w:w="211"/>
        <w:gridCol w:w="541"/>
        <w:gridCol w:w="109"/>
        <w:gridCol w:w="291"/>
        <w:gridCol w:w="294"/>
        <w:gridCol w:w="41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(30.2)</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Corporate and Other primarily consists of overhead and personnel costs; our regional sports networks; and Comcast Spectacor, which owns the Philadelphia Flyers and the Xfinity Mobile Arena in Philadelphia, Pennsylvania.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pPr>
      <w:r>
        <w:rPr>
          <w:rFonts w:ascii="Helvetica;sans-serif" w:hAnsi="Helvetica;sans-serif"/>
          <w:b/>
          <w:color w:val="000000"/>
          <w:sz w:val="20"/>
        </w:rPr>
        <w:t>Corporate and Other revenue</w:t>
      </w:r>
      <w:r>
        <w:rPr>
          <w:color w:val="000000"/>
        </w:rPr>
        <w:t xml:space="preserve"> </w:t>
      </w:r>
      <w:r>
        <w:rPr>
          <w:rFonts w:ascii="Times New Roman;serif" w:hAnsi="Times New Roman;serif"/>
          <w:b w:val="false"/>
          <w:color w:val="000000"/>
          <w:sz w:val="20"/>
        </w:rPr>
        <w:t>increased for the three and six months ended June 30, 2026 compared to the same periods in 2025 primarily due to increases in revenue from our corporate functions and Comcast Spectacor, partially offset by decreases from our regional sports networks.</w:t>
      </w:r>
    </w:p>
    <w:p>
      <w:pPr>
        <w:pStyle w:val="TextBody"/>
        <w:bidi w:val="0"/>
        <w:spacing w:lineRule="auto" w:line="288" w:before="60" w:after="120"/>
        <w:jc w:val="both"/>
        <w:rPr/>
      </w:pPr>
      <w:r>
        <w:rPr>
          <w:rFonts w:ascii="Helvetica;sans-serif" w:hAnsi="Helvetica;sans-serif"/>
          <w:b/>
          <w:color w:val="000000"/>
          <w:sz w:val="20"/>
        </w:rPr>
        <w:t xml:space="preserve">Corporate and Other costs and expenses </w:t>
      </w:r>
      <w:r>
        <w:rPr>
          <w:rFonts w:ascii="Times New Roman;serif" w:hAnsi="Times New Roman;serif"/>
          <w:b w:val="false"/>
          <w:color w:val="000000"/>
          <w:sz w:val="20"/>
        </w:rPr>
        <w:t>increased for the three and six months ended June 30, 2026 compared to the same periods in 2025 primarily driven by higher costs related to our corporate functions, including marketing associated with the Milan Cortina Olympics for the six months ended June 30, 2026.</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Eliminations</w:t>
      </w:r>
    </w:p>
    <w:tbl>
      <w:tblPr>
        <w:tblW w:w="7931" w:type="dxa"/>
        <w:jc w:val="left"/>
        <w:tblInd w:w="0" w:type="dxa"/>
        <w:tblLayout w:type="fixed"/>
        <w:tblCellMar>
          <w:top w:w="28" w:type="dxa"/>
          <w:left w:w="28" w:type="dxa"/>
          <w:bottom w:w="28" w:type="dxa"/>
          <w:right w:w="28" w:type="dxa"/>
        </w:tblCellMar>
      </w:tblPr>
      <w:tblGrid>
        <w:gridCol w:w="614"/>
        <w:gridCol w:w="539"/>
        <w:gridCol w:w="541"/>
        <w:gridCol w:w="211"/>
        <w:gridCol w:w="691"/>
        <w:gridCol w:w="109"/>
        <w:gridCol w:w="211"/>
        <w:gridCol w:w="691"/>
        <w:gridCol w:w="109"/>
        <w:gridCol w:w="293"/>
        <w:gridCol w:w="293"/>
        <w:gridCol w:w="367"/>
        <w:gridCol w:w="109"/>
        <w:gridCol w:w="109"/>
        <w:gridCol w:w="109"/>
        <w:gridCol w:w="211"/>
        <w:gridCol w:w="691"/>
        <w:gridCol w:w="109"/>
        <w:gridCol w:w="211"/>
        <w:gridCol w:w="691"/>
        <w:gridCol w:w="109"/>
        <w:gridCol w:w="255"/>
        <w:gridCol w:w="256"/>
        <w:gridCol w:w="402"/>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(83.4)</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Amounts represent eliminations of transactions between our Connectivity &amp; Platforms, Content &amp; Experiences and other businesses, the most significant being distribution of television network programming between the Media segment and the Residential Connectivity &amp; Platforms segment. Eliminations of transactions between segments within Content &amp; Experiences are presented separately. Amounts are affected by the periodic broadcast of the Olympic Games, including the Milan Cortina Olympics in the first quarter of 2026. Refer to Note 2 for additional information on transactions between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Helvetica;sans-serif" w:hAnsi="Helvetica;sans-serif"/>
          <w:b/>
          <w:color w:val="000000"/>
          <w:sz w:val="24"/>
        </w:rPr>
      </w:pPr>
      <w:r>
        <w:rPr>
          <w:rFonts w:ascii="Helvetica;sans-serif" w:hAnsi="Helvetica;sans-serif"/>
          <w:b/>
          <w:color w:val="000000"/>
          <w:sz w:val="24"/>
        </w:rPr>
        <w:t>Non-GAAP Financial Measures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Consolidated Adjusted EBITDA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from Net Income Attributable to Comcast Corporation to Adjusted EBITDA</w:t>
      </w:r>
    </w:p>
    <w:tbl>
      <w:tblPr>
        <w:tblW w:w="9869" w:type="dxa"/>
        <w:jc w:val="left"/>
        <w:tblInd w:w="0" w:type="dxa"/>
        <w:tblLayout w:type="fixed"/>
        <w:tblCellMar>
          <w:top w:w="28" w:type="dxa"/>
          <w:left w:w="28" w:type="dxa"/>
          <w:bottom w:w="28" w:type="dxa"/>
          <w:right w:w="28" w:type="dxa"/>
        </w:tblCellMar>
      </w:tblPr>
      <w:tblGrid>
        <w:gridCol w:w="1709"/>
        <w:gridCol w:w="1498"/>
        <w:gridCol w:w="1517"/>
        <w:gridCol w:w="211"/>
        <w:gridCol w:w="631"/>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income attributable to Comcast Corporation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Transaction-related costs</w:t>
            </w: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8,902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10,283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16,831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19,815</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(a)Transaction costs are incremental costs directly related to effectuating the Versant Separation and primarily include advisory, legal and audit fees, as well as legal entity separation costs. Transaction-related costs are incremental costs incurred related to the Versant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 </w:t>
      </w:r>
    </w:p>
    <w:p>
      <w:pPr>
        <w:pStyle w:val="TextBody"/>
        <w:bidi w:val="0"/>
        <w:spacing w:lineRule="auto" w:line="288" w:before="20" w:after="12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(b)Amounts represent the impact of certain other events, gains, losses or other charges that are excluded from Adjusted EBITDA. The three and six months ended June 30, 2026 include certain share-based compensation expenses and costs related to our investment portfolio. The six months ended June 30, 2026 also include a gain related to a legal settlement. The three and six months ended June 30, 2025 include costs related to our investment portfolio.</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Constant Currency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of Connectivity &amp; Platforms Constant Currency</w:t>
      </w:r>
    </w:p>
    <w:tbl>
      <w:tblPr>
        <w:tblW w:w="10205" w:type="dxa"/>
        <w:jc w:val="left"/>
        <w:tblInd w:w="0" w:type="dxa"/>
        <w:tblLayout w:type="fixed"/>
        <w:tblCellMar>
          <w:top w:w="28" w:type="dxa"/>
          <w:left w:w="28" w:type="dxa"/>
          <w:bottom w:w="28" w:type="dxa"/>
          <w:right w:w="28" w:type="dxa"/>
        </w:tblCellMar>
      </w:tblPr>
      <w:tblGrid>
        <w:gridCol w:w="922"/>
        <w:gridCol w:w="709"/>
        <w:gridCol w:w="567"/>
        <w:gridCol w:w="211"/>
        <w:gridCol w:w="736"/>
        <w:gridCol w:w="301"/>
        <w:gridCol w:w="329"/>
        <w:gridCol w:w="587"/>
        <w:gridCol w:w="172"/>
        <w:gridCol w:w="247"/>
        <w:gridCol w:w="861"/>
        <w:gridCol w:w="352"/>
        <w:gridCol w:w="109"/>
        <w:gridCol w:w="109"/>
        <w:gridCol w:w="109"/>
        <w:gridCol w:w="211"/>
        <w:gridCol w:w="736"/>
        <w:gridCol w:w="301"/>
        <w:gridCol w:w="296"/>
        <w:gridCol w:w="676"/>
        <w:gridCol w:w="153"/>
        <w:gridCol w:w="245"/>
        <w:gridCol w:w="857"/>
        <w:gridCol w:w="409"/>
      </w:tblGrid>
      <w:tr>
        <w:trPr/>
        <w:tc>
          <w:tcPr>
            <w:tcW w:w="9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r>
      <w:tr>
        <w:trPr/>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Connectivity &amp; Platforms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Services Connectivity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20,414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20,459</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40,575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40,923</w:t>
            </w:r>
            <w:r>
              <w:rPr>
                <w:color w:val="000000"/>
              </w:rPr>
              <w:t>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Adjusted EBITDA</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Connectivity &amp; Platforms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8,454</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16,755</w:t>
            </w:r>
            <w:r>
              <w:rPr>
                <w:color w:val="000000"/>
              </w:rPr>
              <w:t>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Connectivity &amp; Platforms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bps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bps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bps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bps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Adjusted EBITDA margin</w:t>
            </w:r>
          </w:p>
        </w:tc>
        <w:tc>
          <w:tcPr>
            <w:tcW w:w="9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 bps</w:t>
            </w:r>
          </w:p>
        </w:tc>
        <w:tc>
          <w:tcPr>
            <w:tcW w:w="11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w:t>
            </w:r>
            <w:r>
              <w:rPr>
                <w:color w:val="000000"/>
              </w:rPr>
              <w:t> </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1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 bps</w:t>
            </w:r>
          </w:p>
        </w:tc>
        <w:tc>
          <w:tcPr>
            <w:tcW w:w="11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w:t>
            </w:r>
            <w:r>
              <w:rPr>
                <w:color w:val="000000"/>
              </w:rPr>
              <w:t> </w:t>
            </w:r>
          </w:p>
        </w:tc>
        <w:tc>
          <w:tcPr>
            <w:tcW w:w="4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986"/>
        <w:gridCol w:w="728"/>
        <w:gridCol w:w="664"/>
        <w:gridCol w:w="211"/>
        <w:gridCol w:w="736"/>
        <w:gridCol w:w="109"/>
        <w:gridCol w:w="371"/>
        <w:gridCol w:w="662"/>
        <w:gridCol w:w="194"/>
        <w:gridCol w:w="284"/>
        <w:gridCol w:w="994"/>
        <w:gridCol w:w="147"/>
        <w:gridCol w:w="109"/>
        <w:gridCol w:w="109"/>
        <w:gridCol w:w="109"/>
        <w:gridCol w:w="211"/>
        <w:gridCol w:w="736"/>
        <w:gridCol w:w="109"/>
        <w:gridCol w:w="331"/>
        <w:gridCol w:w="756"/>
        <w:gridCol w:w="171"/>
        <w:gridCol w:w="282"/>
        <w:gridCol w:w="984"/>
        <w:gridCol w:w="212"/>
      </w:tblGrid>
      <w:tr>
        <w:trPr/>
        <w:tc>
          <w:tcPr>
            <w:tcW w:w="98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r>
      <w:tr>
        <w:trPr/>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and support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product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7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costs and expenses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11,965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12,006</w:t>
            </w:r>
            <w:r>
              <w:rPr>
                <w:color w:val="000000"/>
              </w:rPr>
              <w:t>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23,862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24,168</w:t>
            </w:r>
            <w:r>
              <w:rPr>
                <w:color w:val="000000"/>
              </w:rPr>
              <w:t> </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of Residential Connectivity &amp; Platforms Constant Currency</w:t>
      </w:r>
    </w:p>
    <w:tbl>
      <w:tblPr>
        <w:tblW w:w="10205" w:type="dxa"/>
        <w:jc w:val="left"/>
        <w:tblInd w:w="0" w:type="dxa"/>
        <w:tblLayout w:type="fixed"/>
        <w:tblCellMar>
          <w:top w:w="28" w:type="dxa"/>
          <w:left w:w="28" w:type="dxa"/>
          <w:bottom w:w="28" w:type="dxa"/>
          <w:right w:w="28" w:type="dxa"/>
        </w:tblCellMar>
      </w:tblPr>
      <w:tblGrid>
        <w:gridCol w:w="847"/>
        <w:gridCol w:w="566"/>
        <w:gridCol w:w="523"/>
        <w:gridCol w:w="212"/>
        <w:gridCol w:w="634"/>
        <w:gridCol w:w="109"/>
        <w:gridCol w:w="407"/>
        <w:gridCol w:w="783"/>
        <w:gridCol w:w="213"/>
        <w:gridCol w:w="335"/>
        <w:gridCol w:w="1003"/>
        <w:gridCol w:w="173"/>
        <w:gridCol w:w="109"/>
        <w:gridCol w:w="109"/>
        <w:gridCol w:w="109"/>
        <w:gridCol w:w="211"/>
        <w:gridCol w:w="736"/>
        <w:gridCol w:w="109"/>
        <w:gridCol w:w="407"/>
        <w:gridCol w:w="783"/>
        <w:gridCol w:w="213"/>
        <w:gridCol w:w="308"/>
        <w:gridCol w:w="1075"/>
        <w:gridCol w:w="231"/>
      </w:tblGrid>
      <w:tr>
        <w:trPr/>
        <w:tc>
          <w:tcPr>
            <w:tcW w:w="8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r>
      <w:tr>
        <w:trPr/>
        <w:tc>
          <w:tcPr>
            <w:tcW w:w="1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broadband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service</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convergence revenue</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equipment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connectivity</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connectivity</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17,884</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35,851</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7,010</w:t>
            </w:r>
            <w:r>
              <w:rPr>
                <w:color w:val="000000"/>
              </w:rPr>
              <w:t> </w:t>
            </w:r>
          </w:p>
        </w:tc>
        <w:tc>
          <w:tcPr>
            <w:tcW w:w="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13,890</w:t>
            </w:r>
            <w:r>
              <w:rPr>
                <w:color w:val="000000"/>
              </w:rPr>
              <w:t>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Other Adjustments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Helvetica;sans-serif" w:hAnsi="Helvetica;sans-serif"/>
          <w:b/>
          <w:color w:val="000000"/>
          <w:sz w:val="24"/>
        </w:rPr>
        <w:t>Liquidity and Capital</w:t>
      </w:r>
      <w:r>
        <w:rPr>
          <w:color w:val="000000"/>
          <w:shd w:fill="FFFFFF" w:val="clear"/>
        </w:rPr>
        <w:t xml:space="preserve"> </w:t>
      </w:r>
      <w:r>
        <w:rPr>
          <w:rFonts w:ascii="Helvetica;sans-serif" w:hAnsi="Helvetica;sans-serif"/>
          <w:b/>
          <w:color w:val="000000"/>
          <w:sz w:val="24"/>
          <w:shd w:fill="FFFFFF" w:val="clear"/>
        </w:rPr>
        <w:t>Resources</w:t>
      </w:r>
    </w:p>
    <w:tbl>
      <w:tblPr>
        <w:tblW w:w="5289" w:type="dxa"/>
        <w:jc w:val="left"/>
        <w:tblInd w:w="0" w:type="dxa"/>
        <w:tblLayout w:type="fixed"/>
        <w:tblCellMar>
          <w:top w:w="28" w:type="dxa"/>
          <w:left w:w="28" w:type="dxa"/>
          <w:bottom w:w="28" w:type="dxa"/>
          <w:right w:w="28" w:type="dxa"/>
        </w:tblCellMar>
      </w:tblPr>
      <w:tblGrid>
        <w:gridCol w:w="1149"/>
        <w:gridCol w:w="1012"/>
        <w:gridCol w:w="1019"/>
        <w:gridCol w:w="211"/>
        <w:gridCol w:w="586"/>
        <w:gridCol w:w="109"/>
        <w:gridCol w:w="109"/>
        <w:gridCol w:w="109"/>
        <w:gridCol w:w="109"/>
        <w:gridCol w:w="211"/>
        <w:gridCol w:w="511"/>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91" w:type="dxa"/>
        <w:jc w:val="left"/>
        <w:tblInd w:w="0" w:type="dxa"/>
        <w:tblLayout w:type="fixed"/>
        <w:tblCellMar>
          <w:top w:w="28" w:type="dxa"/>
          <w:left w:w="28" w:type="dxa"/>
          <w:bottom w:w="28" w:type="dxa"/>
          <w:right w:w="28" w:type="dxa"/>
        </w:tblCellMar>
      </w:tblPr>
      <w:tblGrid>
        <w:gridCol w:w="2352"/>
        <w:gridCol w:w="2070"/>
        <w:gridCol w:w="2087"/>
        <w:gridCol w:w="211"/>
        <w:gridCol w:w="511"/>
        <w:gridCol w:w="109"/>
        <w:gridCol w:w="109"/>
        <w:gridCol w:w="109"/>
        <w:gridCol w:w="109"/>
        <w:gridCol w:w="271"/>
        <w:gridCol w:w="656"/>
        <w:gridCol w:w="197"/>
      </w:tblGrid>
      <w:tr>
        <w:trPr/>
        <w:tc>
          <w:tcPr>
            <w:tcW w:w="235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6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 and other noncurrent assets,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pPr>
      <w:r>
        <w:rPr>
          <w:rFonts w:ascii="Times New Roman;serif" w:hAnsi="Times New Roman;serif"/>
          <w:b w:val="false"/>
          <w:color w:val="000000"/>
          <w:sz w:val="20"/>
          <w:shd w:fill="FFFFFF" w:val="clear"/>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w:t>
      </w:r>
      <w:r>
        <w:rPr>
          <w:rFonts w:ascii="Times New Roman;serif" w:hAnsi="Times New Roman;serif"/>
          <w:b w:val="false"/>
          <w:color w:val="000000"/>
          <w:sz w:val="20"/>
        </w:rPr>
        <w:t xml:space="preserve">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June 30, 2026, amounts available under our revolving credit facility, net of amounts outstanding under our commercial paper program and outstanding letters of credit and bank guarantees, totaled $11.8 billion.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revolving credit facility contains a financial covenant pertaining to leverage, which is the ratio of debt to EBITDA, as defined in the agreement. Compliance with this financial covenant is tested on a quarterly basis. As of June 30, 2026, we met this financial covenant, and we expect to remain in compliance with this financial covenant.</w:t>
      </w:r>
    </w:p>
    <w:p>
      <w:pPr>
        <w:pStyle w:val="TextBody"/>
        <w:bidi w:val="0"/>
        <w:spacing w:lineRule="auto" w:line="288" w:before="60" w:after="120"/>
        <w:jc w:val="left"/>
        <w:rPr/>
      </w:pPr>
      <w:r>
        <w:rPr>
          <w:rFonts w:ascii="Helvetica;sans-serif" w:hAnsi="Helvetica;sans-serif"/>
          <w:b/>
          <w:color w:val="000000"/>
          <w:sz w:val="20"/>
        </w:rPr>
        <w:t>Operating Activit</w:t>
      </w:r>
      <w:r>
        <w:rPr>
          <w:rFonts w:ascii="Helvetica;sans-serif" w:hAnsi="Helvetica;sans-serif"/>
          <w:b/>
          <w:color w:val="000000"/>
          <w:sz w:val="20"/>
          <w:shd w:fill="FFFFFF" w:val="clear"/>
        </w:rPr>
        <w:t>ies</w:t>
      </w:r>
    </w:p>
    <w:p>
      <w:pPr>
        <w:pStyle w:val="TextBody"/>
        <w:bidi w:val="0"/>
        <w:spacing w:lineRule="auto" w:line="288" w:before="60" w:after="120"/>
        <w:jc w:val="left"/>
        <w:rPr>
          <w:rFonts w:ascii="Helvetica;sans-serif" w:hAnsi="Helvetica;sans-serif"/>
          <w:b/>
          <w:color w:val="000000"/>
          <w:sz w:val="20"/>
          <w:shd w:fill="FFFFFF" w:val="clear"/>
        </w:rPr>
      </w:pPr>
      <w:r>
        <w:rPr>
          <w:rFonts w:ascii="Helvetica;sans-serif" w:hAnsi="Helvetica;sans-serif"/>
          <w:b/>
          <w:color w:val="000000"/>
          <w:sz w:val="20"/>
          <w:shd w:fill="FFFFFF" w:val="clear"/>
        </w:rPr>
        <w:t>Components of Net Cash Provided by Operating Activities</w:t>
      </w:r>
    </w:p>
    <w:tbl>
      <w:tblPr>
        <w:tblW w:w="6053" w:type="dxa"/>
        <w:jc w:val="left"/>
        <w:tblInd w:w="0" w:type="dxa"/>
        <w:tblLayout w:type="fixed"/>
        <w:tblCellMar>
          <w:top w:w="28" w:type="dxa"/>
          <w:left w:w="28" w:type="dxa"/>
          <w:bottom w:w="28" w:type="dxa"/>
          <w:right w:w="28" w:type="dxa"/>
        </w:tblCellMar>
      </w:tblPr>
      <w:tblGrid>
        <w:gridCol w:w="1295"/>
        <w:gridCol w:w="1135"/>
        <w:gridCol w:w="1139"/>
        <w:gridCol w:w="211"/>
        <w:gridCol w:w="736"/>
        <w:gridCol w:w="109"/>
        <w:gridCol w:w="109"/>
        <w:gridCol w:w="109"/>
        <w:gridCol w:w="109"/>
        <w:gridCol w:w="211"/>
        <w:gridCol w:w="736"/>
        <w:gridCol w:w="154"/>
      </w:tblGrid>
      <w:tr>
        <w:trPr/>
        <w:tc>
          <w:tcPr>
            <w:tcW w:w="129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br/>
              <w:t>June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14,983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16,109</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variance in changes in operating assets and liabilities for the six months ended June 30, 2026 compared to the same period in 2025 was primarily related to the timing of amortization and related payments for our film and television costs, including the timing of sports, and the timing of third-party transferable tax credits purchases, partially offset by increases in accounts receivable, including the impact of our broadcast of the FIFA World Cup, and decreases in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Payments of income taxes decreased for the six months ended June 30, 2026 compared to the same period in 2025 primarily due to the timing of third-party transferable tax credit purchases and additional deductions allowed under legislation enacted in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Legislation signed into law in 2025 in the United States is expected to significantly reduce our payments of income taxes over the next several years, with variability across the years, primarily due to additional depreciation deductions.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Proceeds from investments and other decreased for the six months ended June 30, 2026 compared to the same period in 2025 primarily due to a gain on a legal settlement in the current year period, with the related proceeds included in investing activities.</w:t>
      </w:r>
    </w:p>
    <w:p>
      <w:pPr>
        <w:pStyle w:val="TextBody"/>
        <w:bidi w:val="0"/>
        <w:spacing w:lineRule="auto" w:line="288" w:before="60" w:after="120"/>
        <w:jc w:val="left"/>
        <w:rPr>
          <w:rFonts w:ascii="Helvetica;sans-serif" w:hAnsi="Helvetica;sans-serif"/>
          <w:b/>
          <w:color w:val="000000"/>
          <w:sz w:val="20"/>
          <w:shd w:fill="FFFFFF" w:val="clear"/>
        </w:rPr>
      </w:pPr>
      <w:r>
        <w:rPr>
          <w:rFonts w:ascii="Helvetica;sans-serif" w:hAnsi="Helvetica;sans-serif"/>
          <w:b/>
          <w:color w:val="000000"/>
          <w:sz w:val="20"/>
          <w:shd w:fill="FFFFFF" w:val="clear"/>
        </w:rPr>
        <w:t>Investing Activities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for the six months ended June 30, 2026 compared to the same period in 2025 primarily due to the acquisition of Nitel in 2025, the purchase of an equity method investment in the prior year period, proceeds from a legal settlement in the current year period and proceeds from the sale of our Sky operations in Germany in the current year period (see Note 6). These decreases were partially offset by additional proceeds received in the prior year period for the sale of our interest in Hulu, an increase in capital expenditures and proceeds from the sale of a nonmarketable security in the prior year period. Capital expenditures increased for the six months ended June 30, 2026 compared to the same period in 2025 primarily due to increased spending by the Connectivity &amp; Platforms businesses primarily on scalable infrastructure and customer premise equipment, partially offset by decreased spending by the Content &amp; Experiences businesses. The decreased spending by Content &amp; Experiences was driven by the opening of Epic Universe in 2025, partially offset by increased spending on the development of other destinations and experiences.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2026, we entered into an agreement to acquire the ITV Media &amp; Entertainment business from ITV plc for total consideration of up to £1.6 billion, subject to customary adjustments, including cash of £1.2 billion, noncash consideration valued at approximately £0.2 billion and variable consideration of up to £0.2 billion. The acquisition is expected to close in the second half of 2027, subject to various conditions and approvals.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Financing Activities</w:t>
      </w:r>
    </w:p>
    <w:p>
      <w:pPr>
        <w:pStyle w:val="TextBody"/>
        <w:bidi w:val="0"/>
        <w:spacing w:lineRule="auto" w:line="288" w:before="60" w:after="120"/>
        <w:jc w:val="both"/>
        <w:rPr/>
      </w:pPr>
      <w:r>
        <w:rPr>
          <w:rFonts w:ascii="Times New Roman;serif" w:hAnsi="Times New Roman;serif"/>
          <w:b w:val="false"/>
          <w:color w:val="000000"/>
          <w:sz w:val="20"/>
          <w:shd w:fill="FFFFFF" w:val="clear"/>
        </w:rPr>
        <w:t xml:space="preserve">Net cash used in financing activities increased for the six months ended June 30, 2026 compared to the same period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primarily due to higher repurchases and repayments of debt, cash transferred to Versant, net in the current year period and lower proceeds from borrowings, partially offset by lower</w:t>
      </w:r>
      <w:r>
        <w:rPr>
          <w:color w:val="000000"/>
        </w:rPr>
        <w:t xml:space="preserve"> </w:t>
      </w:r>
      <w:r>
        <w:rPr>
          <w:rFonts w:ascii="Times New Roman;serif" w:hAnsi="Times New Roman;serif"/>
          <w:b w:val="false"/>
          <w:color w:val="000000"/>
          <w:sz w:val="20"/>
        </w:rPr>
        <w:t>repurchases of common stock under our share repurchase program and employee plans in the current year period.</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Versant incurred $1.0 billion of indebtedness from the issuance of certain notes and on January 2, 2026, before the Distribution, Versant borrowed $2.0 billion of indebtedness from certain credit facilities. Versant’s $3.0 billion aggregate principal amount of indebtedness ceased to be consolidated indebtedness of Comcast in connection with the Versant Separation. On the Versant Separation Date, Versant distributed to us $2.25 billion of cash, which was funded by the $3.0 billion of prior indebtedness, resulting in a net cash distribution of $750 million to Versant in the first quarter of 2026.</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made debt repayments of $7.3 billion, including the early purchase of $4.1 billion of senior notes maturing between January 2027 and June 2029, as well as $2.1 billion of 3.150% Notes due March 2026 and $629 million of 5.350% Notes due November 2027, which were paid using the proceeds from the distribution from Versant, together with cash on hand. We also made debt repayments of $418 million principal amount of notes due at maturity.</w:t>
      </w:r>
    </w:p>
    <w:p>
      <w:pPr>
        <w:pStyle w:val="TextBody"/>
        <w:bidi w:val="0"/>
        <w:spacing w:lineRule="auto" w:line="288" w:before="140" w:after="120"/>
        <w:jc w:val="both"/>
        <w:rPr/>
      </w:pPr>
      <w:r>
        <w:rPr>
          <w:rFonts w:ascii="Times New Roman;serif" w:hAnsi="Times New Roman;serif"/>
          <w:b w:val="false"/>
          <w:color w:val="000000"/>
          <w:sz w:val="20"/>
        </w:rPr>
        <w:t>We have made, and may from time to time in the future make, optional repayments on our debt obligations, which may include repurchases or exchanges of our outst</w:t>
      </w:r>
      <w:r>
        <w:rPr>
          <w:rFonts w:ascii="Times New Roman;serif" w:hAnsi="Times New Roman;serif"/>
          <w:b w:val="false"/>
          <w:color w:val="000000"/>
          <w:sz w:val="20"/>
          <w:shd w:fill="FFFFFF" w:val="clear"/>
        </w:rPr>
        <w:t>an</w:t>
      </w:r>
      <w:r>
        <w:rPr>
          <w:rFonts w:ascii="Times New Roman;serif" w:hAnsi="Times New Roman;serif"/>
          <w:b w:val="false"/>
          <w:color w:val="000000"/>
          <w:sz w:val="20"/>
        </w:rPr>
        <w:t>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w:t>
      </w:r>
      <w:r>
        <w:rPr>
          <w:color w:val="000000"/>
          <w:shd w:fill="FFFFFF" w:val="clear"/>
        </w:rPr>
        <w:t xml:space="preserve"> </w:t>
      </w:r>
      <w:r>
        <w:rPr>
          <w:rFonts w:ascii="Times New Roman;serif" w:hAnsi="Times New Roman;serif"/>
          <w:b w:val="false"/>
          <w:color w:val="000000"/>
          <w:sz w:val="20"/>
          <w:shd w:fill="FFFFFF" w:val="clear"/>
        </w:rPr>
        <w:t>and 7 for additional information on our financing activities.</w:t>
      </w:r>
    </w:p>
    <w:p>
      <w:pPr>
        <w:pStyle w:val="TextBody"/>
        <w:bidi w:val="0"/>
        <w:spacing w:lineRule="auto" w:line="276" w:before="60" w:after="120"/>
        <w:jc w:val="both"/>
        <w:rPr>
          <w:rFonts w:ascii="Helvetica;sans-serif" w:hAnsi="Helvetica;sans-serif"/>
          <w:b/>
          <w:i/>
          <w:color w:val="000000"/>
          <w:sz w:val="20"/>
        </w:rPr>
      </w:pPr>
      <w:r>
        <w:rPr>
          <w:rFonts w:ascii="Helvetica;sans-serif" w:hAnsi="Helvetica;sans-serif"/>
          <w:b/>
          <w:i/>
          <w:color w:val="000000"/>
          <w:sz w:val="20"/>
        </w:rPr>
        <w:t>Share Repurchases and Dividends</w:t>
      </w:r>
    </w:p>
    <w:p>
      <w:pPr>
        <w:pStyle w:val="TextBody"/>
        <w:bidi w:val="0"/>
        <w:spacing w:lineRule="auto" w:line="288" w:before="60" w:after="120"/>
        <w:jc w:val="both"/>
        <w:rPr/>
      </w:pPr>
      <w:r>
        <w:rPr>
          <w:rFonts w:ascii="Times New Roman;serif" w:hAnsi="Times New Roman;serif"/>
          <w:b w:val="false"/>
          <w:color w:val="000000"/>
          <w:sz w:val="20"/>
        </w:rPr>
        <w:t xml:space="preserve">In January 2025, our Board of Directors terminated the existing share repurchase program authorization and approved a new share repurchase program authorization of $15.0 billion, which has no expiration date. During the six months ended June 30, 2026, we repurchased a total of 76 million shares of our Class A common stock for $2.2 billion under this share repurchase program. </w:t>
      </w:r>
      <w:r>
        <w:rPr>
          <w:rFonts w:ascii="Times New Roman;serif" w:hAnsi="Times New Roman;serif"/>
          <w:b w:val="false"/>
          <w:color w:val="000000"/>
          <w:sz w:val="20"/>
          <w:shd w:fill="FFFFFF" w:val="clear"/>
        </w:rPr>
        <w:t xml:space="preserve">We did not purchase any shares outside of this program. </w:t>
      </w:r>
      <w:r>
        <w:rPr>
          <w:rFonts w:ascii="Times New Roman;serif" w:hAnsi="Times New Roman;serif"/>
          <w:b w:val="false"/>
          <w:color w:val="000000"/>
          <w:sz w:val="20"/>
        </w:rPr>
        <w:t>As of June 30, 2026, we had $6.7 billion re</w:t>
      </w:r>
      <w:r>
        <w:rPr>
          <w:rFonts w:ascii="Times New Roman;serif" w:hAnsi="Times New Roman;serif"/>
          <w:b w:val="false"/>
          <w:color w:val="000000"/>
          <w:sz w:val="20"/>
          <w:shd w:fill="FFFFFF" w:val="clear"/>
        </w:rPr>
        <w:t>maining under the authorizatio</w:t>
      </w:r>
      <w:r>
        <w:rPr>
          <w:rFonts w:ascii="Times New Roman;serif" w:hAnsi="Times New Roman;serif"/>
          <w:b w:val="false"/>
          <w:color w:val="000000"/>
          <w:sz w:val="20"/>
        </w:rPr>
        <w:t>n. In connection with the proposed NBCUniversal Spin-off, we have suspended our share repurchase program as of the beginning of the third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addition, we paid $347 million and $345 million for the six months ended June 30, 2026 and 2025, respectively, related to employee taxes associated with the administration of our share-based compensation plans and excise taxes related to share repurchases.</w:t>
      </w:r>
    </w:p>
    <w:p>
      <w:pPr>
        <w:pStyle w:val="TextBody"/>
        <w:bidi w:val="0"/>
        <w:spacing w:lineRule="auto" w:line="288" w:before="60" w:after="120"/>
        <w:jc w:val="both"/>
        <w:rPr/>
      </w:pPr>
      <w:r>
        <w:rPr>
          <w:rFonts w:ascii="Times New Roman;serif" w:hAnsi="Times New Roman;serif"/>
          <w:b w:val="false"/>
          <w:color w:val="000000"/>
          <w:sz w:val="20"/>
        </w:rPr>
        <w:t xml:space="preserve">In January 2026, our Board of Directors approved a dividend consistent with the prior year of $1.32 per share on an annualized basis. During the six months ended June 30, 2026, we paid dividends of </w:t>
      </w:r>
      <w:r>
        <w:rPr>
          <w:rFonts w:ascii="Times New Roman;serif" w:hAnsi="Times New Roman;serif"/>
          <w:b w:val="false"/>
          <w:color w:val="000000"/>
          <w:sz w:val="20"/>
          <w:shd w:fill="FFFFFF" w:val="clear"/>
        </w:rPr>
        <w:t>$2.4 billion.</w:t>
      </w:r>
      <w:r>
        <w:rPr>
          <w:color w:val="000000"/>
        </w:rPr>
        <w:t xml:space="preserve"> </w:t>
      </w:r>
      <w:r>
        <w:rPr>
          <w:rFonts w:ascii="Times New Roman;serif" w:hAnsi="Times New Roman;serif"/>
          <w:b w:val="false"/>
          <w:color w:val="000000"/>
          <w:sz w:val="20"/>
        </w:rPr>
        <w:t>In May 2026, our Board of Directors approved our second quarter dividend of $0.33 per share, which was paid in July 2026. We expect to continue to pay quarterly dividends, although each dividend is subject to approval by our Board of Directo</w:t>
      </w:r>
      <w:r>
        <w:rPr>
          <w:rFonts w:ascii="Times New Roman;serif" w:hAnsi="Times New Roman;serif"/>
          <w:b w:val="false"/>
          <w:color w:val="000000"/>
          <w:sz w:val="20"/>
          <w:shd w:fill="FFFFFF" w:val="clear"/>
        </w:rPr>
        <w:t>r</w:t>
      </w:r>
      <w:r>
        <w:rPr>
          <w:rFonts w:ascii="Times New Roman;serif" w:hAnsi="Times New Roman;serif"/>
          <w:b w:val="false"/>
          <w:color w:val="000000"/>
          <w:sz w:val="20"/>
        </w:rPr>
        <w:t>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Guarantee Structure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pStyle w:val="TextBody"/>
        <w:bidi w:val="0"/>
        <w:spacing w:lineRule="auto" w:line="288" w:before="60" w:after="120"/>
        <w:jc w:val="center"/>
        <w:rPr>
          <w:rFonts w:ascii="Helvetica;sans-serif" w:hAnsi="Helvetica;sans-serif"/>
          <w:b/>
          <w:color w:val="000000"/>
          <w:sz w:val="20"/>
        </w:rPr>
      </w:pPr>
      <w:r>
        <w:rPr>
          <w:rFonts w:ascii="Helvetica;sans-serif" w:hAnsi="Helvetica;sans-serif"/>
          <w:b/>
          <w:color w:val="000000"/>
          <w:sz w:val="20"/>
        </w:rPr>
        <w:t>Debt and Guarantee Structure</w:t>
      </w:r>
    </w:p>
    <w:tbl>
      <w:tblPr>
        <w:tblW w:w="10205" w:type="dxa"/>
        <w:jc w:val="left"/>
        <w:tblInd w:w="0" w:type="dxa"/>
        <w:tblLayout w:type="fixed"/>
        <w:tblCellMar>
          <w:top w:w="28" w:type="dxa"/>
          <w:left w:w="28" w:type="dxa"/>
          <w:bottom w:w="28" w:type="dxa"/>
          <w:right w:w="28" w:type="dxa"/>
        </w:tblCellMar>
      </w:tblPr>
      <w:tblGrid>
        <w:gridCol w:w="2990"/>
        <w:gridCol w:w="2634"/>
        <w:gridCol w:w="2649"/>
        <w:gridCol w:w="211"/>
        <w:gridCol w:w="526"/>
        <w:gridCol w:w="109"/>
        <w:gridCol w:w="256"/>
        <w:gridCol w:w="640"/>
        <w:gridCol w:w="190"/>
      </w:tblGrid>
      <w:tr>
        <w:trPr/>
        <w:tc>
          <w:tcPr>
            <w:tcW w:w="2990"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273" w:type="dxa"/>
            <w:gridSpan w:val="3"/>
            <w:tcBorders/>
            <w:vAlign w:val="center"/>
          </w:tcPr>
          <w:p>
            <w:pPr>
              <w:pStyle w:val="TableContents"/>
              <w:bidi w:val="0"/>
              <w:spacing w:before="0" w:after="283"/>
              <w:jc w:val="left"/>
              <w:rPr>
                <w:sz w:val="4"/>
                <w:szCs w:val="4"/>
              </w:rPr>
            </w:pPr>
            <w:r>
              <w:rPr>
                <w:sz w:val="4"/>
                <w:szCs w:val="4"/>
              </w:rPr>
            </w:r>
          </w:p>
        </w:tc>
        <w:tc>
          <w:tcPr>
            <w:tcW w:w="1932" w:type="dxa"/>
            <w:gridSpan w:val="6"/>
            <w:tcBorders/>
          </w:tcPr>
          <w:p>
            <w:pPr>
              <w:pStyle w:val="TableContents"/>
              <w:bidi w:val="0"/>
              <w:spacing w:before="0" w:after="283"/>
              <w:jc w:val="left"/>
              <w:rPr>
                <w:sz w:val="4"/>
                <w:szCs w:val="4"/>
              </w:rPr>
            </w:pPr>
            <w:r>
              <w:rPr>
                <w:sz w:val="4"/>
                <w:szCs w:val="4"/>
              </w:rPr>
            </w:r>
          </w:p>
        </w:tc>
      </w:tr>
      <w:tr>
        <w:trPr/>
        <w:tc>
          <w:tcPr>
            <w:tcW w:w="827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br/>
              <w:t>2026</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8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Subject to Cross-Guarantees</w:t>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NBCUniversal</w:t>
            </w:r>
            <w:r>
              <w:rPr>
                <w:rFonts w:ascii="Times New Roman;serif" w:hAnsi="Times New Roman;serif"/>
                <w:b w:val="false"/>
                <w:color w:val="000000"/>
                <w:sz w:val="13"/>
              </w:rPr>
              <w:t>(a)</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Comcast Cable</w:t>
            </w:r>
            <w:r>
              <w:rPr>
                <w:rFonts w:ascii="Times New Roman;serif" w:hAnsi="Times New Roman;serif"/>
                <w:b w:val="false"/>
                <w:color w:val="000000"/>
                <w:sz w:val="13"/>
              </w:rPr>
              <w:t>(a)</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Subject to One-Way Guarantees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Not Guaranteed</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Universal Beijing Resort</w:t>
            </w:r>
            <w:r>
              <w:rPr>
                <w:rFonts w:ascii="Times New Roman;serif" w:hAnsi="Times New Roman;serif"/>
                <w:b w:val="false"/>
                <w:color w:val="000000"/>
                <w:sz w:val="13"/>
              </w:rPr>
              <w:t>(b)</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(c)</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premiums, discounts, fair value adjustments for acquisition accounting and hedged positions,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w:t>
            </w:r>
            <w:r>
              <w:rPr>
                <w:color w:val="000000"/>
              </w:rPr>
              <w:t> </w:t>
            </w:r>
          </w:p>
        </w:tc>
        <w:tc>
          <w:tcPr>
            <w:tcW w:w="1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7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273" w:type="dxa"/>
            <w:gridSpan w:val="3"/>
            <w:tcBorders/>
            <w:vAlign w:val="center"/>
          </w:tcPr>
          <w:p>
            <w:pPr>
              <w:pStyle w:val="TableContents"/>
              <w:bidi w:val="0"/>
              <w:spacing w:before="0" w:after="283"/>
              <w:jc w:val="left"/>
              <w:rPr>
                <w:sz w:val="4"/>
                <w:szCs w:val="4"/>
              </w:rPr>
            </w:pPr>
            <w:r>
              <w:rPr>
                <w:sz w:val="4"/>
                <w:szCs w:val="4"/>
              </w:rPr>
            </w:r>
          </w:p>
        </w:tc>
        <w:tc>
          <w:tcPr>
            <w:tcW w:w="1932"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to our 2025 Annual Report on Form 10-K, satisfy these reporting obligations.</w:t>
      </w:r>
    </w:p>
    <w:p>
      <w:pPr>
        <w:pStyle w:val="TextBody"/>
        <w:bidi w:val="0"/>
        <w:spacing w:lineRule="auto" w:line="288" w:before="60" w:after="120"/>
        <w:ind w:left="0" w:right="0" w:hanging="360"/>
        <w:jc w:val="both"/>
        <w:rPr/>
      </w:pPr>
      <w:r>
        <w:rPr>
          <w:rFonts w:ascii="Times New Roman;serif" w:hAnsi="Times New Roman;serif"/>
          <w:b w:val="false"/>
          <w:color w:val="000000"/>
          <w:sz w:val="16"/>
        </w:rPr>
        <w:t xml:space="preserve">(b)Universal Beijing Resort debt financing is secured by the assets of Universal Beijing Resort and the equity interests of the investors. See Note </w:t>
      </w:r>
      <w:r>
        <w:rPr>
          <w:rFonts w:ascii="Times New Roman;serif" w:hAnsi="Times New Roman;serif"/>
          <w:b w:val="false"/>
          <w:color w:val="000000"/>
          <w:sz w:val="16"/>
          <w:shd w:fill="FFFFFF" w:val="clear"/>
        </w:rPr>
        <w:t>7</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(c)Other as of December 31, 2025 includes $1.0 billion aggregate principal amount of 7.25% fixed-rate senior secured notes due January 2031 issued by Versant which was secured by the assets of Versant. Subsequent to December 31, 2025, the notes ceased to be our contractual obligation due to the completion of the Versant Separation.</w:t>
      </w:r>
    </w:p>
    <w:p>
      <w:pPr>
        <w:pStyle w:val="TextBody"/>
        <w:bidi w:val="0"/>
        <w:spacing w:lineRule="auto" w:line="288" w:before="80" w:after="283"/>
        <w:jc w:val="both"/>
        <w:rPr>
          <w:rFonts w:ascii="Helvetica;sans-serif" w:hAnsi="Helvetica;sans-serif"/>
          <w:b/>
          <w:i/>
          <w:color w:val="000000"/>
          <w:sz w:val="20"/>
        </w:rPr>
      </w:pPr>
      <w:r>
        <w:rPr>
          <w:rFonts w:ascii="Helvetica;sans-serif" w:hAnsi="Helvetica;sans-serif"/>
          <w:b/>
          <w:i/>
          <w:color w:val="000000"/>
          <w:sz w:val="20"/>
        </w:rPr>
        <w:t>Cross-Guarantees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Guarantors are each holding companies that principally hold investments in, borrow from and lend to non-guarantor subsidiary operating companies; issue and service third-party debt obligations; repurchase shares and pay dividends;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engage in certain corporate and headquarters activities. The Guarantors are generally dependent on non-guarantor subsidiary operating companies to fund these activities.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combined Guarantors have noncurrent notes payable to non-guarantor subsidiaries of $119 billion and $107 billion, respectively, and noncurrent notes receivable from non-guarantor subsidiaries of $15 billion and $14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One-Way Guarantees</w:t>
      </w:r>
    </w:p>
    <w:p>
      <w:pPr>
        <w:pStyle w:val="TextBody"/>
        <w:bidi w:val="0"/>
        <w:spacing w:lineRule="auto" w:line="288" w:before="60" w:after="120"/>
        <w:jc w:val="both"/>
        <w:rPr/>
      </w:pPr>
      <w:r>
        <w:rPr>
          <w:rFonts w:ascii="Times New Roman;serif" w:hAnsi="Times New Roman;serif"/>
          <w:b w:val="false"/>
          <w:color w:val="000000"/>
          <w:sz w:val="20"/>
        </w:rPr>
        <w:t>Comcast provides full and unconditional guarantees of certain debt issued by Sky Limited (“Sky”</w:t>
      </w:r>
      <w:r>
        <w:rPr>
          <w:rFonts w:ascii="Times New Roman;serif" w:hAnsi="Times New Roman;serif"/>
          <w:b w:val="false"/>
          <w:color w:val="000000"/>
          <w:sz w:val="16"/>
        </w:rPr>
        <w:t>)</w:t>
      </w:r>
      <w:r>
        <w:rPr>
          <w:rFonts w:ascii="Times New Roman;serif" w:hAnsi="Times New Roman;serif"/>
          <w:b w:val="false"/>
          <w:color w:val="000000"/>
          <w:sz w:val="20"/>
        </w:rPr>
        <w:t>, including all of its senior notes, and other consolidated subsidiaries not subject to the periodic reporting requirements of the SEC.</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32% of our equity interests in Comcast Cable and NBCUniversal, respectively. </w:t>
      </w:r>
    </w:p>
    <w:p>
      <w:pPr>
        <w:pStyle w:val="TextBody"/>
        <w:bidi w:val="0"/>
        <w:spacing w:lineRule="auto" w:line="288" w:before="6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Comcast and Comcast Holdings, the combined issuer and guarantor of the guaranteed subordinated debt, have noncurrent senior notes payable to non-guarantor subsidiaries of $84 billion and $71 billion, respectively, and noncurrent notes receivable from non-guarantor subsidiaries of $11 billion for both periods.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Helvetica;sans-serif" w:hAnsi="Helvetica;sans-serif"/>
          <w:b/>
          <w:color w:val="000000"/>
          <w:sz w:val="24"/>
        </w:rPr>
      </w:pPr>
      <w:r>
        <w:rPr>
          <w:rFonts w:ascii="Helvetica;sans-serif" w:hAnsi="Helvetica;sans-serif"/>
          <w:b/>
          <w:color w:val="000000"/>
          <w:sz w:val="24"/>
        </w:rPr>
        <w:t>Critical Accounting Estimates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We believe our estimates associated with the valuation and impairment testing of goodwill are critical in the preparation of our consolidated financial statements. We assessed goodwill for impairment in connection with the Versant Separation and our change in segment composition in the first quarter of 2026. Based on our assessment, no impairment was required, and the estimated fair values of our reporting units substantially exceeded their carrying values.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Changes in market conditions, laws and regulations, and key assumptions made in future quantitative assessments, such as expected cash flows, competitive factors, discount rates, and value indications from market transactions, including the proposed NBCUniversal Spin-off, could negatively impact the results of future impairment testing and could result in the recognition of an impairment charge.</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240" w:after="120"/>
        <w:jc w:val="left"/>
        <w:rPr>
          <w:rFonts w:ascii="Helvetica;sans-serif" w:hAnsi="Helvetica;sans-serif"/>
          <w:b/>
          <w:color w:val="000000"/>
          <w:sz w:val="24"/>
        </w:rPr>
      </w:pPr>
      <w:r>
        <w:rPr>
          <w:rFonts w:ascii="Helvetica;sans-serif" w:hAnsi="Helvetica;sans-serif"/>
          <w:b/>
          <w:color w:val="000000"/>
          <w:sz w:val="24"/>
        </w:rPr>
        <w:t>ITEM 3: QUANTITATIVE AND QUALITATIVE DISCLOSURES ABOUT MARKET RISK</w:t>
      </w:r>
    </w:p>
    <w:p>
      <w:pPr>
        <w:pStyle w:val="TextBody"/>
        <w:bidi w:val="0"/>
        <w:spacing w:lineRule="auto" w:line="288" w:before="140" w:after="240"/>
        <w:jc w:val="both"/>
        <w:rPr>
          <w:rFonts w:ascii="Times New Roman;serif" w:hAnsi="Times New Roman;serif"/>
          <w:b w:val="false"/>
          <w:color w:val="000000"/>
          <w:sz w:val="20"/>
        </w:rPr>
      </w:pPr>
      <w:r>
        <w:rPr>
          <w:rFonts w:ascii="Times New Roman;serif" w:hAnsi="Times New Roman;serif"/>
          <w:b w:val="false"/>
          <w:color w:val="000000"/>
          <w:sz w:val="20"/>
        </w:rPr>
        <w:t>We have evaluated the information required under this item that was disclosed in our 2025 Annual Report on Form 10-K and there have been no material changes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4: CONTROLS AND PROCEDURES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Conclusions regarding disclosure controls and procedures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Changes in internal control over financial reporting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center"/>
        <w:rPr>
          <w:rFonts w:ascii="Helvetica;sans-serif" w:hAnsi="Helvetica;sans-serif"/>
          <w:b/>
          <w:color w:val="000000"/>
          <w:sz w:val="24"/>
        </w:rPr>
      </w:pPr>
      <w:r>
        <w:rPr>
          <w:rFonts w:ascii="Helvetica;sans-serif" w:hAnsi="Helvetica;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1: LEGAL PROCEEDINGS</w:t>
      </w:r>
    </w:p>
    <w:p>
      <w:pPr>
        <w:pStyle w:val="TextBody"/>
        <w:bidi w:val="0"/>
        <w:spacing w:lineRule="auto" w:line="288" w:before="140" w:after="240"/>
        <w:jc w:val="both"/>
        <w:rPr>
          <w:rFonts w:ascii="Times New Roman;serif" w:hAnsi="Times New Roman;serif"/>
          <w:b w:val="false"/>
          <w:color w:val="000000"/>
          <w:sz w:val="20"/>
        </w:rPr>
      </w:pPr>
      <w:r>
        <w:rPr>
          <w:rFonts w:ascii="Times New Roman;serif" w:hAnsi="Times New Roman;serif"/>
          <w:b w:val="false"/>
          <w:color w:val="000000"/>
          <w:sz w:val="20"/>
        </w:rPr>
        <w:t>See Note 11 included in this Quarterly Report on Form 10-Q for a discussion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1A: RISK FACTORS</w:t>
      </w:r>
    </w:p>
    <w:p>
      <w:pPr>
        <w:pStyle w:val="TextBody"/>
        <w:bidi w:val="0"/>
        <w:spacing w:lineRule="auto" w:line="288" w:before="140" w:after="120"/>
        <w:jc w:val="both"/>
        <w:rPr>
          <w:rFonts w:ascii="Times New Roman;serif" w:hAnsi="Times New Roman;serif"/>
          <w:b/>
          <w:color w:val="000000"/>
          <w:sz w:val="20"/>
        </w:rPr>
      </w:pPr>
      <w:r>
        <w:rPr>
          <w:rFonts w:ascii="Times New Roman;serif" w:hAnsi="Times New Roman;serif"/>
          <w:b/>
          <w:color w:val="000000"/>
          <w:sz w:val="20"/>
        </w:rPr>
        <w:t xml:space="preserve">We are subject to risks related to our intention to separate into two independent publicly traded companies through a tax-free spin-off of NBCUniversal and Sky.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June 2026, we announced our intention to separate into two independent publicly traded companies through a tax-free spin-off of NBCUniversal and Sky to better position each company to pursue its own strategic priorities, invest for growth and create long-term shareholder value as independent entities. The NBCUniversal Spin-off will be subject to the satisfaction of customary conditions, including obtaining final approval by our Board of Directors, receipt of tax opinions and regulatory approvals, and completion of financing arrangements. The failure to satisfy all of the required conditions, as well as additional factors such as conditions in the equity and debt markets and other external conditions, could delay completion of the NBCUniversal Spin-off relative to our expected timeline or prevent it from occurring at all. There is no guarantee that the NBCUniversal Spin-off, if completed, will be successful in meeting its objectives or achieving its intended benefits. Because completion of the NBCUniversal Spin-off will result in two companies that are smaller, each company will incur separate ongoing costs that may be shared today and may become more vulnerable to changing market conditions, which could adversely affect their respective businesses, financial condition and results of operations. In addition, we cannot predict whether the market value of our Class A common stock and the Class A common stock of NBCUniversal after the NBCUniversal Spin-off will be, in the aggregate, less than, equal to or greater than the market value of our Class A common stock prior to the NBCUniversal Spin-off. In addition, although we intend for the NBCUniversal Spin-off to be tax-free to our shareholders for U.S. federal income tax purposes, there can be no assurance that the NBCUniversal Spin-off will qualify as tax-free and, if the NBCUniversal Spin-off is ultimately determined to be taxable, we and/or holders of our common stock could be subject to substantial U.S. and/or applicable non-U.S. taxes as a result, and we could incur significant liabilities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2: UNREGISTERED SALES OF EQUITY SECURITIES AND USE OF PROCEEDS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Comcast’s common stock repurchases during the three months ended June 30, 2026.</w:t>
      </w:r>
    </w:p>
    <w:tbl>
      <w:tblPr>
        <w:tblW w:w="10205" w:type="dxa"/>
        <w:jc w:val="left"/>
        <w:tblInd w:w="0" w:type="dxa"/>
        <w:tblLayout w:type="fixed"/>
        <w:tblCellMar>
          <w:top w:w="28" w:type="dxa"/>
          <w:left w:w="28" w:type="dxa"/>
          <w:bottom w:w="28" w:type="dxa"/>
          <w:right w:w="28" w:type="dxa"/>
        </w:tblCellMar>
      </w:tblPr>
      <w:tblGrid>
        <w:gridCol w:w="410"/>
        <w:gridCol w:w="353"/>
        <w:gridCol w:w="357"/>
        <w:gridCol w:w="547"/>
        <w:gridCol w:w="549"/>
        <w:gridCol w:w="291"/>
        <w:gridCol w:w="109"/>
        <w:gridCol w:w="109"/>
        <w:gridCol w:w="109"/>
        <w:gridCol w:w="211"/>
        <w:gridCol w:w="631"/>
        <w:gridCol w:w="109"/>
        <w:gridCol w:w="640"/>
        <w:gridCol w:w="640"/>
        <w:gridCol w:w="641"/>
        <w:gridCol w:w="273"/>
        <w:gridCol w:w="1556"/>
        <w:gridCol w:w="141"/>
        <w:gridCol w:w="310"/>
        <w:gridCol w:w="1990"/>
        <w:gridCol w:w="229"/>
      </w:tblGrid>
      <w:tr>
        <w:trPr/>
        <w:tc>
          <w:tcPr>
            <w:tcW w:w="41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w:t>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w:t>
              <w:br/>
              <w:t>Price</w:t>
              <w:br/>
              <w:t>Per</w:t>
              <w:br/>
              <w:t>Share</w:t>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w:t>
              <w:br/>
              <w:t>Shares Purchased</w:t>
              <w:br/>
              <w:t>as Part of Publicly</w:t>
              <w:br/>
              <w:t>Announced Authorization</w:t>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Dollar</w:t>
              <w:br/>
              <w:t>Amount</w:t>
              <w:br/>
              <w:t>Purchased</w:t>
              <w:br/>
              <w:t>Under the Publicly Announced</w:t>
              <w:br/>
              <w:t>Authorization</w:t>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Maximum Dollar</w:t>
              <w:br/>
              <w:t>Value of Shares That</w:t>
              <w:br/>
              <w:t>May Yet Be</w:t>
              <w:br/>
              <w:t>Purchased Under the Publicly Announced</w:t>
              <w:br/>
              <w:t>Authorization</w:t>
            </w:r>
            <w:r>
              <w:rPr>
                <w:rFonts w:ascii="Times New Roman;serif" w:hAnsi="Times New Roman;serif"/>
                <w:b w:val="false"/>
                <w:color w:val="000000"/>
                <w:sz w:val="10"/>
              </w:rPr>
              <w:t>(a)</w:t>
            </w:r>
          </w:p>
        </w:tc>
      </w:tr>
      <w:tr>
        <w:trPr/>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 2026</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15,502,686 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15,502,686 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439,999,497 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7,166,669,874 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 2026</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13,097,743 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13,097,743 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334,999,576 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6,831,670,298 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 2026</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5,206,203 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5,206,203 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125,000,902 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6,706,669,396 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33,806,632</w:t>
            </w:r>
            <w:r>
              <w:rPr>
                <w:color w:val="000000"/>
              </w:rPr>
              <w:t> </w:t>
            </w:r>
          </w:p>
        </w:tc>
        <w:tc>
          <w:tcPr>
            <w:tcW w:w="2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33,806,632</w:t>
            </w:r>
            <w:r>
              <w:rPr>
                <w:color w:val="000000"/>
              </w:rPr>
              <w:t> </w:t>
            </w:r>
          </w:p>
        </w:tc>
        <w:tc>
          <w:tcPr>
            <w:tcW w:w="6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899,999,975</w:t>
            </w:r>
            <w:r>
              <w:rPr>
                <w:color w:val="000000"/>
              </w:rPr>
              <w:t> </w:t>
            </w:r>
          </w:p>
        </w:tc>
        <w:tc>
          <w:tcPr>
            <w:tcW w:w="1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6,706,669,396</w:t>
            </w:r>
            <w:r>
              <w:rPr>
                <w:color w:val="000000"/>
              </w:rPr>
              <w:t> </w:t>
            </w:r>
          </w:p>
        </w:tc>
        <w:tc>
          <w:tcPr>
            <w:tcW w:w="2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 January of 2025, our Board of Directors approved a new share repurchase authorization of $15 billion, which has no expiration date. In connection with the proposed NBCUniversal Spin-off, we have suspended our share repurchase program as of the beginning of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4"/>
        </w:rPr>
      </w:pPr>
      <w:r>
        <w:rPr>
          <w:rFonts w:ascii="Helvetica;sans-serif" w:hAnsi="Helvetica;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2704"/>
        <w:gridCol w:w="2704"/>
        <w:gridCol w:w="3839"/>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Exhibit</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7"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31-6302026.htm">
              <w:r>
                <w:rPr>
                  <w:rStyle w:val="InternetLink"/>
                  <w:rFonts w:ascii="Times New Roman;serif" w:hAnsi="Times New Roman;serif"/>
                  <w:b w:val="false"/>
                  <w:color w:val="0000FF"/>
                  <w:sz w:val="20"/>
                  <w:u w:val="single"/>
                </w:rPr>
                <w:t>31</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Co-Chief Executive Officers and Chief Financial Officer pursuant to Section 302 of the Sarbanes-Oxley Act of 2002.</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6302026.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Co-Chief Executive Officers and Chief Financial Officer pursuant to Section 906 of the Sarbanes-Oxley Act of 2002.</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from Comcast Corporation’s Quarterly Report on Form 10-Q for the six months ended June 30, 2026, filed with the Securities and Exchange Commission on July 23, 2026, formatted in Inline Extensible Business Reporting Language (iXBRL): (i)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tc>
      </w:tr>
      <w:tr>
        <w:trPr/>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iXBRL document).</w:t>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60" w:after="120"/>
        <w:jc w:val="both"/>
        <w:rPr/>
      </w:pPr>
      <w:hyperlink w:anchor="i7866c302f63f44c2a518e3b04d09d2ea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center"/>
        <w:rPr>
          <w:rFonts w:ascii="Helvetica;sans-serif" w:hAnsi="Helvetica;sans-serif"/>
          <w:b/>
          <w:color w:val="000000"/>
          <w:sz w:val="24"/>
        </w:rPr>
      </w:pPr>
      <w:r>
        <w:rPr>
          <w:rFonts w:ascii="Helvetica;sans-serif" w:hAnsi="Helvetica;sans-serif"/>
          <w:b/>
          <w:color w:val="000000"/>
          <w:sz w:val="24"/>
        </w:rPr>
        <w:t>SIGNATURES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12"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1629"/>
        <w:gridCol w:w="1629"/>
        <w:gridCol w:w="230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C. MURDOCK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C. Murdock</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lineRule="auto" w:line="288" w:before="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p>
      <w:pPr>
        <w:pStyle w:val="TextBody"/>
        <w:bidi w:val="0"/>
        <w:spacing w:before="340" w:after="3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CERTIFICATIONS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 Brian L. Roberts, certify that: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Comcast Corporation;</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tbl>
      <w:tblPr>
        <w:tblW w:w="2880" w:type="dxa"/>
        <w:jc w:val="left"/>
        <w:tblInd w:w="0" w:type="dxa"/>
        <w:tblLayout w:type="fixed"/>
        <w:tblCellMar>
          <w:top w:w="28" w:type="dxa"/>
          <w:left w:w="28" w:type="dxa"/>
          <w:bottom w:w="28" w:type="dxa"/>
          <w:right w:w="28" w:type="dxa"/>
        </w:tblCellMar>
      </w:tblPr>
      <w:tblGrid>
        <w:gridCol w:w="921"/>
        <w:gridCol w:w="811"/>
        <w:gridCol w:w="1148"/>
      </w:tblGrid>
      <w:tr>
        <w:trPr/>
        <w:tc>
          <w:tcPr>
            <w:tcW w:w="9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L. ROBERTS</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Brian L. Roberts</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5780"/>
                <wp:effectExtent l="0" t="0" r="0" b="0"/>
                <wp:wrapNone/>
                <wp:docPr id="44" name="Frame4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 Michael J. Cavanagh, certify that: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Comcast Corporation;</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tbl>
      <w:tblPr>
        <w:tblW w:w="2880" w:type="dxa"/>
        <w:jc w:val="left"/>
        <w:tblInd w:w="0" w:type="dxa"/>
        <w:tblLayout w:type="fixed"/>
        <w:tblCellMar>
          <w:top w:w="28" w:type="dxa"/>
          <w:left w:w="28" w:type="dxa"/>
          <w:bottom w:w="28" w:type="dxa"/>
          <w:right w:w="28" w:type="dxa"/>
        </w:tblCellMar>
      </w:tblPr>
      <w:tblGrid>
        <w:gridCol w:w="922"/>
        <w:gridCol w:w="809"/>
        <w:gridCol w:w="1149"/>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CAVANAGH</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Michael J. Cavanagh</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5780"/>
                <wp:effectExtent l="0" t="0" r="0" b="0"/>
                <wp:wrapNone/>
                <wp:docPr id="45" name="Frame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Jason S. Armstrong, certify that: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Comcast Corporation;</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tbl>
      <w:tblPr>
        <w:tblW w:w="2519" w:type="dxa"/>
        <w:jc w:val="left"/>
        <w:tblInd w:w="0" w:type="dxa"/>
        <w:tblLayout w:type="fixed"/>
        <w:tblCellMar>
          <w:top w:w="28" w:type="dxa"/>
          <w:left w:w="28" w:type="dxa"/>
          <w:bottom w:w="28" w:type="dxa"/>
          <w:right w:w="28" w:type="dxa"/>
        </w:tblCellMar>
      </w:tblPr>
      <w:tblGrid>
        <w:gridCol w:w="806"/>
        <w:gridCol w:w="708"/>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S. ARMSTRONG</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Jason S. Armstrong</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5780"/>
                <wp:effectExtent l="0" t="0" r="0" b="0"/>
                <wp:wrapNone/>
                <wp:docPr id="46" name="Frame4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60" w:after="120"/>
        <w:jc w:val="left"/>
        <w:rPr/>
      </w:pPr>
      <w:r>
        <w:rPr/>
      </w:r>
    </w:p>
    <w:p>
      <w:pPr>
        <w:pStyle w:val="TextBody"/>
        <w:bidi w:val="0"/>
        <w:spacing w:lineRule="auto" w:line="288" w:before="60" w:after="120"/>
        <w:jc w:val="center"/>
        <w:rPr>
          <w:rFonts w:ascii="Arial;sans-serif" w:hAnsi="Arial;sans-serif"/>
          <w:b/>
          <w:color w:val="000000"/>
          <w:sz w:val="24"/>
        </w:rPr>
      </w:pPr>
      <w:r>
        <w:rPr>
          <w:rFonts w:ascii="Arial;sans-serif" w:hAnsi="Arial;sans-serif"/>
          <w:b/>
          <w:color w:val="000000"/>
          <w:sz w:val="24"/>
        </w:rPr>
        <w:t>CERTIFICATION PURSUANT TO SECTION 906 OF THE SARBANES-OXLEY ACT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July 23, 2026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Brian L. Roberts and Michael J. Cavanagh, the Co-Chief Executive Officers and Jason S. Armstrong, the Chief Financial Officer of Comcast Corporation, each certifies that, to the best of his knowledge:</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Comcast Corporation.</w:t>
      </w:r>
    </w:p>
    <w:tbl>
      <w:tblPr>
        <w:tblW w:w="2880" w:type="dxa"/>
        <w:jc w:val="right"/>
        <w:tblInd w:w="0" w:type="dxa"/>
        <w:tblLayout w:type="fixed"/>
        <w:tblCellMar>
          <w:top w:w="28" w:type="dxa"/>
          <w:left w:w="28" w:type="dxa"/>
          <w:bottom w:w="28" w:type="dxa"/>
          <w:right w:w="28" w:type="dxa"/>
        </w:tblCellMar>
      </w:tblPr>
      <w:tblGrid>
        <w:gridCol w:w="921"/>
        <w:gridCol w:w="811"/>
        <w:gridCol w:w="1148"/>
      </w:tblGrid>
      <w:tr>
        <w:trPr/>
        <w:tc>
          <w:tcPr>
            <w:tcW w:w="9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L. ROBERTS</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Brian L. Roberts</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bl>
    <w:p>
      <w:pPr>
        <w:pStyle w:val="TextBody"/>
        <w:bidi w:val="0"/>
        <w:spacing w:before="100" w:after="283"/>
        <w:jc w:val="right"/>
        <w:rPr/>
      </w:pPr>
      <w:r>
        <w:rPr/>
      </w:r>
    </w:p>
    <w:tbl>
      <w:tblPr>
        <w:tblW w:w="2880" w:type="dxa"/>
        <w:jc w:val="right"/>
        <w:tblInd w:w="0" w:type="dxa"/>
        <w:tblLayout w:type="fixed"/>
        <w:tblCellMar>
          <w:top w:w="28" w:type="dxa"/>
          <w:left w:w="28" w:type="dxa"/>
          <w:bottom w:w="28" w:type="dxa"/>
          <w:right w:w="28" w:type="dxa"/>
        </w:tblCellMar>
      </w:tblPr>
      <w:tblGrid>
        <w:gridCol w:w="922"/>
        <w:gridCol w:w="809"/>
        <w:gridCol w:w="1149"/>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CAVANAGH</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Michael J. Cavanagh</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bl>
    <w:p>
      <w:pPr>
        <w:pStyle w:val="TextBody"/>
        <w:bidi w:val="0"/>
        <w:spacing w:before="60" w:after="120"/>
        <w:jc w:val="right"/>
        <w:rPr/>
      </w:pPr>
      <w:r>
        <w:rPr/>
      </w:r>
    </w:p>
    <w:tbl>
      <w:tblPr>
        <w:tblW w:w="2519" w:type="dxa"/>
        <w:jc w:val="right"/>
        <w:tblInd w:w="0" w:type="dxa"/>
        <w:tblLayout w:type="fixed"/>
        <w:tblCellMar>
          <w:top w:w="28" w:type="dxa"/>
          <w:left w:w="28" w:type="dxa"/>
          <w:bottom w:w="28" w:type="dxa"/>
          <w:right w:w="28" w:type="dxa"/>
        </w:tblCellMar>
      </w:tblPr>
      <w:tblGrid>
        <w:gridCol w:w="806"/>
        <w:gridCol w:w="708"/>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S. ARMSTRONG</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Jason S. Armstrong</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6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13360"/>
                <wp:effectExtent l="0" t="0" r="0" b="0"/>
                <wp:wrapNone/>
                <wp:docPr id="47" name="Frame4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21861</Words>
  <Characters>121380</Characters>
  <CharactersWithSpaces>140880</CharactersWithSpaces>
  <Paragraphs>4047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