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333-232941</w:t>
      </w:r>
    </w:p>
    <w:p>
      <w:pPr>
        <w:spacing w:after="0" w:line="139" w:lineRule="exact"/>
        <w:rPr>
          <w:sz w:val="24"/>
          <w:szCs w:val="24"/>
          <w:color w:val="auto"/>
        </w:rPr>
      </w:pPr>
    </w:p>
    <w:p>
      <w:pPr>
        <w:ind w:left="200" w:right="140"/>
        <w:spacing w:after="0" w:line="303" w:lineRule="auto"/>
        <w:rPr>
          <w:sz w:val="20"/>
          <w:szCs w:val="20"/>
          <w:color w:val="auto"/>
        </w:rPr>
      </w:pPr>
      <w:r>
        <w:rPr>
          <w:rFonts w:ascii="Arial" w:cs="Arial" w:eastAsia="Arial" w:hAnsi="Arial"/>
          <w:sz w:val="16"/>
          <w:szCs w:val="16"/>
          <w:b w:val="1"/>
          <w:bCs w:val="1"/>
          <w:color w:val="FF4338"/>
        </w:rPr>
        <w:t>The information in this preliminary prospectus supplement is not complete and may be changed. This preliminary prospectus supplement and the accompanying prospectus are part of an effective registration statement filed with the Securities and Exchange Commission under the Securities Act of 1933. This preliminary prospectus supplement and the accompanying prospectus are neither offers to sell these securities nor solicitations of offers to buy these securities in any jurisdiction where such offer or sale is not permitted.</w:t>
      </w:r>
    </w:p>
    <w:p>
      <w:pPr>
        <w:spacing w:after="0" w:line="85"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FF4338"/>
        </w:rPr>
        <w:t>SUBJECT TO COMPLETION, DATED FEBRUARY 5, 2020</w:t>
      </w:r>
    </w:p>
    <w:p>
      <w:pPr>
        <w:spacing w:after="0" w:line="179" w:lineRule="exact"/>
        <w:rPr>
          <w:sz w:val="24"/>
          <w:szCs w:val="24"/>
          <w:color w:val="auto"/>
        </w:rPr>
      </w:pPr>
    </w:p>
    <w:p>
      <w:pPr>
        <w:ind w:left="200"/>
        <w:spacing w:after="0"/>
        <w:rPr>
          <w:sz w:val="20"/>
          <w:szCs w:val="20"/>
          <w:color w:val="auto"/>
        </w:rPr>
      </w:pPr>
      <w:r>
        <w:rPr>
          <w:rFonts w:ascii="Arial" w:cs="Arial" w:eastAsia="Arial" w:hAnsi="Arial"/>
          <w:sz w:val="15"/>
          <w:szCs w:val="15"/>
          <w:b w:val="1"/>
          <w:bCs w:val="1"/>
          <w:u w:val="single" w:color="auto"/>
          <w:color w:val="auto"/>
        </w:rPr>
        <w:t>PROSPECTUS SUPPLEMENT</w:t>
      </w:r>
    </w:p>
    <w:p>
      <w:pPr>
        <w:spacing w:after="0" w:line="6"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(To prospectus dated August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131445</wp:posOffset>
            </wp:positionV>
            <wp:extent cx="139763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5560" w:hanging="875"/>
        <w:spacing w:after="0"/>
        <w:tabs>
          <w:tab w:leader="none" w:pos="556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Notes due 20</w:t>
      </w:r>
    </w:p>
    <w:p>
      <w:pPr>
        <w:spacing w:after="0" w:line="5" w:lineRule="exact"/>
        <w:rPr>
          <w:rFonts w:ascii="Arial" w:cs="Arial" w:eastAsia="Arial" w:hAnsi="Arial"/>
          <w:sz w:val="15"/>
          <w:szCs w:val="15"/>
          <w:b w:val="1"/>
          <w:bCs w:val="1"/>
          <w:color w:val="auto"/>
        </w:rPr>
      </w:pPr>
    </w:p>
    <w:p>
      <w:pPr>
        <w:ind w:left="5560" w:hanging="875"/>
        <w:spacing w:after="0" w:line="225" w:lineRule="auto"/>
        <w:tabs>
          <w:tab w:leader="none" w:pos="556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Notes due 20</w:t>
      </w:r>
    </w:p>
    <w:p>
      <w:pPr>
        <w:ind w:left="5560" w:hanging="875"/>
        <w:spacing w:after="0" w:line="225" w:lineRule="auto"/>
        <w:tabs>
          <w:tab w:leader="none" w:pos="556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Notes due 20</w:t>
      </w:r>
    </w:p>
    <w:p>
      <w:pPr>
        <w:ind w:left="5560" w:hanging="875"/>
        <w:spacing w:after="0" w:line="226" w:lineRule="auto"/>
        <w:tabs>
          <w:tab w:leader="none" w:pos="556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Notes due 20</w:t>
      </w:r>
    </w:p>
    <w:p>
      <w:pPr>
        <w:ind w:left="5580" w:hanging="875"/>
        <w:spacing w:after="0"/>
        <w:tabs>
          <w:tab w:leader="none" w:pos="5580" w:val="left"/>
        </w:tabs>
        <w:numPr>
          <w:ilvl w:val="1"/>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71120</wp:posOffset>
            </wp:positionV>
            <wp:extent cx="69977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23" w:lineRule="exact"/>
        <w:rPr>
          <w:sz w:val="24"/>
          <w:szCs w:val="24"/>
          <w:color w:val="auto"/>
        </w:rPr>
      </w:pPr>
    </w:p>
    <w:tbl>
      <w:tblPr>
        <w:tblLayout w:type="fixed"/>
        <w:tblInd w:w="200" w:type="dxa"/>
        <w:tblCellMar>
          <w:top w:w="0" w:type="dxa"/>
          <w:left w:w="0" w:type="dxa"/>
          <w:bottom w:w="0" w:type="dxa"/>
          <w:right w:w="0" w:type="dxa"/>
        </w:tblCellMar>
      </w:tblPr>
      <w:tr>
        <w:trPr>
          <w:trHeight w:val="172"/>
        </w:trPr>
        <w:tc>
          <w:tcPr>
            <w:tcW w:w="5440" w:type="dxa"/>
            <w:vAlign w:val="bottom"/>
            <w:gridSpan w:val="4"/>
          </w:tcPr>
          <w:p>
            <w:pPr>
              <w:spacing w:after="0"/>
              <w:rPr>
                <w:sz w:val="20"/>
                <w:szCs w:val="20"/>
                <w:color w:val="auto"/>
              </w:rPr>
            </w:pPr>
            <w:r>
              <w:rPr>
                <w:rFonts w:ascii="Arial" w:cs="Arial" w:eastAsia="Arial" w:hAnsi="Arial"/>
                <w:sz w:val="15"/>
                <w:szCs w:val="15"/>
                <w:color w:val="auto"/>
                <w:w w:val="97"/>
              </w:rPr>
              <w:t>The euro notes due 20   will bear interest at a rate of   % per year and will mature on</w:t>
            </w:r>
          </w:p>
        </w:tc>
        <w:tc>
          <w:tcPr>
            <w:tcW w:w="420" w:type="dxa"/>
            <w:vAlign w:val="bottom"/>
          </w:tcPr>
          <w:p>
            <w:pPr>
              <w:spacing w:after="0"/>
              <w:rPr>
                <w:sz w:val="14"/>
                <w:szCs w:val="14"/>
                <w:color w:val="auto"/>
              </w:rPr>
            </w:pPr>
          </w:p>
        </w:tc>
        <w:tc>
          <w:tcPr>
            <w:tcW w:w="3840" w:type="dxa"/>
            <w:vAlign w:val="bottom"/>
            <w:gridSpan w:val="2"/>
          </w:tcPr>
          <w:p>
            <w:pPr>
              <w:ind w:left="260"/>
              <w:spacing w:after="0"/>
              <w:rPr>
                <w:sz w:val="20"/>
                <w:szCs w:val="20"/>
                <w:color w:val="auto"/>
              </w:rPr>
            </w:pPr>
            <w:r>
              <w:rPr>
                <w:rFonts w:ascii="Arial" w:cs="Arial" w:eastAsia="Arial" w:hAnsi="Arial"/>
                <w:sz w:val="15"/>
                <w:szCs w:val="15"/>
                <w:color w:val="auto"/>
                <w:w w:val="97"/>
              </w:rPr>
              <w:t>, 20   (the “euro notes due 20  ”), the euro notes due 20</w:t>
            </w:r>
          </w:p>
        </w:tc>
        <w:tc>
          <w:tcPr>
            <w:tcW w:w="1300" w:type="dxa"/>
            <w:vAlign w:val="bottom"/>
          </w:tcPr>
          <w:p>
            <w:pPr>
              <w:jc w:val="right"/>
              <w:spacing w:after="0"/>
              <w:rPr>
                <w:sz w:val="20"/>
                <w:szCs w:val="20"/>
                <w:color w:val="auto"/>
              </w:rPr>
            </w:pPr>
            <w:r>
              <w:rPr>
                <w:rFonts w:ascii="Arial" w:cs="Arial" w:eastAsia="Arial" w:hAnsi="Arial"/>
                <w:sz w:val="15"/>
                <w:szCs w:val="15"/>
                <w:color w:val="auto"/>
                <w:w w:val="99"/>
              </w:rPr>
              <w:t>will bear interest at</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a rate of</w:t>
            </w:r>
          </w:p>
        </w:tc>
        <w:tc>
          <w:tcPr>
            <w:tcW w:w="2120" w:type="dxa"/>
            <w:vAlign w:val="bottom"/>
          </w:tcPr>
          <w:p>
            <w:pPr>
              <w:ind w:left="100"/>
              <w:spacing w:after="0" w:line="162" w:lineRule="exact"/>
              <w:rPr>
                <w:sz w:val="20"/>
                <w:szCs w:val="20"/>
                <w:color w:val="auto"/>
              </w:rPr>
            </w:pPr>
            <w:r>
              <w:rPr>
                <w:rFonts w:ascii="Arial" w:cs="Arial" w:eastAsia="Arial" w:hAnsi="Arial"/>
                <w:sz w:val="15"/>
                <w:szCs w:val="15"/>
                <w:color w:val="auto"/>
              </w:rPr>
              <w:t>% per year and will mature on</w:t>
            </w:r>
          </w:p>
        </w:tc>
        <w:tc>
          <w:tcPr>
            <w:tcW w:w="9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 20</w:t>
            </w:r>
          </w:p>
        </w:tc>
        <w:tc>
          <w:tcPr>
            <w:tcW w:w="7320" w:type="dxa"/>
            <w:vAlign w:val="bottom"/>
            <w:gridSpan w:val="5"/>
          </w:tcPr>
          <w:p>
            <w:pPr>
              <w:ind w:left="100"/>
              <w:spacing w:after="0" w:line="162" w:lineRule="exact"/>
              <w:rPr>
                <w:sz w:val="20"/>
                <w:szCs w:val="20"/>
                <w:color w:val="auto"/>
              </w:rPr>
            </w:pPr>
            <w:r>
              <w:rPr>
                <w:rFonts w:ascii="Arial" w:cs="Arial" w:eastAsia="Arial" w:hAnsi="Arial"/>
                <w:sz w:val="15"/>
                <w:szCs w:val="15"/>
                <w:color w:val="auto"/>
                <w:w w:val="95"/>
              </w:rPr>
              <w:t>(the “euro notes due 20  ”) and the euro notes due 20  will bear interest at a rate of   % per year and will mature on</w:t>
            </w:r>
          </w:p>
        </w:tc>
      </w:tr>
      <w:tr>
        <w:trPr>
          <w:trHeight w:val="162"/>
        </w:trPr>
        <w:tc>
          <w:tcPr>
            <w:tcW w:w="600" w:type="dxa"/>
            <w:vAlign w:val="bottom"/>
          </w:tcPr>
          <w:p>
            <w:pPr>
              <w:spacing w:after="0"/>
              <w:rPr>
                <w:sz w:val="14"/>
                <w:szCs w:val="14"/>
                <w:color w:val="auto"/>
              </w:rPr>
            </w:pPr>
          </w:p>
        </w:tc>
        <w:tc>
          <w:tcPr>
            <w:tcW w:w="2120" w:type="dxa"/>
            <w:vAlign w:val="bottom"/>
          </w:tcPr>
          <w:p>
            <w:pPr>
              <w:ind w:left="160"/>
              <w:spacing w:after="0" w:line="162" w:lineRule="exact"/>
              <w:rPr>
                <w:sz w:val="20"/>
                <w:szCs w:val="20"/>
                <w:color w:val="auto"/>
              </w:rPr>
            </w:pPr>
            <w:r>
              <w:rPr>
                <w:rFonts w:ascii="Arial" w:cs="Arial" w:eastAsia="Arial" w:hAnsi="Arial"/>
                <w:sz w:val="15"/>
                <w:szCs w:val="15"/>
                <w:color w:val="auto"/>
              </w:rPr>
              <w:t>, 20   (the “euro notes due 20</w:t>
            </w:r>
          </w:p>
        </w:tc>
        <w:tc>
          <w:tcPr>
            <w:tcW w:w="2720" w:type="dxa"/>
            <w:vAlign w:val="bottom"/>
            <w:gridSpan w:val="2"/>
          </w:tcPr>
          <w:p>
            <w:pPr>
              <w:ind w:left="60"/>
              <w:spacing w:after="0" w:line="162" w:lineRule="exact"/>
              <w:rPr>
                <w:sz w:val="20"/>
                <w:szCs w:val="20"/>
                <w:color w:val="auto"/>
              </w:rPr>
            </w:pPr>
            <w:r>
              <w:rPr>
                <w:rFonts w:ascii="Arial" w:cs="Arial" w:eastAsia="Arial" w:hAnsi="Arial"/>
                <w:sz w:val="15"/>
                <w:szCs w:val="15"/>
                <w:color w:val="auto"/>
                <w:w w:val="94"/>
              </w:rPr>
              <w:t>,” and together with the euro notes due 20</w:t>
            </w:r>
          </w:p>
        </w:tc>
        <w:tc>
          <w:tcPr>
            <w:tcW w:w="5560" w:type="dxa"/>
            <w:vAlign w:val="bottom"/>
            <w:gridSpan w:val="4"/>
          </w:tcPr>
          <w:p>
            <w:pPr>
              <w:jc w:val="right"/>
              <w:ind w:right="203"/>
              <w:spacing w:after="0" w:line="162" w:lineRule="exact"/>
              <w:rPr>
                <w:sz w:val="20"/>
                <w:szCs w:val="20"/>
                <w:color w:val="auto"/>
              </w:rPr>
            </w:pPr>
            <w:r>
              <w:rPr>
                <w:rFonts w:ascii="Arial" w:cs="Arial" w:eastAsia="Arial" w:hAnsi="Arial"/>
                <w:sz w:val="15"/>
                <w:szCs w:val="15"/>
                <w:color w:val="auto"/>
                <w:w w:val="94"/>
              </w:rPr>
              <w:t>, the euro notes due 20   and the euro notes due 20  , the “euro notes”). The sterling</w:t>
            </w:r>
          </w:p>
        </w:tc>
      </w:tr>
      <w:tr>
        <w:trPr>
          <w:trHeight w:val="162"/>
        </w:trPr>
        <w:tc>
          <w:tcPr>
            <w:tcW w:w="2720" w:type="dxa"/>
            <w:vAlign w:val="bottom"/>
            <w:gridSpan w:val="2"/>
          </w:tcPr>
          <w:p>
            <w:pPr>
              <w:spacing w:after="0" w:line="162" w:lineRule="exact"/>
              <w:rPr>
                <w:sz w:val="20"/>
                <w:szCs w:val="20"/>
                <w:color w:val="auto"/>
              </w:rPr>
            </w:pPr>
            <w:r>
              <w:rPr>
                <w:rFonts w:ascii="Arial" w:cs="Arial" w:eastAsia="Arial" w:hAnsi="Arial"/>
                <w:sz w:val="15"/>
                <w:szCs w:val="15"/>
                <w:color w:val="auto"/>
                <w:w w:val="95"/>
              </w:rPr>
              <w:t>notes due 20   will bear interest at a rate of</w:t>
            </w:r>
          </w:p>
        </w:tc>
        <w:tc>
          <w:tcPr>
            <w:tcW w:w="272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 per year and will mature on</w:t>
            </w:r>
          </w:p>
        </w:tc>
        <w:tc>
          <w:tcPr>
            <w:tcW w:w="420" w:type="dxa"/>
            <w:vAlign w:val="bottom"/>
          </w:tcPr>
          <w:p>
            <w:pPr>
              <w:ind w:left="100"/>
              <w:spacing w:after="0" w:line="162" w:lineRule="exact"/>
              <w:rPr>
                <w:sz w:val="20"/>
                <w:szCs w:val="20"/>
                <w:color w:val="auto"/>
              </w:rPr>
            </w:pPr>
            <w:r>
              <w:rPr>
                <w:rFonts w:ascii="Arial" w:cs="Arial" w:eastAsia="Arial" w:hAnsi="Arial"/>
                <w:sz w:val="15"/>
                <w:szCs w:val="15"/>
                <w:color w:val="auto"/>
              </w:rPr>
              <w:t>, 20</w:t>
            </w:r>
          </w:p>
        </w:tc>
        <w:tc>
          <w:tcPr>
            <w:tcW w:w="3840" w:type="dxa"/>
            <w:vAlign w:val="bottom"/>
            <w:gridSpan w:val="2"/>
          </w:tcPr>
          <w:p>
            <w:pPr>
              <w:ind w:left="100"/>
              <w:spacing w:after="0" w:line="162" w:lineRule="exact"/>
              <w:rPr>
                <w:sz w:val="20"/>
                <w:szCs w:val="20"/>
                <w:color w:val="auto"/>
              </w:rPr>
            </w:pPr>
            <w:r>
              <w:rPr>
                <w:rFonts w:ascii="Arial" w:cs="Arial" w:eastAsia="Arial" w:hAnsi="Arial"/>
                <w:sz w:val="15"/>
                <w:szCs w:val="15"/>
                <w:color w:val="auto"/>
                <w:w w:val="95"/>
              </w:rPr>
              <w:t>(the “sterling notes due 20  ”) and the sterling notes due 20</w:t>
            </w:r>
          </w:p>
        </w:tc>
        <w:tc>
          <w:tcPr>
            <w:tcW w:w="1300" w:type="dxa"/>
            <w:vAlign w:val="bottom"/>
          </w:tcPr>
          <w:p>
            <w:pPr>
              <w:jc w:val="right"/>
              <w:spacing w:after="0" w:line="162" w:lineRule="exact"/>
              <w:rPr>
                <w:sz w:val="20"/>
                <w:szCs w:val="20"/>
                <w:color w:val="auto"/>
              </w:rPr>
            </w:pPr>
            <w:r>
              <w:rPr>
                <w:rFonts w:ascii="Arial" w:cs="Arial" w:eastAsia="Arial" w:hAnsi="Arial"/>
                <w:sz w:val="15"/>
                <w:szCs w:val="15"/>
                <w:color w:val="auto"/>
              </w:rPr>
              <w:t>will bear interest at</w:t>
            </w:r>
          </w:p>
        </w:tc>
      </w:tr>
      <w:tr>
        <w:trPr>
          <w:trHeight w:val="162"/>
        </w:trPr>
        <w:tc>
          <w:tcPr>
            <w:tcW w:w="600" w:type="dxa"/>
            <w:vAlign w:val="bottom"/>
          </w:tcPr>
          <w:p>
            <w:pPr>
              <w:spacing w:after="0" w:line="162" w:lineRule="exact"/>
              <w:rPr>
                <w:sz w:val="20"/>
                <w:szCs w:val="20"/>
                <w:color w:val="auto"/>
              </w:rPr>
            </w:pPr>
            <w:r>
              <w:rPr>
                <w:rFonts w:ascii="Arial" w:cs="Arial" w:eastAsia="Arial" w:hAnsi="Arial"/>
                <w:sz w:val="15"/>
                <w:szCs w:val="15"/>
                <w:color w:val="auto"/>
              </w:rPr>
              <w:t>a rate of</w:t>
            </w:r>
          </w:p>
        </w:tc>
        <w:tc>
          <w:tcPr>
            <w:tcW w:w="2120" w:type="dxa"/>
            <w:vAlign w:val="bottom"/>
          </w:tcPr>
          <w:p>
            <w:pPr>
              <w:ind w:left="100"/>
              <w:spacing w:after="0" w:line="162" w:lineRule="exact"/>
              <w:rPr>
                <w:sz w:val="20"/>
                <w:szCs w:val="20"/>
                <w:color w:val="auto"/>
              </w:rPr>
            </w:pPr>
            <w:r>
              <w:rPr>
                <w:rFonts w:ascii="Arial" w:cs="Arial" w:eastAsia="Arial" w:hAnsi="Arial"/>
                <w:sz w:val="15"/>
                <w:szCs w:val="15"/>
                <w:color w:val="auto"/>
              </w:rPr>
              <w:t>% per year and will mature on</w:t>
            </w:r>
          </w:p>
        </w:tc>
        <w:tc>
          <w:tcPr>
            <w:tcW w:w="9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 20</w:t>
            </w:r>
          </w:p>
        </w:tc>
        <w:tc>
          <w:tcPr>
            <w:tcW w:w="1760" w:type="dxa"/>
            <w:vAlign w:val="bottom"/>
          </w:tcPr>
          <w:p>
            <w:pPr>
              <w:ind w:left="100"/>
              <w:spacing w:after="0" w:line="162" w:lineRule="exact"/>
              <w:rPr>
                <w:sz w:val="20"/>
                <w:szCs w:val="20"/>
                <w:color w:val="auto"/>
              </w:rPr>
            </w:pPr>
            <w:r>
              <w:rPr>
                <w:rFonts w:ascii="Arial" w:cs="Arial" w:eastAsia="Arial" w:hAnsi="Arial"/>
                <w:sz w:val="15"/>
                <w:szCs w:val="15"/>
                <w:color w:val="auto"/>
                <w:w w:val="94"/>
              </w:rPr>
              <w:t>(the “sterling notes due 20</w:t>
            </w:r>
          </w:p>
        </w:tc>
        <w:tc>
          <w:tcPr>
            <w:tcW w:w="2920" w:type="dxa"/>
            <w:vAlign w:val="bottom"/>
            <w:gridSpan w:val="2"/>
          </w:tcPr>
          <w:p>
            <w:pPr>
              <w:ind w:left="100"/>
              <w:spacing w:after="0" w:line="162" w:lineRule="exact"/>
              <w:rPr>
                <w:sz w:val="20"/>
                <w:szCs w:val="20"/>
                <w:color w:val="auto"/>
              </w:rPr>
            </w:pPr>
            <w:r>
              <w:rPr>
                <w:rFonts w:ascii="Arial" w:cs="Arial" w:eastAsia="Arial" w:hAnsi="Arial"/>
                <w:sz w:val="15"/>
                <w:szCs w:val="15"/>
                <w:color w:val="auto"/>
                <w:w w:val="94"/>
              </w:rPr>
              <w:t>,” and together with the sterling notes due 20</w:t>
            </w:r>
          </w:p>
        </w:tc>
        <w:tc>
          <w:tcPr>
            <w:tcW w:w="2640" w:type="dxa"/>
            <w:vAlign w:val="bottom"/>
            <w:gridSpan w:val="2"/>
          </w:tcPr>
          <w:p>
            <w:pPr>
              <w:jc w:val="right"/>
              <w:ind w:right="183"/>
              <w:spacing w:after="0" w:line="162" w:lineRule="exact"/>
              <w:rPr>
                <w:sz w:val="20"/>
                <w:szCs w:val="20"/>
                <w:color w:val="auto"/>
              </w:rPr>
            </w:pPr>
            <w:r>
              <w:rPr>
                <w:rFonts w:ascii="Arial" w:cs="Arial" w:eastAsia="Arial" w:hAnsi="Arial"/>
                <w:sz w:val="15"/>
                <w:szCs w:val="15"/>
                <w:color w:val="auto"/>
                <w:w w:val="96"/>
              </w:rPr>
              <w:t>, the “sterling notes”). We refer to the</w:t>
            </w:r>
          </w:p>
        </w:tc>
      </w:tr>
      <w:tr>
        <w:trPr>
          <w:trHeight w:val="174"/>
        </w:trPr>
        <w:tc>
          <w:tcPr>
            <w:tcW w:w="5860" w:type="dxa"/>
            <w:vAlign w:val="bottom"/>
            <w:gridSpan w:val="5"/>
          </w:tcPr>
          <w:p>
            <w:pPr>
              <w:spacing w:after="0"/>
              <w:rPr>
                <w:sz w:val="20"/>
                <w:szCs w:val="20"/>
                <w:color w:val="auto"/>
              </w:rPr>
            </w:pPr>
            <w:r>
              <w:rPr>
                <w:rFonts w:ascii="Arial" w:cs="Arial" w:eastAsia="Arial" w:hAnsi="Arial"/>
                <w:sz w:val="15"/>
                <w:szCs w:val="15"/>
                <w:color w:val="auto"/>
                <w:w w:val="95"/>
              </w:rPr>
              <w:t>euro notes and sterling notes collectively as the “notes.” We will pay interest on the notes on</w:t>
            </w:r>
          </w:p>
        </w:tc>
        <w:tc>
          <w:tcPr>
            <w:tcW w:w="2500" w:type="dxa"/>
            <w:vAlign w:val="bottom"/>
          </w:tcPr>
          <w:p>
            <w:pPr>
              <w:ind w:left="560"/>
              <w:spacing w:after="0"/>
              <w:rPr>
                <w:sz w:val="20"/>
                <w:szCs w:val="20"/>
                <w:color w:val="auto"/>
              </w:rPr>
            </w:pPr>
            <w:r>
              <w:rPr>
                <w:rFonts w:ascii="Arial" w:cs="Arial" w:eastAsia="Arial" w:hAnsi="Arial"/>
                <w:sz w:val="15"/>
                <w:szCs w:val="15"/>
                <w:color w:val="auto"/>
              </w:rPr>
              <w:t>of each year, beginning on</w:t>
            </w:r>
          </w:p>
        </w:tc>
        <w:tc>
          <w:tcPr>
            <w:tcW w:w="2640" w:type="dxa"/>
            <w:vAlign w:val="bottom"/>
            <w:gridSpan w:val="2"/>
          </w:tcPr>
          <w:p>
            <w:pPr>
              <w:jc w:val="right"/>
              <w:spacing w:after="0"/>
              <w:rPr>
                <w:sz w:val="20"/>
                <w:szCs w:val="20"/>
                <w:color w:val="auto"/>
              </w:rPr>
            </w:pPr>
            <w:r>
              <w:rPr>
                <w:rFonts w:ascii="Arial" w:cs="Arial" w:eastAsia="Arial" w:hAnsi="Arial"/>
                <w:sz w:val="15"/>
                <w:szCs w:val="15"/>
                <w:color w:val="auto"/>
              </w:rPr>
              <w:t>, 2021. We may redeem any of the</w:t>
            </w:r>
          </w:p>
        </w:tc>
      </w:tr>
    </w:tbl>
    <w:p>
      <w:pPr>
        <w:jc w:val="both"/>
        <w:ind w:left="200" w:right="40"/>
        <w:spacing w:after="0" w:line="234" w:lineRule="auto"/>
        <w:rPr>
          <w:sz w:val="20"/>
          <w:szCs w:val="20"/>
          <w:color w:val="auto"/>
        </w:rPr>
      </w:pPr>
      <w:r>
        <w:rPr>
          <w:rFonts w:ascii="Arial" w:cs="Arial" w:eastAsia="Arial" w:hAnsi="Arial"/>
          <w:sz w:val="15"/>
          <w:szCs w:val="15"/>
          <w:color w:val="auto"/>
        </w:rPr>
        <w:t>notes at any time by paying the applicable Redemption Price described under the heading “Description of the Notes—Optional Redemption.” In addition, we may redeem the notes in whole but not in part, at any time at our option, in the event of certain developments affecting United States taxation as described under the heading “Description of the Notes— Redemption for Tax Reasons.”</w:t>
      </w:r>
    </w:p>
    <w:p>
      <w:pPr>
        <w:spacing w:after="0" w:line="64" w:lineRule="exact"/>
        <w:rPr>
          <w:sz w:val="24"/>
          <w:szCs w:val="24"/>
          <w:color w:val="auto"/>
        </w:rPr>
      </w:pPr>
    </w:p>
    <w:p>
      <w:pPr>
        <w:ind w:left="200" w:right="620"/>
        <w:spacing w:after="0" w:line="255" w:lineRule="auto"/>
        <w:rPr>
          <w:sz w:val="20"/>
          <w:szCs w:val="20"/>
          <w:color w:val="auto"/>
        </w:rPr>
      </w:pPr>
      <w:r>
        <w:rPr>
          <w:rFonts w:ascii="Arial" w:cs="Arial" w:eastAsia="Arial" w:hAnsi="Arial"/>
          <w:sz w:val="15"/>
          <w:szCs w:val="15"/>
          <w:color w:val="auto"/>
        </w:rPr>
        <w:t>The euro notes will be issued in minimum denominations of €100,000 and integral multiples of €1,000 in excess thereof, and the sterling notes will be issued in minimum denominations of £100,000 and integral multiples of £1,000 in excess thereof.</w:t>
      </w:r>
    </w:p>
    <w:p>
      <w:pPr>
        <w:spacing w:after="0" w:line="39" w:lineRule="exact"/>
        <w:rPr>
          <w:sz w:val="24"/>
          <w:szCs w:val="24"/>
          <w:color w:val="auto"/>
        </w:rPr>
      </w:pPr>
    </w:p>
    <w:p>
      <w:pPr>
        <w:ind w:left="200" w:right="400"/>
        <w:spacing w:after="0" w:line="255" w:lineRule="auto"/>
        <w:rPr>
          <w:sz w:val="20"/>
          <w:szCs w:val="20"/>
          <w:color w:val="auto"/>
        </w:rPr>
      </w:pPr>
      <w:r>
        <w:rPr>
          <w:rFonts w:ascii="Arial" w:cs="Arial" w:eastAsia="Arial" w:hAnsi="Arial"/>
          <w:sz w:val="15"/>
          <w:szCs w:val="15"/>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52" w:lineRule="exact"/>
        <w:rPr>
          <w:sz w:val="24"/>
          <w:szCs w:val="24"/>
          <w:color w:val="auto"/>
        </w:rPr>
      </w:pPr>
    </w:p>
    <w:p>
      <w:pPr>
        <w:ind w:left="200" w:right="140"/>
        <w:spacing w:after="0" w:line="266" w:lineRule="auto"/>
        <w:rPr>
          <w:sz w:val="20"/>
          <w:szCs w:val="20"/>
          <w:color w:val="auto"/>
        </w:rPr>
      </w:pPr>
      <w:r>
        <w:rPr>
          <w:rFonts w:ascii="Arial" w:cs="Arial" w:eastAsia="Arial" w:hAnsi="Arial"/>
          <w:sz w:val="14"/>
          <w:szCs w:val="14"/>
          <w:color w:val="auto"/>
        </w:rPr>
        <w:t>Each series of the notes is a new issue of securities with no established trading market. We currently intend to apply to list the notes on the NASDAQ Global Market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54610</wp:posOffset>
            </wp:positionV>
            <wp:extent cx="69977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29" w:lineRule="exact"/>
        <w:rPr>
          <w:sz w:val="24"/>
          <w:szCs w:val="24"/>
          <w:color w:val="auto"/>
        </w:rPr>
      </w:pPr>
    </w:p>
    <w:p>
      <w:pPr>
        <w:ind w:left="2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Investing in these securities involves certain risks. See “</w:t>
      </w:r>
      <w:hyperlink w:anchor="page11">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beginning on page S-6 of this prospectus supplement.</w:t>
      </w:r>
    </w:p>
    <w:p>
      <w:pPr>
        <w:spacing w:after="0" w:line="66"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Price to</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Underwriters’</w:t>
            </w:r>
          </w:p>
        </w:tc>
        <w:tc>
          <w:tcPr>
            <w:tcW w:w="204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Proceeds to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4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Investors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Discount</w:t>
            </w:r>
          </w:p>
        </w:tc>
        <w:tc>
          <w:tcPr>
            <w:tcW w:w="20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Expenses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tcBorders>
              <w:top w:val="single" w:sz="8" w:color="D1FCFC"/>
            </w:tcBorders>
            <w:shd w:val="clear" w:color="auto" w:fill="D1FCFC"/>
          </w:tcPr>
          <w:p>
            <w:pPr>
              <w:spacing w:after="0" w:line="156" w:lineRule="exact"/>
              <w:rPr>
                <w:sz w:val="20"/>
                <w:szCs w:val="20"/>
                <w:color w:val="auto"/>
              </w:rPr>
            </w:pPr>
            <w:r>
              <w:rPr>
                <w:rFonts w:ascii="Arial" w:cs="Arial" w:eastAsia="Arial" w:hAnsi="Arial"/>
                <w:sz w:val="15"/>
                <w:szCs w:val="15"/>
                <w:color w:val="auto"/>
                <w:w w:val="95"/>
              </w:rPr>
              <w:t>Per euro note due 20</w:t>
            </w:r>
          </w:p>
        </w:tc>
        <w:tc>
          <w:tcPr>
            <w:tcW w:w="240" w:type="dxa"/>
            <w:vAlign w:val="bottom"/>
            <w:tcBorders>
              <w:top w:val="single" w:sz="8" w:color="D1FCFC"/>
            </w:tcBorders>
            <w:shd w:val="clear" w:color="auto" w:fill="D1FCFC"/>
          </w:tcPr>
          <w:p>
            <w:pPr>
              <w:jc w:val="right"/>
              <w:spacing w:after="0" w:line="144" w:lineRule="exact"/>
              <w:rPr>
                <w:sz w:val="20"/>
                <w:szCs w:val="20"/>
                <w:color w:val="auto"/>
              </w:rPr>
            </w:pPr>
            <w:r>
              <w:rPr>
                <w:rFonts w:ascii="Arial" w:cs="Arial" w:eastAsia="Arial" w:hAnsi="Arial"/>
                <w:sz w:val="13"/>
                <w:szCs w:val="13"/>
                <w:color w:val="auto"/>
              </w:rPr>
              <w:t>(1)</w:t>
            </w:r>
          </w:p>
        </w:tc>
        <w:tc>
          <w:tcPr>
            <w:tcW w:w="3200" w:type="dxa"/>
            <w:vAlign w:val="bottom"/>
            <w:tcBorders>
              <w:top w:val="single" w:sz="8" w:color="D1FCFC"/>
            </w:tcBorders>
            <w:shd w:val="clear" w:color="auto" w:fill="D1FCFC"/>
          </w:tcPr>
          <w:p>
            <w:pPr>
              <w:spacing w:after="0"/>
              <w:rPr>
                <w:sz w:val="13"/>
                <w:szCs w:val="13"/>
                <w:color w:val="auto"/>
              </w:rPr>
            </w:pPr>
          </w:p>
        </w:tc>
        <w:tc>
          <w:tcPr>
            <w:tcW w:w="780" w:type="dxa"/>
            <w:vAlign w:val="bottom"/>
            <w:tcBorders>
              <w:top w:val="single" w:sz="8" w:color="auto"/>
            </w:tcBorders>
            <w:shd w:val="clear" w:color="auto" w:fill="D1FCFC"/>
          </w:tcPr>
          <w:p>
            <w:pPr>
              <w:spacing w:after="0"/>
              <w:rPr>
                <w:sz w:val="13"/>
                <w:szCs w:val="13"/>
                <w:color w:val="auto"/>
              </w:rPr>
            </w:pPr>
          </w:p>
        </w:tc>
        <w:tc>
          <w:tcPr>
            <w:tcW w:w="200" w:type="dxa"/>
            <w:vAlign w:val="bottom"/>
            <w:tcBorders>
              <w:top w:val="single" w:sz="8" w:color="auto"/>
            </w:tcBorders>
            <w:shd w:val="clear" w:color="auto" w:fill="D1FCFC"/>
          </w:tcPr>
          <w:p>
            <w:pPr>
              <w:jc w:val="right"/>
              <w:spacing w:after="0" w:line="156" w:lineRule="exact"/>
              <w:rPr>
                <w:sz w:val="20"/>
                <w:szCs w:val="20"/>
                <w:color w:val="auto"/>
              </w:rPr>
            </w:pPr>
            <w:r>
              <w:rPr>
                <w:rFonts w:ascii="Arial" w:cs="Arial" w:eastAsia="Arial" w:hAnsi="Arial"/>
                <w:sz w:val="15"/>
                <w:szCs w:val="15"/>
                <w:color w:val="auto"/>
                <w:w w:val="89"/>
              </w:rPr>
              <w:t>%</w:t>
            </w:r>
          </w:p>
        </w:tc>
        <w:tc>
          <w:tcPr>
            <w:tcW w:w="680" w:type="dxa"/>
            <w:vAlign w:val="bottom"/>
            <w:tcBorders>
              <w:top w:val="single" w:sz="8" w:color="D1FCFC"/>
            </w:tcBorders>
            <w:shd w:val="clear" w:color="auto" w:fill="D1FCFC"/>
          </w:tcPr>
          <w:p>
            <w:pPr>
              <w:spacing w:after="0"/>
              <w:rPr>
                <w:sz w:val="13"/>
                <w:szCs w:val="13"/>
                <w:color w:val="auto"/>
              </w:rPr>
            </w:pPr>
          </w:p>
        </w:tc>
        <w:tc>
          <w:tcPr>
            <w:tcW w:w="980" w:type="dxa"/>
            <w:vAlign w:val="bottom"/>
            <w:tcBorders>
              <w:top w:val="single" w:sz="8" w:color="auto"/>
            </w:tcBorders>
            <w:shd w:val="clear" w:color="auto" w:fill="D1FCFC"/>
          </w:tcPr>
          <w:p>
            <w:pPr>
              <w:ind w:left="800"/>
              <w:spacing w:after="0" w:line="156" w:lineRule="exact"/>
              <w:rPr>
                <w:sz w:val="20"/>
                <w:szCs w:val="20"/>
                <w:color w:val="auto"/>
              </w:rPr>
            </w:pPr>
            <w:r>
              <w:rPr>
                <w:rFonts w:ascii="Arial" w:cs="Arial" w:eastAsia="Arial" w:hAnsi="Arial"/>
                <w:sz w:val="15"/>
                <w:szCs w:val="15"/>
                <w:color w:val="auto"/>
              </w:rPr>
              <w:t>%</w:t>
            </w:r>
          </w:p>
        </w:tc>
        <w:tc>
          <w:tcPr>
            <w:tcW w:w="680" w:type="dxa"/>
            <w:vAlign w:val="bottom"/>
            <w:tcBorders>
              <w:top w:val="single" w:sz="8" w:color="D1FCFC"/>
            </w:tcBorders>
            <w:shd w:val="clear" w:color="auto" w:fill="D1FCFC"/>
          </w:tcPr>
          <w:p>
            <w:pPr>
              <w:spacing w:after="0"/>
              <w:rPr>
                <w:sz w:val="13"/>
                <w:szCs w:val="13"/>
                <w:color w:val="auto"/>
              </w:rPr>
            </w:pPr>
          </w:p>
        </w:tc>
        <w:tc>
          <w:tcPr>
            <w:tcW w:w="1140" w:type="dxa"/>
            <w:vAlign w:val="bottom"/>
            <w:tcBorders>
              <w:top w:val="single" w:sz="8" w:color="auto"/>
            </w:tcBorders>
            <w:shd w:val="clear" w:color="auto" w:fill="D1FCFC"/>
          </w:tcPr>
          <w:p>
            <w:pPr>
              <w:ind w:left="860"/>
              <w:spacing w:after="0" w:line="156" w:lineRule="exact"/>
              <w:rPr>
                <w:sz w:val="20"/>
                <w:szCs w:val="20"/>
                <w:color w:val="auto"/>
              </w:rPr>
            </w:pPr>
            <w:r>
              <w:rPr>
                <w:rFonts w:ascii="Arial" w:cs="Arial" w:eastAsia="Arial" w:hAnsi="Arial"/>
                <w:sz w:val="15"/>
                <w:szCs w:val="15"/>
                <w:color w:val="auto"/>
              </w:rPr>
              <w:t>%</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line="162" w:lineRule="exact"/>
              <w:rPr>
                <w:sz w:val="20"/>
                <w:szCs w:val="20"/>
                <w:color w:val="auto"/>
              </w:rPr>
            </w:pPr>
            <w:r>
              <w:rPr>
                <w:rFonts w:ascii="Arial" w:cs="Arial" w:eastAsia="Arial" w:hAnsi="Arial"/>
                <w:sz w:val="15"/>
                <w:szCs w:val="15"/>
                <w:color w:val="auto"/>
              </w:rPr>
              <w:t>Total</w:t>
            </w:r>
          </w:p>
        </w:tc>
        <w:tc>
          <w:tcPr>
            <w:tcW w:w="2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Pr>
          <w:p>
            <w:pPr>
              <w:jc w:val="right"/>
              <w:ind w:right="565"/>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w:t>
            </w:r>
          </w:p>
        </w:tc>
        <w:tc>
          <w:tcPr>
            <w:tcW w:w="1140" w:type="dxa"/>
            <w:vAlign w:val="bottom"/>
          </w:tcPr>
          <w:p>
            <w:pPr>
              <w:ind w:left="120"/>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shd w:val="clear" w:color="auto" w:fill="D1FCFC"/>
          </w:tcPr>
          <w:p>
            <w:pPr>
              <w:spacing w:after="0" w:line="162" w:lineRule="exact"/>
              <w:rPr>
                <w:sz w:val="20"/>
                <w:szCs w:val="20"/>
                <w:color w:val="auto"/>
              </w:rPr>
            </w:pPr>
            <w:r>
              <w:rPr>
                <w:rFonts w:ascii="Arial" w:cs="Arial" w:eastAsia="Arial" w:hAnsi="Arial"/>
                <w:sz w:val="15"/>
                <w:szCs w:val="15"/>
                <w:color w:val="auto"/>
                <w:w w:val="95"/>
              </w:rPr>
              <w:t>Per euro note due 20</w:t>
            </w:r>
          </w:p>
        </w:tc>
        <w:tc>
          <w:tcPr>
            <w:tcW w:w="240" w:type="dxa"/>
            <w:vAlign w:val="bottom"/>
            <w:shd w:val="clear" w:color="auto" w:fill="D1FCFC"/>
          </w:tcPr>
          <w:p>
            <w:pPr>
              <w:jc w:val="right"/>
              <w:spacing w:after="0"/>
              <w:rPr>
                <w:sz w:val="20"/>
                <w:szCs w:val="20"/>
                <w:color w:val="auto"/>
              </w:rPr>
            </w:pPr>
            <w:r>
              <w:rPr>
                <w:rFonts w:ascii="Arial" w:cs="Arial" w:eastAsia="Arial" w:hAnsi="Arial"/>
                <w:sz w:val="13"/>
                <w:szCs w:val="13"/>
                <w:color w:val="auto"/>
              </w:rPr>
              <w:t>(1)</w:t>
            </w:r>
          </w:p>
        </w:tc>
        <w:tc>
          <w:tcPr>
            <w:tcW w:w="3200" w:type="dxa"/>
            <w:vAlign w:val="bottom"/>
            <w:shd w:val="clear" w:color="auto" w:fill="D1FCFC"/>
          </w:tcPr>
          <w:p>
            <w:pPr>
              <w:spacing w:after="0"/>
              <w:rPr>
                <w:sz w:val="14"/>
                <w:szCs w:val="14"/>
                <w:color w:val="auto"/>
              </w:rPr>
            </w:pPr>
          </w:p>
        </w:tc>
        <w:tc>
          <w:tcPr>
            <w:tcW w:w="780" w:type="dxa"/>
            <w:vAlign w:val="bottom"/>
            <w:shd w:val="clear" w:color="auto" w:fill="D1FCFC"/>
          </w:tcPr>
          <w:p>
            <w:pPr>
              <w:spacing w:after="0"/>
              <w:rPr>
                <w:sz w:val="14"/>
                <w:szCs w:val="14"/>
                <w:color w:val="auto"/>
              </w:rPr>
            </w:pPr>
          </w:p>
        </w:tc>
        <w:tc>
          <w:tcPr>
            <w:tcW w:w="200" w:type="dxa"/>
            <w:vAlign w:val="bottom"/>
            <w:shd w:val="clear" w:color="auto" w:fill="D1FCFC"/>
          </w:tcPr>
          <w:p>
            <w:pPr>
              <w:jc w:val="right"/>
              <w:spacing w:after="0" w:line="162" w:lineRule="exact"/>
              <w:rPr>
                <w:sz w:val="20"/>
                <w:szCs w:val="20"/>
                <w:color w:val="auto"/>
              </w:rPr>
            </w:pPr>
            <w:r>
              <w:rPr>
                <w:rFonts w:ascii="Arial" w:cs="Arial" w:eastAsia="Arial" w:hAnsi="Arial"/>
                <w:sz w:val="15"/>
                <w:szCs w:val="15"/>
                <w:color w:val="auto"/>
                <w:w w:val="89"/>
              </w:rPr>
              <w:t>%</w:t>
            </w:r>
          </w:p>
        </w:tc>
        <w:tc>
          <w:tcPr>
            <w:tcW w:w="680" w:type="dxa"/>
            <w:vAlign w:val="bottom"/>
            <w:shd w:val="clear" w:color="auto" w:fill="D1FCFC"/>
          </w:tcPr>
          <w:p>
            <w:pPr>
              <w:spacing w:after="0"/>
              <w:rPr>
                <w:sz w:val="14"/>
                <w:szCs w:val="14"/>
                <w:color w:val="auto"/>
              </w:rPr>
            </w:pPr>
          </w:p>
        </w:tc>
        <w:tc>
          <w:tcPr>
            <w:tcW w:w="980" w:type="dxa"/>
            <w:vAlign w:val="bottom"/>
            <w:shd w:val="clear" w:color="auto" w:fill="D1FCFC"/>
          </w:tcPr>
          <w:p>
            <w:pPr>
              <w:ind w:left="800"/>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D1FCFC"/>
          </w:tcPr>
          <w:p>
            <w:pPr>
              <w:spacing w:after="0"/>
              <w:rPr>
                <w:sz w:val="14"/>
                <w:szCs w:val="14"/>
                <w:color w:val="auto"/>
              </w:rPr>
            </w:pPr>
          </w:p>
        </w:tc>
        <w:tc>
          <w:tcPr>
            <w:tcW w:w="1140" w:type="dxa"/>
            <w:vAlign w:val="bottom"/>
            <w:shd w:val="clear" w:color="auto" w:fill="D1FCFC"/>
          </w:tcPr>
          <w:p>
            <w:pPr>
              <w:ind w:left="860"/>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line="162" w:lineRule="exact"/>
              <w:rPr>
                <w:sz w:val="20"/>
                <w:szCs w:val="20"/>
                <w:color w:val="auto"/>
              </w:rPr>
            </w:pPr>
            <w:r>
              <w:rPr>
                <w:rFonts w:ascii="Arial" w:cs="Arial" w:eastAsia="Arial" w:hAnsi="Arial"/>
                <w:sz w:val="15"/>
                <w:szCs w:val="15"/>
                <w:color w:val="auto"/>
              </w:rPr>
              <w:t>Total</w:t>
            </w:r>
          </w:p>
        </w:tc>
        <w:tc>
          <w:tcPr>
            <w:tcW w:w="2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Pr>
          <w:p>
            <w:pPr>
              <w:jc w:val="right"/>
              <w:ind w:right="565"/>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w:t>
            </w:r>
          </w:p>
        </w:tc>
        <w:tc>
          <w:tcPr>
            <w:tcW w:w="1140" w:type="dxa"/>
            <w:vAlign w:val="bottom"/>
          </w:tcPr>
          <w:p>
            <w:pPr>
              <w:ind w:left="120"/>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shd w:val="clear" w:color="auto" w:fill="D1FCFC"/>
          </w:tcPr>
          <w:p>
            <w:pPr>
              <w:spacing w:after="0" w:line="162" w:lineRule="exact"/>
              <w:rPr>
                <w:sz w:val="20"/>
                <w:szCs w:val="20"/>
                <w:color w:val="auto"/>
              </w:rPr>
            </w:pPr>
            <w:r>
              <w:rPr>
                <w:rFonts w:ascii="Arial" w:cs="Arial" w:eastAsia="Arial" w:hAnsi="Arial"/>
                <w:sz w:val="15"/>
                <w:szCs w:val="15"/>
                <w:color w:val="auto"/>
                <w:w w:val="95"/>
              </w:rPr>
              <w:t>Per euro note due 20</w:t>
            </w:r>
          </w:p>
        </w:tc>
        <w:tc>
          <w:tcPr>
            <w:tcW w:w="240" w:type="dxa"/>
            <w:vAlign w:val="bottom"/>
            <w:shd w:val="clear" w:color="auto" w:fill="D1FCFC"/>
          </w:tcPr>
          <w:p>
            <w:pPr>
              <w:jc w:val="right"/>
              <w:spacing w:after="0"/>
              <w:rPr>
                <w:sz w:val="20"/>
                <w:szCs w:val="20"/>
                <w:color w:val="auto"/>
              </w:rPr>
            </w:pPr>
            <w:r>
              <w:rPr>
                <w:rFonts w:ascii="Arial" w:cs="Arial" w:eastAsia="Arial" w:hAnsi="Arial"/>
                <w:sz w:val="13"/>
                <w:szCs w:val="13"/>
                <w:color w:val="auto"/>
              </w:rPr>
              <w:t>(1)</w:t>
            </w:r>
          </w:p>
        </w:tc>
        <w:tc>
          <w:tcPr>
            <w:tcW w:w="3200" w:type="dxa"/>
            <w:vAlign w:val="bottom"/>
            <w:shd w:val="clear" w:color="auto" w:fill="D1FCFC"/>
          </w:tcPr>
          <w:p>
            <w:pPr>
              <w:spacing w:after="0"/>
              <w:rPr>
                <w:sz w:val="14"/>
                <w:szCs w:val="14"/>
                <w:color w:val="auto"/>
              </w:rPr>
            </w:pPr>
          </w:p>
        </w:tc>
        <w:tc>
          <w:tcPr>
            <w:tcW w:w="780" w:type="dxa"/>
            <w:vAlign w:val="bottom"/>
            <w:shd w:val="clear" w:color="auto" w:fill="D1FCFC"/>
          </w:tcPr>
          <w:p>
            <w:pPr>
              <w:spacing w:after="0"/>
              <w:rPr>
                <w:sz w:val="14"/>
                <w:szCs w:val="14"/>
                <w:color w:val="auto"/>
              </w:rPr>
            </w:pPr>
          </w:p>
        </w:tc>
        <w:tc>
          <w:tcPr>
            <w:tcW w:w="200" w:type="dxa"/>
            <w:vAlign w:val="bottom"/>
            <w:shd w:val="clear" w:color="auto" w:fill="D1FCFC"/>
          </w:tcPr>
          <w:p>
            <w:pPr>
              <w:jc w:val="right"/>
              <w:spacing w:after="0" w:line="162" w:lineRule="exact"/>
              <w:rPr>
                <w:sz w:val="20"/>
                <w:szCs w:val="20"/>
                <w:color w:val="auto"/>
              </w:rPr>
            </w:pPr>
            <w:r>
              <w:rPr>
                <w:rFonts w:ascii="Arial" w:cs="Arial" w:eastAsia="Arial" w:hAnsi="Arial"/>
                <w:sz w:val="15"/>
                <w:szCs w:val="15"/>
                <w:color w:val="auto"/>
                <w:w w:val="89"/>
              </w:rPr>
              <w:t>%</w:t>
            </w:r>
          </w:p>
        </w:tc>
        <w:tc>
          <w:tcPr>
            <w:tcW w:w="680" w:type="dxa"/>
            <w:vAlign w:val="bottom"/>
            <w:shd w:val="clear" w:color="auto" w:fill="D1FCFC"/>
          </w:tcPr>
          <w:p>
            <w:pPr>
              <w:spacing w:after="0"/>
              <w:rPr>
                <w:sz w:val="14"/>
                <w:szCs w:val="14"/>
                <w:color w:val="auto"/>
              </w:rPr>
            </w:pPr>
          </w:p>
        </w:tc>
        <w:tc>
          <w:tcPr>
            <w:tcW w:w="980" w:type="dxa"/>
            <w:vAlign w:val="bottom"/>
            <w:shd w:val="clear" w:color="auto" w:fill="D1FCFC"/>
          </w:tcPr>
          <w:p>
            <w:pPr>
              <w:ind w:left="800"/>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D1FCFC"/>
          </w:tcPr>
          <w:p>
            <w:pPr>
              <w:spacing w:after="0"/>
              <w:rPr>
                <w:sz w:val="14"/>
                <w:szCs w:val="14"/>
                <w:color w:val="auto"/>
              </w:rPr>
            </w:pPr>
          </w:p>
        </w:tc>
        <w:tc>
          <w:tcPr>
            <w:tcW w:w="1140" w:type="dxa"/>
            <w:vAlign w:val="bottom"/>
            <w:shd w:val="clear" w:color="auto" w:fill="D1FCFC"/>
          </w:tcPr>
          <w:p>
            <w:pPr>
              <w:ind w:left="860"/>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line="162" w:lineRule="exact"/>
              <w:rPr>
                <w:sz w:val="20"/>
                <w:szCs w:val="20"/>
                <w:color w:val="auto"/>
              </w:rPr>
            </w:pPr>
            <w:r>
              <w:rPr>
                <w:rFonts w:ascii="Arial" w:cs="Arial" w:eastAsia="Arial" w:hAnsi="Arial"/>
                <w:sz w:val="15"/>
                <w:szCs w:val="15"/>
                <w:color w:val="auto"/>
              </w:rPr>
              <w:t>Total</w:t>
            </w:r>
          </w:p>
        </w:tc>
        <w:tc>
          <w:tcPr>
            <w:tcW w:w="2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Pr>
          <w:p>
            <w:pPr>
              <w:jc w:val="right"/>
              <w:ind w:right="565"/>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gridSpan w:val="2"/>
          </w:tcPr>
          <w:p>
            <w:pPr>
              <w:ind w:left="80"/>
              <w:spacing w:after="0" w:line="162" w:lineRule="exact"/>
              <w:rPr>
                <w:sz w:val="20"/>
                <w:szCs w:val="20"/>
                <w:color w:val="auto"/>
              </w:rPr>
            </w:pPr>
            <w:r>
              <w:rPr>
                <w:rFonts w:ascii="Arial" w:cs="Arial" w:eastAsia="Arial" w:hAnsi="Arial"/>
                <w:sz w:val="15"/>
                <w:szCs w:val="15"/>
                <w:color w:val="auto"/>
              </w:rPr>
              <w:t>€</w:t>
            </w:r>
          </w:p>
        </w:tc>
        <w:tc>
          <w:tcPr>
            <w:tcW w:w="1140" w:type="dxa"/>
            <w:vAlign w:val="bottom"/>
          </w:tcPr>
          <w:p>
            <w:pPr>
              <w:ind w:left="120"/>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2"/>
            <w:shd w:val="clear" w:color="auto" w:fill="D1FCFC"/>
          </w:tcPr>
          <w:p>
            <w:pPr>
              <w:spacing w:after="0" w:line="162" w:lineRule="exact"/>
              <w:rPr>
                <w:sz w:val="20"/>
                <w:szCs w:val="20"/>
                <w:color w:val="auto"/>
              </w:rPr>
            </w:pPr>
            <w:r>
              <w:rPr>
                <w:rFonts w:ascii="Arial" w:cs="Arial" w:eastAsia="Arial" w:hAnsi="Arial"/>
                <w:sz w:val="15"/>
                <w:szCs w:val="15"/>
                <w:color w:val="auto"/>
                <w:w w:val="99"/>
              </w:rPr>
              <w:t>Per sterling note due 20</w:t>
            </w:r>
          </w:p>
        </w:tc>
        <w:tc>
          <w:tcPr>
            <w:tcW w:w="3200" w:type="dxa"/>
            <w:vAlign w:val="bottom"/>
            <w:shd w:val="clear" w:color="auto" w:fill="D1FCFC"/>
          </w:tcPr>
          <w:p>
            <w:pPr>
              <w:jc w:val="right"/>
              <w:ind w:right="2969"/>
              <w:spacing w:after="0"/>
              <w:rPr>
                <w:sz w:val="20"/>
                <w:szCs w:val="20"/>
                <w:color w:val="auto"/>
              </w:rPr>
            </w:pPr>
            <w:r>
              <w:rPr>
                <w:rFonts w:ascii="Arial" w:cs="Arial" w:eastAsia="Arial" w:hAnsi="Arial"/>
                <w:sz w:val="13"/>
                <w:szCs w:val="13"/>
                <w:color w:val="auto"/>
                <w:w w:val="87"/>
              </w:rPr>
              <w:t>(1)</w:t>
            </w:r>
          </w:p>
        </w:tc>
        <w:tc>
          <w:tcPr>
            <w:tcW w:w="780" w:type="dxa"/>
            <w:vAlign w:val="bottom"/>
            <w:shd w:val="clear" w:color="auto" w:fill="D1FCFC"/>
          </w:tcPr>
          <w:p>
            <w:pPr>
              <w:spacing w:after="0"/>
              <w:rPr>
                <w:sz w:val="14"/>
                <w:szCs w:val="14"/>
                <w:color w:val="auto"/>
              </w:rPr>
            </w:pPr>
          </w:p>
        </w:tc>
        <w:tc>
          <w:tcPr>
            <w:tcW w:w="200" w:type="dxa"/>
            <w:vAlign w:val="bottom"/>
            <w:shd w:val="clear" w:color="auto" w:fill="D1FCFC"/>
          </w:tcPr>
          <w:p>
            <w:pPr>
              <w:jc w:val="right"/>
              <w:spacing w:after="0" w:line="162" w:lineRule="exact"/>
              <w:rPr>
                <w:sz w:val="20"/>
                <w:szCs w:val="20"/>
                <w:color w:val="auto"/>
              </w:rPr>
            </w:pPr>
            <w:r>
              <w:rPr>
                <w:rFonts w:ascii="Arial" w:cs="Arial" w:eastAsia="Arial" w:hAnsi="Arial"/>
                <w:sz w:val="15"/>
                <w:szCs w:val="15"/>
                <w:color w:val="auto"/>
                <w:w w:val="89"/>
              </w:rPr>
              <w:t>%</w:t>
            </w:r>
          </w:p>
        </w:tc>
        <w:tc>
          <w:tcPr>
            <w:tcW w:w="680" w:type="dxa"/>
            <w:vAlign w:val="bottom"/>
            <w:shd w:val="clear" w:color="auto" w:fill="D1FCFC"/>
          </w:tcPr>
          <w:p>
            <w:pPr>
              <w:spacing w:after="0"/>
              <w:rPr>
                <w:sz w:val="14"/>
                <w:szCs w:val="14"/>
                <w:color w:val="auto"/>
              </w:rPr>
            </w:pPr>
          </w:p>
        </w:tc>
        <w:tc>
          <w:tcPr>
            <w:tcW w:w="980" w:type="dxa"/>
            <w:vAlign w:val="bottom"/>
            <w:shd w:val="clear" w:color="auto" w:fill="D1FCFC"/>
          </w:tcPr>
          <w:p>
            <w:pPr>
              <w:ind w:left="800"/>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D1FCFC"/>
          </w:tcPr>
          <w:p>
            <w:pPr>
              <w:spacing w:after="0"/>
              <w:rPr>
                <w:sz w:val="14"/>
                <w:szCs w:val="14"/>
                <w:color w:val="auto"/>
              </w:rPr>
            </w:pPr>
          </w:p>
        </w:tc>
        <w:tc>
          <w:tcPr>
            <w:tcW w:w="1140" w:type="dxa"/>
            <w:vAlign w:val="bottom"/>
            <w:shd w:val="clear" w:color="auto" w:fill="D1FCFC"/>
          </w:tcPr>
          <w:p>
            <w:pPr>
              <w:ind w:left="860"/>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line="162" w:lineRule="exact"/>
              <w:rPr>
                <w:sz w:val="20"/>
                <w:szCs w:val="20"/>
                <w:color w:val="auto"/>
              </w:rPr>
            </w:pPr>
            <w:r>
              <w:rPr>
                <w:rFonts w:ascii="Arial" w:cs="Arial" w:eastAsia="Arial" w:hAnsi="Arial"/>
                <w:sz w:val="15"/>
                <w:szCs w:val="15"/>
                <w:color w:val="auto"/>
              </w:rPr>
              <w:t>Total</w:t>
            </w:r>
          </w:p>
        </w:tc>
        <w:tc>
          <w:tcPr>
            <w:tcW w:w="240" w:type="dxa"/>
            <w:vAlign w:val="bottom"/>
          </w:tcPr>
          <w:p>
            <w:pPr>
              <w:spacing w:after="0"/>
              <w:rPr>
                <w:sz w:val="14"/>
                <w:szCs w:val="14"/>
                <w:color w:val="auto"/>
              </w:rPr>
            </w:pPr>
          </w:p>
        </w:tc>
        <w:tc>
          <w:tcPr>
            <w:tcW w:w="3980" w:type="dxa"/>
            <w:vAlign w:val="bottom"/>
            <w:gridSpan w:val="2"/>
          </w:tcPr>
          <w:p>
            <w:pPr>
              <w:jc w:val="right"/>
              <w:ind w:right="565"/>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ind w:left="80"/>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spacing w:after="0"/>
              <w:rPr>
                <w:sz w:val="14"/>
                <w:szCs w:val="14"/>
                <w:color w:val="auto"/>
              </w:rPr>
            </w:pPr>
          </w:p>
        </w:tc>
        <w:tc>
          <w:tcPr>
            <w:tcW w:w="1140" w:type="dxa"/>
            <w:vAlign w:val="bottom"/>
          </w:tcPr>
          <w:p>
            <w:pPr>
              <w:ind w:left="120"/>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2"/>
            <w:shd w:val="clear" w:color="auto" w:fill="D1FCFC"/>
          </w:tcPr>
          <w:p>
            <w:pPr>
              <w:spacing w:after="0" w:line="162" w:lineRule="exact"/>
              <w:rPr>
                <w:sz w:val="20"/>
                <w:szCs w:val="20"/>
                <w:color w:val="auto"/>
              </w:rPr>
            </w:pPr>
            <w:r>
              <w:rPr>
                <w:rFonts w:ascii="Arial" w:cs="Arial" w:eastAsia="Arial" w:hAnsi="Arial"/>
                <w:sz w:val="15"/>
                <w:szCs w:val="15"/>
                <w:color w:val="auto"/>
                <w:w w:val="99"/>
              </w:rPr>
              <w:t>Per sterling note due 20</w:t>
            </w:r>
          </w:p>
        </w:tc>
        <w:tc>
          <w:tcPr>
            <w:tcW w:w="3200" w:type="dxa"/>
            <w:vAlign w:val="bottom"/>
            <w:shd w:val="clear" w:color="auto" w:fill="D1FCFC"/>
          </w:tcPr>
          <w:p>
            <w:pPr>
              <w:jc w:val="right"/>
              <w:ind w:right="2969"/>
              <w:spacing w:after="0"/>
              <w:rPr>
                <w:sz w:val="20"/>
                <w:szCs w:val="20"/>
                <w:color w:val="auto"/>
              </w:rPr>
            </w:pPr>
            <w:r>
              <w:rPr>
                <w:rFonts w:ascii="Arial" w:cs="Arial" w:eastAsia="Arial" w:hAnsi="Arial"/>
                <w:sz w:val="13"/>
                <w:szCs w:val="13"/>
                <w:color w:val="auto"/>
                <w:w w:val="87"/>
              </w:rPr>
              <w:t>(1)</w:t>
            </w:r>
          </w:p>
        </w:tc>
        <w:tc>
          <w:tcPr>
            <w:tcW w:w="780" w:type="dxa"/>
            <w:vAlign w:val="bottom"/>
            <w:shd w:val="clear" w:color="auto" w:fill="D1FCFC"/>
          </w:tcPr>
          <w:p>
            <w:pPr>
              <w:spacing w:after="0"/>
              <w:rPr>
                <w:sz w:val="14"/>
                <w:szCs w:val="14"/>
                <w:color w:val="auto"/>
              </w:rPr>
            </w:pPr>
          </w:p>
        </w:tc>
        <w:tc>
          <w:tcPr>
            <w:tcW w:w="200" w:type="dxa"/>
            <w:vAlign w:val="bottom"/>
            <w:shd w:val="clear" w:color="auto" w:fill="D1FCFC"/>
          </w:tcPr>
          <w:p>
            <w:pPr>
              <w:jc w:val="right"/>
              <w:spacing w:after="0" w:line="162" w:lineRule="exact"/>
              <w:rPr>
                <w:sz w:val="20"/>
                <w:szCs w:val="20"/>
                <w:color w:val="auto"/>
              </w:rPr>
            </w:pPr>
            <w:r>
              <w:rPr>
                <w:rFonts w:ascii="Arial" w:cs="Arial" w:eastAsia="Arial" w:hAnsi="Arial"/>
                <w:sz w:val="15"/>
                <w:szCs w:val="15"/>
                <w:color w:val="auto"/>
                <w:w w:val="89"/>
              </w:rPr>
              <w:t>%</w:t>
            </w:r>
          </w:p>
        </w:tc>
        <w:tc>
          <w:tcPr>
            <w:tcW w:w="680" w:type="dxa"/>
            <w:vAlign w:val="bottom"/>
            <w:shd w:val="clear" w:color="auto" w:fill="D1FCFC"/>
          </w:tcPr>
          <w:p>
            <w:pPr>
              <w:spacing w:after="0"/>
              <w:rPr>
                <w:sz w:val="14"/>
                <w:szCs w:val="14"/>
                <w:color w:val="auto"/>
              </w:rPr>
            </w:pPr>
          </w:p>
        </w:tc>
        <w:tc>
          <w:tcPr>
            <w:tcW w:w="980" w:type="dxa"/>
            <w:vAlign w:val="bottom"/>
            <w:shd w:val="clear" w:color="auto" w:fill="D1FCFC"/>
          </w:tcPr>
          <w:p>
            <w:pPr>
              <w:ind w:left="800"/>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D1FCFC"/>
          </w:tcPr>
          <w:p>
            <w:pPr>
              <w:spacing w:after="0"/>
              <w:rPr>
                <w:sz w:val="14"/>
                <w:szCs w:val="14"/>
                <w:color w:val="auto"/>
              </w:rPr>
            </w:pPr>
          </w:p>
        </w:tc>
        <w:tc>
          <w:tcPr>
            <w:tcW w:w="1140" w:type="dxa"/>
            <w:vAlign w:val="bottom"/>
            <w:shd w:val="clear" w:color="auto" w:fill="D1FCFC"/>
          </w:tcPr>
          <w:p>
            <w:pPr>
              <w:ind w:left="860"/>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Total</w:t>
            </w:r>
          </w:p>
        </w:tc>
        <w:tc>
          <w:tcPr>
            <w:tcW w:w="240" w:type="dxa"/>
            <w:vAlign w:val="bottom"/>
          </w:tcPr>
          <w:p>
            <w:pPr>
              <w:spacing w:after="0"/>
              <w:rPr>
                <w:sz w:val="16"/>
                <w:szCs w:val="16"/>
                <w:color w:val="auto"/>
              </w:rPr>
            </w:pPr>
          </w:p>
        </w:tc>
        <w:tc>
          <w:tcPr>
            <w:tcW w:w="3980" w:type="dxa"/>
            <w:vAlign w:val="bottom"/>
            <w:gridSpan w:val="2"/>
          </w:tcPr>
          <w:p>
            <w:pPr>
              <w:jc w:val="right"/>
              <w:ind w:right="56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ind w:left="8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6"/>
                <w:szCs w:val="16"/>
                <w:color w:val="auto"/>
              </w:rPr>
            </w:pPr>
          </w:p>
        </w:tc>
        <w:tc>
          <w:tcPr>
            <w:tcW w:w="1140" w:type="dxa"/>
            <w:vAlign w:val="bottom"/>
          </w:tcPr>
          <w:p>
            <w:pPr>
              <w:ind w:left="12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160" w:type="dxa"/>
            <w:vAlign w:val="bottom"/>
            <w:tcBorders>
              <w:bottom w:val="single" w:sz="8" w:color="auto"/>
            </w:tcBorders>
            <w:gridSpan w:val="5"/>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w w:val="87"/>
              </w:rPr>
              <w:t>(1)</w:t>
            </w:r>
          </w:p>
        </w:tc>
        <w:tc>
          <w:tcPr>
            <w:tcW w:w="6160" w:type="dxa"/>
            <w:vAlign w:val="bottom"/>
            <w:gridSpan w:val="5"/>
          </w:tcPr>
          <w:p>
            <w:pPr>
              <w:ind w:left="140"/>
              <w:spacing w:after="0"/>
              <w:rPr>
                <w:sz w:val="20"/>
                <w:szCs w:val="20"/>
                <w:color w:val="auto"/>
              </w:rPr>
            </w:pPr>
            <w:r>
              <w:rPr>
                <w:rFonts w:ascii="Arial" w:cs="Arial" w:eastAsia="Arial" w:hAnsi="Arial"/>
                <w:sz w:val="15"/>
                <w:szCs w:val="15"/>
                <w:color w:val="auto"/>
              </w:rPr>
              <w:t>Plus accrued interest, if any, from February  , 2020, if settlement occurs after that date.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740" w:type="dxa"/>
            <w:vAlign w:val="bottom"/>
            <w:gridSpan w:val="11"/>
          </w:tcPr>
          <w:p>
            <w:pPr>
              <w:ind w:left="140"/>
              <w:spacing w:after="0"/>
              <w:rPr>
                <w:sz w:val="20"/>
                <w:szCs w:val="20"/>
                <w:color w:val="auto"/>
              </w:rPr>
            </w:pPr>
            <w:r>
              <w:rPr>
                <w:rFonts w:ascii="Arial" w:cs="Arial" w:eastAsia="Arial" w:hAnsi="Arial"/>
                <w:sz w:val="15"/>
                <w:szCs w:val="15"/>
                <w:b w:val="1"/>
                <w:bCs w:val="1"/>
                <w:color w:val="auto"/>
                <w:w w:val="93"/>
              </w:rPr>
              <w:t>Neither the Securities and Exchange Commission (the “SEC” or the “Commission”) nor any state securities commission has approved or disapproved of these</w:t>
            </w:r>
          </w:p>
        </w:tc>
        <w:tc>
          <w:tcPr>
            <w:tcW w:w="0" w:type="dxa"/>
            <w:vAlign w:val="bottom"/>
          </w:tcPr>
          <w:p>
            <w:pPr>
              <w:spacing w:after="0"/>
              <w:rPr>
                <w:sz w:val="1"/>
                <w:szCs w:val="1"/>
                <w:color w:val="auto"/>
              </w:rPr>
            </w:pPr>
          </w:p>
        </w:tc>
      </w:tr>
    </w:tbl>
    <w:p>
      <w:pPr>
        <w:jc w:val="right"/>
        <w:ind w:left="200" w:right="140"/>
        <w:spacing w:after="0" w:line="187" w:lineRule="auto"/>
        <w:rPr>
          <w:sz w:val="20"/>
          <w:szCs w:val="20"/>
          <w:color w:val="auto"/>
        </w:rPr>
      </w:pPr>
      <w:r>
        <w:rPr>
          <w:rFonts w:ascii="Arial" w:cs="Arial" w:eastAsia="Arial" w:hAnsi="Arial"/>
          <w:sz w:val="9"/>
          <w:szCs w:val="9"/>
          <w:b w:val="1"/>
          <w:bCs w:val="1"/>
          <w:color w:val="auto"/>
        </w:rPr>
        <w:t xml:space="preserve">securities or determined if this prospectus supplement or the accompanying prospectus is truthful or complete. Any representation to the contrary is a criminal offense. </w:t>
      </w:r>
      <w:r>
        <w:rPr>
          <w:rFonts w:ascii="Arial" w:cs="Arial" w:eastAsia="Arial" w:hAnsi="Arial"/>
          <w:sz w:val="9"/>
          <w:szCs w:val="9"/>
          <w:color w:val="auto"/>
        </w:rPr>
        <w:t>The notes will be ready for delivery only through the delivery system of Clearstream Banking, S.A. (“Clearstream”) and Euroclear Bank S.A./N.V. (“Euroclear”) in book-</w:t>
      </w:r>
    </w:p>
    <w:p>
      <w:pPr>
        <w:spacing w:after="0" w:line="200" w:lineRule="exact"/>
        <w:rPr>
          <w:sz w:val="24"/>
          <w:szCs w:val="24"/>
          <w:color w:val="auto"/>
        </w:rPr>
      </w:pPr>
    </w:p>
    <w:p>
      <w:pPr>
        <w:spacing w:after="0" w:line="273" w:lineRule="exact"/>
        <w:rPr>
          <w:sz w:val="24"/>
          <w:szCs w:val="24"/>
          <w:color w:val="auto"/>
        </w:rPr>
      </w:pPr>
    </w:p>
    <w:p>
      <w:pPr>
        <w:ind w:left="200"/>
        <w:spacing w:after="0"/>
        <w:tabs>
          <w:tab w:leader="none" w:pos="2320" w:val="left"/>
          <w:tab w:leader="none" w:pos="3860" w:val="left"/>
        </w:tabs>
        <w:rPr>
          <w:sz w:val="20"/>
          <w:szCs w:val="20"/>
          <w:color w:val="auto"/>
        </w:rPr>
      </w:pPr>
      <w:r>
        <w:rPr>
          <w:rFonts w:ascii="Arial" w:cs="Arial" w:eastAsia="Arial" w:hAnsi="Arial"/>
          <w:sz w:val="15"/>
          <w:szCs w:val="15"/>
          <w:color w:val="auto"/>
        </w:rPr>
        <w:t>entry form on or about February</w:t>
        <w:tab/>
        <w:t>, 2020, which is the</w:t>
      </w:r>
      <w:r>
        <w:rPr>
          <w:sz w:val="20"/>
          <w:szCs w:val="20"/>
          <w:color w:val="auto"/>
        </w:rPr>
        <w:tab/>
      </w:r>
      <w:r>
        <w:rPr>
          <w:rFonts w:ascii="Arial" w:cs="Arial" w:eastAsia="Arial" w:hAnsi="Arial"/>
          <w:sz w:val="13"/>
          <w:szCs w:val="13"/>
          <w:color w:val="auto"/>
        </w:rPr>
        <w:t>business day following the date of this prospectus supplement. See “Underwriting.”</w:t>
      </w:r>
    </w:p>
    <w:p>
      <w:pPr>
        <w:spacing w:after="0" w:line="6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i w:val="1"/>
          <w:iCs w:val="1"/>
          <w:color w:val="auto"/>
        </w:rPr>
        <w:t>Joint Book-Running Managers</w:t>
      </w:r>
    </w:p>
    <w:p>
      <w:pPr>
        <w:sectPr>
          <w:pgSz w:w="11900" w:h="16838" w:orient="portrait"/>
          <w:cols w:equalWidth="0" w:num="1">
            <w:col w:w="11240"/>
          </w:cols>
          <w:pgMar w:left="240" w:top="230" w:right="419" w:bottom="1440" w:gutter="0" w:footer="0" w:header="0"/>
        </w:sectPr>
      </w:pPr>
    </w:p>
    <w:p>
      <w:pPr>
        <w:spacing w:after="0" w:line="78"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BNP PARIBAS</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jc w:val="center"/>
        <w:ind w:right="3240"/>
        <w:spacing w:after="0"/>
        <w:rPr>
          <w:sz w:val="20"/>
          <w:szCs w:val="20"/>
          <w:color w:val="auto"/>
        </w:rPr>
      </w:pPr>
      <w:r>
        <w:rPr>
          <w:rFonts w:ascii="Arial" w:cs="Arial" w:eastAsia="Arial" w:hAnsi="Arial"/>
          <w:sz w:val="18"/>
          <w:szCs w:val="18"/>
          <w:b w:val="1"/>
          <w:bCs w:val="1"/>
          <w:color w:val="auto"/>
        </w:rPr>
        <w:t>Citigroup</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J.P. Morgan</w:t>
      </w:r>
    </w:p>
    <w:p>
      <w:pPr>
        <w:spacing w:after="0" w:line="139" w:lineRule="exact"/>
        <w:rPr>
          <w:sz w:val="24"/>
          <w:szCs w:val="24"/>
          <w:color w:val="auto"/>
        </w:rPr>
      </w:pPr>
    </w:p>
    <w:p>
      <w:pPr>
        <w:sectPr>
          <w:pgSz w:w="11900" w:h="16838" w:orient="portrait"/>
          <w:cols w:equalWidth="0" w:num="3">
            <w:col w:w="4700" w:space="720"/>
            <w:col w:w="4060" w:space="720"/>
            <w:col w:w="1040"/>
          </w:cols>
          <w:pgMar w:left="240" w:top="230" w:right="419" w:bottom="1440" w:gutter="0" w:footer="0" w:header="0"/>
          <w:type w:val="continuous"/>
        </w:sectPr>
      </w:pPr>
    </w:p>
    <w:p>
      <w:pPr>
        <w:ind w:left="3940"/>
        <w:spacing w:after="0"/>
        <w:rPr>
          <w:sz w:val="20"/>
          <w:szCs w:val="20"/>
          <w:color w:val="auto"/>
        </w:rPr>
      </w:pPr>
      <w:r>
        <w:rPr>
          <w:rFonts w:ascii="Arial" w:cs="Arial" w:eastAsia="Arial" w:hAnsi="Arial"/>
          <w:sz w:val="12"/>
          <w:szCs w:val="12"/>
          <w:b w:val="1"/>
          <w:bCs w:val="1"/>
          <w:color w:val="auto"/>
        </w:rPr>
        <w:t>The date of this prospectus supplement 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 2020.</w:t>
      </w:r>
    </w:p>
    <w:p>
      <w:pPr>
        <w:sectPr>
          <w:pgSz w:w="11900" w:h="16838" w:orient="portrait"/>
          <w:cols w:equalWidth="0" w:num="2">
            <w:col w:w="6480" w:space="600"/>
            <w:col w:w="4160"/>
          </w:cols>
          <w:pgMar w:left="240" w:top="230"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82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gridSpan w:val="3"/>
          </w:tcPr>
          <w:p>
            <w:pPr>
              <w:jc w:val="center"/>
              <w:ind w:right="3472"/>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gridSpan w:val="3"/>
          </w:tcPr>
          <w:p>
            <w:pPr>
              <w:jc w:val="center"/>
              <w:ind w:right="3472"/>
              <w:spacing w:after="0"/>
              <w:rPr>
                <w:sz w:val="20"/>
                <w:szCs w:val="20"/>
                <w:color w:val="auto"/>
              </w:rPr>
            </w:pPr>
            <w:r>
              <w:rPr>
                <w:rFonts w:ascii="Arial" w:cs="Arial" w:eastAsia="Arial" w:hAnsi="Arial"/>
                <w:sz w:val="18"/>
                <w:szCs w:val="18"/>
                <w:b w:val="1"/>
                <w:bCs w:val="1"/>
                <w:color w:val="auto"/>
                <w:w w:val="87"/>
              </w:rPr>
              <w:t>Prospectus Supplement</w:t>
            </w: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2880" w:type="dxa"/>
            <w:vAlign w:val="bottom"/>
            <w:gridSpan w:val="14"/>
            <w:vMerge w:val="restart"/>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Where You Can Find More Information</w:t>
              </w:r>
            </w:hyperlink>
          </w:p>
        </w:tc>
        <w:tc>
          <w:tcPr>
            <w:tcW w:w="740" w:type="dxa"/>
            <w:vAlign w:val="bottom"/>
            <w:gridSpan w:val="3"/>
            <w:vMerge w:val="restart"/>
          </w:tcPr>
          <w:p>
            <w:pPr>
              <w:spacing w:after="0"/>
              <w:rPr>
                <w:sz w:val="24"/>
                <w:szCs w:val="24"/>
                <w:color w:val="auto"/>
              </w:rPr>
            </w:pPr>
          </w:p>
        </w:tc>
        <w:tc>
          <w:tcPr>
            <w:tcW w:w="6960" w:type="dxa"/>
            <w:vAlign w:val="bottom"/>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2880" w:type="dxa"/>
            <w:vAlign w:val="bottom"/>
            <w:tcBorders>
              <w:bottom w:val="single" w:sz="8" w:color="0000EE"/>
            </w:tcBorders>
            <w:gridSpan w:val="14"/>
            <w:vMerge w:val="continue"/>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6"/>
                <w:szCs w:val="16"/>
                <w:color w:val="auto"/>
              </w:rPr>
              <w:t>iv</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24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1180" w:type="dxa"/>
            <w:vAlign w:val="bottom"/>
            <w:gridSpan w:val="4"/>
          </w:tcPr>
          <w:p>
            <w:pPr>
              <w:spacing w:after="0"/>
              <w:rPr>
                <w:sz w:val="18"/>
                <w:szCs w:val="18"/>
                <w:color w:val="auto"/>
              </w:rPr>
            </w:pP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Use of Proceeds</w:t>
              </w:r>
            </w:hyperlink>
          </w:p>
        </w:tc>
        <w:tc>
          <w:tcPr>
            <w:tcW w:w="2440" w:type="dxa"/>
            <w:vAlign w:val="bottom"/>
            <w:gridSpan w:val="10"/>
          </w:tcPr>
          <w:p>
            <w:pPr>
              <w:spacing w:after="0"/>
              <w:rPr>
                <w:sz w:val="17"/>
                <w:szCs w:val="17"/>
                <w:color w:val="auto"/>
              </w:rPr>
            </w:pPr>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gridSpan w:val="1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the Notes</w:t>
              </w:r>
            </w:hyperlink>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5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Material U.S. Federal Income Tax Consequences</w:t>
              </w:r>
            </w:hyperlink>
          </w:p>
        </w:tc>
        <w:tc>
          <w:tcPr>
            <w:tcW w:w="8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Underwriting</w:t>
              </w:r>
            </w:hyperlink>
          </w:p>
        </w:tc>
        <w:tc>
          <w:tcPr>
            <w:tcW w:w="2640" w:type="dxa"/>
            <w:vAlign w:val="bottom"/>
            <w:gridSpan w:val="14"/>
          </w:tcPr>
          <w:p>
            <w:pPr>
              <w:spacing w:after="0"/>
              <w:rPr>
                <w:sz w:val="17"/>
                <w:szCs w:val="17"/>
                <w:color w:val="auto"/>
              </w:rPr>
            </w:pPr>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Matters</w:t>
              </w:r>
            </w:hyperlink>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Experts</w:t>
              </w:r>
            </w:hyperlink>
          </w:p>
        </w:tc>
        <w:tc>
          <w:tcPr>
            <w:tcW w:w="2620" w:type="dxa"/>
            <w:vAlign w:val="bottom"/>
            <w:gridSpan w:val="13"/>
          </w:tcPr>
          <w:p>
            <w:pPr>
              <w:spacing w:after="0"/>
              <w:rPr>
                <w:sz w:val="17"/>
                <w:szCs w:val="17"/>
                <w:color w:val="auto"/>
              </w:rPr>
            </w:pPr>
          </w:p>
        </w:tc>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S-31</w:t>
            </w:r>
          </w:p>
        </w:tc>
        <w:tc>
          <w:tcPr>
            <w:tcW w:w="0" w:type="dxa"/>
            <w:vAlign w:val="bottom"/>
          </w:tcPr>
          <w:p>
            <w:pPr>
              <w:spacing w:after="0"/>
              <w:rPr>
                <w:sz w:val="1"/>
                <w:szCs w:val="1"/>
                <w:color w:val="auto"/>
              </w:rPr>
            </w:pPr>
          </w:p>
        </w:tc>
      </w:tr>
      <w:tr>
        <w:trPr>
          <w:trHeight w:val="588"/>
        </w:trPr>
        <w:tc>
          <w:tcPr>
            <w:tcW w:w="2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gridSpan w:val="3"/>
          </w:tcPr>
          <w:p>
            <w:pPr>
              <w:jc w:val="center"/>
              <w:ind w:right="3472"/>
              <w:spacing w:after="0"/>
              <w:rPr>
                <w:sz w:val="20"/>
                <w:szCs w:val="20"/>
                <w:color w:val="auto"/>
              </w:rPr>
            </w:pPr>
            <w:r>
              <w:rPr>
                <w:rFonts w:ascii="Arial" w:cs="Arial" w:eastAsia="Arial" w:hAnsi="Arial"/>
                <w:sz w:val="18"/>
                <w:szCs w:val="18"/>
                <w:b w:val="1"/>
                <w:bCs w:val="1"/>
                <w:color w:val="auto"/>
                <w:w w:val="85"/>
              </w:rPr>
              <w:t>Prospectus</w:t>
            </w: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1140" w:type="dxa"/>
            <w:vAlign w:val="bottom"/>
            <w:gridSpan w:val="5"/>
            <w:vMerge w:val="restart"/>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The Companies</w:t>
              </w:r>
            </w:hyperlink>
          </w:p>
        </w:tc>
        <w:tc>
          <w:tcPr>
            <w:tcW w:w="2480" w:type="dxa"/>
            <w:vAlign w:val="bottom"/>
            <w:gridSpan w:val="12"/>
            <w:vMerge w:val="restart"/>
          </w:tcPr>
          <w:p>
            <w:pPr>
              <w:spacing w:after="0"/>
              <w:rPr>
                <w:sz w:val="24"/>
                <w:szCs w:val="24"/>
                <w:color w:val="auto"/>
              </w:rPr>
            </w:pPr>
          </w:p>
        </w:tc>
        <w:tc>
          <w:tcPr>
            <w:tcW w:w="69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1140" w:type="dxa"/>
            <w:vAlign w:val="bottom"/>
            <w:tcBorders>
              <w:bottom w:val="single" w:sz="8" w:color="0000EE"/>
            </w:tcBorders>
            <w:gridSpan w:val="5"/>
            <w:vMerge w:val="continue"/>
          </w:tcPr>
          <w:p>
            <w:pPr>
              <w:spacing w:after="0"/>
              <w:rPr>
                <w:sz w:val="13"/>
                <w:szCs w:val="13"/>
                <w:color w:val="auto"/>
              </w:rPr>
            </w:pPr>
          </w:p>
        </w:tc>
        <w:tc>
          <w:tcPr>
            <w:tcW w:w="2480" w:type="dxa"/>
            <w:vAlign w:val="bottom"/>
            <w:gridSpan w:val="12"/>
            <w:vMerge w:val="continue"/>
          </w:tcPr>
          <w:p>
            <w:pPr>
              <w:spacing w:after="0"/>
              <w:rPr>
                <w:sz w:val="13"/>
                <w:szCs w:val="13"/>
                <w:color w:val="auto"/>
              </w:rPr>
            </w:pPr>
          </w:p>
        </w:tc>
        <w:tc>
          <w:tcPr>
            <w:tcW w:w="6980" w:type="dxa"/>
            <w:vAlign w:val="bottom"/>
            <w:gridSpan w:val="2"/>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36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Caution Concerning Forward-Looking Statements</w:t>
              </w:r>
            </w:hyperlink>
          </w:p>
        </w:tc>
        <w:tc>
          <w:tcPr>
            <w:tcW w:w="73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Use of Proceeds</w:t>
              </w:r>
            </w:hyperlink>
          </w:p>
        </w:tc>
        <w:tc>
          <w:tcPr>
            <w:tcW w:w="2440" w:type="dxa"/>
            <w:vAlign w:val="bottom"/>
            <w:gridSpan w:val="10"/>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Dividend Policy</w:t>
              </w:r>
            </w:hyperlink>
          </w:p>
        </w:tc>
        <w:tc>
          <w:tcPr>
            <w:tcW w:w="2440" w:type="dxa"/>
            <w:vAlign w:val="bottom"/>
            <w:gridSpan w:val="10"/>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gridSpan w:val="17"/>
          </w:tcPr>
          <w:p>
            <w:pPr>
              <w:spacing w:after="0" w:line="196"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Description of Debt Securities and Guarantees</w:t>
              </w:r>
            </w:hyperlink>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3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Global Securities</w:t>
              </w:r>
            </w:hyperlink>
          </w:p>
        </w:tc>
        <w:tc>
          <w:tcPr>
            <w:tcW w:w="280" w:type="dxa"/>
            <w:vAlign w:val="bottom"/>
            <w:gridSpan w:val="2"/>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Description of Capital Stock</w:t>
              </w:r>
            </w:hyperlink>
          </w:p>
        </w:tc>
        <w:tc>
          <w:tcPr>
            <w:tcW w:w="1560" w:type="dxa"/>
            <w:vAlign w:val="bottom"/>
            <w:gridSpan w:val="5"/>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4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Plan of Distribution</w:t>
              </w:r>
            </w:hyperlink>
          </w:p>
        </w:tc>
        <w:tc>
          <w:tcPr>
            <w:tcW w:w="2180" w:type="dxa"/>
            <w:vAlign w:val="bottom"/>
            <w:gridSpan w:val="8"/>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gridSpan w:val="1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Legal Matters</w:t>
              </w:r>
            </w:hyperlink>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Experts</w:t>
              </w:r>
            </w:hyperlink>
          </w:p>
        </w:tc>
        <w:tc>
          <w:tcPr>
            <w:tcW w:w="440" w:type="dxa"/>
            <w:vAlign w:val="bottom"/>
            <w:tcBorders>
              <w:top w:val="single" w:sz="8" w:color="0000EE"/>
            </w:tcBorders>
            <w:gridSpan w:val="3"/>
          </w:tcPr>
          <w:p>
            <w:pPr>
              <w:spacing w:after="0"/>
              <w:rPr>
                <w:sz w:val="17"/>
                <w:szCs w:val="17"/>
                <w:color w:val="auto"/>
              </w:rPr>
            </w:pPr>
          </w:p>
        </w:tc>
        <w:tc>
          <w:tcPr>
            <w:tcW w:w="2620" w:type="dxa"/>
            <w:vAlign w:val="bottom"/>
            <w:gridSpan w:val="13"/>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Available Information</w:t>
              </w:r>
            </w:hyperlink>
          </w:p>
        </w:tc>
        <w:tc>
          <w:tcPr>
            <w:tcW w:w="2020" w:type="dxa"/>
            <w:vAlign w:val="bottom"/>
            <w:gridSpan w:val="7"/>
          </w:tcPr>
          <w:p>
            <w:pPr>
              <w:spacing w:after="0"/>
              <w:rPr>
                <w:sz w:val="17"/>
                <w:szCs w:val="17"/>
                <w:color w:val="auto"/>
              </w:rPr>
            </w:pPr>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6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Incorporation of Certain Documents by Reference</w:t>
              </w:r>
            </w:hyperlink>
          </w:p>
        </w:tc>
        <w:tc>
          <w:tcPr>
            <w:tcW w:w="73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3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The notes are being offered for sale only in jurisdictions where it is lawful to make such offers. The distribution of this prospectus supplement and the accompanying prospectus and the offering of the notes in certain jurisdictions may be restricted by law.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in which the person making such offer or solicitation is not qualified to do so or to any person to whom it is unlawful to make such offer or solicitation. See “Underwriting.”</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We refer to Comcast Corporation in this prospectus supplement as “Comcast,” and Comcast and its consolidated subsidiaries as “we,” “us,” “our” or comparable terms and Sky Limited (formerly Sky plc) and its consolidated subsidiaries as “Sky.” We refer to NBCUniversal Media, LLC and its consolidated subsidiaries as “NBCUniversal,” Comcast Cable Communications, LLC and its consolidated subsidiaries as “Comcast Cable,” and both of them collectively as the “guarantors.”</w:t>
      </w:r>
    </w:p>
    <w:p>
      <w:pPr>
        <w:spacing w:after="0" w:line="16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References in this prospectus supplement to “$,” “dollars,” “USD” or “U.S. dollars” are to the lawful currency of the United States of America; references to “€” or “euro” are to the single currency introduced at the third stage of the European Economic and Monetary Union pursuant to the Treaty establishing the European Community, as amended; and references to “£,” “GBP” or “sterling” are to the lawful currency of the United Kingdom.</w:t>
      </w:r>
    </w:p>
    <w:p>
      <w:pPr>
        <w:spacing w:after="0" w:line="106"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IN CONNECTION WITH THE ISSUE OF THE EURO NOTES, CITIGROUP GLOBAL MARKETS LIMITED, IN ITS ROLE AS STABILIZING MANAGER (THE “EURO STABILIZING MANAGER”) (OR PERSONS ACTING ON ITS BEHALF) MAY, TO THE EXTENT PERMITTED BY APPLICABLE LAWS AND DIRECTIVES, OVERALLOT EURO NOTES OR EFFECT TRANSACTIONS WITH A VIEW TO SUPPORTING THE MARKET PRICE OF THE EURO NOTES AT A LEVEL HIGHER THAN THAT WHICH MIGHT OTHERWISE PREVAIL. HOWEVER, THERE IS NO ASSURANCE THAT THE EURO STABILIZING MANAGER (OR PERSONS ACTING ON BEHALF OF THE EURO STABILIZING MANAGER) WILL UNDERTAKE ANY STABILIZATION ACTION. ANY STABILIZATION ACTION MAY BEGIN ON OR AFTER THE DATE ON WHICH ADEQUATE PUBLIC DISCLOSURE OF THE FINAL TERMS OF THE OFFER OF THE EURO NOTES IS MADE, AND, IF BEGUN, MAY CEASE AT ANY TIME, BUT IT MUST END NO LATER THAN THE EARLIER OF 30 DAYS AFTER THE ISSUE OF THE EURO NOTES AND 60 DAYS AFTER THE DATE OF THE ALLOTMENT OF THE EURO NOTES. ANY STABILIZATION ACTION OR OVER-ALLOTMENT COMMENCED WILL BE CARRIED OUT IN ACCORDANCE WITH APPLICABLE LAWS AND REGULATIONS.</w:t>
      </w:r>
    </w:p>
    <w:p>
      <w:pPr>
        <w:spacing w:after="0" w:line="137"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IN CONNECTION WITH THE ISSUE OF THE STERLING NOTES, CITIGROUP GLOBAL MARKETS LIMITED, IN ITS ROLE AS STABILIZING MANAGER (THE “STERLING STABILIZING MANAGER”) (OR PERSONS ACTING ON ITS BEHALF) MAY, TO THE EXTENT PERMITTED BY APPLICABLE LAWS AND DIRECTIVES, OVER-ALLOT NOTES OR EFFECT TRANSACTIONS WITH A VIEW TO SUPPORTING THE MARKET PRICE OF THE STERLING NOTES AT A LEVEL HIGHER THAN THAT WHICH MIGHT OTHERWISE PREVAIL. HOWEVER, THERE IS NO ASSURANCE THAT THE STERLING STABILIZING MANAGER (OR PERSONS ACTING ON BEHALF OF THE STERLING STABILIZING MANAGER) WILL UNDERTAKE ANY STABILIZATION ACTION. ANY STABILIZATION ACTION MAY BEGIN ON OR AFTER THE DATE ON WHICH ADEQUATE PUBLIC DISCLOSURE OF THE FINAL TERMS OF THE OFFER OF THE STERLING NOTES IS MADE, AND, IF BEGUN, MAY CEASE AT ANY TIME, BUT IT MUST END NO LATER THAN THE EARLIER OF 30 DAYS AFTER THE ISSUE OF THE STERLING NOTES AND 60 DAYS AFTER THE DATE OF THE ALLOTMENT OF THE STERLING NOTES. ANY STABILIZATION ACTION OR OVER-ALLOTMENT COMMENCED WILL BE CARRIED OUT IN ACCORDANCE WITH APPLICABLE LAWS AND REGULATIONS.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89"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(“EEA”) or in the United Kingdom. For these purposes, a retail investor means a person who is one (or more) of: (i) a retail client as defined in point (11) of Article 4(1) of Directive 2014/65/EU as amended, “MiFID II”); or (ii) a customer within the meaning of Directive 2016/97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United</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Kingdom has been prepared and therefore offering or selling the notes or otherwise making them available to any retail investor in the EEA or in the United Kingdom may be unlawful under the PRIIPs Regulation.</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MIFID II product governance/Professional investors and ECPs only target market</w:t>
      </w:r>
    </w:p>
    <w:p>
      <w:pPr>
        <w:spacing w:after="0" w:line="189"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02"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The communication of this prospectus supplement and the accompanying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 The communication of such documents and/or materials as a financial promotion is only being made to and directed at persons outside the United Kingdom and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made under the Financial Promotion Order (all such persons together being referred to as “relevant persons”). In the United Kingdom, the notes offered hereby are only available to, and any investment or investment activity to which this prospectus supplement and the accompanying prospectus relates will be engaged only with, relevant persons. Any person in the United Kingdom that is not a relevant person should not act or rely on this prospectus supplement and the accompanying prospectus or any of its contents.</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6"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set forth below that we or NBCUniversal have previously filed with the SEC:</w:t>
      </w:r>
    </w:p>
    <w:p>
      <w:pPr>
        <w:spacing w:after="0" w:line="170" w:lineRule="exact"/>
        <w:rPr>
          <w:sz w:val="20"/>
          <w:szCs w:val="20"/>
          <w:color w:val="auto"/>
        </w:rPr>
      </w:pPr>
    </w:p>
    <w:p>
      <w:pPr>
        <w:ind w:left="1060" w:hanging="424"/>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15">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2019, filed on January 30, 2020.</w:t>
      </w:r>
    </w:p>
    <w:p>
      <w:pPr>
        <w:spacing w:after="0" w:line="208"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286-1700.</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6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002145" cy="64617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SUPPLEMENT SUMMARY</w:t>
      </w:r>
    </w:p>
    <w:p>
      <w:pPr>
        <w:spacing w:after="0" w:line="18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Companies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Comcast Corporation</w:t>
      </w:r>
    </w:p>
    <w:p>
      <w:pPr>
        <w:spacing w:after="0" w:line="189" w:lineRule="exact"/>
        <w:rPr>
          <w:sz w:val="20"/>
          <w:szCs w:val="20"/>
          <w:color w:val="auto"/>
        </w:rPr>
      </w:pPr>
    </w:p>
    <w:p>
      <w:pPr>
        <w:ind w:left="380" w:right="20"/>
        <w:spacing w:after="0" w:line="288" w:lineRule="auto"/>
        <w:rPr>
          <w:sz w:val="20"/>
          <w:szCs w:val="20"/>
          <w:color w:val="auto"/>
        </w:rPr>
      </w:pPr>
      <w:r>
        <w:rPr>
          <w:rFonts w:ascii="Arial" w:cs="Arial" w:eastAsia="Arial" w:hAnsi="Arial"/>
          <w:sz w:val="16"/>
          <w:szCs w:val="16"/>
          <w:color w:val="auto"/>
        </w:rPr>
        <w:t>We are a global media and technology company with three primary businesses: Comcast Cable, NBCUniversal and Sky. We present our operations for (1) Comcast Cable in one reportable business segment, referred to as Cable Communications; (2) NBCUniversal in four reportable business segments: Cable Networks, Broadcast Television, Filmed Entertainment and Theme Parks (collectively, the “NBCUniversal segments”); and</w:t>
      </w:r>
    </w:p>
    <w:p>
      <w:pPr>
        <w:ind w:left="640" w:hanging="25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Sky in one reportable business segment.</w:t>
      </w:r>
    </w:p>
    <w:p>
      <w:pPr>
        <w:spacing w:after="0" w:line="206" w:lineRule="exact"/>
        <w:rPr>
          <w:rFonts w:ascii="Arial" w:cs="Arial" w:eastAsia="Arial" w:hAnsi="Arial"/>
          <w:sz w:val="18"/>
          <w:szCs w:val="18"/>
          <w:color w:val="auto"/>
        </w:rPr>
      </w:pPr>
    </w:p>
    <w:p>
      <w:pPr>
        <w:ind w:left="122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a leading provider of high-speed internet, video, voice,</w:t>
      </w:r>
      <w:r>
        <w:rPr>
          <w:rFonts w:ascii="Arial" w:cs="Arial" w:eastAsia="Arial" w:hAnsi="Arial"/>
          <w:sz w:val="18"/>
          <w:szCs w:val="18"/>
          <w:b w:val="1"/>
          <w:bCs w:val="1"/>
          <w:color w:val="auto"/>
        </w:rPr>
        <w:t xml:space="preserve"> </w:t>
      </w:r>
      <w:r>
        <w:rPr>
          <w:rFonts w:ascii="Arial" w:cs="Arial" w:eastAsia="Arial" w:hAnsi="Arial"/>
          <w:sz w:val="18"/>
          <w:szCs w:val="18"/>
          <w:color w:val="auto"/>
        </w:rPr>
        <w:t>wireless, and security and automation services to residential customers in the United States under the Xfinity brand; we also provide these and other services to business customers and sell advertising.</w:t>
      </w:r>
    </w:p>
    <w:p>
      <w:pPr>
        <w:spacing w:after="0" w:line="176" w:lineRule="exact"/>
        <w:rPr>
          <w:rFonts w:ascii="Arial" w:cs="Arial" w:eastAsia="Arial" w:hAnsi="Arial"/>
          <w:sz w:val="18"/>
          <w:szCs w:val="18"/>
          <w:color w:val="auto"/>
        </w:rPr>
      </w:pPr>
    </w:p>
    <w:p>
      <w:pPr>
        <w:ind w:left="1220" w:right="8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that provide a variety of entertainment, news and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sports content; our regional sports and news networks; our international cable networks; our cable television studio production operations; and various digital properties.</w:t>
      </w:r>
    </w:p>
    <w:p>
      <w:pPr>
        <w:spacing w:after="0" w:line="176" w:lineRule="exact"/>
        <w:rPr>
          <w:rFonts w:ascii="Arial" w:cs="Arial" w:eastAsia="Arial" w:hAnsi="Arial"/>
          <w:sz w:val="18"/>
          <w:szCs w:val="18"/>
          <w:color w:val="auto"/>
        </w:rPr>
      </w:pPr>
    </w:p>
    <w:p>
      <w:pPr>
        <w:ind w:left="1220" w:right="38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our broadcast television studio production operations, and various digital properties.</w:t>
      </w:r>
    </w:p>
    <w:p>
      <w:pPr>
        <w:spacing w:after="0" w:line="176" w:lineRule="exact"/>
        <w:rPr>
          <w:rFonts w:ascii="Arial" w:cs="Arial" w:eastAsia="Arial" w:hAnsi="Arial"/>
          <w:sz w:val="18"/>
          <w:szCs w:val="18"/>
          <w:color w:val="auto"/>
        </w:rPr>
      </w:pPr>
    </w:p>
    <w:p>
      <w:pPr>
        <w:ind w:left="1220" w:right="16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 our films are also produced under the Illumination, DreamWorks Animation and Focus Features names.</w:t>
      </w:r>
    </w:p>
    <w:p>
      <w:pPr>
        <w:spacing w:after="0" w:line="176" w:lineRule="exact"/>
        <w:rPr>
          <w:rFonts w:ascii="Arial" w:cs="Arial" w:eastAsia="Arial" w:hAnsi="Arial"/>
          <w:sz w:val="18"/>
          <w:szCs w:val="18"/>
          <w:color w:val="auto"/>
        </w:rPr>
      </w:pPr>
    </w:p>
    <w:p>
      <w:pPr>
        <w:ind w:left="1220" w:right="46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Hollywood, California; and Osaka, Japan.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we are developing a theme park in Beijing, China along with a consortium of Chinese state-owned companies, and an additional theme park in Orlando, Florida.</w:t>
      </w:r>
    </w:p>
    <w:p>
      <w:pPr>
        <w:spacing w:after="0" w:line="176" w:lineRule="exact"/>
        <w:rPr>
          <w:rFonts w:ascii="Arial" w:cs="Arial" w:eastAsia="Arial" w:hAnsi="Arial"/>
          <w:sz w:val="18"/>
          <w:szCs w:val="18"/>
          <w:color w:val="auto"/>
        </w:rPr>
      </w:pPr>
    </w:p>
    <w:p>
      <w:pPr>
        <w:ind w:left="1220" w:right="60" w:hanging="415"/>
        <w:spacing w:after="0" w:line="266"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Sky</w:t>
      </w:r>
      <w:r>
        <w:rPr>
          <w:rFonts w:ascii="Arial" w:cs="Arial" w:eastAsia="Arial" w:hAnsi="Arial"/>
          <w:sz w:val="18"/>
          <w:szCs w:val="18"/>
          <w:color w:val="auto"/>
        </w:rPr>
        <w:t>: Consists of the operations of Sky, one of Europe’s leading entertainment companies, which primarily includes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direct-to-consumer business, providing video, high-speed internet, voice and wireless phone services, and a content business, operating entertainment networks, the Sky News broadcast network and Sky Sports networks.</w:t>
      </w:r>
    </w:p>
    <w:p>
      <w:pPr>
        <w:spacing w:after="0" w:line="140" w:lineRule="exact"/>
        <w:rPr>
          <w:sz w:val="20"/>
          <w:szCs w:val="20"/>
          <w:color w:val="auto"/>
        </w:rPr>
      </w:pPr>
    </w:p>
    <w:p>
      <w:pPr>
        <w:ind w:left="380" w:right="160"/>
        <w:spacing w:after="0" w:line="264"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 such as the development of Peacock, our direct-to-consumer streaming service that will feature NBCUniversal content.</w:t>
      </w:r>
    </w:p>
    <w:p>
      <w:pPr>
        <w:spacing w:after="0" w:line="154" w:lineRule="exact"/>
        <w:rPr>
          <w:sz w:val="20"/>
          <w:szCs w:val="20"/>
          <w:color w:val="auto"/>
        </w:rPr>
      </w:pPr>
    </w:p>
    <w:p>
      <w:pPr>
        <w:ind w:left="380" w:right="80"/>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380" w:right="60" w:firstLine="6"/>
        <w:spacing w:after="0" w:line="261"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00"/>
          </w:cols>
          <w:pgMar w:left="24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276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002145" cy="22764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Guarantors</w:t>
      </w:r>
    </w:p>
    <w:p>
      <w:pPr>
        <w:spacing w:after="0" w:line="189" w:lineRule="exact"/>
        <w:rPr>
          <w:sz w:val="20"/>
          <w:szCs w:val="20"/>
          <w:color w:val="auto"/>
        </w:rPr>
      </w:pPr>
    </w:p>
    <w:p>
      <w:pPr>
        <w:ind w:left="380"/>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and NBCUniversal Media, LLC. In this prospectus supplement, we refer to these guarantors as the guarantors and to these guarantees as the guarantees.</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225" w:lineRule="exact"/>
        <w:rPr>
          <w:sz w:val="20"/>
          <w:szCs w:val="20"/>
          <w:color w:val="auto"/>
        </w:rPr>
      </w:pPr>
    </w:p>
    <w:p>
      <w:pPr>
        <w:ind w:left="1220" w:right="14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17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08" w:lineRule="exact"/>
        <w:rPr>
          <w:sz w:val="20"/>
          <w:szCs w:val="20"/>
          <w:color w:val="auto"/>
        </w:rPr>
      </w:pPr>
    </w:p>
    <w:p>
      <w:pPr>
        <w:ind w:left="380" w:right="80"/>
        <w:spacing w:after="0" w:line="277" w:lineRule="auto"/>
        <w:rPr>
          <w:sz w:val="20"/>
          <w:szCs w:val="20"/>
          <w:color w:val="auto"/>
        </w:rPr>
      </w:pPr>
      <w:r>
        <w:rPr>
          <w:rFonts w:ascii="Arial" w:cs="Arial" w:eastAsia="Arial" w:hAnsi="Arial"/>
          <w:sz w:val="18"/>
          <w:szCs w:val="18"/>
          <w:color w:val="auto"/>
        </w:rPr>
        <w:t>Comcast Cable’s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62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002145" cy="67621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40" w:type="dxa"/>
            <w:vAlign w:val="bottom"/>
          </w:tcPr>
          <w:p>
            <w:pPr>
              <w:ind w:left="420"/>
              <w:spacing w:after="0"/>
              <w:rPr>
                <w:sz w:val="20"/>
                <w:szCs w:val="20"/>
                <w:color w:val="auto"/>
              </w:rPr>
            </w:pPr>
            <w:r>
              <w:rPr>
                <w:rFonts w:ascii="Arial" w:cs="Arial" w:eastAsia="Arial" w:hAnsi="Arial"/>
                <w:sz w:val="18"/>
                <w:szCs w:val="18"/>
                <w:b w:val="1"/>
                <w:bCs w:val="1"/>
                <w:color w:val="auto"/>
                <w:w w:val="93"/>
              </w:rPr>
              <w:t>The Offering</w:t>
            </w:r>
          </w:p>
        </w:tc>
        <w:tc>
          <w:tcPr>
            <w:tcW w:w="11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Issuer</w:t>
            </w:r>
          </w:p>
        </w:tc>
        <w:tc>
          <w:tcPr>
            <w:tcW w:w="3180" w:type="dxa"/>
            <w:vAlign w:val="bottom"/>
            <w:gridSpan w:val="2"/>
          </w:tcPr>
          <w:p>
            <w:pPr>
              <w:ind w:left="1360"/>
              <w:spacing w:after="0"/>
              <w:rPr>
                <w:sz w:val="20"/>
                <w:szCs w:val="20"/>
                <w:color w:val="auto"/>
              </w:rPr>
            </w:pPr>
            <w:r>
              <w:rPr>
                <w:rFonts w:ascii="Arial" w:cs="Arial" w:eastAsia="Arial" w:hAnsi="Arial"/>
                <w:sz w:val="18"/>
                <w:szCs w:val="18"/>
                <w:color w:val="auto"/>
              </w:rPr>
              <w:t>Comcast Corporation.</w:t>
            </w: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46"/>
        </w:trPr>
        <w:tc>
          <w:tcPr>
            <w:tcW w:w="2680" w:type="dxa"/>
            <w:vAlign w:val="bottom"/>
          </w:tcPr>
          <w:p>
            <w:pPr>
              <w:spacing w:after="0"/>
              <w:rPr>
                <w:sz w:val="20"/>
                <w:szCs w:val="20"/>
                <w:color w:val="auto"/>
              </w:rPr>
            </w:pPr>
            <w:r>
              <w:rPr>
                <w:rFonts w:ascii="Arial" w:cs="Arial" w:eastAsia="Arial" w:hAnsi="Arial"/>
                <w:sz w:val="18"/>
                <w:szCs w:val="18"/>
                <w:color w:val="auto"/>
              </w:rPr>
              <w:t>Securities Offered</w:t>
            </w:r>
          </w:p>
        </w:tc>
        <w:tc>
          <w:tcPr>
            <w:tcW w:w="1740" w:type="dxa"/>
            <w:vAlign w:val="bottom"/>
          </w:tcPr>
          <w:p>
            <w:pPr>
              <w:ind w:left="1360"/>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w w:val="95"/>
              </w:rPr>
              <w:t>aggregate principal amount of</w:t>
            </w:r>
          </w:p>
        </w:tc>
        <w:tc>
          <w:tcPr>
            <w:tcW w:w="2040" w:type="dxa"/>
            <w:vAlign w:val="bottom"/>
          </w:tcPr>
          <w:p>
            <w:pPr>
              <w:ind w:left="80"/>
              <w:spacing w:after="0"/>
              <w:rPr>
                <w:sz w:val="20"/>
                <w:szCs w:val="20"/>
                <w:color w:val="auto"/>
              </w:rPr>
            </w:pPr>
            <w:r>
              <w:rPr>
                <w:rFonts w:ascii="Arial" w:cs="Arial" w:eastAsia="Arial" w:hAnsi="Arial"/>
                <w:sz w:val="18"/>
                <w:szCs w:val="18"/>
                <w:color w:val="auto"/>
              </w:rPr>
              <w:t>% euro notes due 20   .</w:t>
            </w:r>
          </w:p>
        </w:tc>
      </w:tr>
      <w:tr>
        <w:trPr>
          <w:trHeight w:val="446"/>
        </w:trPr>
        <w:tc>
          <w:tcPr>
            <w:tcW w:w="268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w w:val="95"/>
              </w:rPr>
              <w:t>aggregate principal amount of</w:t>
            </w:r>
          </w:p>
        </w:tc>
        <w:tc>
          <w:tcPr>
            <w:tcW w:w="2040" w:type="dxa"/>
            <w:vAlign w:val="bottom"/>
          </w:tcPr>
          <w:p>
            <w:pPr>
              <w:ind w:left="80"/>
              <w:spacing w:after="0"/>
              <w:rPr>
                <w:sz w:val="20"/>
                <w:szCs w:val="20"/>
                <w:color w:val="auto"/>
              </w:rPr>
            </w:pPr>
            <w:r>
              <w:rPr>
                <w:rFonts w:ascii="Arial" w:cs="Arial" w:eastAsia="Arial" w:hAnsi="Arial"/>
                <w:sz w:val="18"/>
                <w:szCs w:val="18"/>
                <w:color w:val="auto"/>
              </w:rPr>
              <w:t>% euro notes due 20   .</w:t>
            </w:r>
          </w:p>
        </w:tc>
      </w:tr>
      <w:tr>
        <w:trPr>
          <w:trHeight w:val="432"/>
        </w:trPr>
        <w:tc>
          <w:tcPr>
            <w:tcW w:w="268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w w:val="95"/>
              </w:rPr>
              <w:t>aggregate principal amount of</w:t>
            </w:r>
          </w:p>
        </w:tc>
        <w:tc>
          <w:tcPr>
            <w:tcW w:w="2040" w:type="dxa"/>
            <w:vAlign w:val="bottom"/>
          </w:tcPr>
          <w:p>
            <w:pPr>
              <w:ind w:left="80"/>
              <w:spacing w:after="0"/>
              <w:rPr>
                <w:sz w:val="20"/>
                <w:szCs w:val="20"/>
                <w:color w:val="auto"/>
              </w:rPr>
            </w:pPr>
            <w:r>
              <w:rPr>
                <w:rFonts w:ascii="Arial" w:cs="Arial" w:eastAsia="Arial" w:hAnsi="Arial"/>
                <w:sz w:val="18"/>
                <w:szCs w:val="18"/>
                <w:color w:val="auto"/>
              </w:rPr>
              <w:t>% euro notes due 20   .</w:t>
            </w:r>
          </w:p>
        </w:tc>
      </w:tr>
      <w:tr>
        <w:trPr>
          <w:trHeight w:val="432"/>
        </w:trPr>
        <w:tc>
          <w:tcPr>
            <w:tcW w:w="268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w w:val="95"/>
              </w:rPr>
              <w:t>aggregate principal amount of</w:t>
            </w:r>
          </w:p>
        </w:tc>
        <w:tc>
          <w:tcPr>
            <w:tcW w:w="2040" w:type="dxa"/>
            <w:vAlign w:val="bottom"/>
          </w:tcPr>
          <w:p>
            <w:pPr>
              <w:ind w:left="80"/>
              <w:spacing w:after="0"/>
              <w:rPr>
                <w:sz w:val="20"/>
                <w:szCs w:val="20"/>
                <w:color w:val="auto"/>
              </w:rPr>
            </w:pPr>
            <w:r>
              <w:rPr>
                <w:rFonts w:ascii="Arial" w:cs="Arial" w:eastAsia="Arial" w:hAnsi="Arial"/>
                <w:sz w:val="18"/>
                <w:szCs w:val="18"/>
                <w:color w:val="auto"/>
                <w:w w:val="93"/>
              </w:rPr>
              <w:t>% sterling notes due 20   .</w:t>
            </w:r>
          </w:p>
        </w:tc>
      </w:tr>
      <w:tr>
        <w:trPr>
          <w:trHeight w:val="432"/>
        </w:trPr>
        <w:tc>
          <w:tcPr>
            <w:tcW w:w="268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300"/>
              <w:spacing w:after="0"/>
              <w:rPr>
                <w:sz w:val="20"/>
                <w:szCs w:val="20"/>
                <w:color w:val="auto"/>
              </w:rPr>
            </w:pPr>
            <w:r>
              <w:rPr>
                <w:rFonts w:ascii="Arial" w:cs="Arial" w:eastAsia="Arial" w:hAnsi="Arial"/>
                <w:sz w:val="18"/>
                <w:szCs w:val="18"/>
                <w:color w:val="auto"/>
                <w:w w:val="95"/>
              </w:rPr>
              <w:t>aggregate principal amount of</w:t>
            </w:r>
          </w:p>
        </w:tc>
        <w:tc>
          <w:tcPr>
            <w:tcW w:w="2040" w:type="dxa"/>
            <w:vAlign w:val="bottom"/>
          </w:tcPr>
          <w:p>
            <w:pPr>
              <w:ind w:left="80"/>
              <w:spacing w:after="0"/>
              <w:rPr>
                <w:sz w:val="20"/>
                <w:szCs w:val="20"/>
                <w:color w:val="auto"/>
              </w:rPr>
            </w:pPr>
            <w:r>
              <w:rPr>
                <w:rFonts w:ascii="Arial" w:cs="Arial" w:eastAsia="Arial" w:hAnsi="Arial"/>
                <w:sz w:val="18"/>
                <w:szCs w:val="18"/>
                <w:color w:val="auto"/>
                <w:w w:val="93"/>
              </w:rPr>
              <w:t>% sterling notes due 20   .</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Maturity</w:t>
            </w:r>
          </w:p>
        </w:tc>
        <w:tc>
          <w:tcPr>
            <w:tcW w:w="3180" w:type="dxa"/>
            <w:vAlign w:val="bottom"/>
            <w:gridSpan w:val="2"/>
          </w:tcPr>
          <w:p>
            <w:pPr>
              <w:ind w:left="1360"/>
              <w:spacing w:after="0"/>
              <w:rPr>
                <w:sz w:val="20"/>
                <w:szCs w:val="20"/>
                <w:color w:val="auto"/>
              </w:rPr>
            </w:pPr>
            <w:r>
              <w:rPr>
                <w:rFonts w:ascii="Arial" w:cs="Arial" w:eastAsia="Arial" w:hAnsi="Arial"/>
                <w:sz w:val="18"/>
                <w:szCs w:val="18"/>
                <w:color w:val="auto"/>
                <w:w w:val="99"/>
              </w:rPr>
              <w:t>The euro notes due 20</w:t>
            </w:r>
          </w:p>
        </w:tc>
        <w:tc>
          <w:tcPr>
            <w:tcW w:w="1160" w:type="dxa"/>
            <w:vAlign w:val="bottom"/>
          </w:tcPr>
          <w:p>
            <w:pPr>
              <w:spacing w:after="0"/>
              <w:rPr>
                <w:sz w:val="20"/>
                <w:szCs w:val="20"/>
                <w:color w:val="auto"/>
              </w:rPr>
            </w:pPr>
            <w:r>
              <w:rPr>
                <w:rFonts w:ascii="Arial" w:cs="Arial" w:eastAsia="Arial" w:hAnsi="Arial"/>
                <w:sz w:val="18"/>
                <w:szCs w:val="18"/>
                <w:color w:val="auto"/>
              </w:rPr>
              <w:t>will mature on</w:t>
            </w:r>
          </w:p>
        </w:tc>
        <w:tc>
          <w:tcPr>
            <w:tcW w:w="2040" w:type="dxa"/>
            <w:vAlign w:val="bottom"/>
          </w:tcPr>
          <w:p>
            <w:pPr>
              <w:ind w:left="840"/>
              <w:spacing w:after="0"/>
              <w:rPr>
                <w:sz w:val="20"/>
                <w:szCs w:val="20"/>
                <w:color w:val="auto"/>
              </w:rPr>
            </w:pPr>
            <w:r>
              <w:rPr>
                <w:rFonts w:ascii="Arial" w:cs="Arial" w:eastAsia="Arial" w:hAnsi="Arial"/>
                <w:sz w:val="18"/>
                <w:szCs w:val="18"/>
                <w:color w:val="auto"/>
              </w:rPr>
              <w:t>, 20   .</w:t>
            </w:r>
          </w:p>
        </w:tc>
      </w:tr>
      <w:tr>
        <w:trPr>
          <w:trHeight w:val="446"/>
        </w:trPr>
        <w:tc>
          <w:tcPr>
            <w:tcW w:w="2680" w:type="dxa"/>
            <w:vAlign w:val="bottom"/>
          </w:tcPr>
          <w:p>
            <w:pPr>
              <w:spacing w:after="0"/>
              <w:rPr>
                <w:sz w:val="24"/>
                <w:szCs w:val="24"/>
                <w:color w:val="auto"/>
              </w:rPr>
            </w:pPr>
          </w:p>
        </w:tc>
        <w:tc>
          <w:tcPr>
            <w:tcW w:w="3180" w:type="dxa"/>
            <w:vAlign w:val="bottom"/>
            <w:gridSpan w:val="2"/>
          </w:tcPr>
          <w:p>
            <w:pPr>
              <w:ind w:left="1360"/>
              <w:spacing w:after="0"/>
              <w:rPr>
                <w:sz w:val="20"/>
                <w:szCs w:val="20"/>
                <w:color w:val="auto"/>
              </w:rPr>
            </w:pPr>
            <w:r>
              <w:rPr>
                <w:rFonts w:ascii="Arial" w:cs="Arial" w:eastAsia="Arial" w:hAnsi="Arial"/>
                <w:sz w:val="18"/>
                <w:szCs w:val="18"/>
                <w:color w:val="auto"/>
                <w:w w:val="99"/>
              </w:rPr>
              <w:t>The euro notes due 20</w:t>
            </w:r>
          </w:p>
        </w:tc>
        <w:tc>
          <w:tcPr>
            <w:tcW w:w="1160" w:type="dxa"/>
            <w:vAlign w:val="bottom"/>
          </w:tcPr>
          <w:p>
            <w:pPr>
              <w:spacing w:after="0"/>
              <w:rPr>
                <w:sz w:val="20"/>
                <w:szCs w:val="20"/>
                <w:color w:val="auto"/>
              </w:rPr>
            </w:pPr>
            <w:r>
              <w:rPr>
                <w:rFonts w:ascii="Arial" w:cs="Arial" w:eastAsia="Arial" w:hAnsi="Arial"/>
                <w:sz w:val="18"/>
                <w:szCs w:val="18"/>
                <w:color w:val="auto"/>
              </w:rPr>
              <w:t>will mature on</w:t>
            </w:r>
          </w:p>
        </w:tc>
        <w:tc>
          <w:tcPr>
            <w:tcW w:w="2040" w:type="dxa"/>
            <w:vAlign w:val="bottom"/>
          </w:tcPr>
          <w:p>
            <w:pPr>
              <w:ind w:left="840"/>
              <w:spacing w:after="0"/>
              <w:rPr>
                <w:sz w:val="20"/>
                <w:szCs w:val="20"/>
                <w:color w:val="auto"/>
              </w:rPr>
            </w:pPr>
            <w:r>
              <w:rPr>
                <w:rFonts w:ascii="Arial" w:cs="Arial" w:eastAsia="Arial" w:hAnsi="Arial"/>
                <w:sz w:val="18"/>
                <w:szCs w:val="18"/>
                <w:color w:val="auto"/>
              </w:rPr>
              <w:t>, 20   .</w:t>
            </w:r>
          </w:p>
        </w:tc>
      </w:tr>
      <w:tr>
        <w:trPr>
          <w:trHeight w:val="432"/>
        </w:trPr>
        <w:tc>
          <w:tcPr>
            <w:tcW w:w="2680" w:type="dxa"/>
            <w:vAlign w:val="bottom"/>
          </w:tcPr>
          <w:p>
            <w:pPr>
              <w:spacing w:after="0"/>
              <w:rPr>
                <w:sz w:val="24"/>
                <w:szCs w:val="24"/>
                <w:color w:val="auto"/>
              </w:rPr>
            </w:pPr>
          </w:p>
        </w:tc>
        <w:tc>
          <w:tcPr>
            <w:tcW w:w="3180" w:type="dxa"/>
            <w:vAlign w:val="bottom"/>
            <w:gridSpan w:val="2"/>
          </w:tcPr>
          <w:p>
            <w:pPr>
              <w:ind w:left="1360"/>
              <w:spacing w:after="0"/>
              <w:rPr>
                <w:sz w:val="20"/>
                <w:szCs w:val="20"/>
                <w:color w:val="auto"/>
              </w:rPr>
            </w:pPr>
            <w:r>
              <w:rPr>
                <w:rFonts w:ascii="Arial" w:cs="Arial" w:eastAsia="Arial" w:hAnsi="Arial"/>
                <w:sz w:val="18"/>
                <w:szCs w:val="18"/>
                <w:color w:val="auto"/>
                <w:w w:val="99"/>
              </w:rPr>
              <w:t>The euro notes due 20</w:t>
            </w:r>
          </w:p>
        </w:tc>
        <w:tc>
          <w:tcPr>
            <w:tcW w:w="1160" w:type="dxa"/>
            <w:vAlign w:val="bottom"/>
          </w:tcPr>
          <w:p>
            <w:pPr>
              <w:spacing w:after="0"/>
              <w:rPr>
                <w:sz w:val="20"/>
                <w:szCs w:val="20"/>
                <w:color w:val="auto"/>
              </w:rPr>
            </w:pPr>
            <w:r>
              <w:rPr>
                <w:rFonts w:ascii="Arial" w:cs="Arial" w:eastAsia="Arial" w:hAnsi="Arial"/>
                <w:sz w:val="18"/>
                <w:szCs w:val="18"/>
                <w:color w:val="auto"/>
              </w:rPr>
              <w:t>will mature on</w:t>
            </w:r>
          </w:p>
        </w:tc>
        <w:tc>
          <w:tcPr>
            <w:tcW w:w="2040" w:type="dxa"/>
            <w:vAlign w:val="bottom"/>
          </w:tcPr>
          <w:p>
            <w:pPr>
              <w:ind w:left="840"/>
              <w:spacing w:after="0"/>
              <w:rPr>
                <w:sz w:val="20"/>
                <w:szCs w:val="20"/>
                <w:color w:val="auto"/>
              </w:rPr>
            </w:pPr>
            <w:r>
              <w:rPr>
                <w:rFonts w:ascii="Arial" w:cs="Arial" w:eastAsia="Arial" w:hAnsi="Arial"/>
                <w:sz w:val="18"/>
                <w:szCs w:val="18"/>
                <w:color w:val="auto"/>
              </w:rPr>
              <w:t>, 20   .</w:t>
            </w:r>
          </w:p>
        </w:tc>
      </w:tr>
    </w:tbl>
    <w:p>
      <w:pPr>
        <w:spacing w:after="0" w:line="202"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3140" w:type="dxa"/>
            <w:vAlign w:val="bottom"/>
          </w:tcPr>
          <w:p>
            <w:pPr>
              <w:ind w:left="1200"/>
              <w:spacing w:after="0"/>
              <w:rPr>
                <w:sz w:val="20"/>
                <w:szCs w:val="20"/>
                <w:color w:val="auto"/>
              </w:rPr>
            </w:pPr>
            <w:r>
              <w:rPr>
                <w:rFonts w:ascii="Arial" w:cs="Arial" w:eastAsia="Arial" w:hAnsi="Arial"/>
                <w:sz w:val="18"/>
                <w:szCs w:val="18"/>
                <w:color w:val="auto"/>
                <w:w w:val="94"/>
              </w:rPr>
              <w:t>The sterling notes due 20</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will mature on</w:t>
            </w:r>
          </w:p>
        </w:tc>
        <w:tc>
          <w:tcPr>
            <w:tcW w:w="2640" w:type="dxa"/>
            <w:vAlign w:val="bottom"/>
            <w:gridSpan w:val="2"/>
          </w:tcPr>
          <w:p>
            <w:pPr>
              <w:jc w:val="right"/>
              <w:ind w:right="1930"/>
              <w:spacing w:after="0"/>
              <w:rPr>
                <w:sz w:val="20"/>
                <w:szCs w:val="20"/>
                <w:color w:val="auto"/>
              </w:rPr>
            </w:pPr>
            <w:r>
              <w:rPr>
                <w:rFonts w:ascii="Arial" w:cs="Arial" w:eastAsia="Arial" w:hAnsi="Arial"/>
                <w:sz w:val="18"/>
                <w:szCs w:val="18"/>
                <w:color w:val="auto"/>
              </w:rPr>
              <w:t>, 20   .</w:t>
            </w:r>
          </w:p>
        </w:tc>
      </w:tr>
      <w:tr>
        <w:trPr>
          <w:trHeight w:val="432"/>
        </w:trPr>
        <w:tc>
          <w:tcPr>
            <w:tcW w:w="2840" w:type="dxa"/>
            <w:vAlign w:val="bottom"/>
          </w:tcPr>
          <w:p>
            <w:pPr>
              <w:spacing w:after="0"/>
              <w:rPr>
                <w:sz w:val="24"/>
                <w:szCs w:val="24"/>
                <w:color w:val="auto"/>
              </w:rPr>
            </w:pPr>
          </w:p>
        </w:tc>
        <w:tc>
          <w:tcPr>
            <w:tcW w:w="3140" w:type="dxa"/>
            <w:vAlign w:val="bottom"/>
          </w:tcPr>
          <w:p>
            <w:pPr>
              <w:ind w:left="1200"/>
              <w:spacing w:after="0"/>
              <w:rPr>
                <w:sz w:val="20"/>
                <w:szCs w:val="20"/>
                <w:color w:val="auto"/>
              </w:rPr>
            </w:pPr>
            <w:r>
              <w:rPr>
                <w:rFonts w:ascii="Arial" w:cs="Arial" w:eastAsia="Arial" w:hAnsi="Arial"/>
                <w:sz w:val="18"/>
                <w:szCs w:val="18"/>
                <w:color w:val="auto"/>
                <w:w w:val="94"/>
              </w:rPr>
              <w:t>The sterling notes due 20</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will mature on</w:t>
            </w:r>
          </w:p>
        </w:tc>
        <w:tc>
          <w:tcPr>
            <w:tcW w:w="2640" w:type="dxa"/>
            <w:vAlign w:val="bottom"/>
            <w:gridSpan w:val="2"/>
          </w:tcPr>
          <w:p>
            <w:pPr>
              <w:jc w:val="right"/>
              <w:ind w:right="1930"/>
              <w:spacing w:after="0"/>
              <w:rPr>
                <w:sz w:val="20"/>
                <w:szCs w:val="20"/>
                <w:color w:val="auto"/>
              </w:rPr>
            </w:pPr>
            <w:r>
              <w:rPr>
                <w:rFonts w:ascii="Arial" w:cs="Arial" w:eastAsia="Arial" w:hAnsi="Arial"/>
                <w:sz w:val="18"/>
                <w:szCs w:val="18"/>
                <w:color w:val="auto"/>
              </w:rPr>
              <w:t>, 20   .</w:t>
            </w:r>
          </w:p>
        </w:tc>
      </w:tr>
      <w:tr>
        <w:trPr>
          <w:trHeight w:val="418"/>
        </w:trPr>
        <w:tc>
          <w:tcPr>
            <w:tcW w:w="2840" w:type="dxa"/>
            <w:vAlign w:val="bottom"/>
          </w:tcPr>
          <w:p>
            <w:pPr>
              <w:spacing w:after="0"/>
              <w:rPr>
                <w:sz w:val="20"/>
                <w:szCs w:val="20"/>
                <w:color w:val="auto"/>
              </w:rPr>
            </w:pPr>
            <w:r>
              <w:rPr>
                <w:rFonts w:ascii="Arial" w:cs="Arial" w:eastAsia="Arial" w:hAnsi="Arial"/>
                <w:sz w:val="18"/>
                <w:szCs w:val="18"/>
                <w:color w:val="auto"/>
              </w:rPr>
              <w:t>Interest</w:t>
            </w:r>
          </w:p>
        </w:tc>
        <w:tc>
          <w:tcPr>
            <w:tcW w:w="3780" w:type="dxa"/>
            <w:vAlign w:val="bottom"/>
            <w:gridSpan w:val="2"/>
          </w:tcPr>
          <w:p>
            <w:pPr>
              <w:ind w:left="1200"/>
              <w:spacing w:after="0"/>
              <w:rPr>
                <w:sz w:val="20"/>
                <w:szCs w:val="20"/>
                <w:color w:val="auto"/>
              </w:rPr>
            </w:pPr>
            <w:r>
              <w:rPr>
                <w:rFonts w:ascii="Arial" w:cs="Arial" w:eastAsia="Arial" w:hAnsi="Arial"/>
                <w:sz w:val="18"/>
                <w:szCs w:val="18"/>
                <w:color w:val="auto"/>
                <w:w w:val="96"/>
              </w:rPr>
              <w:t>Interest on the euro notes due 20</w:t>
            </w:r>
          </w:p>
        </w:tc>
        <w:tc>
          <w:tcPr>
            <w:tcW w:w="1960" w:type="dxa"/>
            <w:vAlign w:val="bottom"/>
            <w:gridSpan w:val="2"/>
          </w:tcPr>
          <w:p>
            <w:pPr>
              <w:jc w:val="center"/>
              <w:ind w:right="130"/>
              <w:spacing w:after="0"/>
              <w:rPr>
                <w:sz w:val="20"/>
                <w:szCs w:val="20"/>
                <w:color w:val="auto"/>
              </w:rPr>
            </w:pPr>
            <w:r>
              <w:rPr>
                <w:rFonts w:ascii="Arial" w:cs="Arial" w:eastAsia="Arial" w:hAnsi="Arial"/>
                <w:sz w:val="18"/>
                <w:szCs w:val="18"/>
                <w:color w:val="auto"/>
                <w:w w:val="91"/>
              </w:rPr>
              <w:t>will accrue at the rate of</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w w:val="87"/>
              </w:rPr>
              <w:t>% per year, payable</w:t>
            </w:r>
          </w:p>
        </w:tc>
      </w:tr>
      <w:tr>
        <w:trPr>
          <w:trHeight w:val="230"/>
        </w:trPr>
        <w:tc>
          <w:tcPr>
            <w:tcW w:w="2840" w:type="dxa"/>
            <w:vAlign w:val="bottom"/>
          </w:tcPr>
          <w:p>
            <w:pPr>
              <w:spacing w:after="0"/>
              <w:rPr>
                <w:sz w:val="20"/>
                <w:szCs w:val="20"/>
                <w:color w:val="auto"/>
              </w:rPr>
            </w:pPr>
          </w:p>
        </w:tc>
        <w:tc>
          <w:tcPr>
            <w:tcW w:w="3780" w:type="dxa"/>
            <w:vAlign w:val="bottom"/>
            <w:gridSpan w:val="2"/>
          </w:tcPr>
          <w:p>
            <w:pPr>
              <w:ind w:left="1200"/>
              <w:spacing w:after="0"/>
              <w:rPr>
                <w:sz w:val="20"/>
                <w:szCs w:val="20"/>
                <w:color w:val="auto"/>
              </w:rPr>
            </w:pPr>
            <w:r>
              <w:rPr>
                <w:rFonts w:ascii="Arial" w:cs="Arial" w:eastAsia="Arial" w:hAnsi="Arial"/>
                <w:sz w:val="18"/>
                <w:szCs w:val="18"/>
                <w:color w:val="auto"/>
              </w:rPr>
              <w:t>annually in cash in arrears on</w:t>
            </w:r>
          </w:p>
        </w:tc>
        <w:tc>
          <w:tcPr>
            <w:tcW w:w="1380" w:type="dxa"/>
            <w:vAlign w:val="bottom"/>
          </w:tcPr>
          <w:p>
            <w:pPr>
              <w:jc w:val="center"/>
              <w:ind w:left="310"/>
              <w:spacing w:after="0"/>
              <w:rPr>
                <w:sz w:val="20"/>
                <w:szCs w:val="20"/>
                <w:color w:val="auto"/>
              </w:rPr>
            </w:pPr>
            <w:r>
              <w:rPr>
                <w:rFonts w:ascii="Arial" w:cs="Arial" w:eastAsia="Arial" w:hAnsi="Arial"/>
                <w:sz w:val="18"/>
                <w:szCs w:val="18"/>
                <w:color w:val="auto"/>
                <w:w w:val="93"/>
              </w:rPr>
              <w:t>, beginning</w:t>
            </w:r>
          </w:p>
        </w:tc>
        <w:tc>
          <w:tcPr>
            <w:tcW w:w="580" w:type="dxa"/>
            <w:vAlign w:val="bottom"/>
          </w:tcPr>
          <w:p>
            <w:pPr>
              <w:spacing w:after="0"/>
              <w:rPr>
                <w:sz w:val="20"/>
                <w:szCs w:val="20"/>
                <w:color w:val="auto"/>
              </w:rPr>
            </w:pPr>
          </w:p>
        </w:tc>
        <w:tc>
          <w:tcPr>
            <w:tcW w:w="2060" w:type="dxa"/>
            <w:vAlign w:val="bottom"/>
          </w:tcPr>
          <w:p>
            <w:pPr>
              <w:jc w:val="right"/>
              <w:ind w:right="1190"/>
              <w:spacing w:after="0"/>
              <w:rPr>
                <w:sz w:val="20"/>
                <w:szCs w:val="20"/>
                <w:color w:val="auto"/>
              </w:rPr>
            </w:pPr>
            <w:r>
              <w:rPr>
                <w:rFonts w:ascii="Arial" w:cs="Arial" w:eastAsia="Arial" w:hAnsi="Arial"/>
                <w:sz w:val="18"/>
                <w:szCs w:val="18"/>
                <w:color w:val="auto"/>
              </w:rPr>
              <w:t>, 2021.</w:t>
            </w:r>
          </w:p>
        </w:tc>
      </w:tr>
      <w:tr>
        <w:trPr>
          <w:trHeight w:val="418"/>
        </w:trPr>
        <w:tc>
          <w:tcPr>
            <w:tcW w:w="2840" w:type="dxa"/>
            <w:vAlign w:val="bottom"/>
          </w:tcPr>
          <w:p>
            <w:pPr>
              <w:spacing w:after="0"/>
              <w:rPr>
                <w:sz w:val="24"/>
                <w:szCs w:val="24"/>
                <w:color w:val="auto"/>
              </w:rPr>
            </w:pPr>
          </w:p>
        </w:tc>
        <w:tc>
          <w:tcPr>
            <w:tcW w:w="3780" w:type="dxa"/>
            <w:vAlign w:val="bottom"/>
            <w:gridSpan w:val="2"/>
          </w:tcPr>
          <w:p>
            <w:pPr>
              <w:ind w:left="1200"/>
              <w:spacing w:after="0"/>
              <w:rPr>
                <w:sz w:val="20"/>
                <w:szCs w:val="20"/>
                <w:color w:val="auto"/>
              </w:rPr>
            </w:pPr>
            <w:r>
              <w:rPr>
                <w:rFonts w:ascii="Arial" w:cs="Arial" w:eastAsia="Arial" w:hAnsi="Arial"/>
                <w:sz w:val="18"/>
                <w:szCs w:val="18"/>
                <w:color w:val="auto"/>
                <w:w w:val="96"/>
              </w:rPr>
              <w:t>Interest on the euro notes due 20</w:t>
            </w:r>
          </w:p>
        </w:tc>
        <w:tc>
          <w:tcPr>
            <w:tcW w:w="1960" w:type="dxa"/>
            <w:vAlign w:val="bottom"/>
            <w:gridSpan w:val="2"/>
          </w:tcPr>
          <w:p>
            <w:pPr>
              <w:jc w:val="center"/>
              <w:ind w:right="130"/>
              <w:spacing w:after="0"/>
              <w:rPr>
                <w:sz w:val="20"/>
                <w:szCs w:val="20"/>
                <w:color w:val="auto"/>
              </w:rPr>
            </w:pPr>
            <w:r>
              <w:rPr>
                <w:rFonts w:ascii="Arial" w:cs="Arial" w:eastAsia="Arial" w:hAnsi="Arial"/>
                <w:sz w:val="18"/>
                <w:szCs w:val="18"/>
                <w:color w:val="auto"/>
                <w:w w:val="91"/>
              </w:rPr>
              <w:t>will accrue at the rate of</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w w:val="87"/>
              </w:rPr>
              <w:t>% per year, payable</w:t>
            </w:r>
          </w:p>
        </w:tc>
      </w:tr>
      <w:tr>
        <w:trPr>
          <w:trHeight w:val="230"/>
        </w:trPr>
        <w:tc>
          <w:tcPr>
            <w:tcW w:w="2840" w:type="dxa"/>
            <w:vAlign w:val="bottom"/>
          </w:tcPr>
          <w:p>
            <w:pPr>
              <w:spacing w:after="0"/>
              <w:rPr>
                <w:sz w:val="20"/>
                <w:szCs w:val="20"/>
                <w:color w:val="auto"/>
              </w:rPr>
            </w:pPr>
          </w:p>
        </w:tc>
        <w:tc>
          <w:tcPr>
            <w:tcW w:w="3780" w:type="dxa"/>
            <w:vAlign w:val="bottom"/>
            <w:gridSpan w:val="2"/>
          </w:tcPr>
          <w:p>
            <w:pPr>
              <w:ind w:left="1200"/>
              <w:spacing w:after="0"/>
              <w:rPr>
                <w:sz w:val="20"/>
                <w:szCs w:val="20"/>
                <w:color w:val="auto"/>
              </w:rPr>
            </w:pPr>
            <w:r>
              <w:rPr>
                <w:rFonts w:ascii="Arial" w:cs="Arial" w:eastAsia="Arial" w:hAnsi="Arial"/>
                <w:sz w:val="18"/>
                <w:szCs w:val="18"/>
                <w:color w:val="auto"/>
              </w:rPr>
              <w:t>annually in cash in arrears on</w:t>
            </w:r>
          </w:p>
        </w:tc>
        <w:tc>
          <w:tcPr>
            <w:tcW w:w="1380" w:type="dxa"/>
            <w:vAlign w:val="bottom"/>
          </w:tcPr>
          <w:p>
            <w:pPr>
              <w:jc w:val="center"/>
              <w:ind w:left="310"/>
              <w:spacing w:after="0"/>
              <w:rPr>
                <w:sz w:val="20"/>
                <w:szCs w:val="20"/>
                <w:color w:val="auto"/>
              </w:rPr>
            </w:pPr>
            <w:r>
              <w:rPr>
                <w:rFonts w:ascii="Arial" w:cs="Arial" w:eastAsia="Arial" w:hAnsi="Arial"/>
                <w:sz w:val="18"/>
                <w:szCs w:val="18"/>
                <w:color w:val="auto"/>
                <w:w w:val="93"/>
              </w:rPr>
              <w:t>, beginning</w:t>
            </w:r>
          </w:p>
        </w:tc>
        <w:tc>
          <w:tcPr>
            <w:tcW w:w="580" w:type="dxa"/>
            <w:vAlign w:val="bottom"/>
          </w:tcPr>
          <w:p>
            <w:pPr>
              <w:spacing w:after="0"/>
              <w:rPr>
                <w:sz w:val="20"/>
                <w:szCs w:val="20"/>
                <w:color w:val="auto"/>
              </w:rPr>
            </w:pPr>
          </w:p>
        </w:tc>
        <w:tc>
          <w:tcPr>
            <w:tcW w:w="2060" w:type="dxa"/>
            <w:vAlign w:val="bottom"/>
          </w:tcPr>
          <w:p>
            <w:pPr>
              <w:jc w:val="right"/>
              <w:ind w:right="1190"/>
              <w:spacing w:after="0"/>
              <w:rPr>
                <w:sz w:val="20"/>
                <w:szCs w:val="20"/>
                <w:color w:val="auto"/>
              </w:rPr>
            </w:pPr>
            <w:r>
              <w:rPr>
                <w:rFonts w:ascii="Arial" w:cs="Arial" w:eastAsia="Arial" w:hAnsi="Arial"/>
                <w:sz w:val="18"/>
                <w:szCs w:val="18"/>
                <w:color w:val="auto"/>
              </w:rPr>
              <w:t>, 2021.</w:t>
            </w:r>
          </w:p>
        </w:tc>
      </w:tr>
      <w:tr>
        <w:trPr>
          <w:trHeight w:val="418"/>
        </w:trPr>
        <w:tc>
          <w:tcPr>
            <w:tcW w:w="2840" w:type="dxa"/>
            <w:vAlign w:val="bottom"/>
          </w:tcPr>
          <w:p>
            <w:pPr>
              <w:spacing w:after="0"/>
              <w:rPr>
                <w:sz w:val="24"/>
                <w:szCs w:val="24"/>
                <w:color w:val="auto"/>
              </w:rPr>
            </w:pPr>
          </w:p>
        </w:tc>
        <w:tc>
          <w:tcPr>
            <w:tcW w:w="3780" w:type="dxa"/>
            <w:vAlign w:val="bottom"/>
            <w:gridSpan w:val="2"/>
          </w:tcPr>
          <w:p>
            <w:pPr>
              <w:ind w:left="1200"/>
              <w:spacing w:after="0"/>
              <w:rPr>
                <w:sz w:val="20"/>
                <w:szCs w:val="20"/>
                <w:color w:val="auto"/>
              </w:rPr>
            </w:pPr>
            <w:r>
              <w:rPr>
                <w:rFonts w:ascii="Arial" w:cs="Arial" w:eastAsia="Arial" w:hAnsi="Arial"/>
                <w:sz w:val="18"/>
                <w:szCs w:val="18"/>
                <w:color w:val="auto"/>
                <w:w w:val="96"/>
              </w:rPr>
              <w:t>Interest on the euro notes due 20</w:t>
            </w:r>
          </w:p>
        </w:tc>
        <w:tc>
          <w:tcPr>
            <w:tcW w:w="1960" w:type="dxa"/>
            <w:vAlign w:val="bottom"/>
            <w:gridSpan w:val="2"/>
          </w:tcPr>
          <w:p>
            <w:pPr>
              <w:jc w:val="center"/>
              <w:ind w:right="130"/>
              <w:spacing w:after="0"/>
              <w:rPr>
                <w:sz w:val="20"/>
                <w:szCs w:val="20"/>
                <w:color w:val="auto"/>
              </w:rPr>
            </w:pPr>
            <w:r>
              <w:rPr>
                <w:rFonts w:ascii="Arial" w:cs="Arial" w:eastAsia="Arial" w:hAnsi="Arial"/>
                <w:sz w:val="18"/>
                <w:szCs w:val="18"/>
                <w:color w:val="auto"/>
                <w:w w:val="91"/>
              </w:rPr>
              <w:t>will accrue at the rate of</w:t>
            </w:r>
          </w:p>
        </w:tc>
        <w:tc>
          <w:tcPr>
            <w:tcW w:w="2060" w:type="dxa"/>
            <w:vAlign w:val="bottom"/>
          </w:tcPr>
          <w:p>
            <w:pPr>
              <w:jc w:val="right"/>
              <w:ind w:right="550"/>
              <w:spacing w:after="0"/>
              <w:rPr>
                <w:sz w:val="20"/>
                <w:szCs w:val="20"/>
                <w:color w:val="auto"/>
              </w:rPr>
            </w:pPr>
            <w:r>
              <w:rPr>
                <w:rFonts w:ascii="Arial" w:cs="Arial" w:eastAsia="Arial" w:hAnsi="Arial"/>
                <w:sz w:val="18"/>
                <w:szCs w:val="18"/>
                <w:color w:val="auto"/>
                <w:w w:val="87"/>
              </w:rPr>
              <w:t>% per year, payable</w:t>
            </w:r>
          </w:p>
        </w:tc>
      </w:tr>
      <w:tr>
        <w:trPr>
          <w:trHeight w:val="230"/>
        </w:trPr>
        <w:tc>
          <w:tcPr>
            <w:tcW w:w="2840" w:type="dxa"/>
            <w:vAlign w:val="bottom"/>
          </w:tcPr>
          <w:p>
            <w:pPr>
              <w:spacing w:after="0"/>
              <w:rPr>
                <w:sz w:val="20"/>
                <w:szCs w:val="20"/>
                <w:color w:val="auto"/>
              </w:rPr>
            </w:pPr>
          </w:p>
        </w:tc>
        <w:tc>
          <w:tcPr>
            <w:tcW w:w="3780" w:type="dxa"/>
            <w:vAlign w:val="bottom"/>
            <w:gridSpan w:val="2"/>
          </w:tcPr>
          <w:p>
            <w:pPr>
              <w:ind w:left="1200"/>
              <w:spacing w:after="0"/>
              <w:rPr>
                <w:sz w:val="20"/>
                <w:szCs w:val="20"/>
                <w:color w:val="auto"/>
              </w:rPr>
            </w:pPr>
            <w:r>
              <w:rPr>
                <w:rFonts w:ascii="Arial" w:cs="Arial" w:eastAsia="Arial" w:hAnsi="Arial"/>
                <w:sz w:val="18"/>
                <w:szCs w:val="18"/>
                <w:color w:val="auto"/>
              </w:rPr>
              <w:t>annually in cash in arrears on</w:t>
            </w:r>
          </w:p>
        </w:tc>
        <w:tc>
          <w:tcPr>
            <w:tcW w:w="1380" w:type="dxa"/>
            <w:vAlign w:val="bottom"/>
          </w:tcPr>
          <w:p>
            <w:pPr>
              <w:jc w:val="center"/>
              <w:ind w:left="310"/>
              <w:spacing w:after="0"/>
              <w:rPr>
                <w:sz w:val="20"/>
                <w:szCs w:val="20"/>
                <w:color w:val="auto"/>
              </w:rPr>
            </w:pPr>
            <w:r>
              <w:rPr>
                <w:rFonts w:ascii="Arial" w:cs="Arial" w:eastAsia="Arial" w:hAnsi="Arial"/>
                <w:sz w:val="18"/>
                <w:szCs w:val="18"/>
                <w:color w:val="auto"/>
                <w:w w:val="93"/>
              </w:rPr>
              <w:t>, beginning</w:t>
            </w:r>
          </w:p>
        </w:tc>
        <w:tc>
          <w:tcPr>
            <w:tcW w:w="580" w:type="dxa"/>
            <w:vAlign w:val="bottom"/>
          </w:tcPr>
          <w:p>
            <w:pPr>
              <w:spacing w:after="0"/>
              <w:rPr>
                <w:sz w:val="20"/>
                <w:szCs w:val="20"/>
                <w:color w:val="auto"/>
              </w:rPr>
            </w:pPr>
          </w:p>
        </w:tc>
        <w:tc>
          <w:tcPr>
            <w:tcW w:w="2060" w:type="dxa"/>
            <w:vAlign w:val="bottom"/>
          </w:tcPr>
          <w:p>
            <w:pPr>
              <w:jc w:val="right"/>
              <w:ind w:right="1190"/>
              <w:spacing w:after="0"/>
              <w:rPr>
                <w:sz w:val="20"/>
                <w:szCs w:val="20"/>
                <w:color w:val="auto"/>
              </w:rPr>
            </w:pPr>
            <w:r>
              <w:rPr>
                <w:rFonts w:ascii="Arial" w:cs="Arial" w:eastAsia="Arial" w:hAnsi="Arial"/>
                <w:sz w:val="18"/>
                <w:szCs w:val="18"/>
                <w:color w:val="auto"/>
              </w:rPr>
              <w:t>, 2021.</w:t>
            </w:r>
          </w:p>
        </w:tc>
      </w:tr>
      <w:tr>
        <w:trPr>
          <w:trHeight w:val="418"/>
        </w:trPr>
        <w:tc>
          <w:tcPr>
            <w:tcW w:w="2840" w:type="dxa"/>
            <w:vAlign w:val="bottom"/>
          </w:tcPr>
          <w:p>
            <w:pPr>
              <w:spacing w:after="0"/>
              <w:rPr>
                <w:sz w:val="24"/>
                <w:szCs w:val="24"/>
                <w:color w:val="auto"/>
              </w:rPr>
            </w:pPr>
          </w:p>
        </w:tc>
        <w:tc>
          <w:tcPr>
            <w:tcW w:w="3780" w:type="dxa"/>
            <w:vAlign w:val="bottom"/>
            <w:gridSpan w:val="2"/>
          </w:tcPr>
          <w:p>
            <w:pPr>
              <w:ind w:left="1200"/>
              <w:spacing w:after="0"/>
              <w:rPr>
                <w:sz w:val="20"/>
                <w:szCs w:val="20"/>
                <w:color w:val="auto"/>
              </w:rPr>
            </w:pPr>
            <w:r>
              <w:rPr>
                <w:rFonts w:ascii="Arial" w:cs="Arial" w:eastAsia="Arial" w:hAnsi="Arial"/>
                <w:sz w:val="18"/>
                <w:szCs w:val="18"/>
                <w:color w:val="auto"/>
                <w:w w:val="89"/>
              </w:rPr>
              <w:t>Interest on the sterling notes due 20</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w w:val="90"/>
              </w:rPr>
              <w:t>will accrue at the rate of</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 per year, payable</w:t>
            </w:r>
          </w:p>
        </w:tc>
      </w:tr>
      <w:tr>
        <w:trPr>
          <w:trHeight w:val="230"/>
        </w:trPr>
        <w:tc>
          <w:tcPr>
            <w:tcW w:w="2840" w:type="dxa"/>
            <w:vAlign w:val="bottom"/>
          </w:tcPr>
          <w:p>
            <w:pPr>
              <w:spacing w:after="0"/>
              <w:rPr>
                <w:sz w:val="20"/>
                <w:szCs w:val="20"/>
                <w:color w:val="auto"/>
              </w:rPr>
            </w:pPr>
          </w:p>
        </w:tc>
        <w:tc>
          <w:tcPr>
            <w:tcW w:w="3780" w:type="dxa"/>
            <w:vAlign w:val="bottom"/>
            <w:gridSpan w:val="2"/>
          </w:tcPr>
          <w:p>
            <w:pPr>
              <w:ind w:left="1200"/>
              <w:spacing w:after="0"/>
              <w:rPr>
                <w:sz w:val="20"/>
                <w:szCs w:val="20"/>
                <w:color w:val="auto"/>
              </w:rPr>
            </w:pPr>
            <w:r>
              <w:rPr>
                <w:rFonts w:ascii="Arial" w:cs="Arial" w:eastAsia="Arial" w:hAnsi="Arial"/>
                <w:sz w:val="18"/>
                <w:szCs w:val="18"/>
                <w:color w:val="auto"/>
              </w:rPr>
              <w:t>annually in cash in arrears on</w:t>
            </w:r>
          </w:p>
        </w:tc>
        <w:tc>
          <w:tcPr>
            <w:tcW w:w="1380" w:type="dxa"/>
            <w:vAlign w:val="bottom"/>
          </w:tcPr>
          <w:p>
            <w:pPr>
              <w:jc w:val="center"/>
              <w:ind w:left="310"/>
              <w:spacing w:after="0"/>
              <w:rPr>
                <w:sz w:val="20"/>
                <w:szCs w:val="20"/>
                <w:color w:val="auto"/>
              </w:rPr>
            </w:pPr>
            <w:r>
              <w:rPr>
                <w:rFonts w:ascii="Arial" w:cs="Arial" w:eastAsia="Arial" w:hAnsi="Arial"/>
                <w:sz w:val="18"/>
                <w:szCs w:val="18"/>
                <w:color w:val="auto"/>
                <w:w w:val="93"/>
              </w:rPr>
              <w:t>, beginning</w:t>
            </w:r>
          </w:p>
        </w:tc>
        <w:tc>
          <w:tcPr>
            <w:tcW w:w="580" w:type="dxa"/>
            <w:vAlign w:val="bottom"/>
          </w:tcPr>
          <w:p>
            <w:pPr>
              <w:spacing w:after="0"/>
              <w:rPr>
                <w:sz w:val="20"/>
                <w:szCs w:val="20"/>
                <w:color w:val="auto"/>
              </w:rPr>
            </w:pPr>
          </w:p>
        </w:tc>
        <w:tc>
          <w:tcPr>
            <w:tcW w:w="2060" w:type="dxa"/>
            <w:vAlign w:val="bottom"/>
          </w:tcPr>
          <w:p>
            <w:pPr>
              <w:jc w:val="right"/>
              <w:ind w:right="1190"/>
              <w:spacing w:after="0"/>
              <w:rPr>
                <w:sz w:val="20"/>
                <w:szCs w:val="20"/>
                <w:color w:val="auto"/>
              </w:rPr>
            </w:pPr>
            <w:r>
              <w:rPr>
                <w:rFonts w:ascii="Arial" w:cs="Arial" w:eastAsia="Arial" w:hAnsi="Arial"/>
                <w:sz w:val="18"/>
                <w:szCs w:val="18"/>
                <w:color w:val="auto"/>
              </w:rPr>
              <w:t>, 2021.</w:t>
            </w:r>
          </w:p>
        </w:tc>
      </w:tr>
      <w:tr>
        <w:trPr>
          <w:trHeight w:val="418"/>
        </w:trPr>
        <w:tc>
          <w:tcPr>
            <w:tcW w:w="2840" w:type="dxa"/>
            <w:vAlign w:val="bottom"/>
          </w:tcPr>
          <w:p>
            <w:pPr>
              <w:spacing w:after="0"/>
              <w:rPr>
                <w:sz w:val="24"/>
                <w:szCs w:val="24"/>
                <w:color w:val="auto"/>
              </w:rPr>
            </w:pPr>
          </w:p>
        </w:tc>
        <w:tc>
          <w:tcPr>
            <w:tcW w:w="3780" w:type="dxa"/>
            <w:vAlign w:val="bottom"/>
            <w:gridSpan w:val="2"/>
          </w:tcPr>
          <w:p>
            <w:pPr>
              <w:ind w:left="1200"/>
              <w:spacing w:after="0"/>
              <w:rPr>
                <w:sz w:val="20"/>
                <w:szCs w:val="20"/>
                <w:color w:val="auto"/>
              </w:rPr>
            </w:pPr>
            <w:r>
              <w:rPr>
                <w:rFonts w:ascii="Arial" w:cs="Arial" w:eastAsia="Arial" w:hAnsi="Arial"/>
                <w:sz w:val="18"/>
                <w:szCs w:val="18"/>
                <w:color w:val="auto"/>
                <w:w w:val="89"/>
              </w:rPr>
              <w:t>Interest on the sterling notes due 20</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w w:val="90"/>
              </w:rPr>
              <w:t>will accrue at the rate of</w:t>
            </w: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 per year, payable</w:t>
            </w:r>
          </w:p>
        </w:tc>
      </w:tr>
      <w:tr>
        <w:trPr>
          <w:trHeight w:val="230"/>
        </w:trPr>
        <w:tc>
          <w:tcPr>
            <w:tcW w:w="2840" w:type="dxa"/>
            <w:vAlign w:val="bottom"/>
          </w:tcPr>
          <w:p>
            <w:pPr>
              <w:spacing w:after="0"/>
              <w:rPr>
                <w:sz w:val="20"/>
                <w:szCs w:val="20"/>
                <w:color w:val="auto"/>
              </w:rPr>
            </w:pPr>
          </w:p>
        </w:tc>
        <w:tc>
          <w:tcPr>
            <w:tcW w:w="3780" w:type="dxa"/>
            <w:vAlign w:val="bottom"/>
            <w:gridSpan w:val="2"/>
          </w:tcPr>
          <w:p>
            <w:pPr>
              <w:ind w:left="1200"/>
              <w:spacing w:after="0"/>
              <w:rPr>
                <w:sz w:val="20"/>
                <w:szCs w:val="20"/>
                <w:color w:val="auto"/>
              </w:rPr>
            </w:pPr>
            <w:r>
              <w:rPr>
                <w:rFonts w:ascii="Arial" w:cs="Arial" w:eastAsia="Arial" w:hAnsi="Arial"/>
                <w:sz w:val="18"/>
                <w:szCs w:val="18"/>
                <w:color w:val="auto"/>
              </w:rPr>
              <w:t>annually in cash in arrears on</w:t>
            </w:r>
          </w:p>
        </w:tc>
        <w:tc>
          <w:tcPr>
            <w:tcW w:w="1380" w:type="dxa"/>
            <w:vAlign w:val="bottom"/>
          </w:tcPr>
          <w:p>
            <w:pPr>
              <w:jc w:val="center"/>
              <w:ind w:left="310"/>
              <w:spacing w:after="0"/>
              <w:rPr>
                <w:sz w:val="20"/>
                <w:szCs w:val="20"/>
                <w:color w:val="auto"/>
              </w:rPr>
            </w:pPr>
            <w:r>
              <w:rPr>
                <w:rFonts w:ascii="Arial" w:cs="Arial" w:eastAsia="Arial" w:hAnsi="Arial"/>
                <w:sz w:val="18"/>
                <w:szCs w:val="18"/>
                <w:color w:val="auto"/>
                <w:w w:val="93"/>
              </w:rPr>
              <w:t>, beginning</w:t>
            </w:r>
          </w:p>
        </w:tc>
        <w:tc>
          <w:tcPr>
            <w:tcW w:w="580" w:type="dxa"/>
            <w:vAlign w:val="bottom"/>
          </w:tcPr>
          <w:p>
            <w:pPr>
              <w:spacing w:after="0"/>
              <w:rPr>
                <w:sz w:val="20"/>
                <w:szCs w:val="20"/>
                <w:color w:val="auto"/>
              </w:rPr>
            </w:pPr>
          </w:p>
        </w:tc>
        <w:tc>
          <w:tcPr>
            <w:tcW w:w="2060" w:type="dxa"/>
            <w:vAlign w:val="bottom"/>
          </w:tcPr>
          <w:p>
            <w:pPr>
              <w:jc w:val="right"/>
              <w:ind w:right="1190"/>
              <w:spacing w:after="0"/>
              <w:rPr>
                <w:sz w:val="20"/>
                <w:szCs w:val="20"/>
                <w:color w:val="auto"/>
              </w:rPr>
            </w:pPr>
            <w:r>
              <w:rPr>
                <w:rFonts w:ascii="Arial" w:cs="Arial" w:eastAsia="Arial" w:hAnsi="Arial"/>
                <w:sz w:val="18"/>
                <w:szCs w:val="18"/>
                <w:color w:val="auto"/>
              </w:rPr>
              <w:t>, 2021.</w:t>
            </w:r>
          </w:p>
        </w:tc>
      </w:tr>
      <w:tr>
        <w:trPr>
          <w:trHeight w:val="418"/>
        </w:trPr>
        <w:tc>
          <w:tcPr>
            <w:tcW w:w="2840" w:type="dxa"/>
            <w:vAlign w:val="bottom"/>
          </w:tcPr>
          <w:p>
            <w:pPr>
              <w:spacing w:after="0"/>
              <w:rPr>
                <w:sz w:val="20"/>
                <w:szCs w:val="20"/>
                <w:color w:val="auto"/>
              </w:rPr>
            </w:pPr>
            <w:r>
              <w:rPr>
                <w:rFonts w:ascii="Arial" w:cs="Arial" w:eastAsia="Arial" w:hAnsi="Arial"/>
                <w:sz w:val="18"/>
                <w:szCs w:val="18"/>
                <w:color w:val="auto"/>
              </w:rPr>
              <w:t>Currency of Payments</w:t>
            </w:r>
          </w:p>
        </w:tc>
        <w:tc>
          <w:tcPr>
            <w:tcW w:w="7800" w:type="dxa"/>
            <w:vAlign w:val="bottom"/>
            <w:gridSpan w:val="5"/>
          </w:tcPr>
          <w:p>
            <w:pPr>
              <w:ind w:left="1200"/>
              <w:spacing w:after="0"/>
              <w:rPr>
                <w:sz w:val="20"/>
                <w:szCs w:val="20"/>
                <w:color w:val="auto"/>
              </w:rPr>
            </w:pPr>
            <w:r>
              <w:rPr>
                <w:rFonts w:ascii="Arial" w:cs="Arial" w:eastAsia="Arial" w:hAnsi="Arial"/>
                <w:sz w:val="18"/>
                <w:szCs w:val="18"/>
                <w:color w:val="auto"/>
                <w:w w:val="91"/>
              </w:rPr>
              <w:t>All payments of principal of, and premium, if any, and interest on, the euro notes, including</w:t>
            </w:r>
          </w:p>
        </w:tc>
      </w:tr>
      <w:tr>
        <w:trPr>
          <w:trHeight w:val="216"/>
        </w:trPr>
        <w:tc>
          <w:tcPr>
            <w:tcW w:w="2840" w:type="dxa"/>
            <w:vAlign w:val="bottom"/>
          </w:tcPr>
          <w:p>
            <w:pPr>
              <w:spacing w:after="0"/>
              <w:rPr>
                <w:sz w:val="18"/>
                <w:szCs w:val="18"/>
                <w:color w:val="auto"/>
              </w:rPr>
            </w:pPr>
          </w:p>
        </w:tc>
        <w:tc>
          <w:tcPr>
            <w:tcW w:w="7800" w:type="dxa"/>
            <w:vAlign w:val="bottom"/>
            <w:gridSpan w:val="5"/>
          </w:tcPr>
          <w:p>
            <w:pPr>
              <w:ind w:left="1200"/>
              <w:spacing w:after="0"/>
              <w:rPr>
                <w:sz w:val="20"/>
                <w:szCs w:val="20"/>
                <w:color w:val="auto"/>
              </w:rPr>
            </w:pPr>
            <w:r>
              <w:rPr>
                <w:rFonts w:ascii="Arial" w:cs="Arial" w:eastAsia="Arial" w:hAnsi="Arial"/>
                <w:sz w:val="18"/>
                <w:szCs w:val="18"/>
                <w:color w:val="auto"/>
                <w:w w:val="91"/>
              </w:rPr>
              <w:t>any payments made upon any redemption or repurchase of the euro notes, will be made in</w:t>
            </w:r>
          </w:p>
        </w:tc>
      </w:tr>
      <w:tr>
        <w:trPr>
          <w:trHeight w:val="216"/>
        </w:trPr>
        <w:tc>
          <w:tcPr>
            <w:tcW w:w="2840" w:type="dxa"/>
            <w:vAlign w:val="bottom"/>
          </w:tcPr>
          <w:p>
            <w:pPr>
              <w:spacing w:after="0"/>
              <w:rPr>
                <w:sz w:val="18"/>
                <w:szCs w:val="18"/>
                <w:color w:val="auto"/>
              </w:rPr>
            </w:pPr>
          </w:p>
        </w:tc>
        <w:tc>
          <w:tcPr>
            <w:tcW w:w="7800" w:type="dxa"/>
            <w:vAlign w:val="bottom"/>
            <w:gridSpan w:val="5"/>
          </w:tcPr>
          <w:p>
            <w:pPr>
              <w:ind w:left="1200"/>
              <w:spacing w:after="0"/>
              <w:rPr>
                <w:sz w:val="20"/>
                <w:szCs w:val="20"/>
                <w:color w:val="auto"/>
              </w:rPr>
            </w:pPr>
            <w:r>
              <w:rPr>
                <w:rFonts w:ascii="Arial" w:cs="Arial" w:eastAsia="Arial" w:hAnsi="Arial"/>
                <w:sz w:val="18"/>
                <w:szCs w:val="18"/>
                <w:color w:val="auto"/>
                <w:w w:val="92"/>
              </w:rPr>
              <w:t>euro. All payments of principal of, and premium, if any, and interest on, the sterling notes,</w:t>
            </w:r>
          </w:p>
        </w:tc>
      </w:tr>
      <w:tr>
        <w:trPr>
          <w:trHeight w:val="216"/>
        </w:trPr>
        <w:tc>
          <w:tcPr>
            <w:tcW w:w="2840" w:type="dxa"/>
            <w:vAlign w:val="bottom"/>
          </w:tcPr>
          <w:p>
            <w:pPr>
              <w:spacing w:after="0"/>
              <w:rPr>
                <w:sz w:val="18"/>
                <w:szCs w:val="18"/>
                <w:color w:val="auto"/>
              </w:rPr>
            </w:pPr>
          </w:p>
        </w:tc>
        <w:tc>
          <w:tcPr>
            <w:tcW w:w="7800" w:type="dxa"/>
            <w:vAlign w:val="bottom"/>
            <w:gridSpan w:val="5"/>
          </w:tcPr>
          <w:p>
            <w:pPr>
              <w:ind w:left="1200"/>
              <w:spacing w:after="0"/>
              <w:rPr>
                <w:sz w:val="20"/>
                <w:szCs w:val="20"/>
                <w:color w:val="auto"/>
              </w:rPr>
            </w:pPr>
            <w:r>
              <w:rPr>
                <w:rFonts w:ascii="Arial" w:cs="Arial" w:eastAsia="Arial" w:hAnsi="Arial"/>
                <w:sz w:val="18"/>
                <w:szCs w:val="18"/>
                <w:color w:val="auto"/>
                <w:w w:val="90"/>
              </w:rPr>
              <w:t>including any payments made upon any redemption or repurchase of the sterling notes, will</w:t>
            </w:r>
          </w:p>
        </w:tc>
      </w:tr>
      <w:tr>
        <w:trPr>
          <w:trHeight w:val="230"/>
        </w:trPr>
        <w:tc>
          <w:tcPr>
            <w:tcW w:w="2840" w:type="dxa"/>
            <w:vAlign w:val="bottom"/>
          </w:tcPr>
          <w:p>
            <w:pPr>
              <w:spacing w:after="0"/>
              <w:rPr>
                <w:sz w:val="20"/>
                <w:szCs w:val="20"/>
                <w:color w:val="auto"/>
              </w:rPr>
            </w:pPr>
          </w:p>
        </w:tc>
        <w:tc>
          <w:tcPr>
            <w:tcW w:w="3140" w:type="dxa"/>
            <w:vAlign w:val="bottom"/>
          </w:tcPr>
          <w:p>
            <w:pPr>
              <w:ind w:left="1200"/>
              <w:spacing w:after="0"/>
              <w:rPr>
                <w:sz w:val="20"/>
                <w:szCs w:val="20"/>
                <w:color w:val="auto"/>
              </w:rPr>
            </w:pPr>
            <w:r>
              <w:rPr>
                <w:rFonts w:ascii="Arial" w:cs="Arial" w:eastAsia="Arial" w:hAnsi="Arial"/>
                <w:sz w:val="18"/>
                <w:szCs w:val="18"/>
                <w:color w:val="auto"/>
              </w:rPr>
              <w:t>be made in GBP.</w:t>
            </w:r>
          </w:p>
        </w:tc>
        <w:tc>
          <w:tcPr>
            <w:tcW w:w="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2" w:lineRule="exact"/>
        <w:rPr>
          <w:sz w:val="20"/>
          <w:szCs w:val="20"/>
          <w:color w:val="auto"/>
        </w:rPr>
      </w:pPr>
    </w:p>
    <w:p>
      <w:pPr>
        <w:ind w:left="4420" w:right="360"/>
        <w:spacing w:after="0" w:line="277" w:lineRule="auto"/>
        <w:rPr>
          <w:sz w:val="20"/>
          <w:szCs w:val="20"/>
          <w:color w:val="auto"/>
        </w:rPr>
      </w:pPr>
      <w:r>
        <w:rPr>
          <w:rFonts w:ascii="Arial" w:cs="Arial" w:eastAsia="Arial" w:hAnsi="Arial"/>
          <w:sz w:val="18"/>
          <w:szCs w:val="18"/>
          <w:color w:val="auto"/>
        </w:rPr>
        <w:t>If euro or GBP is unavailable to us due to the imposition of exchange controls or other circumstances beyond our control or is no longer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26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used for the settlement of transactions by public institutions within the international</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7"/>
              </w:rPr>
              <w:t>banking community or, with respect to the euro notes, the euro is no longer used by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3"/>
              </w:rPr>
              <w:t>then member states of the European Economic and Monetary Union that have adopted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3"/>
              </w:rPr>
              <w:t>euro as their currency, then all payments in respect of the applicable series of notes will be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8"/>
              </w:rPr>
              <w:t>made in U.S. dollars until the euro or GBP, as applicable, is again available to us or so</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8"/>
              </w:rPr>
              <w:t>used. See “Description of the Notes—Euro Notes—Issuance in Euro; Sterling Notes—</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Issuance in GBP.”</w:t>
            </w:r>
          </w:p>
        </w:tc>
      </w:tr>
      <w:tr>
        <w:trPr>
          <w:trHeight w:val="431"/>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unsecured and unsubordinated indebtedness.</w:t>
            </w:r>
          </w:p>
        </w:tc>
      </w:tr>
      <w:tr>
        <w:trPr>
          <w:trHeight w:val="432"/>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Guarantors</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Comcast Cable and NBCUniversal.</w:t>
            </w:r>
          </w:p>
        </w:tc>
      </w:tr>
      <w:tr>
        <w:trPr>
          <w:trHeight w:val="431"/>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Guarantees</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4"/>
              </w:rPr>
              <w:t>The guarantors will fully and unconditionally guarantee the notes, including the payment of</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9"/>
              </w:rPr>
              <w:t>principal, premium, if any, and interest. The guarantees will rank equally with all other</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general unsecured and unsubordinated obligations of the guarantors.</w:t>
            </w:r>
          </w:p>
        </w:tc>
      </w:tr>
      <w:tr>
        <w:trPr>
          <w:trHeight w:val="418"/>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6"/>
              </w:rPr>
              <w:t>We may, at our option, redeem any series of notes, in whole or in part, at any time at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4"/>
              </w:rPr>
              <w:t>applicable Redemption Price determined as set forth under the heading “Description of the</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Notes—Optional Redemption.”</w:t>
            </w:r>
          </w:p>
        </w:tc>
      </w:tr>
      <w:tr>
        <w:trPr>
          <w:trHeight w:val="418"/>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Redemption for Tax Reasons</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5"/>
              </w:rPr>
              <w:t>We may, at our option, redeem any series of notes, in whole but not in part, if the tax laws</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5"/>
              </w:rPr>
              <w:t>of the United States (or any taxing authority in the United States) change and we become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7"/>
              </w:rPr>
              <w:t>obligated to pay additional amounts on the notes as described under “Description of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Notes—Payment of Additional Amounts.” This redemption would be at 100% of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5"/>
              </w:rPr>
              <w:t>principal amount, together with accrued and unpaid interest on the notes to the date fixed</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for redemption. See “Description of the Notes—Redemption for Tax Reasons.”</w:t>
            </w:r>
          </w:p>
        </w:tc>
      </w:tr>
      <w:tr>
        <w:trPr>
          <w:trHeight w:val="418"/>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Additional Amounts</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We will, subject to certain exceptions and limitations set forth herein, pay additional</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4"/>
              </w:rPr>
              <w:t>amounts on the notes as are necessary in order that the net payment by us of the principal</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3"/>
              </w:rPr>
              <w:t>of and interest on the notes to a holder who is not a United States person, after withholding</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or deduction for any present or future tax, assessment or other governmental charge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3"/>
              </w:rPr>
              <w:t>imposed by the United States or a taxing authority in the United States will not be less than</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2"/>
              </w:rPr>
              <w:t>the amount provided in the notes to be then due and payable. See “Description of the Notes</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—Payment of Additional Amounts.”</w:t>
            </w:r>
          </w:p>
        </w:tc>
      </w:tr>
      <w:tr>
        <w:trPr>
          <w:trHeight w:val="418"/>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4"/>
              </w:rPr>
              <w:t>We intend to use the net proceeds from the offering, after deducting underwriters’ discount</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and expenses, entirely for the refinancing of debt, including Sky’s floating rate notes,</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8"/>
              </w:rPr>
              <w:t>which bear interest at a rate equal to 3 month EURIBOR plus 0.75%, due April 1, 2020</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(€600 million principal amount outstanding as of the date hereof) and other debt.</w:t>
            </w:r>
          </w:p>
        </w:tc>
      </w:tr>
      <w:tr>
        <w:trPr>
          <w:trHeight w:val="418"/>
        </w:trPr>
        <w:tc>
          <w:tcPr>
            <w:tcW w:w="32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Denominations</w:t>
            </w: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w w:val="94"/>
              </w:rPr>
              <w:t>We will issue the euro notes in minimum denominations of €100,000 and integral multiples</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of €1,000 in excess thereof, and we will issue</w:t>
            </w:r>
          </w:p>
        </w:tc>
      </w:tr>
      <w:tr>
        <w:trPr>
          <w:trHeight w:val="240"/>
        </w:trPr>
        <w:tc>
          <w:tcPr>
            <w:tcW w:w="3260" w:type="dxa"/>
            <w:vAlign w:val="bottom"/>
            <w:tcBorders>
              <w:left w:val="single" w:sz="8" w:color="auto"/>
              <w:bottom w:val="single" w:sz="8" w:color="auto"/>
            </w:tcBorders>
          </w:tcPr>
          <w:p>
            <w:pPr>
              <w:spacing w:after="0"/>
              <w:rPr>
                <w:sz w:val="20"/>
                <w:szCs w:val="20"/>
                <w:color w:val="auto"/>
              </w:rPr>
            </w:pPr>
          </w:p>
        </w:tc>
        <w:tc>
          <w:tcPr>
            <w:tcW w:w="7780" w:type="dxa"/>
            <w:vAlign w:val="bottom"/>
            <w:tcBorders>
              <w:bottom w:val="single" w:sz="8" w:color="auto"/>
              <w:right w:val="single" w:sz="8" w:color="auto"/>
            </w:tcBorders>
          </w:tcPr>
          <w:p>
            <w:pPr>
              <w:spacing w:after="0"/>
              <w:rPr>
                <w:sz w:val="20"/>
                <w:szCs w:val="20"/>
                <w:color w:val="auto"/>
              </w:rPr>
            </w:pPr>
          </w:p>
        </w:tc>
      </w:tr>
      <w:tr>
        <w:trPr>
          <w:trHeight w:val="604"/>
        </w:trPr>
        <w:tc>
          <w:tcPr>
            <w:tcW w:w="3260" w:type="dxa"/>
            <w:vAlign w:val="bottom"/>
          </w:tcPr>
          <w:p>
            <w:pPr>
              <w:spacing w:after="0"/>
              <w:rPr>
                <w:sz w:val="24"/>
                <w:szCs w:val="24"/>
                <w:color w:val="auto"/>
              </w:rPr>
            </w:pPr>
          </w:p>
        </w:tc>
        <w:tc>
          <w:tcPr>
            <w:tcW w:w="7780" w:type="dxa"/>
            <w:vAlign w:val="bottom"/>
          </w:tcPr>
          <w:p>
            <w:pPr>
              <w:ind w:left="212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320" w:type="dxa"/>
            <w:vAlign w:val="bottom"/>
            <w:tcBorders>
              <w:top w:val="single" w:sz="8" w:color="auto"/>
              <w:left w:val="single" w:sz="8" w:color="auto"/>
            </w:tcBorders>
          </w:tcPr>
          <w:p>
            <w:pPr>
              <w:spacing w:after="0"/>
              <w:rPr>
                <w:sz w:val="24"/>
                <w:szCs w:val="24"/>
                <w:color w:val="auto"/>
              </w:rPr>
            </w:pPr>
          </w:p>
        </w:tc>
        <w:tc>
          <w:tcPr>
            <w:tcW w:w="7720" w:type="dxa"/>
            <w:vAlign w:val="bottom"/>
            <w:tcBorders>
              <w:top w:val="single" w:sz="8" w:color="auto"/>
              <w:right w:val="single" w:sz="8" w:color="auto"/>
            </w:tcBorders>
            <w:gridSpan w:val="3"/>
          </w:tcPr>
          <w:p>
            <w:pPr>
              <w:ind w:left="900"/>
              <w:spacing w:after="0"/>
              <w:rPr>
                <w:sz w:val="20"/>
                <w:szCs w:val="20"/>
                <w:color w:val="auto"/>
              </w:rPr>
            </w:pPr>
            <w:r>
              <w:rPr>
                <w:rFonts w:ascii="Arial" w:cs="Arial" w:eastAsia="Arial" w:hAnsi="Arial"/>
                <w:sz w:val="18"/>
                <w:szCs w:val="18"/>
                <w:color w:val="auto"/>
                <w:w w:val="95"/>
              </w:rPr>
              <w:t>the sterling notes in minimum denominations of £100,000 and integral multiples of £1,000</w:t>
            </w:r>
          </w:p>
        </w:tc>
      </w:tr>
      <w:tr>
        <w:trPr>
          <w:trHeight w:val="230"/>
        </w:trPr>
        <w:tc>
          <w:tcPr>
            <w:tcW w:w="3320" w:type="dxa"/>
            <w:vAlign w:val="bottom"/>
            <w:tcBorders>
              <w:left w:val="single" w:sz="8" w:color="auto"/>
            </w:tcBorders>
          </w:tcPr>
          <w:p>
            <w:pPr>
              <w:spacing w:after="0"/>
              <w:rPr>
                <w:sz w:val="20"/>
                <w:szCs w:val="20"/>
                <w:color w:val="auto"/>
              </w:rPr>
            </w:pPr>
          </w:p>
        </w:tc>
        <w:tc>
          <w:tcPr>
            <w:tcW w:w="2380" w:type="dxa"/>
            <w:vAlign w:val="bottom"/>
          </w:tcPr>
          <w:p>
            <w:pPr>
              <w:ind w:left="900"/>
              <w:spacing w:after="0"/>
              <w:rPr>
                <w:sz w:val="20"/>
                <w:szCs w:val="20"/>
                <w:color w:val="auto"/>
              </w:rPr>
            </w:pPr>
            <w:r>
              <w:rPr>
                <w:rFonts w:ascii="Arial" w:cs="Arial" w:eastAsia="Arial" w:hAnsi="Arial"/>
                <w:sz w:val="18"/>
                <w:szCs w:val="18"/>
                <w:color w:val="auto"/>
              </w:rPr>
              <w:t>in excess thereof.</w:t>
            </w:r>
          </w:p>
        </w:tc>
        <w:tc>
          <w:tcPr>
            <w:tcW w:w="840" w:type="dxa"/>
            <w:vAlign w:val="bottom"/>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p>
        </w:tc>
      </w:tr>
      <w:tr>
        <w:trPr>
          <w:trHeight w:val="431"/>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Book-Entry</w:t>
            </w:r>
          </w:p>
        </w:tc>
        <w:tc>
          <w:tcPr>
            <w:tcW w:w="77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The notes will be issued in book-entry form and will be represented by global notes</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2"/>
              </w:rPr>
              <w:t>deposited with a common depositary on behalf of Euroclear and Clearstream and registered</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8"/>
              </w:rPr>
              <w:t>in the name of the common depositary or its nominee. Beneficial interests in any of the</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5"/>
              </w:rPr>
              <w:t>notes will be shown on, and transfers will be effected only through, records maintained by</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3"/>
              </w:rPr>
              <w:t>Euroclear and Clearstream and their participants, and these beneficial interests may not be</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5"/>
              </w:rPr>
              <w:t>exchanged for certificated notes, except in limited circumstances. See “Description of the</w:t>
            </w:r>
          </w:p>
        </w:tc>
      </w:tr>
      <w:tr>
        <w:trPr>
          <w:trHeight w:val="230"/>
        </w:trPr>
        <w:tc>
          <w:tcPr>
            <w:tcW w:w="332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Notes—Book-Entry System” in this prospectus supplement.</w:t>
            </w:r>
          </w:p>
        </w:tc>
      </w:tr>
      <w:tr>
        <w:trPr>
          <w:trHeight w:val="432"/>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 and Registrar</w:t>
            </w:r>
          </w:p>
        </w:tc>
        <w:tc>
          <w:tcPr>
            <w:tcW w:w="3220" w:type="dxa"/>
            <w:vAlign w:val="bottom"/>
            <w:gridSpan w:val="2"/>
          </w:tcPr>
          <w:p>
            <w:pPr>
              <w:ind w:left="900"/>
              <w:spacing w:after="0"/>
              <w:rPr>
                <w:sz w:val="20"/>
                <w:szCs w:val="20"/>
                <w:color w:val="auto"/>
              </w:rPr>
            </w:pPr>
            <w:r>
              <w:rPr>
                <w:rFonts w:ascii="Arial" w:cs="Arial" w:eastAsia="Arial" w:hAnsi="Arial"/>
                <w:sz w:val="18"/>
                <w:szCs w:val="18"/>
                <w:color w:val="auto"/>
                <w:w w:val="94"/>
              </w:rPr>
              <w:t>The Bank of New York Mellon.</w:t>
            </w:r>
          </w:p>
        </w:tc>
        <w:tc>
          <w:tcPr>
            <w:tcW w:w="4500" w:type="dxa"/>
            <w:vAlign w:val="bottom"/>
            <w:tcBorders>
              <w:right w:val="single" w:sz="8" w:color="auto"/>
            </w:tcBorders>
          </w:tcPr>
          <w:p>
            <w:pPr>
              <w:spacing w:after="0"/>
              <w:rPr>
                <w:sz w:val="24"/>
                <w:szCs w:val="24"/>
                <w:color w:val="auto"/>
              </w:rPr>
            </w:pPr>
          </w:p>
        </w:tc>
      </w:tr>
      <w:tr>
        <w:trPr>
          <w:trHeight w:val="446"/>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Paying Agent</w:t>
            </w:r>
          </w:p>
        </w:tc>
        <w:tc>
          <w:tcPr>
            <w:tcW w:w="77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The Bank of New York Mellon, London Branch.</w:t>
            </w:r>
          </w:p>
        </w:tc>
      </w:tr>
      <w:tr>
        <w:trPr>
          <w:trHeight w:val="431"/>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 and Trading</w:t>
            </w:r>
          </w:p>
        </w:tc>
        <w:tc>
          <w:tcPr>
            <w:tcW w:w="77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8"/>
              </w:rPr>
              <w:t>We intend to apply to list each series of the notes on NASDAQ. The listing applications</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will be subject to approval by NASDAQ. If such listings are obtained, we have no</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3"/>
              </w:rPr>
              <w:t>obligation to maintain such listings for any series of the notes and we may delist any series</w:t>
            </w:r>
          </w:p>
        </w:tc>
      </w:tr>
      <w:tr>
        <w:trPr>
          <w:trHeight w:val="216"/>
        </w:trPr>
        <w:tc>
          <w:tcPr>
            <w:tcW w:w="33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w w:val="98"/>
              </w:rPr>
              <w:t>of the notes at any time. We currently expect trading in the notes on NASDAQ to begin</w:t>
            </w:r>
          </w:p>
        </w:tc>
      </w:tr>
      <w:tr>
        <w:trPr>
          <w:trHeight w:val="230"/>
        </w:trPr>
        <w:tc>
          <w:tcPr>
            <w:tcW w:w="332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gridSpan w:val="3"/>
          </w:tcPr>
          <w:p>
            <w:pPr>
              <w:ind w:left="900"/>
              <w:spacing w:after="0"/>
              <w:rPr>
                <w:sz w:val="20"/>
                <w:szCs w:val="20"/>
                <w:color w:val="auto"/>
              </w:rPr>
            </w:pPr>
            <w:r>
              <w:rPr>
                <w:rFonts w:ascii="Arial" w:cs="Arial" w:eastAsia="Arial" w:hAnsi="Arial"/>
                <w:sz w:val="18"/>
                <w:szCs w:val="18"/>
                <w:color w:val="auto"/>
              </w:rPr>
              <w:t>within 30 days after the original issue date.</w:t>
            </w:r>
          </w:p>
        </w:tc>
      </w:tr>
      <w:tr>
        <w:trPr>
          <w:trHeight w:val="432"/>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Code / CUSIP / ISIN</w:t>
            </w:r>
          </w:p>
        </w:tc>
        <w:tc>
          <w:tcPr>
            <w:tcW w:w="2380" w:type="dxa"/>
            <w:vAlign w:val="bottom"/>
          </w:tcPr>
          <w:p>
            <w:pPr>
              <w:ind w:left="16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 euro notes due 20</w:t>
            </w:r>
          </w:p>
        </w:tc>
      </w:tr>
      <w:tr>
        <w:trPr>
          <w:trHeight w:val="446"/>
        </w:trPr>
        <w:tc>
          <w:tcPr>
            <w:tcW w:w="3320" w:type="dxa"/>
            <w:vAlign w:val="bottom"/>
            <w:tcBorders>
              <w:left w:val="single" w:sz="8" w:color="auto"/>
            </w:tcBorders>
          </w:tcPr>
          <w:p>
            <w:pPr>
              <w:spacing w:after="0"/>
              <w:rPr>
                <w:sz w:val="24"/>
                <w:szCs w:val="24"/>
                <w:color w:val="auto"/>
              </w:rPr>
            </w:pPr>
          </w:p>
        </w:tc>
        <w:tc>
          <w:tcPr>
            <w:tcW w:w="2380" w:type="dxa"/>
            <w:vAlign w:val="bottom"/>
          </w:tcPr>
          <w:p>
            <w:pPr>
              <w:ind w:left="16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 euro notes due 20</w:t>
            </w:r>
          </w:p>
        </w:tc>
      </w:tr>
      <w:tr>
        <w:trPr>
          <w:trHeight w:val="432"/>
        </w:trPr>
        <w:tc>
          <w:tcPr>
            <w:tcW w:w="3320" w:type="dxa"/>
            <w:vAlign w:val="bottom"/>
            <w:tcBorders>
              <w:left w:val="single" w:sz="8" w:color="auto"/>
            </w:tcBorders>
          </w:tcPr>
          <w:p>
            <w:pPr>
              <w:spacing w:after="0"/>
              <w:rPr>
                <w:sz w:val="24"/>
                <w:szCs w:val="24"/>
                <w:color w:val="auto"/>
              </w:rPr>
            </w:pPr>
          </w:p>
        </w:tc>
        <w:tc>
          <w:tcPr>
            <w:tcW w:w="2380" w:type="dxa"/>
            <w:vAlign w:val="bottom"/>
          </w:tcPr>
          <w:p>
            <w:pPr>
              <w:ind w:left="16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 euro notes due 20</w:t>
            </w:r>
          </w:p>
        </w:tc>
      </w:tr>
      <w:tr>
        <w:trPr>
          <w:trHeight w:val="432"/>
        </w:trPr>
        <w:tc>
          <w:tcPr>
            <w:tcW w:w="3320" w:type="dxa"/>
            <w:vAlign w:val="bottom"/>
            <w:tcBorders>
              <w:left w:val="single" w:sz="8" w:color="auto"/>
            </w:tcBorders>
          </w:tcPr>
          <w:p>
            <w:pPr>
              <w:spacing w:after="0"/>
              <w:rPr>
                <w:sz w:val="24"/>
                <w:szCs w:val="24"/>
                <w:color w:val="auto"/>
              </w:rPr>
            </w:pPr>
          </w:p>
        </w:tc>
        <w:tc>
          <w:tcPr>
            <w:tcW w:w="2380" w:type="dxa"/>
            <w:vAlign w:val="bottom"/>
          </w:tcPr>
          <w:p>
            <w:pPr>
              <w:ind w:left="16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 sterling notes due 20</w:t>
            </w:r>
          </w:p>
        </w:tc>
      </w:tr>
      <w:tr>
        <w:trPr>
          <w:trHeight w:val="432"/>
        </w:trPr>
        <w:tc>
          <w:tcPr>
            <w:tcW w:w="3320" w:type="dxa"/>
            <w:vAlign w:val="bottom"/>
            <w:tcBorders>
              <w:left w:val="single" w:sz="8" w:color="auto"/>
            </w:tcBorders>
          </w:tcPr>
          <w:p>
            <w:pPr>
              <w:spacing w:after="0"/>
              <w:rPr>
                <w:sz w:val="24"/>
                <w:szCs w:val="24"/>
                <w:color w:val="auto"/>
              </w:rPr>
            </w:pPr>
          </w:p>
        </w:tc>
        <w:tc>
          <w:tcPr>
            <w:tcW w:w="2380" w:type="dxa"/>
            <w:vAlign w:val="bottom"/>
          </w:tcPr>
          <w:p>
            <w:pPr>
              <w:ind w:left="16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 sterling notes due 20</w:t>
            </w:r>
          </w:p>
        </w:tc>
      </w:tr>
      <w:tr>
        <w:trPr>
          <w:trHeight w:val="240"/>
        </w:trPr>
        <w:tc>
          <w:tcPr>
            <w:tcW w:w="3320" w:type="dxa"/>
            <w:vAlign w:val="bottom"/>
            <w:tcBorders>
              <w:left w:val="single" w:sz="8" w:color="auto"/>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p>
        </w:tc>
      </w:tr>
      <w:tr>
        <w:trPr>
          <w:trHeight w:val="604"/>
        </w:trPr>
        <w:tc>
          <w:tcPr>
            <w:tcW w:w="3320" w:type="dxa"/>
            <w:vAlign w:val="bottom"/>
          </w:tcPr>
          <w:p>
            <w:pPr>
              <w:spacing w:after="0"/>
              <w:rPr>
                <w:sz w:val="24"/>
                <w:szCs w:val="24"/>
                <w:color w:val="auto"/>
              </w:rPr>
            </w:pPr>
          </w:p>
        </w:tc>
        <w:tc>
          <w:tcPr>
            <w:tcW w:w="2380" w:type="dxa"/>
            <w:vAlign w:val="bottom"/>
          </w:tcPr>
          <w:p>
            <w:pPr>
              <w:ind w:left="2060"/>
              <w:spacing w:after="0"/>
              <w:rPr>
                <w:sz w:val="20"/>
                <w:szCs w:val="20"/>
                <w:color w:val="auto"/>
              </w:rPr>
            </w:pPr>
            <w:r>
              <w:rPr>
                <w:rFonts w:ascii="Arial" w:cs="Arial" w:eastAsia="Arial" w:hAnsi="Arial"/>
                <w:sz w:val="18"/>
                <w:szCs w:val="18"/>
                <w:color w:val="auto"/>
              </w:rPr>
              <w:t>S-5</w:t>
            </w:r>
          </w:p>
        </w:tc>
        <w:tc>
          <w:tcPr>
            <w:tcW w:w="840" w:type="dxa"/>
            <w:vAlign w:val="bottom"/>
          </w:tcPr>
          <w:p>
            <w:pPr>
              <w:spacing w:after="0"/>
              <w:rPr>
                <w:sz w:val="24"/>
                <w:szCs w:val="24"/>
                <w:color w:val="auto"/>
              </w:rPr>
            </w:pPr>
          </w:p>
        </w:tc>
        <w:tc>
          <w:tcPr>
            <w:tcW w:w="45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i w:val="1"/>
          <w:iCs w:val="1"/>
          <w:color w:val="auto"/>
        </w:rPr>
        <w:t>An investment in the notes involves risks. Before deciding whether to purchase the notes, you should consider the risks discussed below or elsewhere in this prospectus supplement, including those set forth in our filings with the SEC that we have incorporated by reference in this prospectus supplement and the accompanying prospectus. Additional risks and uncertainties not presently known to us or that we currently believe to be immaterial may also impair our business operations.</w:t>
      </w:r>
    </w:p>
    <w:p>
      <w:pPr>
        <w:spacing w:after="0" w:line="146" w:lineRule="exact"/>
        <w:rPr>
          <w:sz w:val="20"/>
          <w:szCs w:val="20"/>
          <w:color w:val="auto"/>
        </w:rPr>
      </w:pPr>
    </w:p>
    <w:p>
      <w:pPr>
        <w:ind w:left="200" w:right="300"/>
        <w:spacing w:after="0" w:line="279" w:lineRule="auto"/>
        <w:rPr>
          <w:sz w:val="20"/>
          <w:szCs w:val="20"/>
          <w:color w:val="auto"/>
        </w:rPr>
      </w:pPr>
      <w:r>
        <w:rPr>
          <w:rFonts w:ascii="Arial" w:cs="Arial" w:eastAsia="Arial" w:hAnsi="Arial"/>
          <w:sz w:val="17"/>
          <w:szCs w:val="17"/>
          <w:i w:val="1"/>
          <w:iCs w:val="1"/>
          <w:color w:val="auto"/>
        </w:rPr>
        <w:t>Any of the risks discussed below or elsewhere in this prospectus supplement or in our SEC filings incorporated by reference in this prospectus supplement and the accompanying prospectus, and other risks we have not anticipated or discussed, could have a material impact on our business, prospects, financial condition or results of operations. In that case, our ability to pay interest on the notes when due or to repay the notes at maturity could be adversely affected, and the trading price of the notes could decline substantially.</w:t>
      </w:r>
    </w:p>
    <w:p>
      <w:pPr>
        <w:spacing w:after="0" w:line="127" w:lineRule="exact"/>
        <w:rPr>
          <w:sz w:val="20"/>
          <w:szCs w:val="20"/>
          <w:color w:val="auto"/>
        </w:rPr>
      </w:pPr>
    </w:p>
    <w:p>
      <w:pPr>
        <w:ind w:left="200" w:right="420"/>
        <w:spacing w:after="0" w:line="282" w:lineRule="auto"/>
        <w:rPr>
          <w:sz w:val="20"/>
          <w:szCs w:val="20"/>
          <w:color w:val="auto"/>
        </w:rPr>
      </w:pPr>
      <w:r>
        <w:rPr>
          <w:rFonts w:ascii="Arial" w:cs="Arial" w:eastAsia="Arial" w:hAnsi="Arial"/>
          <w:sz w:val="18"/>
          <w:szCs w:val="18"/>
          <w:b w:val="1"/>
          <w:bCs w:val="1"/>
          <w:color w:val="auto"/>
        </w:rPr>
        <w:t>An investment in the notes by a holder whose home currency is not the euro, with respect to the euro notes, or not GBP, with respect to the sterling notes, entails significant risks.</w:t>
      </w:r>
    </w:p>
    <w:p>
      <w:pPr>
        <w:spacing w:after="0" w:line="139"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An investment in the notes by a holder whose home currency is not the euro, with respect to the euro notes, or not GBP, with respect to the sterling notes, entails significant risks. These risks include the possibility of significant changes in rates of exchange between the holder’s functional currency and the euro or GBP, as applicable, the possibility of the imposition or subsequent modification of foreign exchange controls and tax consequences as a result of any foreign exchange gains resulting from an investment in the notes. These risks generally depend on factors over which we have no control, such as economic, financial and political events and the supply of and demand for the relevant currencies. In recent years, rates of exchange between the euro and GBP, on the one hand, and certain currencies, on the other, have been highly volatile, and each holder should be aware that volatility may be expected to continue in the future. Fluctuations in any particular rate of exchange that have occurred in the past, however, are not necessarily indicative of fluctuations in the rate that may occur during the term of the notes. Depreciation of the euro or GBP, as applicable, against the holder’s functional currency would result in a decrease in the effective yield of the notes below the coupon rate and, in certain circumstances, could result in a loss to the holder.</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notes permit us to make payments in U.S. dollars if we are unable to obtain euro or GBP.</w:t>
      </w:r>
    </w:p>
    <w:p>
      <w:pPr>
        <w:spacing w:after="0" w:line="189"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If the euro is unavailable to us due to the imposition of exchange controls or other circumstances beyond our control, or if the euro is no longer used by the member states of the European Economic and Monetary Union that have adopted the euro as their currency or for the settlement of transactions by public institutions within the international banking community, then all payments in respect of the euro notes will be made in U.S. dollars until the euro is again available to us or so used. If GBP is unavailable to us due to the imposition of exchange controls or other circumstances beyond our control or is no longer used for the settlement of transactions by public institutions within the international banking community, then all payments in respect of the sterling notes will be made in U.S. dollars until GBP is again available to us or so used. 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a lawsuit for payment on the notes, holders of the notes may bear currency exchange risk.</w:t>
      </w:r>
    </w:p>
    <w:p>
      <w:pPr>
        <w:spacing w:after="0" w:line="189"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The indenture is, and the notes will be, governed by the laws of the State of New York. A New York state statute presently in effect, but subject to amendment, would require a New York state court hearing such a lawsuit to render its decision or award in euro or GBP, as applicable. The judgment entered on that award, however, will be denominated in U.S. dollars, and converted at the exchange rate prevailing on the date of entry of the judgment. Consequently, in a lawsuit for payment on the notes, holders of such notes would bear currency exchange risk</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until a New York state court judgment is entered, which could be a long time. A Federal court sitting in New York with diversity jurisdiction over a dispute arising in connection with the notes would apply the foregoing New York law.</w:t>
      </w:r>
    </w:p>
    <w:p>
      <w:pPr>
        <w:spacing w:after="0" w:line="14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 courts outside of New York, investors may not be able to obtain a judgment in a currency other than U.S. dollars. For example, a judgment for money in an action based on the notes in many other U.S. federal or state courts ordinarily would be enforced in the United States only in U.S. dollars. The date used to determine the rate of conversion of euro or GBP, as applicable, into U.S. dollars would depend upon various factors, including which court renders the judgment and when the judgment is rendered.</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There may be no public trading market for the notes.</w:t>
      </w:r>
    </w:p>
    <w:p>
      <w:pPr>
        <w:spacing w:after="0" w:line="189"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The notes are new issues of securities for which there is currently no established trading market. A market for the notes may not develop or, if one does develop, it may not be maintained. If a market develops, the notes could trade at prices that may be higher or lower than the initial offering price or the price at which you purchased the notes, depending on many factors, including prevailing interest rates, our financial performance, the amount of indebtedness we have outstanding, the market for similar securities, the redemption and repayment features of the notes and the time remaining to maturity of the notes. Although we intend to apply for listing the notes for trading on the NASDAQ, no assurance can be given as to the liquidity of, or trading markets for, the notes. The listing applications will be subject to approval by NASDAQ. If such listings are obtained, we may delist any series of the notes at any time. If an active market for the notes fails to develop or be sustained, the trading price and liquidity of the notes could be adversely affected.</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Trading in the clearing systems is subject to minimum denomination requirements.</w:t>
      </w:r>
    </w:p>
    <w:p>
      <w:pPr>
        <w:spacing w:after="0" w:line="189"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The euro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euro notes in accordance with the provisions of the relevant global notes, a beneficial owner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153"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The sterling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sterling notes in accordance with the provisions of the relevant global notes, a beneficial owner who does not have the minimum denomination or any integral multiple of £1,000 in excess thereof in its account with their relevant clearing system at the relevant time may not receive all of its entitlement in the form of definitive notes unless and until such time as its holding satisfies the minimum denomination requirement.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Holders of the notes will receive payments in euro or GBP, as applicable.</w:t>
      </w:r>
    </w:p>
    <w:p>
      <w:pPr>
        <w:spacing w:after="0" w:line="189" w:lineRule="exact"/>
        <w:rPr>
          <w:sz w:val="20"/>
          <w:szCs w:val="20"/>
          <w:color w:val="auto"/>
        </w:rPr>
      </w:pPr>
    </w:p>
    <w:p>
      <w:pPr>
        <w:ind w:left="200" w:right="320"/>
        <w:spacing w:after="0" w:line="279" w:lineRule="auto"/>
        <w:rPr>
          <w:sz w:val="20"/>
          <w:szCs w:val="20"/>
          <w:color w:val="auto"/>
        </w:rPr>
      </w:pPr>
      <w:r>
        <w:rPr>
          <w:rFonts w:ascii="Arial" w:cs="Arial" w:eastAsia="Arial" w:hAnsi="Arial"/>
          <w:sz w:val="17"/>
          <w:szCs w:val="17"/>
          <w:color w:val="auto"/>
        </w:rPr>
        <w:t>All payments of principal, premium, if any, and interest in respect of the notes will be paid in euro or GBP, as applicable, subject to certain limited exceptions, as described in this prospectus supplement. We, the underwriters, the trustee and the paying agent with respect to the notes will not be obligated to convert, or to assist any registered owner or beneficial owner of the notes in converting payments of interest, principal, premium or any redemption price in euro or GBP made with respect to such notes into U.S. dollars or any other currency.</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United Kingdom’s impending departure from the European Union could adversely affect the value of the notes.</w:t>
      </w:r>
    </w:p>
    <w:p>
      <w:pPr>
        <w:spacing w:after="0" w:line="202"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On June 23, 2016, the U.K. electorate voted in favor of leaving the EU, commonly referred to as “Brexit.” Thereafter, on March 29, 2017, the country formally notified the European Union of its intention to withdraw</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pursuant to Article 50 of the Lisbon Treaty. The withdrawal of the United Kingdom from the European Union was due to occur on March 29, 2019, but was extended to October 31, 2019 and was then extended a further three months. The United Kingdom left the EU on January 31, 2020 under the terms of the withdrawal agreement, entering into a “transition period” ending December 31, 2020 during which the United Kingdom will essentially be treated as a Member State of the EU and the regulatory regime will remain the same across the United Kingdom and the EU. The withdrawal agreement allows for this “transition period” to be extended by one or two years, but the U.K. government is currently legislating to require the transition period to end on December 31, 2020 without the possibility to extend further. In that scenario, the trading relationship between the United Kingdom and the EU will be governed by whatever agreement the two parties can reach in the course of 2020. On that short timetable the United Kingdom and EU are likely to focus on ensuring tariff-free trade but it is unclear whether there would be any formal regulatory alignment between United Kingdom and EU rules after January 1, 2021. In the unlikely event that the United Kingdom leaves the EU without an agreement, so called “hard Brexit,” the United Kingdom will be completely separated from a regulatory perspective from the EU immediately upon the exit date.</w:t>
      </w:r>
    </w:p>
    <w:p>
      <w:pPr>
        <w:spacing w:after="0" w:line="142"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The effects of Brexit will depend on any agreements the United Kingdom makes to retain access to European Union markets either during a transitional period or more permanently. Brexit could adversely affect European and worldwide economic and market conditions and could contribute to instability in global financial and foreign exchange markets, including volatility in the value of the euro and the GBP. In addition, Brexit could lead to legal uncertainty and potentially divergent national laws and regulations as the United Kingdom determines which European Union laws to replace or replicate, including competition laws. Any of these effects of Brexit, and others we cannot anticipate, could negatively impact the value of the notes.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We intend to use the net proceeds from the offering, after deducting underwriters’ discount and expenses, entirely for the refinancing of debt, including Sky’s floating rate notes, which bear interest at a rate equal to 3 month EURIBOR plus 0.75%, due April 1, 2020 (€600 million principal amount outstanding as of the date hereof) and other debt.</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80"/>
          </w:cols>
          <w:pgMar w:left="240" w:top="459" w:right="5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500" w:type="dxa"/>
            <w:vAlign w:val="bottom"/>
            <w:gridSpan w:val="4"/>
          </w:tcPr>
          <w:p>
            <w:pPr>
              <w:spacing w:after="0"/>
              <w:rPr>
                <w:rFonts w:ascii="Arial" w:cs="Arial" w:eastAsia="Arial" w:hAnsi="Arial"/>
                <w:sz w:val="18"/>
                <w:szCs w:val="18"/>
                <w:b w:val="1"/>
                <w:bCs w:val="1"/>
                <w:color w:val="0000EE"/>
                <w:w w:val="97"/>
              </w:rPr>
            </w:pPr>
            <w:hyperlink w:anchor="page2">
              <w:r>
                <w:rPr>
                  <w:rFonts w:ascii="Arial" w:cs="Arial" w:eastAsia="Arial" w:hAnsi="Arial"/>
                  <w:sz w:val="18"/>
                  <w:szCs w:val="18"/>
                  <w:b w:val="1"/>
                  <w:bCs w:val="1"/>
                  <w:color w:val="0000EE"/>
                  <w:w w:val="97"/>
                </w:rPr>
                <w:t>Table of Contents</w:t>
              </w:r>
            </w:hyperlink>
          </w:p>
        </w:tc>
        <w:tc>
          <w:tcPr>
            <w:tcW w:w="25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534"/>
        </w:trPr>
        <w:tc>
          <w:tcPr>
            <w:tcW w:w="4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060" w:type="dxa"/>
            <w:vAlign w:val="bottom"/>
            <w:gridSpan w:val="2"/>
          </w:tcPr>
          <w:p>
            <w:pPr>
              <w:ind w:left="360"/>
              <w:spacing w:after="0"/>
              <w:rPr>
                <w:sz w:val="20"/>
                <w:szCs w:val="20"/>
                <w:color w:val="auto"/>
              </w:rPr>
            </w:pPr>
            <w:r>
              <w:rPr>
                <w:rFonts w:ascii="Arial" w:cs="Arial" w:eastAsia="Arial" w:hAnsi="Arial"/>
                <w:sz w:val="18"/>
                <w:szCs w:val="18"/>
                <w:b w:val="1"/>
                <w:bCs w:val="1"/>
                <w:color w:val="auto"/>
              </w:rPr>
              <w:t>DESCRIPTION OF THE NOTES</w:t>
            </w:r>
          </w:p>
        </w:tc>
        <w:tc>
          <w:tcPr>
            <w:tcW w:w="26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1"/>
        </w:trPr>
        <w:tc>
          <w:tcPr>
            <w:tcW w:w="1500" w:type="dxa"/>
            <w:vAlign w:val="bottom"/>
            <w:gridSpan w:val="4"/>
          </w:tcPr>
          <w:p>
            <w:pPr>
              <w:ind w:left="200"/>
              <w:spacing w:after="0"/>
              <w:rPr>
                <w:sz w:val="20"/>
                <w:szCs w:val="20"/>
                <w:color w:val="auto"/>
              </w:rPr>
            </w:pPr>
            <w:r>
              <w:rPr>
                <w:rFonts w:ascii="Arial" w:cs="Arial" w:eastAsia="Arial" w:hAnsi="Arial"/>
                <w:sz w:val="18"/>
                <w:szCs w:val="18"/>
                <w:i w:val="1"/>
                <w:iCs w:val="1"/>
                <w:color w:val="auto"/>
                <w:w w:val="92"/>
              </w:rPr>
              <w:t>We are offering €</w:t>
            </w:r>
          </w:p>
        </w:tc>
        <w:tc>
          <w:tcPr>
            <w:tcW w:w="4820" w:type="dxa"/>
            <w:vAlign w:val="bottom"/>
            <w:gridSpan w:val="2"/>
          </w:tcPr>
          <w:p>
            <w:pPr>
              <w:ind w:left="540"/>
              <w:spacing w:after="0"/>
              <w:rPr>
                <w:sz w:val="20"/>
                <w:szCs w:val="20"/>
                <w:color w:val="auto"/>
              </w:rPr>
            </w:pPr>
            <w:r>
              <w:rPr>
                <w:rFonts w:ascii="Arial" w:cs="Arial" w:eastAsia="Arial" w:hAnsi="Arial"/>
                <w:sz w:val="18"/>
                <w:szCs w:val="18"/>
                <w:i w:val="1"/>
                <w:iCs w:val="1"/>
                <w:color w:val="auto"/>
                <w:w w:val="94"/>
              </w:rPr>
              <w:t>aggregate principal amount of our   % euro notes due 20</w:t>
            </w:r>
          </w:p>
        </w:tc>
        <w:tc>
          <w:tcPr>
            <w:tcW w:w="780" w:type="dxa"/>
            <w:vAlign w:val="bottom"/>
          </w:tcPr>
          <w:p>
            <w:pPr>
              <w:ind w:left="80"/>
              <w:spacing w:after="0"/>
              <w:rPr>
                <w:sz w:val="20"/>
                <w:szCs w:val="20"/>
                <w:color w:val="auto"/>
              </w:rPr>
            </w:pPr>
            <w:r>
              <w:rPr>
                <w:rFonts w:ascii="Arial" w:cs="Arial" w:eastAsia="Arial" w:hAnsi="Arial"/>
                <w:sz w:val="18"/>
                <w:szCs w:val="18"/>
                <w:i w:val="1"/>
                <w:iCs w:val="1"/>
                <w:color w:val="auto"/>
              </w:rPr>
              <w:t>, €</w:t>
            </w:r>
          </w:p>
        </w:tc>
        <w:tc>
          <w:tcPr>
            <w:tcW w:w="2640" w:type="dxa"/>
            <w:vAlign w:val="bottom"/>
          </w:tcPr>
          <w:p>
            <w:pPr>
              <w:ind w:left="60"/>
              <w:spacing w:after="0"/>
              <w:rPr>
                <w:sz w:val="20"/>
                <w:szCs w:val="20"/>
                <w:color w:val="auto"/>
              </w:rPr>
            </w:pPr>
            <w:r>
              <w:rPr>
                <w:rFonts w:ascii="Arial" w:cs="Arial" w:eastAsia="Arial" w:hAnsi="Arial"/>
                <w:sz w:val="18"/>
                <w:szCs w:val="18"/>
                <w:i w:val="1"/>
                <w:iCs w:val="1"/>
                <w:color w:val="auto"/>
                <w:w w:val="95"/>
              </w:rPr>
              <w:t>aggregate principal amount of our</w:t>
            </w:r>
          </w:p>
        </w:tc>
        <w:tc>
          <w:tcPr>
            <w:tcW w:w="1400" w:type="dxa"/>
            <w:vAlign w:val="bottom"/>
          </w:tcPr>
          <w:p>
            <w:pPr>
              <w:ind w:left="140"/>
              <w:spacing w:after="0"/>
              <w:rPr>
                <w:sz w:val="20"/>
                <w:szCs w:val="20"/>
                <w:color w:val="auto"/>
              </w:rPr>
            </w:pPr>
            <w:r>
              <w:rPr>
                <w:rFonts w:ascii="Arial" w:cs="Arial" w:eastAsia="Arial" w:hAnsi="Arial"/>
                <w:sz w:val="18"/>
                <w:szCs w:val="18"/>
                <w:i w:val="1"/>
                <w:iCs w:val="1"/>
                <w:color w:val="auto"/>
                <w:w w:val="87"/>
              </w:rPr>
              <w:t>% euro notes due</w:t>
            </w:r>
          </w:p>
        </w:tc>
      </w:tr>
      <w:tr>
        <w:trPr>
          <w:trHeight w:val="216"/>
        </w:trPr>
        <w:tc>
          <w:tcPr>
            <w:tcW w:w="480" w:type="dxa"/>
            <w:vAlign w:val="bottom"/>
          </w:tcPr>
          <w:p>
            <w:pPr>
              <w:ind w:left="200"/>
              <w:spacing w:after="0"/>
              <w:rPr>
                <w:sz w:val="20"/>
                <w:szCs w:val="20"/>
                <w:color w:val="auto"/>
              </w:rPr>
            </w:pPr>
            <w:r>
              <w:rPr>
                <w:rFonts w:ascii="Arial" w:cs="Arial" w:eastAsia="Arial" w:hAnsi="Arial"/>
                <w:sz w:val="18"/>
                <w:szCs w:val="18"/>
                <w:i w:val="1"/>
                <w:iCs w:val="1"/>
                <w:color w:val="auto"/>
              </w:rPr>
              <w:t>20</w:t>
            </w:r>
          </w:p>
        </w:tc>
        <w:tc>
          <w:tcPr>
            <w:tcW w:w="320" w:type="dxa"/>
            <w:vAlign w:val="bottom"/>
          </w:tcPr>
          <w:p>
            <w:pPr>
              <w:ind w:left="80"/>
              <w:spacing w:after="0"/>
              <w:rPr>
                <w:sz w:val="20"/>
                <w:szCs w:val="20"/>
                <w:color w:val="auto"/>
              </w:rPr>
            </w:pPr>
            <w:r>
              <w:rPr>
                <w:rFonts w:ascii="Arial" w:cs="Arial" w:eastAsia="Arial" w:hAnsi="Arial"/>
                <w:sz w:val="18"/>
                <w:szCs w:val="18"/>
                <w:i w:val="1"/>
                <w:iCs w:val="1"/>
                <w:color w:val="auto"/>
              </w:rPr>
              <w:t>, €</w:t>
            </w:r>
          </w:p>
        </w:tc>
        <w:tc>
          <w:tcPr>
            <w:tcW w:w="3240" w:type="dxa"/>
            <w:vAlign w:val="bottom"/>
            <w:gridSpan w:val="3"/>
          </w:tcPr>
          <w:p>
            <w:pPr>
              <w:ind w:left="520"/>
              <w:spacing w:after="0"/>
              <w:rPr>
                <w:sz w:val="20"/>
                <w:szCs w:val="20"/>
                <w:color w:val="auto"/>
              </w:rPr>
            </w:pPr>
            <w:r>
              <w:rPr>
                <w:rFonts w:ascii="Arial" w:cs="Arial" w:eastAsia="Arial" w:hAnsi="Arial"/>
                <w:sz w:val="18"/>
                <w:szCs w:val="18"/>
                <w:i w:val="1"/>
                <w:iCs w:val="1"/>
                <w:color w:val="auto"/>
              </w:rPr>
              <w:t>aggregate principal amount of our</w:t>
            </w:r>
          </w:p>
        </w:tc>
        <w:tc>
          <w:tcPr>
            <w:tcW w:w="2280" w:type="dxa"/>
            <w:vAlign w:val="bottom"/>
          </w:tcPr>
          <w:p>
            <w:pPr>
              <w:spacing w:after="0"/>
              <w:rPr>
                <w:sz w:val="20"/>
                <w:szCs w:val="20"/>
                <w:color w:val="auto"/>
              </w:rPr>
            </w:pPr>
            <w:r>
              <w:rPr>
                <w:rFonts w:ascii="Arial" w:cs="Arial" w:eastAsia="Arial" w:hAnsi="Arial"/>
                <w:sz w:val="18"/>
                <w:szCs w:val="18"/>
                <w:i w:val="1"/>
                <w:iCs w:val="1"/>
                <w:color w:val="auto"/>
              </w:rPr>
              <w:t>% euro notes due 20  , £</w:t>
            </w:r>
          </w:p>
        </w:tc>
        <w:tc>
          <w:tcPr>
            <w:tcW w:w="4820" w:type="dxa"/>
            <w:vAlign w:val="bottom"/>
            <w:gridSpan w:val="3"/>
          </w:tcPr>
          <w:p>
            <w:pPr>
              <w:ind w:left="140"/>
              <w:spacing w:after="0"/>
              <w:rPr>
                <w:sz w:val="20"/>
                <w:szCs w:val="20"/>
                <w:color w:val="auto"/>
              </w:rPr>
            </w:pPr>
            <w:r>
              <w:rPr>
                <w:rFonts w:ascii="Arial" w:cs="Arial" w:eastAsia="Arial" w:hAnsi="Arial"/>
                <w:sz w:val="18"/>
                <w:szCs w:val="18"/>
                <w:i w:val="1"/>
                <w:iCs w:val="1"/>
                <w:color w:val="auto"/>
              </w:rPr>
              <w:t>aggregate principal amount of our   % sterling notes due</w:t>
            </w:r>
          </w:p>
        </w:tc>
      </w:tr>
      <w:tr>
        <w:trPr>
          <w:trHeight w:val="216"/>
        </w:trPr>
        <w:tc>
          <w:tcPr>
            <w:tcW w:w="480" w:type="dxa"/>
            <w:vAlign w:val="bottom"/>
          </w:tcPr>
          <w:p>
            <w:pPr>
              <w:ind w:left="200"/>
              <w:spacing w:after="0"/>
              <w:rPr>
                <w:sz w:val="20"/>
                <w:szCs w:val="20"/>
                <w:color w:val="auto"/>
              </w:rPr>
            </w:pPr>
            <w:r>
              <w:rPr>
                <w:rFonts w:ascii="Arial" w:cs="Arial" w:eastAsia="Arial" w:hAnsi="Arial"/>
                <w:sz w:val="18"/>
                <w:szCs w:val="18"/>
                <w:i w:val="1"/>
                <w:iCs w:val="1"/>
                <w:color w:val="auto"/>
              </w:rPr>
              <w:t>20</w:t>
            </w:r>
          </w:p>
        </w:tc>
        <w:tc>
          <w:tcPr>
            <w:tcW w:w="1020" w:type="dxa"/>
            <w:vAlign w:val="bottom"/>
            <w:gridSpan w:val="3"/>
          </w:tcPr>
          <w:p>
            <w:pPr>
              <w:ind w:left="80"/>
              <w:spacing w:after="0"/>
              <w:rPr>
                <w:sz w:val="20"/>
                <w:szCs w:val="20"/>
                <w:color w:val="auto"/>
              </w:rPr>
            </w:pPr>
            <w:r>
              <w:rPr>
                <w:rFonts w:ascii="Arial" w:cs="Arial" w:eastAsia="Arial" w:hAnsi="Arial"/>
                <w:sz w:val="18"/>
                <w:szCs w:val="18"/>
                <w:i w:val="1"/>
                <w:iCs w:val="1"/>
                <w:color w:val="auto"/>
              </w:rPr>
              <w:t>and £</w:t>
            </w:r>
          </w:p>
        </w:tc>
        <w:tc>
          <w:tcPr>
            <w:tcW w:w="2540" w:type="dxa"/>
            <w:vAlign w:val="bottom"/>
          </w:tcPr>
          <w:p>
            <w:pPr>
              <w:ind w:left="60"/>
              <w:spacing w:after="0"/>
              <w:rPr>
                <w:sz w:val="20"/>
                <w:szCs w:val="20"/>
                <w:color w:val="auto"/>
              </w:rPr>
            </w:pPr>
            <w:r>
              <w:rPr>
                <w:rFonts w:ascii="Arial" w:cs="Arial" w:eastAsia="Arial" w:hAnsi="Arial"/>
                <w:sz w:val="18"/>
                <w:szCs w:val="18"/>
                <w:i w:val="1"/>
                <w:iCs w:val="1"/>
                <w:color w:val="auto"/>
                <w:w w:val="91"/>
              </w:rPr>
              <w:t>aggregate principal amount of our</w:t>
            </w:r>
          </w:p>
        </w:tc>
        <w:tc>
          <w:tcPr>
            <w:tcW w:w="5700" w:type="dxa"/>
            <w:vAlign w:val="bottom"/>
            <w:gridSpan w:val="3"/>
          </w:tcPr>
          <w:p>
            <w:pPr>
              <w:ind w:left="240"/>
              <w:spacing w:after="0"/>
              <w:rPr>
                <w:sz w:val="20"/>
                <w:szCs w:val="20"/>
                <w:color w:val="auto"/>
              </w:rPr>
            </w:pPr>
            <w:r>
              <w:rPr>
                <w:rFonts w:ascii="Arial" w:cs="Arial" w:eastAsia="Arial" w:hAnsi="Arial"/>
                <w:sz w:val="18"/>
                <w:szCs w:val="18"/>
                <w:i w:val="1"/>
                <w:iCs w:val="1"/>
                <w:color w:val="auto"/>
                <w:w w:val="93"/>
              </w:rPr>
              <w:t>% sterling notes due 20  . The euro notes due 20  , the euro notes due 20</w:t>
            </w:r>
          </w:p>
        </w:tc>
        <w:tc>
          <w:tcPr>
            <w:tcW w:w="1400" w:type="dxa"/>
            <w:vAlign w:val="bottom"/>
          </w:tcPr>
          <w:p>
            <w:pPr>
              <w:ind w:left="80"/>
              <w:spacing w:after="0"/>
              <w:rPr>
                <w:sz w:val="20"/>
                <w:szCs w:val="20"/>
                <w:color w:val="auto"/>
              </w:rPr>
            </w:pPr>
            <w:r>
              <w:rPr>
                <w:rFonts w:ascii="Arial" w:cs="Arial" w:eastAsia="Arial" w:hAnsi="Arial"/>
                <w:sz w:val="18"/>
                <w:szCs w:val="18"/>
                <w:i w:val="1"/>
                <w:iCs w:val="1"/>
                <w:color w:val="auto"/>
              </w:rPr>
              <w:t>, the euro notes</w:t>
            </w:r>
          </w:p>
        </w:tc>
      </w:tr>
      <w:tr>
        <w:trPr>
          <w:trHeight w:val="230"/>
        </w:trPr>
        <w:tc>
          <w:tcPr>
            <w:tcW w:w="800" w:type="dxa"/>
            <w:vAlign w:val="bottom"/>
            <w:gridSpan w:val="2"/>
          </w:tcPr>
          <w:p>
            <w:pPr>
              <w:ind w:left="200"/>
              <w:spacing w:after="0"/>
              <w:rPr>
                <w:sz w:val="20"/>
                <w:szCs w:val="20"/>
                <w:color w:val="auto"/>
              </w:rPr>
            </w:pPr>
            <w:r>
              <w:rPr>
                <w:rFonts w:ascii="Arial" w:cs="Arial" w:eastAsia="Arial" w:hAnsi="Arial"/>
                <w:sz w:val="18"/>
                <w:szCs w:val="18"/>
                <w:i w:val="1"/>
                <w:iCs w:val="1"/>
                <w:color w:val="auto"/>
              </w:rPr>
              <w:t>due 20</w:t>
            </w:r>
          </w:p>
        </w:tc>
        <w:tc>
          <w:tcPr>
            <w:tcW w:w="10340" w:type="dxa"/>
            <w:vAlign w:val="bottom"/>
            <w:gridSpan w:val="7"/>
          </w:tcPr>
          <w:p>
            <w:pPr>
              <w:ind w:left="60"/>
              <w:spacing w:after="0"/>
              <w:rPr>
                <w:sz w:val="20"/>
                <w:szCs w:val="20"/>
                <w:color w:val="auto"/>
              </w:rPr>
            </w:pPr>
            <w:r>
              <w:rPr>
                <w:rFonts w:ascii="Arial" w:cs="Arial" w:eastAsia="Arial" w:hAnsi="Arial"/>
                <w:sz w:val="18"/>
                <w:szCs w:val="18"/>
                <w:i w:val="1"/>
                <w:iCs w:val="1"/>
                <w:color w:val="auto"/>
                <w:w w:val="92"/>
              </w:rPr>
              <w:t>, the sterling notes due 20   and the sterling notes due 20   will each be a separate series of securities issued under a senior indenture dated</w:t>
            </w:r>
          </w:p>
        </w:tc>
      </w:tr>
    </w:tbl>
    <w:p>
      <w:pPr>
        <w:ind w:left="200"/>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provided that if such additional notes are not fungible with the notes of the applicable series offered hereby for U.S. federal income tax purposes, such additional notes will have one or more separate Common Code, ISIN and CUSIP numbers. Copies of the indenture and the form of notes are available from us upon request.</w:t>
      </w:r>
    </w:p>
    <w:p>
      <w:pPr>
        <w:spacing w:after="0" w:line="126"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Basic Terms of the Notes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1060" w:right="32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guarantees described below;</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300" w:type="dxa"/>
            <w:vAlign w:val="bottom"/>
            <w:gridSpan w:val="5"/>
          </w:tcPr>
          <w:p>
            <w:pPr>
              <w:ind w:left="180"/>
              <w:spacing w:after="0"/>
              <w:rPr>
                <w:sz w:val="20"/>
                <w:szCs w:val="20"/>
                <w:color w:val="auto"/>
              </w:rPr>
            </w:pPr>
            <w:r>
              <w:rPr>
                <w:rFonts w:ascii="Arial" w:cs="Arial" w:eastAsia="Arial" w:hAnsi="Arial"/>
                <w:sz w:val="18"/>
                <w:szCs w:val="18"/>
                <w:color w:val="auto"/>
                <w:w w:val="93"/>
              </w:rPr>
              <w:t>will be issued in initial aggregate principal amounts of €</w:t>
            </w:r>
          </w:p>
        </w:tc>
        <w:tc>
          <w:tcPr>
            <w:tcW w:w="1420" w:type="dxa"/>
            <w:vAlign w:val="bottom"/>
          </w:tcPr>
          <w:p>
            <w:pPr>
              <w:ind w:left="520"/>
              <w:spacing w:after="0"/>
              <w:rPr>
                <w:sz w:val="20"/>
                <w:szCs w:val="20"/>
                <w:color w:val="auto"/>
              </w:rPr>
            </w:pPr>
            <w:r>
              <w:rPr>
                <w:rFonts w:ascii="Arial" w:cs="Arial" w:eastAsia="Arial" w:hAnsi="Arial"/>
                <w:sz w:val="18"/>
                <w:szCs w:val="18"/>
                <w:color w:val="auto"/>
              </w:rPr>
              <w:t>and £</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comprised as follows:</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8"/>
        </w:trPr>
        <w:tc>
          <w:tcPr>
            <w:tcW w:w="240" w:type="dxa"/>
            <w:vAlign w:val="bottom"/>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3040" w:type="dxa"/>
            <w:vAlign w:val="bottom"/>
            <w:gridSpan w:val="2"/>
          </w:tcPr>
          <w:p>
            <w:pPr>
              <w:ind w:left="280"/>
              <w:spacing w:after="0"/>
              <w:rPr>
                <w:sz w:val="20"/>
                <w:szCs w:val="20"/>
                <w:color w:val="auto"/>
              </w:rPr>
            </w:pPr>
            <w:r>
              <w:rPr>
                <w:rFonts w:ascii="Arial" w:cs="Arial" w:eastAsia="Arial" w:hAnsi="Arial"/>
                <w:sz w:val="18"/>
                <w:szCs w:val="18"/>
                <w:color w:val="auto"/>
                <w:w w:val="96"/>
              </w:rPr>
              <w:t>initial aggregate principal amount of</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2"/>
              </w:rPr>
              <w:t>% euro notes due 20</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 maturing on</w:t>
            </w:r>
          </w:p>
        </w:tc>
        <w:tc>
          <w:tcPr>
            <w:tcW w:w="440" w:type="dxa"/>
            <w:vAlign w:val="bottom"/>
          </w:tcPr>
          <w:p>
            <w:pPr>
              <w:jc w:val="right"/>
              <w:spacing w:after="0"/>
              <w:rPr>
                <w:sz w:val="20"/>
                <w:szCs w:val="20"/>
                <w:color w:val="auto"/>
              </w:rPr>
            </w:pPr>
            <w:r>
              <w:rPr>
                <w:rFonts w:ascii="Arial" w:cs="Arial" w:eastAsia="Arial" w:hAnsi="Arial"/>
                <w:sz w:val="18"/>
                <w:szCs w:val="18"/>
                <w:color w:val="auto"/>
              </w:rPr>
              <w:t>, 20</w:t>
            </w:r>
          </w:p>
        </w:tc>
        <w:tc>
          <w:tcPr>
            <w:tcW w:w="1900" w:type="dxa"/>
            <w:vAlign w:val="bottom"/>
            <w:gridSpan w:val="2"/>
          </w:tcPr>
          <w:p>
            <w:pPr>
              <w:ind w:left="100"/>
              <w:spacing w:after="0"/>
              <w:rPr>
                <w:sz w:val="20"/>
                <w:szCs w:val="20"/>
                <w:color w:val="auto"/>
              </w:rPr>
            </w:pPr>
            <w:r>
              <w:rPr>
                <w:rFonts w:ascii="Arial" w:cs="Arial" w:eastAsia="Arial" w:hAnsi="Arial"/>
                <w:sz w:val="18"/>
                <w:szCs w:val="18"/>
                <w:color w:val="auto"/>
              </w:rPr>
              <w:t>, with interest payable</w:t>
            </w:r>
          </w:p>
        </w:tc>
      </w:tr>
      <w:tr>
        <w:trPr>
          <w:trHeight w:val="230"/>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annually on each</w:t>
            </w:r>
          </w:p>
        </w:tc>
        <w:tc>
          <w:tcPr>
            <w:tcW w:w="1820" w:type="dxa"/>
            <w:vAlign w:val="bottom"/>
          </w:tcPr>
          <w:p>
            <w:pPr>
              <w:ind w:left="560"/>
              <w:spacing w:after="0"/>
              <w:rPr>
                <w:sz w:val="20"/>
                <w:szCs w:val="20"/>
                <w:color w:val="auto"/>
              </w:rPr>
            </w:pPr>
            <w:r>
              <w:rPr>
                <w:rFonts w:ascii="Arial" w:cs="Arial" w:eastAsia="Arial" w:hAnsi="Arial"/>
                <w:sz w:val="18"/>
                <w:szCs w:val="18"/>
                <w:color w:val="auto"/>
              </w:rPr>
              <w:t>, beginning</w:t>
            </w:r>
          </w:p>
        </w:tc>
        <w:tc>
          <w:tcPr>
            <w:tcW w:w="240" w:type="dxa"/>
            <w:vAlign w:val="bottom"/>
          </w:tcPr>
          <w:p>
            <w:pPr>
              <w:spacing w:after="0"/>
              <w:rPr>
                <w:sz w:val="20"/>
                <w:szCs w:val="20"/>
                <w:color w:val="auto"/>
              </w:rPr>
            </w:pPr>
          </w:p>
        </w:tc>
        <w:tc>
          <w:tcPr>
            <w:tcW w:w="3780" w:type="dxa"/>
            <w:vAlign w:val="bottom"/>
            <w:gridSpan w:val="4"/>
          </w:tcPr>
          <w:p>
            <w:pPr>
              <w:jc w:val="right"/>
              <w:ind w:right="230"/>
              <w:spacing w:after="0"/>
              <w:rPr>
                <w:sz w:val="20"/>
                <w:szCs w:val="20"/>
                <w:color w:val="auto"/>
              </w:rPr>
            </w:pPr>
            <w:r>
              <w:rPr>
                <w:rFonts w:ascii="Arial" w:cs="Arial" w:eastAsia="Arial" w:hAnsi="Arial"/>
                <w:sz w:val="18"/>
                <w:szCs w:val="18"/>
                <w:color w:val="auto"/>
                <w:w w:val="97"/>
              </w:rPr>
              <w:t>, 2021, to holders of record on the preceding</w:t>
            </w:r>
          </w:p>
        </w:tc>
        <w:tc>
          <w:tcPr>
            <w:tcW w:w="200" w:type="dxa"/>
            <w:vAlign w:val="bottom"/>
          </w:tcPr>
          <w:p>
            <w:pPr>
              <w:spacing w:after="0"/>
              <w:rPr>
                <w:sz w:val="20"/>
                <w:szCs w:val="20"/>
                <w:color w:val="auto"/>
              </w:rPr>
            </w:pPr>
          </w:p>
        </w:tc>
        <w:tc>
          <w:tcPr>
            <w:tcW w:w="17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418"/>
        </w:trPr>
        <w:tc>
          <w:tcPr>
            <w:tcW w:w="240" w:type="dxa"/>
            <w:vAlign w:val="bottom"/>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3040" w:type="dxa"/>
            <w:vAlign w:val="bottom"/>
            <w:gridSpan w:val="2"/>
          </w:tcPr>
          <w:p>
            <w:pPr>
              <w:ind w:left="280"/>
              <w:spacing w:after="0"/>
              <w:rPr>
                <w:sz w:val="20"/>
                <w:szCs w:val="20"/>
                <w:color w:val="auto"/>
              </w:rPr>
            </w:pPr>
            <w:r>
              <w:rPr>
                <w:rFonts w:ascii="Arial" w:cs="Arial" w:eastAsia="Arial" w:hAnsi="Arial"/>
                <w:sz w:val="18"/>
                <w:szCs w:val="18"/>
                <w:color w:val="auto"/>
                <w:w w:val="96"/>
              </w:rPr>
              <w:t>initial aggregate principal amount of</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2"/>
              </w:rPr>
              <w:t>% euro notes due 20</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 maturing on</w:t>
            </w:r>
          </w:p>
        </w:tc>
        <w:tc>
          <w:tcPr>
            <w:tcW w:w="440" w:type="dxa"/>
            <w:vAlign w:val="bottom"/>
          </w:tcPr>
          <w:p>
            <w:pPr>
              <w:jc w:val="right"/>
              <w:spacing w:after="0"/>
              <w:rPr>
                <w:sz w:val="20"/>
                <w:szCs w:val="20"/>
                <w:color w:val="auto"/>
              </w:rPr>
            </w:pPr>
            <w:r>
              <w:rPr>
                <w:rFonts w:ascii="Arial" w:cs="Arial" w:eastAsia="Arial" w:hAnsi="Arial"/>
                <w:sz w:val="18"/>
                <w:szCs w:val="18"/>
                <w:color w:val="auto"/>
              </w:rPr>
              <w:t>, 20</w:t>
            </w:r>
          </w:p>
        </w:tc>
        <w:tc>
          <w:tcPr>
            <w:tcW w:w="1900" w:type="dxa"/>
            <w:vAlign w:val="bottom"/>
            <w:gridSpan w:val="2"/>
          </w:tcPr>
          <w:p>
            <w:pPr>
              <w:ind w:left="100"/>
              <w:spacing w:after="0"/>
              <w:rPr>
                <w:sz w:val="20"/>
                <w:szCs w:val="20"/>
                <w:color w:val="auto"/>
              </w:rPr>
            </w:pPr>
            <w:r>
              <w:rPr>
                <w:rFonts w:ascii="Arial" w:cs="Arial" w:eastAsia="Arial" w:hAnsi="Arial"/>
                <w:sz w:val="18"/>
                <w:szCs w:val="18"/>
                <w:color w:val="auto"/>
              </w:rPr>
              <w:t>, with interest payable</w:t>
            </w:r>
          </w:p>
        </w:tc>
      </w:tr>
      <w:tr>
        <w:trPr>
          <w:trHeight w:val="230"/>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annually on each</w:t>
            </w:r>
          </w:p>
        </w:tc>
        <w:tc>
          <w:tcPr>
            <w:tcW w:w="1820" w:type="dxa"/>
            <w:vAlign w:val="bottom"/>
          </w:tcPr>
          <w:p>
            <w:pPr>
              <w:ind w:left="560"/>
              <w:spacing w:after="0"/>
              <w:rPr>
                <w:sz w:val="20"/>
                <w:szCs w:val="20"/>
                <w:color w:val="auto"/>
              </w:rPr>
            </w:pPr>
            <w:r>
              <w:rPr>
                <w:rFonts w:ascii="Arial" w:cs="Arial" w:eastAsia="Arial" w:hAnsi="Arial"/>
                <w:sz w:val="18"/>
                <w:szCs w:val="18"/>
                <w:color w:val="auto"/>
              </w:rPr>
              <w:t>, beginning</w:t>
            </w:r>
          </w:p>
        </w:tc>
        <w:tc>
          <w:tcPr>
            <w:tcW w:w="240" w:type="dxa"/>
            <w:vAlign w:val="bottom"/>
          </w:tcPr>
          <w:p>
            <w:pPr>
              <w:spacing w:after="0"/>
              <w:rPr>
                <w:sz w:val="20"/>
                <w:szCs w:val="20"/>
                <w:color w:val="auto"/>
              </w:rPr>
            </w:pPr>
          </w:p>
        </w:tc>
        <w:tc>
          <w:tcPr>
            <w:tcW w:w="3780" w:type="dxa"/>
            <w:vAlign w:val="bottom"/>
            <w:gridSpan w:val="4"/>
          </w:tcPr>
          <w:p>
            <w:pPr>
              <w:jc w:val="right"/>
              <w:ind w:right="230"/>
              <w:spacing w:after="0"/>
              <w:rPr>
                <w:sz w:val="20"/>
                <w:szCs w:val="20"/>
                <w:color w:val="auto"/>
              </w:rPr>
            </w:pPr>
            <w:r>
              <w:rPr>
                <w:rFonts w:ascii="Arial" w:cs="Arial" w:eastAsia="Arial" w:hAnsi="Arial"/>
                <w:sz w:val="18"/>
                <w:szCs w:val="18"/>
                <w:color w:val="auto"/>
                <w:w w:val="97"/>
              </w:rPr>
              <w:t>, 2021, to holders of record on the preceding</w:t>
            </w:r>
          </w:p>
        </w:tc>
        <w:tc>
          <w:tcPr>
            <w:tcW w:w="200" w:type="dxa"/>
            <w:vAlign w:val="bottom"/>
          </w:tcPr>
          <w:p>
            <w:pPr>
              <w:spacing w:after="0"/>
              <w:rPr>
                <w:sz w:val="20"/>
                <w:szCs w:val="20"/>
                <w:color w:val="auto"/>
              </w:rPr>
            </w:pPr>
          </w:p>
        </w:tc>
        <w:tc>
          <w:tcPr>
            <w:tcW w:w="17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418"/>
        </w:trPr>
        <w:tc>
          <w:tcPr>
            <w:tcW w:w="240" w:type="dxa"/>
            <w:vAlign w:val="bottom"/>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3040" w:type="dxa"/>
            <w:vAlign w:val="bottom"/>
            <w:gridSpan w:val="2"/>
          </w:tcPr>
          <w:p>
            <w:pPr>
              <w:ind w:left="280"/>
              <w:spacing w:after="0"/>
              <w:rPr>
                <w:sz w:val="20"/>
                <w:szCs w:val="20"/>
                <w:color w:val="auto"/>
              </w:rPr>
            </w:pPr>
            <w:r>
              <w:rPr>
                <w:rFonts w:ascii="Arial" w:cs="Arial" w:eastAsia="Arial" w:hAnsi="Arial"/>
                <w:sz w:val="18"/>
                <w:szCs w:val="18"/>
                <w:color w:val="auto"/>
                <w:w w:val="96"/>
              </w:rPr>
              <w:t>initial aggregate principal amount of</w:t>
            </w: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w w:val="92"/>
              </w:rPr>
              <w:t>% euro notes due 20</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 maturing on</w:t>
            </w:r>
          </w:p>
        </w:tc>
        <w:tc>
          <w:tcPr>
            <w:tcW w:w="440" w:type="dxa"/>
            <w:vAlign w:val="bottom"/>
          </w:tcPr>
          <w:p>
            <w:pPr>
              <w:jc w:val="right"/>
              <w:spacing w:after="0"/>
              <w:rPr>
                <w:sz w:val="20"/>
                <w:szCs w:val="20"/>
                <w:color w:val="auto"/>
              </w:rPr>
            </w:pPr>
            <w:r>
              <w:rPr>
                <w:rFonts w:ascii="Arial" w:cs="Arial" w:eastAsia="Arial" w:hAnsi="Arial"/>
                <w:sz w:val="18"/>
                <w:szCs w:val="18"/>
                <w:color w:val="auto"/>
              </w:rPr>
              <w:t>, 20</w:t>
            </w:r>
          </w:p>
        </w:tc>
        <w:tc>
          <w:tcPr>
            <w:tcW w:w="1900" w:type="dxa"/>
            <w:vAlign w:val="bottom"/>
            <w:gridSpan w:val="2"/>
          </w:tcPr>
          <w:p>
            <w:pPr>
              <w:ind w:left="100"/>
              <w:spacing w:after="0"/>
              <w:rPr>
                <w:sz w:val="20"/>
                <w:szCs w:val="20"/>
                <w:color w:val="auto"/>
              </w:rPr>
            </w:pPr>
            <w:r>
              <w:rPr>
                <w:rFonts w:ascii="Arial" w:cs="Arial" w:eastAsia="Arial" w:hAnsi="Arial"/>
                <w:sz w:val="18"/>
                <w:szCs w:val="18"/>
                <w:color w:val="auto"/>
              </w:rPr>
              <w:t>, with interest payable</w:t>
            </w:r>
          </w:p>
        </w:tc>
      </w:tr>
      <w:tr>
        <w:trPr>
          <w:trHeight w:val="230"/>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annually on each</w:t>
            </w:r>
          </w:p>
        </w:tc>
        <w:tc>
          <w:tcPr>
            <w:tcW w:w="1820" w:type="dxa"/>
            <w:vAlign w:val="bottom"/>
          </w:tcPr>
          <w:p>
            <w:pPr>
              <w:ind w:left="560"/>
              <w:spacing w:after="0"/>
              <w:rPr>
                <w:sz w:val="20"/>
                <w:szCs w:val="20"/>
                <w:color w:val="auto"/>
              </w:rPr>
            </w:pPr>
            <w:r>
              <w:rPr>
                <w:rFonts w:ascii="Arial" w:cs="Arial" w:eastAsia="Arial" w:hAnsi="Arial"/>
                <w:sz w:val="18"/>
                <w:szCs w:val="18"/>
                <w:color w:val="auto"/>
              </w:rPr>
              <w:t>, beginning</w:t>
            </w:r>
          </w:p>
        </w:tc>
        <w:tc>
          <w:tcPr>
            <w:tcW w:w="240" w:type="dxa"/>
            <w:vAlign w:val="bottom"/>
          </w:tcPr>
          <w:p>
            <w:pPr>
              <w:spacing w:after="0"/>
              <w:rPr>
                <w:sz w:val="20"/>
                <w:szCs w:val="20"/>
                <w:color w:val="auto"/>
              </w:rPr>
            </w:pPr>
          </w:p>
        </w:tc>
        <w:tc>
          <w:tcPr>
            <w:tcW w:w="3780" w:type="dxa"/>
            <w:vAlign w:val="bottom"/>
            <w:gridSpan w:val="4"/>
          </w:tcPr>
          <w:p>
            <w:pPr>
              <w:jc w:val="right"/>
              <w:ind w:right="230"/>
              <w:spacing w:after="0"/>
              <w:rPr>
                <w:sz w:val="20"/>
                <w:szCs w:val="20"/>
                <w:color w:val="auto"/>
              </w:rPr>
            </w:pPr>
            <w:r>
              <w:rPr>
                <w:rFonts w:ascii="Arial" w:cs="Arial" w:eastAsia="Arial" w:hAnsi="Arial"/>
                <w:sz w:val="18"/>
                <w:szCs w:val="18"/>
                <w:color w:val="auto"/>
                <w:w w:val="97"/>
              </w:rPr>
              <w:t>, 2021, to holders of record on the preceding</w:t>
            </w:r>
          </w:p>
        </w:tc>
        <w:tc>
          <w:tcPr>
            <w:tcW w:w="200" w:type="dxa"/>
            <w:vAlign w:val="bottom"/>
          </w:tcPr>
          <w:p>
            <w:pPr>
              <w:spacing w:after="0"/>
              <w:rPr>
                <w:sz w:val="20"/>
                <w:szCs w:val="20"/>
                <w:color w:val="auto"/>
              </w:rPr>
            </w:pPr>
          </w:p>
        </w:tc>
        <w:tc>
          <w:tcPr>
            <w:tcW w:w="170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418"/>
        </w:trPr>
        <w:tc>
          <w:tcPr>
            <w:tcW w:w="240" w:type="dxa"/>
            <w:vAlign w:val="bottom"/>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3040" w:type="dxa"/>
            <w:vAlign w:val="bottom"/>
            <w:gridSpan w:val="2"/>
          </w:tcPr>
          <w:p>
            <w:pPr>
              <w:ind w:left="280"/>
              <w:spacing w:after="0"/>
              <w:rPr>
                <w:sz w:val="20"/>
                <w:szCs w:val="20"/>
                <w:color w:val="auto"/>
              </w:rPr>
            </w:pPr>
            <w:r>
              <w:rPr>
                <w:rFonts w:ascii="Arial" w:cs="Arial" w:eastAsia="Arial" w:hAnsi="Arial"/>
                <w:sz w:val="18"/>
                <w:szCs w:val="18"/>
                <w:color w:val="auto"/>
                <w:w w:val="96"/>
              </w:rPr>
              <w:t>initial aggregate principal amount of</w:t>
            </w:r>
          </w:p>
        </w:tc>
        <w:tc>
          <w:tcPr>
            <w:tcW w:w="1880" w:type="dxa"/>
            <w:vAlign w:val="bottom"/>
            <w:gridSpan w:val="3"/>
          </w:tcPr>
          <w:p>
            <w:pPr>
              <w:ind w:left="100"/>
              <w:spacing w:after="0"/>
              <w:rPr>
                <w:sz w:val="20"/>
                <w:szCs w:val="20"/>
                <w:color w:val="auto"/>
              </w:rPr>
            </w:pPr>
            <w:r>
              <w:rPr>
                <w:rFonts w:ascii="Arial" w:cs="Arial" w:eastAsia="Arial" w:hAnsi="Arial"/>
                <w:sz w:val="18"/>
                <w:szCs w:val="18"/>
                <w:color w:val="auto"/>
                <w:w w:val="93"/>
              </w:rPr>
              <w:t>% sterling notes due 20</w:t>
            </w:r>
          </w:p>
        </w:tc>
        <w:tc>
          <w:tcPr>
            <w:tcW w:w="1700" w:type="dxa"/>
            <w:vAlign w:val="bottom"/>
          </w:tcPr>
          <w:p>
            <w:pPr>
              <w:ind w:left="100"/>
              <w:spacing w:after="0"/>
              <w:rPr>
                <w:sz w:val="20"/>
                <w:szCs w:val="20"/>
                <w:color w:val="auto"/>
              </w:rPr>
            </w:pPr>
            <w:r>
              <w:rPr>
                <w:rFonts w:ascii="Arial" w:cs="Arial" w:eastAsia="Arial" w:hAnsi="Arial"/>
                <w:sz w:val="18"/>
                <w:szCs w:val="18"/>
                <w:color w:val="auto"/>
              </w:rPr>
              <w:t>, maturing on</w:t>
            </w: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 20</w:t>
            </w:r>
          </w:p>
        </w:tc>
        <w:tc>
          <w:tcPr>
            <w:tcW w:w="1700" w:type="dxa"/>
            <w:vAlign w:val="bottom"/>
          </w:tcPr>
          <w:p>
            <w:pPr>
              <w:ind w:left="60"/>
              <w:spacing w:after="0"/>
              <w:rPr>
                <w:sz w:val="20"/>
                <w:szCs w:val="20"/>
                <w:color w:val="auto"/>
              </w:rPr>
            </w:pPr>
            <w:r>
              <w:rPr>
                <w:rFonts w:ascii="Arial" w:cs="Arial" w:eastAsia="Arial" w:hAnsi="Arial"/>
                <w:sz w:val="18"/>
                <w:szCs w:val="18"/>
                <w:color w:val="auto"/>
                <w:w w:val="93"/>
              </w:rPr>
              <w:t>, with interest payable</w:t>
            </w:r>
          </w:p>
        </w:tc>
      </w:tr>
      <w:tr>
        <w:trPr>
          <w:trHeight w:val="230"/>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annually on each</w:t>
            </w:r>
          </w:p>
        </w:tc>
        <w:tc>
          <w:tcPr>
            <w:tcW w:w="1820" w:type="dxa"/>
            <w:vAlign w:val="bottom"/>
          </w:tcPr>
          <w:p>
            <w:pPr>
              <w:ind w:left="380"/>
              <w:spacing w:after="0"/>
              <w:rPr>
                <w:sz w:val="20"/>
                <w:szCs w:val="20"/>
                <w:color w:val="auto"/>
              </w:rPr>
            </w:pPr>
            <w:r>
              <w:rPr>
                <w:rFonts w:ascii="Arial" w:cs="Arial" w:eastAsia="Arial" w:hAnsi="Arial"/>
                <w:sz w:val="18"/>
                <w:szCs w:val="18"/>
                <w:color w:val="auto"/>
              </w:rPr>
              <w:t>, beginning</w:t>
            </w:r>
          </w:p>
        </w:tc>
        <w:tc>
          <w:tcPr>
            <w:tcW w:w="240" w:type="dxa"/>
            <w:vAlign w:val="bottom"/>
          </w:tcPr>
          <w:p>
            <w:pPr>
              <w:spacing w:after="0"/>
              <w:rPr>
                <w:sz w:val="20"/>
                <w:szCs w:val="20"/>
                <w:color w:val="auto"/>
              </w:rPr>
            </w:pPr>
          </w:p>
        </w:tc>
        <w:tc>
          <w:tcPr>
            <w:tcW w:w="3340" w:type="dxa"/>
            <w:vAlign w:val="bottom"/>
            <w:gridSpan w:val="3"/>
          </w:tcPr>
          <w:p>
            <w:pPr>
              <w:ind w:left="80"/>
              <w:spacing w:after="0"/>
              <w:rPr>
                <w:sz w:val="20"/>
                <w:szCs w:val="20"/>
                <w:color w:val="auto"/>
              </w:rPr>
            </w:pPr>
            <w:r>
              <w:rPr>
                <w:rFonts w:ascii="Arial" w:cs="Arial" w:eastAsia="Arial" w:hAnsi="Arial"/>
                <w:sz w:val="18"/>
                <w:szCs w:val="18"/>
                <w:color w:val="auto"/>
                <w:w w:val="91"/>
              </w:rPr>
              <w:t>, 2021, to holders of record on the preceding</w:t>
            </w:r>
          </w:p>
        </w:tc>
        <w:tc>
          <w:tcPr>
            <w:tcW w:w="4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r>
      <w:tr>
        <w:trPr>
          <w:trHeight w:val="418"/>
        </w:trPr>
        <w:tc>
          <w:tcPr>
            <w:tcW w:w="240" w:type="dxa"/>
            <w:vAlign w:val="bottom"/>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ind w:left="200"/>
              <w:spacing w:after="0"/>
              <w:rPr>
                <w:sz w:val="20"/>
                <w:szCs w:val="20"/>
                <w:color w:val="auto"/>
              </w:rPr>
            </w:pPr>
            <w:r>
              <w:rPr>
                <w:rFonts w:ascii="Arial" w:cs="Arial" w:eastAsia="Arial" w:hAnsi="Arial"/>
                <w:sz w:val="18"/>
                <w:szCs w:val="18"/>
                <w:color w:val="auto"/>
              </w:rPr>
              <w:t>£</w:t>
            </w:r>
          </w:p>
        </w:tc>
        <w:tc>
          <w:tcPr>
            <w:tcW w:w="3040" w:type="dxa"/>
            <w:vAlign w:val="bottom"/>
            <w:gridSpan w:val="2"/>
          </w:tcPr>
          <w:p>
            <w:pPr>
              <w:ind w:left="280"/>
              <w:spacing w:after="0"/>
              <w:rPr>
                <w:sz w:val="20"/>
                <w:szCs w:val="20"/>
                <w:color w:val="auto"/>
              </w:rPr>
            </w:pPr>
            <w:r>
              <w:rPr>
                <w:rFonts w:ascii="Arial" w:cs="Arial" w:eastAsia="Arial" w:hAnsi="Arial"/>
                <w:sz w:val="18"/>
                <w:szCs w:val="18"/>
                <w:color w:val="auto"/>
                <w:w w:val="96"/>
              </w:rPr>
              <w:t>initial aggregate principal amount of</w:t>
            </w:r>
          </w:p>
        </w:tc>
        <w:tc>
          <w:tcPr>
            <w:tcW w:w="1880" w:type="dxa"/>
            <w:vAlign w:val="bottom"/>
            <w:gridSpan w:val="3"/>
          </w:tcPr>
          <w:p>
            <w:pPr>
              <w:ind w:left="100"/>
              <w:spacing w:after="0"/>
              <w:rPr>
                <w:sz w:val="20"/>
                <w:szCs w:val="20"/>
                <w:color w:val="auto"/>
              </w:rPr>
            </w:pPr>
            <w:r>
              <w:rPr>
                <w:rFonts w:ascii="Arial" w:cs="Arial" w:eastAsia="Arial" w:hAnsi="Arial"/>
                <w:sz w:val="18"/>
                <w:szCs w:val="18"/>
                <w:color w:val="auto"/>
                <w:w w:val="93"/>
              </w:rPr>
              <w:t>% sterling notes due 20</w:t>
            </w:r>
          </w:p>
        </w:tc>
        <w:tc>
          <w:tcPr>
            <w:tcW w:w="1700" w:type="dxa"/>
            <w:vAlign w:val="bottom"/>
          </w:tcPr>
          <w:p>
            <w:pPr>
              <w:ind w:left="100"/>
              <w:spacing w:after="0"/>
              <w:rPr>
                <w:sz w:val="20"/>
                <w:szCs w:val="20"/>
                <w:color w:val="auto"/>
              </w:rPr>
            </w:pPr>
            <w:r>
              <w:rPr>
                <w:rFonts w:ascii="Arial" w:cs="Arial" w:eastAsia="Arial" w:hAnsi="Arial"/>
                <w:sz w:val="18"/>
                <w:szCs w:val="18"/>
                <w:color w:val="auto"/>
              </w:rPr>
              <w:t>, maturing on</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20</w:t>
            </w:r>
          </w:p>
        </w:tc>
        <w:tc>
          <w:tcPr>
            <w:tcW w:w="1700" w:type="dxa"/>
            <w:vAlign w:val="bottom"/>
          </w:tcPr>
          <w:p>
            <w:pPr>
              <w:ind w:left="120"/>
              <w:spacing w:after="0"/>
              <w:rPr>
                <w:sz w:val="20"/>
                <w:szCs w:val="20"/>
                <w:color w:val="auto"/>
              </w:rPr>
            </w:pPr>
            <w:r>
              <w:rPr>
                <w:rFonts w:ascii="Arial" w:cs="Arial" w:eastAsia="Arial" w:hAnsi="Arial"/>
                <w:sz w:val="18"/>
                <w:szCs w:val="18"/>
                <w:color w:val="auto"/>
                <w:w w:val="89"/>
              </w:rPr>
              <w:t>, with interest payable</w:t>
            </w:r>
          </w:p>
        </w:tc>
      </w:tr>
      <w:tr>
        <w:trPr>
          <w:trHeight w:val="230"/>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Arial" w:cs="Arial" w:eastAsia="Arial" w:hAnsi="Arial"/>
                <w:sz w:val="18"/>
                <w:szCs w:val="18"/>
                <w:color w:val="auto"/>
              </w:rPr>
              <w:t>annually on each</w:t>
            </w:r>
          </w:p>
        </w:tc>
        <w:tc>
          <w:tcPr>
            <w:tcW w:w="1820" w:type="dxa"/>
            <w:vAlign w:val="bottom"/>
          </w:tcPr>
          <w:p>
            <w:pPr>
              <w:ind w:left="560"/>
              <w:spacing w:after="0"/>
              <w:rPr>
                <w:sz w:val="20"/>
                <w:szCs w:val="20"/>
                <w:color w:val="auto"/>
              </w:rPr>
            </w:pPr>
            <w:r>
              <w:rPr>
                <w:rFonts w:ascii="Arial" w:cs="Arial" w:eastAsia="Arial" w:hAnsi="Arial"/>
                <w:sz w:val="18"/>
                <w:szCs w:val="18"/>
                <w:color w:val="auto"/>
              </w:rPr>
              <w:t>, beginning</w:t>
            </w:r>
          </w:p>
        </w:tc>
        <w:tc>
          <w:tcPr>
            <w:tcW w:w="240" w:type="dxa"/>
            <w:vAlign w:val="bottom"/>
          </w:tcPr>
          <w:p>
            <w:pPr>
              <w:spacing w:after="0"/>
              <w:rPr>
                <w:sz w:val="20"/>
                <w:szCs w:val="20"/>
                <w:color w:val="auto"/>
              </w:rPr>
            </w:pPr>
          </w:p>
        </w:tc>
        <w:tc>
          <w:tcPr>
            <w:tcW w:w="3340" w:type="dxa"/>
            <w:vAlign w:val="bottom"/>
            <w:gridSpan w:val="3"/>
          </w:tcPr>
          <w:p>
            <w:pPr>
              <w:ind w:left="80"/>
              <w:spacing w:after="0"/>
              <w:rPr>
                <w:sz w:val="20"/>
                <w:szCs w:val="20"/>
                <w:color w:val="auto"/>
              </w:rPr>
            </w:pPr>
            <w:r>
              <w:rPr>
                <w:rFonts w:ascii="Arial" w:cs="Arial" w:eastAsia="Arial" w:hAnsi="Arial"/>
                <w:sz w:val="18"/>
                <w:szCs w:val="18"/>
                <w:color w:val="auto"/>
                <w:w w:val="91"/>
              </w:rPr>
              <w:t>, 2021, to holders of record on the preceding</w:t>
            </w:r>
          </w:p>
        </w:tc>
        <w:tc>
          <w:tcPr>
            <w:tcW w:w="44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 and</w:t>
            </w:r>
          </w:p>
        </w:tc>
      </w:tr>
      <w:tr>
        <w:trPr>
          <w:trHeight w:val="365"/>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S-10</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180"/>
          </w:cols>
          <w:pgMar w:left="240" w:top="44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4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€100,000 and in multiples of €1,000 in excess thereof and in denominations of £100,000 and in multiples of £1,000 in excess thereof for the euro notes and sterling notes, respectively.</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Payments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Interest on the notes will be computed on the basis of the actual number of days in the period for which interest is being calculated and the actual</w:t>
      </w:r>
    </w:p>
    <w:p>
      <w:pPr>
        <w:spacing w:after="0" w:line="35"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number of days from and including the last date to which interest was paid on the notes (or , 2020 if no interest has been paid on the notes), to but excluding the next scheduled interest payment date. This payment convention is referred to as ACTUAL/ACTUAL (ICMA) as defined in the rulebook of the International Capital Market Association.</w:t>
      </w:r>
    </w:p>
    <w:p>
      <w:pPr>
        <w:spacing w:after="0" w:line="15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54" w:lineRule="exact"/>
        <w:rPr>
          <w:sz w:val="20"/>
          <w:szCs w:val="20"/>
          <w:color w:val="auto"/>
        </w:rPr>
      </w:pPr>
    </w:p>
    <w:p>
      <w:pPr>
        <w:jc w:val="both"/>
        <w:ind w:left="200" w:right="120"/>
        <w:spacing w:after="0" w:line="286" w:lineRule="auto"/>
        <w:rPr>
          <w:sz w:val="20"/>
          <w:szCs w:val="20"/>
          <w:color w:val="auto"/>
        </w:rPr>
      </w:pPr>
      <w:r>
        <w:rPr>
          <w:rFonts w:ascii="Arial" w:cs="Arial" w:eastAsia="Arial" w:hAnsi="Arial"/>
          <w:sz w:val="17"/>
          <w:szCs w:val="17"/>
          <w:color w:val="auto"/>
        </w:rPr>
        <w:t>The term “business day” means any day other than a Saturday or Sunday (i) which is not a day on which banking institutions in The City of New York or London are authorized or obligated by law, regulation or executive order to close and (ii) in the case of the euro notes, on which the Trans-European Automated Real-Time Gross Settlement Express Transfer System (the TARGET2 system) or any successor thereto is open.</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Euro Notes—Issuance in Euro; Sterling Notes—Issuance in GBP</w:t>
      </w:r>
    </w:p>
    <w:p>
      <w:pPr>
        <w:spacing w:after="0" w:line="202"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Principal, premium, if any, and interest payments in respect of the euro notes will be payable in euro. If euro is unavailable to us due to the imposition of exchange controls or other circumstances beyond our control, then all payments in respect of the euro notes will be made in U.S. dollars until euro is again available to us. The amount payable on any date in euro will be converted into U.S. dollars at the Market Exchange Rate (as defined below) or, if such Market Exchange Rate is not then available, on the basis of the most recently available market exchange rate for euro. Any payment in respect of the euro notes so made in U.S. dollars will not constitute an event of default under the indenture.</w:t>
      </w:r>
    </w:p>
    <w:p>
      <w:pPr>
        <w:spacing w:after="0" w:line="132"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Principal, premium, if any, and interest payments in respect of the sterling notes will be payable in GBP. If GBP is unavailable to us due to the imposition of exchange controls or other circumstances beyond our control, then all payments in respect of the sterling notes will be made in U.S. dollars until GBP is again available to us. The amount payable on any date in GBP will be converted into U.S. dollars at the Market Exchange Rate (as defined below) or, if such Market Exchange Rate is not then available, on the basis of the most recently available market exchange rate for GBP. Any payment in respect of the sterling notes so made in U.S. dollars will not constitute an event of default under the indenture.</w:t>
      </w:r>
    </w:p>
    <w:p>
      <w:pPr>
        <w:spacing w:after="0" w:line="118" w:lineRule="exact"/>
        <w:rPr>
          <w:sz w:val="20"/>
          <w:szCs w:val="20"/>
          <w:color w:val="auto"/>
        </w:rPr>
      </w:pPr>
    </w:p>
    <w:p>
      <w:pPr>
        <w:jc w:val="both"/>
        <w:ind w:left="200" w:right="40"/>
        <w:spacing w:after="0" w:line="302" w:lineRule="auto"/>
        <w:rPr>
          <w:sz w:val="20"/>
          <w:szCs w:val="20"/>
          <w:color w:val="auto"/>
        </w:rPr>
      </w:pPr>
      <w:r>
        <w:rPr>
          <w:rFonts w:ascii="Arial" w:cs="Arial" w:eastAsia="Arial" w:hAnsi="Arial"/>
          <w:sz w:val="16"/>
          <w:szCs w:val="16"/>
          <w:color w:val="auto"/>
        </w:rPr>
        <w:t>The amount payable on any date in euro or GBP, as applicable, will be converted into U.S. dollars at the Market Exchange Rate (as defined below) or, if such Market Exchange Rate is not then available, on the basis of the then most recent U.S. dollar/euro exchange rate or U.S. dollar/GBP exchange rate, as applicable. Any payment in respect of the notes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127" w:lineRule="exact"/>
        <w:rPr>
          <w:sz w:val="20"/>
          <w:szCs w:val="20"/>
          <w:color w:val="auto"/>
        </w:rPr>
      </w:pPr>
    </w:p>
    <w:p>
      <w:pPr>
        <w:jc w:val="both"/>
        <w:ind w:left="200" w:right="40"/>
        <w:spacing w:after="0" w:line="277" w:lineRule="auto"/>
        <w:rPr>
          <w:sz w:val="20"/>
          <w:szCs w:val="20"/>
          <w:color w:val="auto"/>
        </w:rPr>
      </w:pPr>
      <w:r>
        <w:rPr>
          <w:rFonts w:ascii="Arial" w:cs="Arial" w:eastAsia="Arial" w:hAnsi="Arial"/>
          <w:sz w:val="18"/>
          <w:szCs w:val="18"/>
          <w:color w:val="auto"/>
        </w:rPr>
        <w:t>“Market Exchange Rate” means the noon buying rate in The City of New York for cable transfers of euro or GBP, as applicable, as certified for customs purposes (or, if not so certified, as otherwise determined) by the Federal Reserve Bank of New York.</w:t>
      </w:r>
    </w:p>
    <w:p>
      <w:pPr>
        <w:spacing w:after="0" w:line="130" w:lineRule="exact"/>
        <w:rPr>
          <w:sz w:val="20"/>
          <w:szCs w:val="20"/>
          <w:color w:val="auto"/>
        </w:rPr>
      </w:pPr>
    </w:p>
    <w:p>
      <w:pPr>
        <w:ind w:left="200" w:right="720"/>
        <w:spacing w:after="0" w:line="342" w:lineRule="auto"/>
        <w:rPr>
          <w:sz w:val="20"/>
          <w:szCs w:val="20"/>
          <w:color w:val="auto"/>
        </w:rPr>
      </w:pPr>
      <w:r>
        <w:rPr>
          <w:rFonts w:ascii="Arial" w:cs="Arial" w:eastAsia="Arial" w:hAnsi="Arial"/>
          <w:sz w:val="16"/>
          <w:szCs w:val="16"/>
          <w:color w:val="auto"/>
        </w:rPr>
        <w:t>Investors will be subject to foreign exchange risks as to payments of principal of, and premium, if any, and interest on, the notes that may have important economic and tax consequences to them. See “Risk Factors” and “Material U.S. Federal Income Tax Consequences.”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As of February 3, 2020, the euro/USD rate of exchange was €0.90/U.S.$1.00, and the GBP/USD rate of exchange was £0.77/U.S.$1.00, each as reported by Bloomberg L.P.</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89"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notes constitute new issues of securities for which there are no established trading markets. We intend to apply to list each series of the notes on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Guarantees</w:t>
      </w:r>
    </w:p>
    <w:p>
      <w:pPr>
        <w:spacing w:after="0" w:line="20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3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202"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We will have the right at our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We will calculate the Redemption Price in connection with any redemption hereunder.</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“Redemption Price” means:</w:t>
      </w:r>
    </w:p>
    <w:p>
      <w:pPr>
        <w:spacing w:after="0" w:line="225" w:lineRule="exact"/>
        <w:rPr>
          <w:sz w:val="20"/>
          <w:szCs w:val="20"/>
          <w:color w:val="auto"/>
        </w:rPr>
      </w:pPr>
    </w:p>
    <w:p>
      <w:pPr>
        <w:ind w:left="640"/>
        <w:spacing w:after="0"/>
        <w:tabs>
          <w:tab w:leader="none" w:pos="1040" w:val="left"/>
          <w:tab w:leader="none" w:pos="3920" w:val="left"/>
          <w:tab w:leader="none" w:pos="6340" w:val="left"/>
          <w:tab w:leader="none" w:pos="6820" w:val="left"/>
          <w:tab w:leader="none" w:pos="7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respect to the euro notes due 20</w:t>
        <w:tab/>
        <w:t>, at any time prior to</w:t>
      </w:r>
      <w:r>
        <w:rPr>
          <w:sz w:val="20"/>
          <w:szCs w:val="20"/>
          <w:color w:val="auto"/>
        </w:rPr>
        <w:tab/>
      </w:r>
      <w:r>
        <w:rPr>
          <w:rFonts w:ascii="Arial" w:cs="Arial" w:eastAsia="Arial" w:hAnsi="Arial"/>
          <w:sz w:val="18"/>
          <w:szCs w:val="18"/>
          <w:color w:val="auto"/>
        </w:rPr>
        <w:t>, 20</w:t>
        <w:tab/>
        <w:t>(</w:t>
      </w:r>
      <w:r>
        <w:rPr>
          <w:sz w:val="20"/>
          <w:szCs w:val="20"/>
          <w:color w:val="auto"/>
        </w:rPr>
        <w:tab/>
      </w:r>
      <w:r>
        <w:rPr>
          <w:rFonts w:ascii="Arial" w:cs="Arial" w:eastAsia="Arial" w:hAnsi="Arial"/>
          <w:sz w:val="16"/>
          <w:szCs w:val="16"/>
          <w:color w:val="auto"/>
        </w:rPr>
        <w:t>months prior to the maturity of the euro notes due</w:t>
      </w:r>
    </w:p>
    <w:p>
      <w:pPr>
        <w:spacing w:after="0" w:line="23" w:lineRule="exact"/>
        <w:rPr>
          <w:sz w:val="20"/>
          <w:szCs w:val="20"/>
          <w:color w:val="auto"/>
        </w:rPr>
      </w:pPr>
    </w:p>
    <w:p>
      <w:pPr>
        <w:ind w:left="1060" w:right="40" w:firstLine="8"/>
        <w:spacing w:after="0" w:line="281" w:lineRule="auto"/>
        <w:tabs>
          <w:tab w:leader="none" w:pos="1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(the “20 Par Call Date”), the greater of (i) 100% of the principal amount of such notes and (ii) the sum of the present values of the principal amount of such notes and the scheduled payments of interest thereon (exclusive of interest accrued to the date of redemption) from</w:t>
      </w:r>
    </w:p>
    <w:p>
      <w:pPr>
        <w:spacing w:after="0" w:line="1"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7"/>
          <w:szCs w:val="17"/>
          <w:color w:val="auto"/>
        </w:rPr>
        <w:t>the redemption date to the 20   Par Call Date, in each case discounted to the redemption date on an actual (ACTUAL/ACTUAL (ICMA))</w:t>
      </w:r>
    </w:p>
    <w:p>
      <w:pPr>
        <w:spacing w:after="0" w:line="203" w:lineRule="exact"/>
        <w:rPr>
          <w:sz w:val="20"/>
          <w:szCs w:val="20"/>
          <w:color w:val="auto"/>
        </w:rPr>
      </w:pPr>
    </w:p>
    <w:p>
      <w:pPr>
        <w:ind w:left="1060" w:right="300"/>
        <w:spacing w:after="0" w:line="308" w:lineRule="auto"/>
        <w:rPr>
          <w:sz w:val="20"/>
          <w:szCs w:val="20"/>
          <w:color w:val="auto"/>
        </w:rPr>
      </w:pPr>
      <w:r>
        <w:rPr>
          <w:rFonts w:ascii="Arial" w:cs="Arial" w:eastAsia="Arial" w:hAnsi="Arial"/>
          <w:sz w:val="17"/>
          <w:szCs w:val="17"/>
          <w:color w:val="auto"/>
        </w:rPr>
        <w:t>basis at a rate equal to the applicable comparable government bond rate plus basis points; provided that, if the euro notes due 20 are redeemed on or after the 20 Par Call Date, the Redemption Price will equal 100% of the principal amount of such notes;</w:t>
      </w:r>
    </w:p>
    <w:p>
      <w:pPr>
        <w:sectPr>
          <w:pgSz w:w="11900" w:h="16838" w:orient="portrait"/>
          <w:cols w:equalWidth="0" w:num="1">
            <w:col w:w="11220"/>
          </w:cols>
          <w:pgMar w:left="240" w:top="459" w:right="439" w:bottom="1440" w:gutter="0" w:footer="0" w:header="0"/>
        </w:sectPr>
      </w:pP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tabs>
          <w:tab w:leader="none" w:pos="2860" w:val="left"/>
          <w:tab w:leader="none" w:pos="5460" w:val="left"/>
          <w:tab w:leader="none" w:pos="5940" w:val="left"/>
          <w:tab w:leader="none" w:pos="6360" w:val="left"/>
        </w:tabs>
        <w:rPr>
          <w:sz w:val="20"/>
          <w:szCs w:val="20"/>
          <w:color w:val="auto"/>
        </w:rPr>
      </w:pPr>
      <w:r>
        <w:rPr>
          <w:rFonts w:ascii="Arial" w:cs="Arial" w:eastAsia="Arial" w:hAnsi="Arial"/>
          <w:sz w:val="18"/>
          <w:szCs w:val="18"/>
          <w:color w:val="auto"/>
        </w:rPr>
        <w:t>with respect to the euro notes due 20</w:t>
        <w:tab/>
        <w:t>, at any time prior to</w:t>
      </w:r>
      <w:r>
        <w:rPr>
          <w:sz w:val="20"/>
          <w:szCs w:val="20"/>
          <w:color w:val="auto"/>
        </w:rPr>
        <w:tab/>
      </w:r>
      <w:r>
        <w:rPr>
          <w:rFonts w:ascii="Arial" w:cs="Arial" w:eastAsia="Arial" w:hAnsi="Arial"/>
          <w:sz w:val="18"/>
          <w:szCs w:val="18"/>
          <w:color w:val="auto"/>
        </w:rPr>
        <w:t>, 20</w:t>
        <w:tab/>
        <w:t>(</w:t>
      </w:r>
      <w:r>
        <w:rPr>
          <w:sz w:val="20"/>
          <w:szCs w:val="20"/>
          <w:color w:val="auto"/>
        </w:rPr>
        <w:tab/>
      </w:r>
      <w:r>
        <w:rPr>
          <w:rFonts w:ascii="Arial" w:cs="Arial" w:eastAsia="Arial" w:hAnsi="Arial"/>
          <w:sz w:val="16"/>
          <w:szCs w:val="16"/>
          <w:color w:val="auto"/>
        </w:rPr>
        <w:t>months prior to the maturity of the euro notes due</w:t>
      </w:r>
    </w:p>
    <w:p>
      <w:pPr>
        <w:spacing w:after="0" w:line="23" w:lineRule="exact"/>
        <w:rPr>
          <w:sz w:val="20"/>
          <w:szCs w:val="20"/>
          <w:color w:val="auto"/>
        </w:rPr>
      </w:pPr>
    </w:p>
    <w:p>
      <w:pPr>
        <w:sectPr>
          <w:pgSz w:w="11900" w:h="16838" w:orient="portrait"/>
          <w:cols w:equalWidth="0" w:num="2">
            <w:col w:w="700" w:space="360"/>
            <w:col w:w="10160"/>
          </w:cols>
          <w:pgMar w:left="240" w:top="459" w:right="439" w:bottom="1440" w:gutter="0" w:footer="0" w:header="0"/>
          <w:type w:val="continuous"/>
        </w:sectPr>
      </w:pPr>
    </w:p>
    <w:p>
      <w:pPr>
        <w:ind w:left="1060" w:right="40" w:firstLine="8"/>
        <w:spacing w:after="0" w:line="281" w:lineRule="auto"/>
        <w:tabs>
          <w:tab w:leader="none" w:pos="1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(the “20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 Par Call Date, in each case discounted to the redemption date on an actual (ACTUAL/ACTUAL (ICMA))</w:t>
      </w:r>
    </w:p>
    <w:p>
      <w:pPr>
        <w:spacing w:after="0" w:line="2" w:lineRule="exact"/>
        <w:rPr>
          <w:sz w:val="20"/>
          <w:szCs w:val="20"/>
          <w:color w:val="auto"/>
        </w:rPr>
      </w:pPr>
    </w:p>
    <w:p>
      <w:pPr>
        <w:ind w:left="1060" w:right="480"/>
        <w:spacing w:after="0" w:line="290" w:lineRule="auto"/>
        <w:rPr>
          <w:sz w:val="20"/>
          <w:szCs w:val="20"/>
          <w:color w:val="auto"/>
        </w:rPr>
      </w:pPr>
      <w:r>
        <w:rPr>
          <w:rFonts w:ascii="Arial" w:cs="Arial" w:eastAsia="Arial" w:hAnsi="Arial"/>
          <w:sz w:val="17"/>
          <w:szCs w:val="17"/>
          <w:color w:val="auto"/>
        </w:rPr>
        <w:t>basis at a rate equal to the applicable comparable government bond rate plus basis points; provided that, if the euro notes due 20 are redeemed on or after the 20 Par Call Date, the Redemption Price will equal 100% of the principal amount of such notes;</w:t>
      </w:r>
    </w:p>
    <w:p>
      <w:pPr>
        <w:spacing w:after="0" w:line="162" w:lineRule="exact"/>
        <w:rPr>
          <w:sz w:val="20"/>
          <w:szCs w:val="20"/>
          <w:color w:val="auto"/>
        </w:rPr>
      </w:pPr>
    </w:p>
    <w:p>
      <w:pPr>
        <w:ind w:left="640"/>
        <w:spacing w:after="0"/>
        <w:tabs>
          <w:tab w:leader="none" w:pos="1040" w:val="left"/>
          <w:tab w:leader="none" w:pos="3920" w:val="left"/>
          <w:tab w:leader="none" w:pos="6340" w:val="left"/>
          <w:tab w:leader="none" w:pos="6820" w:val="left"/>
          <w:tab w:leader="none" w:pos="7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respect to the euro notes due 20</w:t>
        <w:tab/>
        <w:t>, at any time prior to</w:t>
      </w:r>
      <w:r>
        <w:rPr>
          <w:sz w:val="20"/>
          <w:szCs w:val="20"/>
          <w:color w:val="auto"/>
        </w:rPr>
        <w:tab/>
      </w:r>
      <w:r>
        <w:rPr>
          <w:rFonts w:ascii="Arial" w:cs="Arial" w:eastAsia="Arial" w:hAnsi="Arial"/>
          <w:sz w:val="18"/>
          <w:szCs w:val="18"/>
          <w:color w:val="auto"/>
        </w:rPr>
        <w:t>, 20</w:t>
        <w:tab/>
        <w:t>(</w:t>
      </w:r>
      <w:r>
        <w:rPr>
          <w:sz w:val="20"/>
          <w:szCs w:val="20"/>
          <w:color w:val="auto"/>
        </w:rPr>
        <w:tab/>
      </w:r>
      <w:r>
        <w:rPr>
          <w:rFonts w:ascii="Arial" w:cs="Arial" w:eastAsia="Arial" w:hAnsi="Arial"/>
          <w:sz w:val="16"/>
          <w:szCs w:val="16"/>
          <w:color w:val="auto"/>
        </w:rPr>
        <w:t>months prior to the maturity of the euro notes due</w:t>
      </w:r>
    </w:p>
    <w:p>
      <w:pPr>
        <w:spacing w:after="0" w:line="23" w:lineRule="exact"/>
        <w:rPr>
          <w:sz w:val="20"/>
          <w:szCs w:val="20"/>
          <w:color w:val="auto"/>
        </w:rPr>
      </w:pPr>
    </w:p>
    <w:p>
      <w:pPr>
        <w:ind w:left="1060" w:right="140" w:firstLine="8"/>
        <w:spacing w:after="0" w:line="290" w:lineRule="auto"/>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(the “20 Par Call Date”), the greater of (i) 100% of the principal amount of such notes and (ii) the sum of the present values of the principal amount of such notes and the scheduled payments of interest thereon (exclusive of interest accrued to the date of</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59" w:lineRule="auto"/>
        <w:rPr>
          <w:sz w:val="20"/>
          <w:szCs w:val="20"/>
          <w:color w:val="auto"/>
        </w:rPr>
      </w:pPr>
      <w:r>
        <w:rPr>
          <w:rFonts w:ascii="Arial" w:cs="Arial" w:eastAsia="Arial" w:hAnsi="Arial"/>
          <w:sz w:val="18"/>
          <w:szCs w:val="18"/>
          <w:color w:val="auto"/>
        </w:rPr>
        <w:t>redemption) from the redemption date to the 20 Par Call Date, in each case discounted to the redemption date on an actual (ACTUAL/ACTUAL (ICMA)) basis at a rate equal to the applicable comparable government bond rate plus basis points; provided that, if the euro notes due 20 are redeemed on or after the 20 Par Call Date, the Redemption Price will equal 100% of the principal amount of such notes;</w:t>
      </w:r>
    </w:p>
    <w:p>
      <w:pPr>
        <w:spacing w:after="0" w:line="9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060" w:type="dxa"/>
            <w:vAlign w:val="bottom"/>
            <w:gridSpan w:val="3"/>
          </w:tcPr>
          <w:p>
            <w:pPr>
              <w:ind w:left="180"/>
              <w:spacing w:after="0"/>
              <w:rPr>
                <w:sz w:val="20"/>
                <w:szCs w:val="20"/>
                <w:color w:val="auto"/>
              </w:rPr>
            </w:pPr>
            <w:r>
              <w:rPr>
                <w:rFonts w:ascii="Arial" w:cs="Arial" w:eastAsia="Arial" w:hAnsi="Arial"/>
                <w:sz w:val="18"/>
                <w:szCs w:val="18"/>
                <w:color w:val="auto"/>
                <w:w w:val="89"/>
              </w:rPr>
              <w:t>with respect to the sterling notes due 20</w:t>
            </w:r>
          </w:p>
        </w:tc>
        <w:tc>
          <w:tcPr>
            <w:tcW w:w="2160" w:type="dxa"/>
            <w:vAlign w:val="bottom"/>
          </w:tcPr>
          <w:p>
            <w:pPr>
              <w:ind w:left="220"/>
              <w:spacing w:after="0"/>
              <w:rPr>
                <w:sz w:val="20"/>
                <w:szCs w:val="20"/>
                <w:color w:val="auto"/>
              </w:rPr>
            </w:pPr>
            <w:r>
              <w:rPr>
                <w:rFonts w:ascii="Arial" w:cs="Arial" w:eastAsia="Arial" w:hAnsi="Arial"/>
                <w:sz w:val="18"/>
                <w:szCs w:val="18"/>
                <w:color w:val="auto"/>
              </w:rPr>
              <w:t>, at any time prior to</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 20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w w:val="93"/>
              </w:rPr>
              <w:t>months prior to the maturity of the sterling notes</w:t>
            </w:r>
          </w:p>
        </w:tc>
      </w:tr>
      <w:tr>
        <w:trPr>
          <w:trHeight w:val="216"/>
        </w:trPr>
        <w:tc>
          <w:tcPr>
            <w:tcW w:w="24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due 20</w:t>
            </w:r>
          </w:p>
        </w:tc>
        <w:tc>
          <w:tcPr>
            <w:tcW w:w="900" w:type="dxa"/>
            <w:vAlign w:val="bottom"/>
          </w:tcPr>
          <w:p>
            <w:pPr>
              <w:ind w:left="100"/>
              <w:spacing w:after="0"/>
              <w:rPr>
                <w:sz w:val="20"/>
                <w:szCs w:val="20"/>
                <w:color w:val="auto"/>
              </w:rPr>
            </w:pPr>
            <w:r>
              <w:rPr>
                <w:rFonts w:ascii="Arial" w:cs="Arial" w:eastAsia="Arial" w:hAnsi="Arial"/>
                <w:sz w:val="18"/>
                <w:szCs w:val="18"/>
                <w:color w:val="auto"/>
              </w:rPr>
              <w:t>) (the “20</w:t>
            </w:r>
          </w:p>
        </w:tc>
        <w:tc>
          <w:tcPr>
            <w:tcW w:w="8580" w:type="dxa"/>
            <w:vAlign w:val="bottom"/>
            <w:gridSpan w:val="5"/>
          </w:tcPr>
          <w:p>
            <w:pPr>
              <w:ind w:left="100"/>
              <w:spacing w:after="0"/>
              <w:rPr>
                <w:sz w:val="20"/>
                <w:szCs w:val="20"/>
                <w:color w:val="auto"/>
              </w:rPr>
            </w:pPr>
            <w:r>
              <w:rPr>
                <w:rFonts w:ascii="Arial" w:cs="Arial" w:eastAsia="Arial" w:hAnsi="Arial"/>
                <w:sz w:val="18"/>
                <w:szCs w:val="18"/>
                <w:color w:val="auto"/>
                <w:w w:val="91"/>
              </w:rPr>
              <w:t>Par Call Date”), the greater of (i) 100% of the principal amount of such notes and (ii) the sum of the present values of</w:t>
            </w:r>
          </w:p>
        </w:tc>
      </w:tr>
      <w:tr>
        <w:trPr>
          <w:trHeight w:val="216"/>
        </w:trPr>
        <w:tc>
          <w:tcPr>
            <w:tcW w:w="240" w:type="dxa"/>
            <w:vAlign w:val="bottom"/>
          </w:tcPr>
          <w:p>
            <w:pPr>
              <w:spacing w:after="0"/>
              <w:rPr>
                <w:sz w:val="18"/>
                <w:szCs w:val="18"/>
                <w:color w:val="auto"/>
              </w:rPr>
            </w:pPr>
          </w:p>
        </w:tc>
        <w:tc>
          <w:tcPr>
            <w:tcW w:w="10240" w:type="dxa"/>
            <w:vAlign w:val="bottom"/>
            <w:gridSpan w:val="7"/>
          </w:tcPr>
          <w:p>
            <w:pPr>
              <w:ind w:left="180"/>
              <w:spacing w:after="0"/>
              <w:rPr>
                <w:sz w:val="20"/>
                <w:szCs w:val="20"/>
                <w:color w:val="auto"/>
              </w:rPr>
            </w:pPr>
            <w:r>
              <w:rPr>
                <w:rFonts w:ascii="Arial" w:cs="Arial" w:eastAsia="Arial" w:hAnsi="Arial"/>
                <w:sz w:val="18"/>
                <w:szCs w:val="18"/>
                <w:color w:val="auto"/>
                <w:w w:val="90"/>
              </w:rPr>
              <w:t>the principal amount of such notes and the scheduled payments of interest thereon (exclusive of interest accrued to the date of redemption)</w:t>
            </w:r>
          </w:p>
        </w:tc>
      </w:tr>
      <w:tr>
        <w:trPr>
          <w:trHeight w:val="216"/>
        </w:trPr>
        <w:tc>
          <w:tcPr>
            <w:tcW w:w="240" w:type="dxa"/>
            <w:vAlign w:val="bottom"/>
          </w:tcPr>
          <w:p>
            <w:pPr>
              <w:spacing w:after="0"/>
              <w:rPr>
                <w:sz w:val="18"/>
                <w:szCs w:val="18"/>
                <w:color w:val="auto"/>
              </w:rPr>
            </w:pPr>
          </w:p>
        </w:tc>
        <w:tc>
          <w:tcPr>
            <w:tcW w:w="10240" w:type="dxa"/>
            <w:vAlign w:val="bottom"/>
            <w:gridSpan w:val="7"/>
          </w:tcPr>
          <w:p>
            <w:pPr>
              <w:ind w:left="180"/>
              <w:spacing w:after="0"/>
              <w:rPr>
                <w:sz w:val="20"/>
                <w:szCs w:val="20"/>
                <w:color w:val="auto"/>
              </w:rPr>
            </w:pPr>
            <w:r>
              <w:rPr>
                <w:rFonts w:ascii="Arial" w:cs="Arial" w:eastAsia="Arial" w:hAnsi="Arial"/>
                <w:sz w:val="18"/>
                <w:szCs w:val="18"/>
                <w:color w:val="auto"/>
                <w:w w:val="95"/>
              </w:rPr>
              <w:t>from the redemption date to the 20   Par Call Date, in each case discounted to the redemption date on an actual (ACTUAL/ACTUAL</w:t>
            </w:r>
          </w:p>
        </w:tc>
      </w:tr>
      <w:tr>
        <w:trPr>
          <w:trHeight w:val="216"/>
        </w:trPr>
        <w:tc>
          <w:tcPr>
            <w:tcW w:w="240" w:type="dxa"/>
            <w:vAlign w:val="bottom"/>
          </w:tcPr>
          <w:p>
            <w:pPr>
              <w:spacing w:after="0"/>
              <w:rPr>
                <w:sz w:val="18"/>
                <w:szCs w:val="18"/>
                <w:color w:val="auto"/>
              </w:rPr>
            </w:pPr>
          </w:p>
        </w:tc>
        <w:tc>
          <w:tcPr>
            <w:tcW w:w="10240" w:type="dxa"/>
            <w:vAlign w:val="bottom"/>
            <w:gridSpan w:val="7"/>
          </w:tcPr>
          <w:p>
            <w:pPr>
              <w:ind w:left="180"/>
              <w:spacing w:after="0"/>
              <w:rPr>
                <w:sz w:val="20"/>
                <w:szCs w:val="20"/>
                <w:color w:val="auto"/>
              </w:rPr>
            </w:pPr>
            <w:r>
              <w:rPr>
                <w:rFonts w:ascii="Arial" w:cs="Arial" w:eastAsia="Arial" w:hAnsi="Arial"/>
                <w:sz w:val="18"/>
                <w:szCs w:val="18"/>
                <w:color w:val="auto"/>
                <w:w w:val="91"/>
              </w:rPr>
              <w:t>(ICMA)) basis at a rate equal to the applicable comparable government bond rate plus basis points; provided that, if the sterling notes due</w:t>
            </w:r>
          </w:p>
        </w:tc>
      </w:tr>
      <w:tr>
        <w:trPr>
          <w:trHeight w:val="230"/>
        </w:trPr>
        <w:tc>
          <w:tcPr>
            <w:tcW w:w="240" w:type="dxa"/>
            <w:vAlign w:val="bottom"/>
          </w:tcPr>
          <w:p>
            <w:pPr>
              <w:spacing w:after="0"/>
              <w:rPr>
                <w:sz w:val="20"/>
                <w:szCs w:val="20"/>
                <w:color w:val="auto"/>
              </w:rPr>
            </w:pPr>
          </w:p>
        </w:tc>
        <w:tc>
          <w:tcPr>
            <w:tcW w:w="3060" w:type="dxa"/>
            <w:vAlign w:val="bottom"/>
            <w:gridSpan w:val="3"/>
          </w:tcPr>
          <w:p>
            <w:pPr>
              <w:ind w:left="180"/>
              <w:spacing w:after="0"/>
              <w:rPr>
                <w:sz w:val="20"/>
                <w:szCs w:val="20"/>
                <w:color w:val="auto"/>
              </w:rPr>
            </w:pPr>
            <w:r>
              <w:rPr>
                <w:rFonts w:ascii="Arial" w:cs="Arial" w:eastAsia="Arial" w:hAnsi="Arial"/>
                <w:sz w:val="18"/>
                <w:szCs w:val="18"/>
                <w:color w:val="auto"/>
                <w:w w:val="98"/>
              </w:rPr>
              <w:t>20   are redeemed on or after the 20</w:t>
            </w:r>
          </w:p>
        </w:tc>
        <w:tc>
          <w:tcPr>
            <w:tcW w:w="7180" w:type="dxa"/>
            <w:vAlign w:val="bottom"/>
            <w:gridSpan w:val="4"/>
          </w:tcPr>
          <w:p>
            <w:pPr>
              <w:spacing w:after="0"/>
              <w:rPr>
                <w:sz w:val="20"/>
                <w:szCs w:val="20"/>
                <w:color w:val="auto"/>
              </w:rPr>
            </w:pPr>
            <w:r>
              <w:rPr>
                <w:rFonts w:ascii="Arial" w:cs="Arial" w:eastAsia="Arial" w:hAnsi="Arial"/>
                <w:sz w:val="18"/>
                <w:szCs w:val="18"/>
                <w:color w:val="auto"/>
                <w:w w:val="94"/>
              </w:rPr>
              <w:t>Par Call Date, the Redemption Price will equal 100% of the principal amount of such notes; and</w:t>
            </w:r>
          </w:p>
        </w:tc>
      </w:tr>
      <w:tr>
        <w:trPr>
          <w:trHeight w:val="41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060" w:type="dxa"/>
            <w:vAlign w:val="bottom"/>
            <w:gridSpan w:val="3"/>
          </w:tcPr>
          <w:p>
            <w:pPr>
              <w:ind w:left="180"/>
              <w:spacing w:after="0"/>
              <w:rPr>
                <w:sz w:val="20"/>
                <w:szCs w:val="20"/>
                <w:color w:val="auto"/>
              </w:rPr>
            </w:pPr>
            <w:r>
              <w:rPr>
                <w:rFonts w:ascii="Arial" w:cs="Arial" w:eastAsia="Arial" w:hAnsi="Arial"/>
                <w:sz w:val="18"/>
                <w:szCs w:val="18"/>
                <w:color w:val="auto"/>
                <w:w w:val="89"/>
              </w:rPr>
              <w:t>with respect to the sterling notes due 20</w:t>
            </w:r>
          </w:p>
        </w:tc>
        <w:tc>
          <w:tcPr>
            <w:tcW w:w="2160" w:type="dxa"/>
            <w:vAlign w:val="bottom"/>
          </w:tcPr>
          <w:p>
            <w:pPr>
              <w:ind w:left="220"/>
              <w:spacing w:after="0"/>
              <w:rPr>
                <w:sz w:val="20"/>
                <w:szCs w:val="20"/>
                <w:color w:val="auto"/>
              </w:rPr>
            </w:pPr>
            <w:r>
              <w:rPr>
                <w:rFonts w:ascii="Arial" w:cs="Arial" w:eastAsia="Arial" w:hAnsi="Arial"/>
                <w:sz w:val="18"/>
                <w:szCs w:val="18"/>
                <w:color w:val="auto"/>
              </w:rPr>
              <w:t>, at any time prior to</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 20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w w:val="93"/>
              </w:rPr>
              <w:t>months prior to the maturity of the sterling notes</w:t>
            </w:r>
          </w:p>
        </w:tc>
      </w:tr>
      <w:tr>
        <w:trPr>
          <w:trHeight w:val="230"/>
        </w:trPr>
        <w:tc>
          <w:tcPr>
            <w:tcW w:w="240" w:type="dxa"/>
            <w:vAlign w:val="bottom"/>
          </w:tcPr>
          <w:p>
            <w:pPr>
              <w:spacing w:after="0"/>
              <w:rPr>
                <w:sz w:val="20"/>
                <w:szCs w:val="20"/>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due 20</w:t>
            </w:r>
          </w:p>
        </w:tc>
        <w:tc>
          <w:tcPr>
            <w:tcW w:w="900" w:type="dxa"/>
            <w:vAlign w:val="bottom"/>
          </w:tcPr>
          <w:p>
            <w:pPr>
              <w:ind w:left="100"/>
              <w:spacing w:after="0"/>
              <w:rPr>
                <w:sz w:val="20"/>
                <w:szCs w:val="20"/>
                <w:color w:val="auto"/>
              </w:rPr>
            </w:pPr>
            <w:r>
              <w:rPr>
                <w:rFonts w:ascii="Arial" w:cs="Arial" w:eastAsia="Arial" w:hAnsi="Arial"/>
                <w:sz w:val="18"/>
                <w:szCs w:val="18"/>
                <w:color w:val="auto"/>
              </w:rPr>
              <w:t>) (the “20</w:t>
            </w:r>
          </w:p>
        </w:tc>
        <w:tc>
          <w:tcPr>
            <w:tcW w:w="8580" w:type="dxa"/>
            <w:vAlign w:val="bottom"/>
            <w:gridSpan w:val="5"/>
          </w:tcPr>
          <w:p>
            <w:pPr>
              <w:ind w:left="100"/>
              <w:spacing w:after="0"/>
              <w:rPr>
                <w:sz w:val="20"/>
                <w:szCs w:val="20"/>
                <w:color w:val="auto"/>
              </w:rPr>
            </w:pPr>
            <w:r>
              <w:rPr>
                <w:rFonts w:ascii="Arial" w:cs="Arial" w:eastAsia="Arial" w:hAnsi="Arial"/>
                <w:sz w:val="18"/>
                <w:szCs w:val="18"/>
                <w:color w:val="auto"/>
                <w:w w:val="91"/>
              </w:rPr>
              <w:t>Par Call Date”), the greater of (i) 100% of the principal amount of such notes and (ii) the sum of the present values of</w:t>
            </w:r>
          </w:p>
        </w:tc>
      </w:tr>
    </w:tbl>
    <w:p>
      <w:pPr>
        <w:ind w:left="1060" w:right="100"/>
        <w:spacing w:after="0" w:line="281" w:lineRule="auto"/>
        <w:rPr>
          <w:sz w:val="20"/>
          <w:szCs w:val="20"/>
          <w:color w:val="auto"/>
        </w:rPr>
      </w:pPr>
      <w:r>
        <w:rPr>
          <w:rFonts w:ascii="Arial" w:cs="Arial" w:eastAsia="Arial" w:hAnsi="Arial"/>
          <w:sz w:val="16"/>
          <w:szCs w:val="16"/>
          <w:color w:val="auto"/>
        </w:rPr>
        <w:t>the principal amount of such notes and the scheduled payments of interest thereon (exclusive of interest accrued to the date of redemption) from the redemption date to the 20 Par Call Date, in each case discounted to the redemption date on an actual (ACTUAL/ACTUAL (ICMA)) basis at a rate equal to the applicable comparable government bond rate plus basis points; provided that, if the sterling notes due</w:t>
      </w:r>
    </w:p>
    <w:p>
      <w:pPr>
        <w:spacing w:after="0" w:line="2" w:lineRule="exact"/>
        <w:rPr>
          <w:sz w:val="20"/>
          <w:szCs w:val="20"/>
          <w:color w:val="auto"/>
        </w:rPr>
      </w:pPr>
    </w:p>
    <w:p>
      <w:pPr>
        <w:ind w:left="200" w:right="580" w:firstLine="868"/>
        <w:spacing w:after="0" w:line="453" w:lineRule="auto"/>
        <w:tabs>
          <w:tab w:leader="none" w:pos="14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redeemed on or after the 20 Par Call Date, the Redemption Price will equal 100% of the principal amount of such notes; plus, in each case, accrued and unpaid interest thereon to the date of redemption.</w:t>
      </w:r>
    </w:p>
    <w:p>
      <w:pPr>
        <w:spacing w:after="0" w:line="1"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The term “comparable government bond” means (i) with respect to the euro notes, in relation to any comparable government bond rate calculation, at the discretion of an independent investment banker selected by us,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 and (ii) with respect to the sterling notes, in relation to any comparable government bond rate calculation, at the discretion of an independent investment banker selected by us,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132"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term “comparable government bond rate”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us.</w:t>
      </w:r>
    </w:p>
    <w:p>
      <w:pPr>
        <w:spacing w:after="0" w:line="160"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The term “independent investment banker” means each of BNP Paribas, Citigroup Global Markets Limited and J.P. Morgan Securities plc (or their respective successors), or if each such firm is unwilling or unable to select the comparable government bond, an independent investment banking institution of international standing appointed by us.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40"/>
          </w:cols>
          <w:pgMar w:left="24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or the paying agent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lottery provided that notes represented by a Global Note will be selected for redemption by the applicable depositary in accordance with its standard procedures therefor). See also “—Book-Entry System” below. Additionally, we may at any time repurchase notes in the open market and may hold or surrender such notes to the trustee for cancellation.</w:t>
      </w:r>
    </w:p>
    <w:p>
      <w:pPr>
        <w:spacing w:after="0" w:line="151"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 See “</w:t>
      </w:r>
      <w:r>
        <w:rPr>
          <w:rFonts w:ascii="Arial" w:cs="Arial" w:eastAsia="Arial" w:hAnsi="Arial"/>
          <w:sz w:val="18"/>
          <w:szCs w:val="18"/>
          <w:b w:val="1"/>
          <w:bCs w:val="1"/>
          <w:color w:val="auto"/>
        </w:rPr>
        <w:t>—</w:t>
      </w:r>
      <w:r>
        <w:rPr>
          <w:rFonts w:ascii="Arial" w:cs="Arial" w:eastAsia="Arial" w:hAnsi="Arial"/>
          <w:sz w:val="18"/>
          <w:szCs w:val="18"/>
          <w:color w:val="auto"/>
        </w:rPr>
        <w:t>Redemption for Tax Reasons.”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Additional Amounts</w:t>
      </w:r>
    </w:p>
    <w:p>
      <w:pPr>
        <w:spacing w:after="0" w:line="189"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We will, subject to the exceptions and limitations set forth below, pay as additional interest in respect of the notes such additional amounts as are necessary in order that the net payment by us or our paying agent of the principal of and interest in respect of the notes to a beneficial owner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173" w:lineRule="exact"/>
        <w:rPr>
          <w:sz w:val="20"/>
          <w:szCs w:val="20"/>
          <w:color w:val="auto"/>
        </w:rPr>
      </w:pPr>
    </w:p>
    <w:p>
      <w:pPr>
        <w:ind w:left="1060" w:right="240" w:hanging="424"/>
        <w:spacing w:after="0" w:line="25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any tax, assessment or other governmental charge that is imposed by reason of the holder (or the beneficial owner for whose benefit such holder holds such note),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186" w:lineRule="exact"/>
        <w:rPr>
          <w:rFonts w:ascii="Arial" w:cs="Arial" w:eastAsia="Arial" w:hAnsi="Arial"/>
          <w:sz w:val="18"/>
          <w:szCs w:val="18"/>
          <w:color w:val="auto"/>
        </w:rPr>
      </w:pPr>
    </w:p>
    <w:p>
      <w:pPr>
        <w:ind w:left="1620" w:right="220" w:hanging="430"/>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170" w:lineRule="exact"/>
        <w:rPr>
          <w:rFonts w:ascii="Arial" w:cs="Arial" w:eastAsia="Arial" w:hAnsi="Arial"/>
          <w:sz w:val="18"/>
          <w:szCs w:val="18"/>
          <w:color w:val="auto"/>
        </w:rPr>
      </w:pPr>
    </w:p>
    <w:p>
      <w:pPr>
        <w:ind w:left="1620" w:right="200" w:hanging="430"/>
        <w:spacing w:after="0" w:line="264"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181" w:lineRule="exact"/>
        <w:rPr>
          <w:rFonts w:ascii="Arial" w:cs="Arial" w:eastAsia="Arial" w:hAnsi="Arial"/>
          <w:sz w:val="18"/>
          <w:szCs w:val="18"/>
          <w:color w:val="auto"/>
        </w:rPr>
      </w:pPr>
    </w:p>
    <w:p>
      <w:pPr>
        <w:jc w:val="both"/>
        <w:ind w:left="1620" w:hanging="430"/>
        <w:spacing w:after="0" w:line="264"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181" w:lineRule="exact"/>
        <w:rPr>
          <w:rFonts w:ascii="Arial" w:cs="Arial" w:eastAsia="Arial" w:hAnsi="Arial"/>
          <w:sz w:val="18"/>
          <w:szCs w:val="18"/>
          <w:color w:val="auto"/>
        </w:rPr>
      </w:pPr>
    </w:p>
    <w:p>
      <w:pPr>
        <w:ind w:left="1620" w:right="360" w:hanging="430"/>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being or having been a “10-percent shareholder” of the Issuer or applicable guarantor as defined in section 871(h)(3) of the U.S. Internal Revenue Code of 1986, as amended (the “Code”), or any successor provision; or</w:t>
      </w:r>
    </w:p>
    <w:p>
      <w:pPr>
        <w:spacing w:after="0" w:line="170" w:lineRule="exact"/>
        <w:rPr>
          <w:rFonts w:ascii="Arial" w:cs="Arial" w:eastAsia="Arial" w:hAnsi="Arial"/>
          <w:sz w:val="18"/>
          <w:szCs w:val="18"/>
          <w:color w:val="auto"/>
        </w:rPr>
      </w:pPr>
    </w:p>
    <w:p>
      <w:pPr>
        <w:ind w:left="1620" w:right="120" w:hanging="430"/>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170" w:lineRule="exact"/>
        <w:rPr>
          <w:rFonts w:ascii="Arial" w:cs="Arial" w:eastAsia="Arial" w:hAnsi="Arial"/>
          <w:sz w:val="18"/>
          <w:szCs w:val="18"/>
          <w:color w:val="auto"/>
        </w:rPr>
      </w:pPr>
    </w:p>
    <w:p>
      <w:pPr>
        <w:ind w:left="1060" w:right="100" w:hanging="424"/>
        <w:spacing w:after="0" w:line="31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0"/>
        <w:spacing w:after="0" w:line="277" w:lineRule="auto"/>
        <w:rPr>
          <w:sz w:val="20"/>
          <w:szCs w:val="20"/>
          <w:color w:val="auto"/>
        </w:rPr>
      </w:pPr>
      <w:r>
        <w:rPr>
          <w:rFonts w:ascii="Arial" w:cs="Arial" w:eastAsia="Arial" w:hAnsi="Arial"/>
          <w:sz w:val="18"/>
          <w:szCs w:val="18"/>
          <w:color w:val="auto"/>
        </w:rPr>
        <w:t>transparent entity, would not have been entitled to the payment of an additional amount had the beneficiary, settlor, beneficial owner or member received directly its beneficial or distributive share of the payment;</w:t>
      </w:r>
    </w:p>
    <w:p>
      <w:pPr>
        <w:spacing w:after="0" w:line="170" w:lineRule="exact"/>
        <w:rPr>
          <w:sz w:val="20"/>
          <w:szCs w:val="20"/>
          <w:color w:val="auto"/>
        </w:rPr>
      </w:pPr>
    </w:p>
    <w:p>
      <w:pPr>
        <w:ind w:left="1060" w:right="100" w:hanging="424"/>
        <w:spacing w:after="0" w:line="276"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pacing w:after="0" w:line="77" w:lineRule="exact"/>
        <w:rPr>
          <w:rFonts w:ascii="Arial" w:cs="Arial" w:eastAsia="Arial" w:hAnsi="Arial"/>
          <w:sz w:val="17"/>
          <w:szCs w:val="17"/>
          <w:color w:val="auto"/>
        </w:rPr>
      </w:pPr>
    </w:p>
    <w:p>
      <w:pPr>
        <w:ind w:left="1060" w:right="2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by us or an applicable withholding agent from the payment;</w:t>
      </w:r>
    </w:p>
    <w:p>
      <w:pPr>
        <w:spacing w:after="0" w:line="170" w:lineRule="exact"/>
        <w:rPr>
          <w:rFonts w:ascii="Arial" w:cs="Arial" w:eastAsia="Arial" w:hAnsi="Arial"/>
          <w:sz w:val="18"/>
          <w:szCs w:val="18"/>
          <w:color w:val="auto"/>
        </w:rPr>
      </w:pPr>
    </w:p>
    <w:p>
      <w:pPr>
        <w:jc w:val="both"/>
        <w:ind w:left="1060" w:right="40" w:hanging="424"/>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81"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 or excise tax imposed on the transfer of notes;</w:t>
      </w:r>
    </w:p>
    <w:p>
      <w:pPr>
        <w:spacing w:after="0" w:line="170" w:lineRule="exact"/>
        <w:rPr>
          <w:rFonts w:ascii="Arial" w:cs="Arial" w:eastAsia="Arial" w:hAnsi="Arial"/>
          <w:sz w:val="18"/>
          <w:szCs w:val="18"/>
          <w:color w:val="auto"/>
        </w:rPr>
      </w:pPr>
    </w:p>
    <w:p>
      <w:pPr>
        <w:ind w:left="1060" w:right="520" w:hanging="424"/>
        <w:spacing w:after="0" w:line="30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46" w:lineRule="exact"/>
        <w:rPr>
          <w:rFonts w:ascii="Arial" w:cs="Arial" w:eastAsia="Arial" w:hAnsi="Arial"/>
          <w:sz w:val="17"/>
          <w:szCs w:val="17"/>
          <w:color w:val="auto"/>
        </w:rPr>
      </w:pPr>
    </w:p>
    <w:p>
      <w:pPr>
        <w:ind w:left="1060" w:right="60" w:hanging="424"/>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81"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any tax, assessment or other governmental charge that is imposed or withheld solely by reason of the beneficial owner being a bank</w:t>
      </w:r>
    </w:p>
    <w:p>
      <w:pPr>
        <w:spacing w:after="0" w:line="34" w:lineRule="exact"/>
        <w:rPr>
          <w:rFonts w:ascii="Arial" w:cs="Arial" w:eastAsia="Arial" w:hAnsi="Arial"/>
          <w:sz w:val="17"/>
          <w:szCs w:val="17"/>
          <w:color w:val="auto"/>
        </w:rPr>
      </w:pPr>
    </w:p>
    <w:p>
      <w:pPr>
        <w:ind w:left="1060" w:right="20"/>
        <w:spacing w:after="0" w:line="290" w:lineRule="auto"/>
        <w:rPr>
          <w:rFonts w:ascii="Arial" w:cs="Arial" w:eastAsia="Arial" w:hAnsi="Arial"/>
          <w:sz w:val="17"/>
          <w:szCs w:val="17"/>
          <w:color w:val="auto"/>
        </w:rPr>
      </w:pPr>
      <w:r>
        <w:rPr>
          <w:rFonts w:ascii="Arial" w:cs="Arial" w:eastAsia="Arial" w:hAnsi="Arial"/>
          <w:sz w:val="17"/>
          <w:szCs w:val="17"/>
          <w:color w:val="auto"/>
        </w:rPr>
        <w:t>(i)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161" w:lineRule="exact"/>
        <w:rPr>
          <w:rFonts w:ascii="Arial" w:cs="Arial" w:eastAsia="Arial" w:hAnsi="Arial"/>
          <w:sz w:val="17"/>
          <w:szCs w:val="17"/>
          <w:color w:val="auto"/>
        </w:rPr>
      </w:pPr>
    </w:p>
    <w:p>
      <w:pPr>
        <w:ind w:left="1060" w:hanging="424"/>
        <w:spacing w:after="0" w:line="25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188"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any combination of items (1) through (10) above.</w:t>
      </w:r>
    </w:p>
    <w:p>
      <w:pPr>
        <w:spacing w:after="0" w:line="198"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46"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The notes are also subject to redemption prior to maturity if certain events occur involving U.S. taxation. If any of these special tax events occur, the notes may be redeemed at a redemption price of 100% of their principal amount plus accrued and unpaid interest to the date fixed for redemption. See “—Redemption for Tax Reasons.”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2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for Tax Reasons</w:t>
      </w:r>
    </w:p>
    <w:p>
      <w:pPr>
        <w:spacing w:after="0" w:line="189"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under the heading “—Payment of Additional Amounts” with respect to the notes, then we may at any time at our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Debt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System</w:t>
      </w:r>
    </w:p>
    <w:p>
      <w:pPr>
        <w:spacing w:after="0" w:line="189"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systems could change their rules and procedures at any time.</w:t>
      </w:r>
    </w:p>
    <w:p>
      <w:pPr>
        <w:spacing w:after="0" w:line="160"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The notes will initially be represented by one or more fully registered global notes. Each such global note will be deposited with, or on behalf of, a common depositary, and registered in the name of the nominee of the common depositary for the accounts of Clearstream and Euroclear. You may hold your interests in the global notes in Europe through Clearstream or Euroclear, either as a participant in such systems or indirectly through 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w:t>
      </w:r>
    </w:p>
    <w:p>
      <w:pPr>
        <w:spacing w:after="0" w:line="124"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 or GBP, as applicable, except as described above under “—Euro Notes— Issuance in Euro; Sterling Notes— Issuance in GBP.”</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Clearstream and Euroclear have established electronic securities and payment transfer, processing, depositary and custodial links among themselves and others, either directly or through custodians and depositaries. These links allow book-entry interests in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The policies of Clearstream and Euroclear will govern payments, transfers, exchange and other matters relating to the investor’s interest in the notes held by them. Neither we nor the trustee or paying agent have any responsibility for any aspect of the records kept by Clearstream or Euroclear or any of their direct or indirect participants. We, the paying agent and the trustee also do not supervise these systems in any way.</w:t>
      </w:r>
    </w:p>
    <w:p>
      <w:pPr>
        <w:spacing w:after="0" w:line="15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41"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Euroclear and Clearstream and, if such person is not a participant, on the procedures of the participant through which such person owns its interest, in order to exercise any rights of a holder of notes.</w:t>
      </w:r>
    </w:p>
    <w:p>
      <w:pPr>
        <w:spacing w:after="0" w:line="132"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description of the clearing systems in this section reflects our understanding of the rules and procedures of Clearstream and Euroclear as they are currently in effect. These systems could change their rules and procedures at any time. We have obtained the information in this section concerning Clearstream and Euroclear and their book-entry systems and procedures from sources that we believe to be reliable, but we take no responsibility for the accuracy of this information.</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Clearstream</w:t>
      </w:r>
    </w:p>
    <w:p>
      <w:pPr>
        <w:spacing w:after="0" w:line="185"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Clearstream has advised that it is incorporated under the laws of Luxembourg as a professional depositary. Clearstream holds securities for its participating organizations (“Clearstream Participants”). Clearstream facilitates the clearance and settlement of securities transactions between Clearstream Participants through electronic book-entry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w:t>
      </w:r>
      <w:r>
        <w:rPr>
          <w:rFonts w:ascii="Arial" w:cs="Arial" w:eastAsia="Arial" w:hAnsi="Arial"/>
          <w:sz w:val="17"/>
          <w:szCs w:val="17"/>
          <w:i w:val="1"/>
          <w:iCs w:val="1"/>
          <w:color w:val="auto"/>
        </w:rPr>
        <w:t>Commission de Surveillance du Secteur Financier</w:t>
      </w:r>
      <w:r>
        <w:rPr>
          <w:rFonts w:ascii="Arial" w:cs="Arial" w:eastAsia="Arial" w:hAnsi="Arial"/>
          <w:sz w:val="17"/>
          <w:szCs w:val="17"/>
          <w:color w:val="auto"/>
        </w:rPr>
        <w:t>).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37"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Distributions with respect to interests in the global notes held beneficially through Clearstream will be credited to cash accounts of Clearstream Participants in accordance with its rules and procedures.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Euroclear</w:t>
      </w:r>
    </w:p>
    <w:p>
      <w:pPr>
        <w:spacing w:after="0" w:line="185"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Euroclear has advised that it was created in 1968 to hold securities for its participants (“Euroclear Participants”) and to clear and settle transactions between Euroclear Participants through simultaneous electronic book-entry delivery against payment, thereby eliminating the need for physical movement of certificates and eliminating 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risk from lack of simultaneous transfers of securities and cash. Euroclear provides various other services, including securities lending and borrowing and interfaces with domestic markets in several countries.</w:t>
      </w:r>
    </w:p>
    <w:p>
      <w:pPr>
        <w:spacing w:after="0" w:line="14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88"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 transfers of securities and cash within Euroclear, withdrawals of securities and cash from Euroclear, and receipt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38"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Distributions with respect to interests in the Global Notes held beneficially through Euroclear will be credited to the cash accounts of Euroclear Participants in accordance with the Euroclear Terms and Conditions.</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19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46"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4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54"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46"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Clearstream or Euroclear will credit payments to the cash accounts of Clearstream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or Euroclear Participant only in accordance with its relevant rules and procedures.</w:t>
      </w:r>
    </w:p>
    <w:p>
      <w:pPr>
        <w:spacing w:after="0" w:line="146"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Clearstream and Euroclear have agreed to the foregoing procedures in order to facilitate transfers of interests in the notes among participants of Clearstream and Euroclear. However, they are under no obligation to perform or continue to perform those procedures, and they may discontinue those procedures at any time.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98"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If Clearstream or Euroclear is at any time unwilling or unable to continue as depositary, and a successor depositary is not appointed by us within 90 days, we will issue euro notes of like tenor in minimum denominations of €100,000 principal amount and integral multiples of €1,000 in excess thereof and sterling notes of like tenor in minimum denominations of £100,000 principal amount and integral multiples of £1,000 in excess thereof, in each case in definitive form in exchange for an applicable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applicable registered global note that had been held by the depositary. In addition, we may at any time determine that the notes of an applicable series shall no longer be represented by a global note and will issue notes in definitive form in exchange for such global note pursuant to the procedure described above.</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85"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54"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paying agent for the notes will initially be The Bank of New York Mellon, London Branch.</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0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170" w:lineRule="exact"/>
        <w:rPr>
          <w:sz w:val="20"/>
          <w:szCs w:val="20"/>
          <w:color w:val="auto"/>
        </w:rPr>
      </w:pPr>
    </w:p>
    <w:p>
      <w:pPr>
        <w:ind w:left="1060" w:right="220" w:hanging="424"/>
        <w:spacing w:after="0" w:line="286"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applicable series of notes is sold for money;</w:t>
      </w:r>
    </w:p>
    <w:p>
      <w:pPr>
        <w:spacing w:after="0" w:line="165" w:lineRule="exact"/>
        <w:rPr>
          <w:rFonts w:ascii="Arial" w:cs="Arial" w:eastAsia="Arial" w:hAnsi="Arial"/>
          <w:sz w:val="17"/>
          <w:szCs w:val="17"/>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they are held as capital assets.</w:t>
      </w:r>
    </w:p>
    <w:p>
      <w:pPr>
        <w:spacing w:after="0" w:line="18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170"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dealers or traders in securities or foreign currencies using a mark-to-market method of tax accounting;</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w:t>
      </w:r>
    </w:p>
    <w:p>
      <w:pPr>
        <w:spacing w:after="0" w:line="22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Code.</w:t>
      </w:r>
    </w:p>
    <w:p>
      <w:pPr>
        <w:spacing w:after="0" w:line="13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w:t>
      </w:r>
    </w:p>
    <w:p>
      <w:pPr>
        <w:spacing w:after="0" w:line="154"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for U.S. Holders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 the term “U.S. Holder” means a beneficial owner of a note that is, for U.S. federal income tax purposes:</w:t>
      </w:r>
    </w:p>
    <w:p>
      <w:pPr>
        <w:spacing w:after="0" w:line="225"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60"/>
          </w:cols>
          <w:pgMar w:left="24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of the District of Columbia; or</w:t>
      </w:r>
    </w:p>
    <w:p>
      <w:pPr>
        <w:spacing w:after="0" w:line="17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of Interest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Interest paid on a note will be taxable to a U.S. Holder as ordinary interest income at the time it accrues or is received in accordance with the U.S.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Holder’s method of accounting for U.S. federal income tax purposes.</w:t>
      </w:r>
    </w:p>
    <w:p>
      <w:pPr>
        <w:spacing w:after="0" w:line="17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A U.S. Holder that uses the cash method of accounting and that receives a payment of interest (or receives proceeds from a sale, exchange or other disposition attributable to accrued interest) in Euro or GBP will be required to include in income the U.S. dollar value of the euro or GBP payment (determined based on the respective spot rate on the date the payment is received), and this U.S. dollar value will be the U.S. Holder’s tax basis in the euro or GBP received.</w:t>
      </w:r>
    </w:p>
    <w:p>
      <w:pPr>
        <w:spacing w:after="0" w:line="16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A U.S. Holder that uses the accrual method of tax accounting will be required to include in income the U.S. dollar value of the amount of interest income that accrues with respect to a note during an accrual period. The U.S. dollar value of the accrued income will generally be determined by translating the income at the average rate of exchange for the accrual period or, with respect to an accrual period that spans two taxable years, at the average rate for the partial period within the relevant taxable year. A U.S. Holder that uses the accrual method of tax accounting may elect to translate interest income for an interest accrual period into U.S. dollars at the spot rate on the last day of the interest accrual period (or, in the case of a partial accrual period, the spot rate on the last day of the taxable year) or, if the date of receipt is within five business days of the last day of the interest accrual period, the spot rate on the date of receipt. A U.S. Holder that makes this election must apply it consistently to all debt instruments from year to year and cannot change the election without the consent of the Internal Revenue Service (the “IRS”).</w:t>
      </w:r>
    </w:p>
    <w:p>
      <w:pPr>
        <w:spacing w:after="0" w:line="138"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An accrual method U.S. Holder will generally recognize any foreign currency gain or loss (which will be treated as U.S. source ordinary income or loss) with respect to accrued interest on the date the interest payment (or proceeds from a sale, exchange or other disposition attributable to accrued interest) is received. The amount of ordinary income or loss recognized will generally be equal to the difference between the U.S. dollar value of the euro or GBP payment received (determined based on the respective spot rate on the date the payment is received) in respect of the accrual period and the U.S. dollar value of interest income that has accrued during the accrual period (as determined above). The U.S. Holder’s tax basis in the euro or GBP received will generally be equal to its U.S. dollar value based on the respective spot rate on the date the payment is received. As discussed below under “—Sale, Exchange or Retirement of the Notes,” the amount of foreign currency gain or loss recognized with respect to accrued but unpaid interest upon a taxable disposition of a note may be limited by the total amount of gain or loss realized upon such disposition.</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Exchange or Retirement of the Notes</w:t>
      </w:r>
    </w:p>
    <w:p>
      <w:pPr>
        <w:spacing w:after="0" w:line="202"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A U.S. Holder’s tax basis in a note will generally be the U.S. dollar value of the euro or GBP amount paid for the note, determined on the date of the purchase. A U.S. Holder who purchases a note with previously owned euro or GBP will generally recognize ordinary income or loss in an amount equal to the difference, if any, between such U.S. Holder’s tax basis in the euro or GBP and the U.S. dollar value of the note on the date of purchase. If the notes are traded on an established securities market (as determined under applicable regulations), a cash method taxpayer who buys a note will have a tax basis in the note equal to the U.S. dollar value of the euro or GBP amount paid for the note, determined on the settlement date, and such a taxpayer will recognize ordinary income or loss on any previously owned euro or GBP based on such value. An accrual method taxpayer may elect the same treatment for all purchases (and sales, as discussed below) of notes traded on an established securities market. This election by accrual method taxpayers cannot be changed without the consent of the IRS.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Upon the sale, exchange or retirement of a note, a U.S. Holder will recognize taxable gain or loss equal to the difference between the amount realized on the sale, exchange or retirement and the U.S. Holder’s tax basis in the note. For these purposes, the amount realized does not include any amount attributable to accrued interest. Amounts attributable to accrued interest are treated as interest as described under “Payments of Interest” above. If a note is sold, exchanged or otherwise disposed of in a taxable transaction for an amount denominated in euro or GBP, a U.S. Holder’s amount realized generally will be equal to the U.S. dollar value of the euro or GBP received in the sale, exchange or other taxable disposition calculated at the spot rate in effect on the date of the disposition. If the notes are traded on an established securities market (as determined under applicable regulations), a cash method taxpayer who buys or sells a note is required to translate units of euro or GBP paid or received into U.S. dollars at the spot rate on the settlement date of the purchase or sale and an accrual method taxpayer may elect the same treatment for all purchases and sales of notes. This election by accrual method taxpayers cannot be changed without the consent of the IRS. Except to the extent of foreign currency gain or loss (as described below), gain or loss recognized on the sale, exchange or retirement of a note will generally be capital gain or loss and will be long-term capital gain or loss if at the time of the sale, exchange or retirement the note has been held by the U.S. Holder for more than one year. The deductibility of capital losses is subject to limitations under the Code.</w:t>
      </w:r>
    </w:p>
    <w:p>
      <w:pPr>
        <w:spacing w:after="0" w:line="153"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A U.S. Holder may recognize foreign currency gain or loss upon the sale, exchange or other taxable disposition of a note as a result of fluctuations in the euro-U.S. or GBP-U.S. dollar exchange rate. Gain or loss attributable to such fluctuations will be equal to the difference between (i) the U.S. dollar value of the U.S. Holder’s purchase price in euro or GBP of the note, determined using the spot rate on the date the note is disposed of, and (ii) the U.S. dollar value of the U.S. Holder’s purchase price in euro or GBP of the note, determined using the spot rate on the date the U.S. Holder acquired the note (although if the notes are traded on an established securities market (as determined under applicable regulations), such gain or loss will, in the case of a cash method or electing accrual method taxpayer, be determined based on the spot rates on the settlement dates of such disposition and acquisition). The foreign currency gain or loss (together with any foreign currency gain or loss with respect to accrued but unpaid interest) will be recognized only to the extent of the total gain or loss realized by a U.S. Holder on the sale, exchange or other taxable disposition of the note. Any such gain or loss generally will be U.S. source ordinary income or loss. If a U.S. Holder recognizes a loss upon a sale, exchange or other taxable disposition of a note and such loss is above certain thresholds (which thresholds are, in the case of individuals and trusts, significantly lower for foreign currency losses than for other loss transactions), the U.S. Holder may be required to file a disclosure statement with the IRS. U.S. Holders should consult their tax advisors regarding this reporting obligation.</w:t>
      </w:r>
    </w:p>
    <w:p>
      <w:pPr>
        <w:spacing w:after="0" w:line="139" w:lineRule="exact"/>
        <w:rPr>
          <w:sz w:val="20"/>
          <w:szCs w:val="20"/>
          <w:color w:val="auto"/>
        </w:rPr>
      </w:pPr>
    </w:p>
    <w:p>
      <w:pPr>
        <w:jc w:val="both"/>
        <w:ind w:left="200" w:right="380"/>
        <w:spacing w:after="0" w:line="312" w:lineRule="auto"/>
        <w:rPr>
          <w:sz w:val="20"/>
          <w:szCs w:val="20"/>
          <w:color w:val="auto"/>
        </w:rPr>
      </w:pPr>
      <w:r>
        <w:rPr>
          <w:rFonts w:ascii="Arial" w:cs="Arial" w:eastAsia="Arial" w:hAnsi="Arial"/>
          <w:sz w:val="16"/>
          <w:szCs w:val="16"/>
          <w:color w:val="auto"/>
        </w:rPr>
        <w:t>A U.S. Holder will have a tax basis in any euro or GBP received on the sale, exchange or other taxable disposition of a note equal to the U.S. dollar value of the euro or GBP, determined on the date of receipt of the euro or GBP. Any gain or loss realized by a U.S. Holder on a sale or other taxable disposition of euro or GBP (including its exchange for U.S. dollars) will generally be treated as U.S. source ordinary income or loss.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98"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Information returns generally will be filed with the IRS in connection with payments on the notes and the proceeds from a sale or other disposition of the notes. A U.S. Holder will be subject to backup withholding on these payments if the U.S. Holder fails to provide its correct taxpayer identification number to the applicable withholding agent and comply with certain certification procedures or otherwise establish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Consequences for Non-U.S. Holders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225"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85"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“Non-U.S. Holder” does not include a beneficial owner who is an individual present in the United States for 183 days or more in the taxable year of disposition or a former citizen or former resident of the United States. Such a beneficial owner is urged to consult his or her own tax advisor regarding the U.S. federal income tax consequences of the sale, exchange or other disposition of a note.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a Note</w:t>
      </w:r>
    </w:p>
    <w:p>
      <w:pPr>
        <w:spacing w:after="0" w:line="202"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(as defined below), payments of principal, premium, if any, and interest on the notes by us or any paying agent to a Non-U.S. Holder generally will not be subject to U.S. federal withholding tax, provided that, in the case of interest not effectively connected with the conduct of a trade or business in the United States:</w:t>
      </w:r>
    </w:p>
    <w:p>
      <w:pPr>
        <w:spacing w:after="0" w:line="181" w:lineRule="exact"/>
        <w:rPr>
          <w:sz w:val="20"/>
          <w:szCs w:val="20"/>
          <w:color w:val="auto"/>
        </w:rPr>
      </w:pPr>
    </w:p>
    <w:p>
      <w:pPr>
        <w:ind w:left="106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17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8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IRS Form W-8BEN or W-8BEN-E (or successor form), as appropriate, under penalties of perjury, that it is not a U.S. person.</w:t>
      </w:r>
    </w:p>
    <w:p>
      <w:pPr>
        <w:spacing w:after="0" w:line="13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IRS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8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Non-U.S. Holder of a trade or business in the United States.</w:t>
      </w:r>
    </w:p>
    <w:p>
      <w:pPr>
        <w:spacing w:after="0" w:line="141"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89"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Information returns generally will be filed with the IRS in connection with interest payments on the notes. Unless a Non-U.S. Holder complies with certification procedures to establish that it is not a U.S. person, information returns may be filed with the IRS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IRS.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Provisions commonly referred to as “FATCA” generally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70"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The U.S. Treasury Department recently released proposed regulations which, if finalized in their present form, would eliminate FATCA withholding on the gross proceeds of a sale, exchange, redemption or other disposition of a note. In the preamble to the proposed regulations, the U.S. Treasury Department indicated that taxpayers may rely on the proposed regulations until final regulations are issued.</w:t>
      </w:r>
    </w:p>
    <w:p>
      <w:pPr>
        <w:spacing w:after="0" w:line="125"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02"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54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5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54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of</w:t>
            </w:r>
          </w:p>
        </w:tc>
        <w:tc>
          <w:tcPr>
            <w:tcW w:w="5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Euro</w:t>
            </w:r>
          </w:p>
        </w:tc>
        <w:tc>
          <w:tcPr>
            <w:tcW w:w="1540" w:type="dxa"/>
            <w:vAlign w:val="bottom"/>
            <w:gridSpan w:val="2"/>
          </w:tcPr>
          <w:p>
            <w:pPr>
              <w:jc w:val="center"/>
              <w:ind w:left="459"/>
              <w:spacing w:after="0" w:line="149" w:lineRule="exact"/>
              <w:rPr>
                <w:sz w:val="20"/>
                <w:szCs w:val="20"/>
                <w:color w:val="auto"/>
              </w:rPr>
            </w:pPr>
            <w:r>
              <w:rPr>
                <w:rFonts w:ascii="Arial" w:cs="Arial" w:eastAsia="Arial" w:hAnsi="Arial"/>
                <w:sz w:val="14"/>
                <w:szCs w:val="14"/>
                <w:b w:val="1"/>
                <w:bCs w:val="1"/>
                <w:color w:val="auto"/>
                <w:w w:val="94"/>
              </w:rPr>
              <w:t>Amount of Euro</w:t>
            </w:r>
          </w:p>
        </w:tc>
        <w:tc>
          <w:tcPr>
            <w:tcW w:w="1560" w:type="dxa"/>
            <w:vAlign w:val="bottom"/>
            <w:gridSpan w:val="2"/>
          </w:tcPr>
          <w:p>
            <w:pPr>
              <w:jc w:val="center"/>
              <w:ind w:left="439"/>
              <w:spacing w:after="0" w:line="149" w:lineRule="exact"/>
              <w:rPr>
                <w:sz w:val="20"/>
                <w:szCs w:val="20"/>
                <w:color w:val="auto"/>
              </w:rPr>
            </w:pPr>
            <w:r>
              <w:rPr>
                <w:rFonts w:ascii="Arial" w:cs="Arial" w:eastAsia="Arial" w:hAnsi="Arial"/>
                <w:sz w:val="14"/>
                <w:szCs w:val="14"/>
                <w:b w:val="1"/>
                <w:bCs w:val="1"/>
                <w:color w:val="auto"/>
                <w:w w:val="94"/>
              </w:rPr>
              <w:t>Amount of Euro</w:t>
            </w: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Sterling</w:t>
            </w:r>
          </w:p>
        </w:tc>
        <w:tc>
          <w:tcPr>
            <w:tcW w:w="5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Sterling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right"/>
              <w:ind w:right="88"/>
              <w:spacing w:after="0" w:line="149" w:lineRule="exact"/>
              <w:rPr>
                <w:sz w:val="20"/>
                <w:szCs w:val="20"/>
                <w:color w:val="auto"/>
              </w:rPr>
            </w:pPr>
            <w:r>
              <w:rPr>
                <w:rFonts w:ascii="Arial" w:cs="Arial" w:eastAsia="Arial" w:hAnsi="Arial"/>
                <w:sz w:val="14"/>
                <w:szCs w:val="14"/>
                <w:b w:val="1"/>
                <w:bCs w:val="1"/>
                <w:color w:val="auto"/>
                <w:w w:val="90"/>
              </w:rPr>
              <w:t>Notes Due 20</w:t>
            </w:r>
          </w:p>
        </w:tc>
        <w:tc>
          <w:tcPr>
            <w:tcW w:w="540" w:type="dxa"/>
            <w:vAlign w:val="bottom"/>
          </w:tcPr>
          <w:p>
            <w:pPr>
              <w:spacing w:after="0"/>
              <w:rPr>
                <w:sz w:val="12"/>
                <w:szCs w:val="12"/>
                <w:color w:val="auto"/>
              </w:rPr>
            </w:pPr>
          </w:p>
        </w:tc>
        <w:tc>
          <w:tcPr>
            <w:tcW w:w="1000" w:type="dxa"/>
            <w:vAlign w:val="bottom"/>
          </w:tcPr>
          <w:p>
            <w:pPr>
              <w:jc w:val="right"/>
              <w:ind w:right="127"/>
              <w:spacing w:after="0" w:line="149" w:lineRule="exact"/>
              <w:rPr>
                <w:sz w:val="20"/>
                <w:szCs w:val="20"/>
                <w:color w:val="auto"/>
              </w:rPr>
            </w:pPr>
            <w:r>
              <w:rPr>
                <w:rFonts w:ascii="Arial" w:cs="Arial" w:eastAsia="Arial" w:hAnsi="Arial"/>
                <w:sz w:val="14"/>
                <w:szCs w:val="14"/>
                <w:b w:val="1"/>
                <w:bCs w:val="1"/>
                <w:color w:val="auto"/>
                <w:w w:val="87"/>
              </w:rPr>
              <w:t>Notes Due 20</w:t>
            </w:r>
          </w:p>
        </w:tc>
        <w:tc>
          <w:tcPr>
            <w:tcW w:w="540" w:type="dxa"/>
            <w:vAlign w:val="bottom"/>
          </w:tcPr>
          <w:p>
            <w:pPr>
              <w:spacing w:after="0"/>
              <w:rPr>
                <w:sz w:val="12"/>
                <w:szCs w:val="12"/>
                <w:color w:val="auto"/>
              </w:rPr>
            </w:pPr>
          </w:p>
        </w:tc>
        <w:tc>
          <w:tcPr>
            <w:tcW w:w="10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Notes Due 20</w:t>
            </w:r>
          </w:p>
        </w:tc>
        <w:tc>
          <w:tcPr>
            <w:tcW w:w="1500" w:type="dxa"/>
            <w:vAlign w:val="bottom"/>
            <w:gridSpan w:val="2"/>
          </w:tcPr>
          <w:p>
            <w:pPr>
              <w:jc w:val="right"/>
              <w:ind w:right="88"/>
              <w:spacing w:after="0" w:line="149" w:lineRule="exact"/>
              <w:rPr>
                <w:sz w:val="20"/>
                <w:szCs w:val="20"/>
                <w:color w:val="auto"/>
              </w:rPr>
            </w:pPr>
            <w:r>
              <w:rPr>
                <w:rFonts w:ascii="Arial" w:cs="Arial" w:eastAsia="Arial" w:hAnsi="Arial"/>
                <w:sz w:val="14"/>
                <w:szCs w:val="14"/>
                <w:b w:val="1"/>
                <w:bCs w:val="1"/>
                <w:color w:val="auto"/>
              </w:rPr>
              <w:t>Notes Due 20</w:t>
            </w:r>
          </w:p>
        </w:tc>
        <w:tc>
          <w:tcPr>
            <w:tcW w:w="1560" w:type="dxa"/>
            <w:vAlign w:val="bottom"/>
            <w:gridSpan w:val="3"/>
          </w:tcPr>
          <w:p>
            <w:pPr>
              <w:ind w:left="540"/>
              <w:spacing w:after="0" w:line="149" w:lineRule="exact"/>
              <w:rPr>
                <w:sz w:val="20"/>
                <w:szCs w:val="20"/>
                <w:color w:val="auto"/>
              </w:rPr>
            </w:pPr>
            <w:r>
              <w:rPr>
                <w:rFonts w:ascii="Arial" w:cs="Arial" w:eastAsia="Arial" w:hAnsi="Arial"/>
                <w:sz w:val="14"/>
                <w:szCs w:val="14"/>
                <w:b w:val="1"/>
                <w:bCs w:val="1"/>
                <w:color w:val="auto"/>
              </w:rPr>
              <w:t>Notes Due 20</w:t>
            </w: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 Be</w:t>
            </w: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 Be</w:t>
            </w:r>
          </w:p>
        </w:tc>
        <w:tc>
          <w:tcPr>
            <w:tcW w:w="5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 Be</w:t>
            </w: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 Be</w:t>
            </w:r>
          </w:p>
        </w:tc>
        <w:tc>
          <w:tcPr>
            <w:tcW w:w="5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To Be</w:t>
            </w: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5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54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BNP Paribas</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Citigroup Global Markets Limited</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plc</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gridSpan w:val="2"/>
          </w:tcPr>
          <w:p>
            <w:pPr>
              <w:jc w:val="right"/>
              <w:ind w:right="808"/>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43"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46"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 2020, which is the business day following the date hereof (such settlement cycle being referred to as “T+ ”).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preceding the settlement date will be required, by virtue of the fact that the notes initially will settle in T+ , to specify an alternative settlement cycle at the time of any such trade to prevent failed settlement and should consult their own advisors.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202"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The underwriters have advised us that they propose initially to offer the euro notes to the public at the public offering price on the cover page of this prospectus supplement, and to dealers at that price less a concession not in excess of %, % and % of the principal amount of the euro notes due 20 , the euro notes due 20 and the euro notes due 20 , respectively. The underwriters may allow, and the dealers may reallow, a discount not in excess of %, % and % of the principal amount of the euro notes due 20 , the euro notes due 20 and the euro notes due 20 , respectively, to other dealers. After the initial public offering, the public offering prices, concessions and discounts may be changed.</w:t>
      </w:r>
    </w:p>
    <w:p>
      <w:pPr>
        <w:spacing w:after="0" w:line="132"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The underwriters have advised us that they propose initially to offer the sterling notes to the public at the public offering price on the cover page of this prospectus supplement, and to dealers at that price less a concession not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40"/>
          </w:cols>
          <w:pgMar w:left="240" w:top="459" w:right="4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5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519"/>
        </w:trPr>
        <w:tc>
          <w:tcPr>
            <w:tcW w:w="1180" w:type="dxa"/>
            <w:vAlign w:val="bottom"/>
          </w:tcPr>
          <w:p>
            <w:pPr>
              <w:ind w:left="200"/>
              <w:spacing w:after="0"/>
              <w:rPr>
                <w:sz w:val="20"/>
                <w:szCs w:val="20"/>
                <w:color w:val="auto"/>
              </w:rPr>
            </w:pPr>
            <w:r>
              <w:rPr>
                <w:rFonts w:ascii="Arial" w:cs="Arial" w:eastAsia="Arial" w:hAnsi="Arial"/>
                <w:sz w:val="18"/>
                <w:szCs w:val="18"/>
                <w:color w:val="auto"/>
              </w:rPr>
              <w:t>in excess of</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 and</w:t>
            </w:r>
          </w:p>
        </w:tc>
        <w:tc>
          <w:tcPr>
            <w:tcW w:w="9140" w:type="dxa"/>
            <w:vAlign w:val="bottom"/>
            <w:gridSpan w:val="3"/>
          </w:tcPr>
          <w:p>
            <w:pPr>
              <w:ind w:left="120"/>
              <w:spacing w:after="0"/>
              <w:rPr>
                <w:sz w:val="20"/>
                <w:szCs w:val="20"/>
                <w:color w:val="auto"/>
              </w:rPr>
            </w:pPr>
            <w:r>
              <w:rPr>
                <w:rFonts w:ascii="Arial" w:cs="Arial" w:eastAsia="Arial" w:hAnsi="Arial"/>
                <w:sz w:val="18"/>
                <w:szCs w:val="18"/>
                <w:color w:val="auto"/>
                <w:w w:val="92"/>
              </w:rPr>
              <w:t>% of the principal amount of the sterling notes due 20   and the sterling notes due 20   , respectively. The underwriters may</w:t>
            </w:r>
          </w:p>
        </w:tc>
      </w:tr>
      <w:tr>
        <w:trPr>
          <w:trHeight w:val="230"/>
        </w:trPr>
        <w:tc>
          <w:tcPr>
            <w:tcW w:w="4820" w:type="dxa"/>
            <w:vAlign w:val="bottom"/>
            <w:gridSpan w:val="4"/>
          </w:tcPr>
          <w:p>
            <w:pPr>
              <w:ind w:left="200"/>
              <w:spacing w:after="0"/>
              <w:rPr>
                <w:sz w:val="20"/>
                <w:szCs w:val="20"/>
                <w:color w:val="auto"/>
              </w:rPr>
            </w:pPr>
            <w:r>
              <w:rPr>
                <w:rFonts w:ascii="Arial" w:cs="Arial" w:eastAsia="Arial" w:hAnsi="Arial"/>
                <w:sz w:val="18"/>
                <w:szCs w:val="18"/>
                <w:color w:val="auto"/>
                <w:w w:val="92"/>
              </w:rPr>
              <w:t>allow, and the dealers may reallow, a discount not in excess of</w:t>
            </w:r>
          </w:p>
        </w:tc>
        <w:tc>
          <w:tcPr>
            <w:tcW w:w="720" w:type="dxa"/>
            <w:vAlign w:val="bottom"/>
          </w:tcPr>
          <w:p>
            <w:pPr>
              <w:ind w:left="140"/>
              <w:spacing w:after="0"/>
              <w:rPr>
                <w:sz w:val="20"/>
                <w:szCs w:val="20"/>
                <w:color w:val="auto"/>
              </w:rPr>
            </w:pPr>
            <w:r>
              <w:rPr>
                <w:rFonts w:ascii="Arial" w:cs="Arial" w:eastAsia="Arial" w:hAnsi="Arial"/>
                <w:sz w:val="18"/>
                <w:szCs w:val="18"/>
                <w:color w:val="auto"/>
              </w:rPr>
              <w:t>% and</w:t>
            </w:r>
          </w:p>
        </w:tc>
        <w:tc>
          <w:tcPr>
            <w:tcW w:w="5520" w:type="dxa"/>
            <w:vAlign w:val="bottom"/>
          </w:tcPr>
          <w:p>
            <w:pPr>
              <w:ind w:left="140"/>
              <w:spacing w:after="0"/>
              <w:rPr>
                <w:sz w:val="20"/>
                <w:szCs w:val="20"/>
                <w:color w:val="auto"/>
              </w:rPr>
            </w:pPr>
            <w:r>
              <w:rPr>
                <w:rFonts w:ascii="Arial" w:cs="Arial" w:eastAsia="Arial" w:hAnsi="Arial"/>
                <w:sz w:val="18"/>
                <w:szCs w:val="18"/>
                <w:color w:val="auto"/>
                <w:w w:val="95"/>
              </w:rPr>
              <w:t>% of the principal amount of the sterling notes due 20   and the sterling</w:t>
            </w:r>
          </w:p>
        </w:tc>
      </w:tr>
    </w:tbl>
    <w:p>
      <w:pPr>
        <w:ind w:left="200"/>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due 20</w:t>
      </w:r>
      <w:r>
        <w:rPr>
          <w:sz w:val="20"/>
          <w:szCs w:val="20"/>
          <w:color w:val="auto"/>
        </w:rPr>
        <w:tab/>
      </w:r>
      <w:r>
        <w:rPr>
          <w:rFonts w:ascii="Arial" w:cs="Arial" w:eastAsia="Arial" w:hAnsi="Arial"/>
          <w:sz w:val="16"/>
          <w:szCs w:val="16"/>
          <w:color w:val="auto"/>
        </w:rPr>
        <w:t>, respectively, to other dealers. After the initial public offering, the public offering prices, concessions and discounts may be changed.</w:t>
      </w:r>
    </w:p>
    <w:p>
      <w:pPr>
        <w:spacing w:after="0" w:line="184" w:lineRule="exact"/>
        <w:rPr>
          <w:sz w:val="20"/>
          <w:szCs w:val="20"/>
          <w:color w:val="auto"/>
        </w:rPr>
      </w:pPr>
    </w:p>
    <w:p>
      <w:pPr>
        <w:ind w:left="200"/>
        <w:spacing w:after="0"/>
        <w:tabs>
          <w:tab w:leader="none" w:pos="7340" w:val="left"/>
        </w:tabs>
        <w:rPr>
          <w:sz w:val="20"/>
          <w:szCs w:val="20"/>
          <w:color w:val="auto"/>
        </w:rPr>
      </w:pPr>
      <w:r>
        <w:rPr>
          <w:rFonts w:ascii="Arial" w:cs="Arial" w:eastAsia="Arial" w:hAnsi="Arial"/>
          <w:sz w:val="18"/>
          <w:szCs w:val="18"/>
          <w:color w:val="auto"/>
        </w:rPr>
        <w:t>The expenses of the offering, not including the underwriting discount, are estimated to be $</w:t>
      </w:r>
      <w:r>
        <w:rPr>
          <w:sz w:val="20"/>
          <w:szCs w:val="20"/>
          <w:color w:val="auto"/>
        </w:rPr>
        <w:tab/>
      </w:r>
      <w:r>
        <w:rPr>
          <w:rFonts w:ascii="Arial" w:cs="Arial" w:eastAsia="Arial" w:hAnsi="Arial"/>
          <w:sz w:val="16"/>
          <w:szCs w:val="16"/>
          <w:color w:val="auto"/>
        </w:rPr>
        <w:t>for the notes and are payable by 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Issue of Notes</w:t>
      </w:r>
    </w:p>
    <w:p>
      <w:pPr>
        <w:spacing w:after="0" w:line="189"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The notes are a new issue of securities with no established trading market. We intend to apply to list the notes on the NASDAQ. The listing application will be subject to approval by the NASDAQ. If such a listing is obtained, we have no obligation to maintain such listing, and we may delist the notes at any time. Although the underwriters have informed us that they currently intend to make a market in the notes after we complete the offering, they have no obligation to do so and may discontinue making a market at any time without notice. We cannot assure you that liquid trading markets for the notes will develop, that you will be able to sell your notes at a particular time or that the price you receive when you sell will be favorable.</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89"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37"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89"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14"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80"/>
          </w:cols>
          <w:pgMar w:left="240" w:top="446"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Certain of the underwriters or their affiliates may be holders of Sky’s floating rate notes, which bear interest at a rate equal to 3 month EURIBOR plus 0.75%, due April 1, 2020 and may therefore receive a portion of the proceeds of this offering.</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Canada</w:t>
      </w:r>
    </w:p>
    <w:p>
      <w:pPr>
        <w:spacing w:after="0" w:line="185" w:lineRule="exact"/>
        <w:rPr>
          <w:sz w:val="20"/>
          <w:szCs w:val="20"/>
          <w:color w:val="auto"/>
        </w:rPr>
      </w:pPr>
    </w:p>
    <w:p>
      <w:pPr>
        <w:ind w:left="200" w:right="280"/>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44"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4"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98"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in the United Kingdom. For these purposes, a retail investor means a person who is one (or more) of: (i) a retail client as defined in point (11) of Article 4(1) of Directive 2014/65/EU as amended, “MiFID II”); or (ii) a customer within the meaning of Directive 2016/97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85" w:lineRule="exact"/>
        <w:rPr>
          <w:sz w:val="20"/>
          <w:szCs w:val="20"/>
          <w:color w:val="auto"/>
        </w:rPr>
      </w:pPr>
    </w:p>
    <w:p>
      <w:pPr>
        <w:ind w:left="200" w:right="180"/>
        <w:spacing w:after="0" w:line="293" w:lineRule="auto"/>
        <w:rPr>
          <w:sz w:val="20"/>
          <w:szCs w:val="20"/>
          <w:color w:val="auto"/>
        </w:rPr>
      </w:pPr>
      <w:r>
        <w:rPr>
          <w:rFonts w:ascii="Arial" w:cs="Arial" w:eastAsia="Arial" w:hAnsi="Arial"/>
          <w:sz w:val="16"/>
          <w:szCs w:val="16"/>
          <w:color w:val="auto"/>
        </w:rPr>
        <w:t>The communication of this prospectus supplement and the accompanying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 The communication of such documents and/or materials as a financial promotion is only being made to and directed at persons outside the United Kingdom and those persons in the United Kingdom who have professional experience in matters relating to investments and who fall within the definition of investment professionals (as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defined in Article 19(5) of the Financial Services and Markets Act 2000 (Financial Promotion) Order 2005, as amended (the “Financial Promotion Order”)), or who fall within Article 49(2)(a) to (d) of the Financial Promotion Order, or who are any other persons to whom it may otherwise lawfully be made under the Financial Promotion Order (all such persons together being referred to as “relevant persons”). In the United Kingdom, the notes offered hereby are only available to, and any investment or investment activity to which this prospectus supplement and the accompanying prospectus relates will be engaged only with, relevant persons. Any person in the United Kingdom that is not a relevant person should not act or rely on this prospectus supplement and the accompanying prospectus or any of its contents.</w:t>
      </w:r>
    </w:p>
    <w:p>
      <w:pPr>
        <w:spacing w:after="0" w:line="166"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Issuer or the guarantors; and it has complied with and will comply with all applicable provisions of the FSMA with respect to anything done by it in relation to the notes in, from or otherwise involving the United Kingdom.</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w:t>
      </w:r>
    </w:p>
    <w:p>
      <w:pPr>
        <w:spacing w:after="0" w:line="185"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Japan</w:t>
      </w:r>
    </w:p>
    <w:p>
      <w:pPr>
        <w:spacing w:after="0" w:line="185"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Korea</w:t>
      </w:r>
    </w:p>
    <w:p>
      <w:pPr>
        <w:spacing w:after="0" w:line="198"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Singapore</w:t>
      </w:r>
    </w:p>
    <w:p>
      <w:pPr>
        <w:spacing w:after="0" w:line="185"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i w:val="1"/>
          <w:iCs w:val="1"/>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offered or sold, or be made the subject of an invitation for subscription or purchase, whether directly or indirectly, to persons in Singapore other than:</w:t>
      </w:r>
    </w:p>
    <w:p>
      <w:pPr>
        <w:spacing w:after="0" w:line="221" w:lineRule="exact"/>
        <w:rPr>
          <w:sz w:val="20"/>
          <w:szCs w:val="20"/>
          <w:color w:val="auto"/>
        </w:rPr>
      </w:pPr>
    </w:p>
    <w:p>
      <w:pPr>
        <w:ind w:left="600" w:hanging="396"/>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84" w:lineRule="exact"/>
        <w:rPr>
          <w:rFonts w:ascii="Arial" w:cs="Arial" w:eastAsia="Arial" w:hAnsi="Arial"/>
          <w:sz w:val="18"/>
          <w:szCs w:val="18"/>
          <w:color w:val="auto"/>
        </w:rPr>
      </w:pPr>
    </w:p>
    <w:p>
      <w:pPr>
        <w:ind w:left="560" w:hanging="356"/>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(ii)  to a relevant person, or any person pursuant to Section 257(1A), and in accordance with the conditions, specified in Section 275 of the SFA;</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70" w:lineRule="exact"/>
        <w:rPr>
          <w:rFonts w:ascii="Arial" w:cs="Arial" w:eastAsia="Arial" w:hAnsi="Arial"/>
          <w:sz w:val="16"/>
          <w:szCs w:val="16"/>
          <w:color w:val="auto"/>
        </w:rPr>
      </w:pPr>
    </w:p>
    <w:p>
      <w:pPr>
        <w:ind w:left="660" w:hanging="45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185" w:lineRule="exact"/>
        <w:rPr>
          <w:sz w:val="20"/>
          <w:szCs w:val="20"/>
          <w:color w:val="auto"/>
        </w:rPr>
      </w:pPr>
    </w:p>
    <w:p>
      <w:pPr>
        <w:ind w:left="200" w:right="100" w:firstLine="4"/>
        <w:spacing w:after="0" w:line="277" w:lineRule="auto"/>
        <w:tabs>
          <w:tab w:leader="none" w:pos="5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62" w:lineRule="exact"/>
        <w:rPr>
          <w:rFonts w:ascii="Arial" w:cs="Arial" w:eastAsia="Arial" w:hAnsi="Arial"/>
          <w:sz w:val="18"/>
          <w:szCs w:val="18"/>
          <w:color w:val="auto"/>
        </w:rPr>
      </w:pPr>
    </w:p>
    <w:p>
      <w:pPr>
        <w:jc w:val="both"/>
        <w:ind w:left="200" w:right="40" w:firstLine="4"/>
        <w:spacing w:after="0" w:line="259"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46" w:lineRule="exact"/>
        <w:rPr>
          <w:sz w:val="20"/>
          <w:szCs w:val="20"/>
          <w:color w:val="auto"/>
        </w:rPr>
      </w:pPr>
    </w:p>
    <w:p>
      <w:pPr>
        <w:ind w:left="200" w:right="140" w:firstLine="4"/>
        <w:spacing w:after="0" w:line="277"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43" w:lineRule="exact"/>
        <w:rPr>
          <w:rFonts w:ascii="Arial" w:cs="Arial" w:eastAsia="Arial" w:hAnsi="Arial"/>
          <w:sz w:val="18"/>
          <w:szCs w:val="18"/>
          <w:color w:val="auto"/>
        </w:rPr>
      </w:pPr>
    </w:p>
    <w:p>
      <w:pPr>
        <w:ind w:left="600" w:hanging="396"/>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580" w:hanging="376"/>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4" w:lineRule="exact"/>
        <w:rPr>
          <w:rFonts w:ascii="Arial" w:cs="Arial" w:eastAsia="Arial" w:hAnsi="Arial"/>
          <w:sz w:val="18"/>
          <w:szCs w:val="18"/>
          <w:color w:val="auto"/>
        </w:rPr>
      </w:pPr>
    </w:p>
    <w:p>
      <w:pPr>
        <w:ind w:left="600" w:hanging="396"/>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98" w:lineRule="exact"/>
        <w:rPr>
          <w:rFonts w:ascii="Arial" w:cs="Arial" w:eastAsia="Arial" w:hAnsi="Arial"/>
          <w:sz w:val="18"/>
          <w:szCs w:val="18"/>
          <w:color w:val="auto"/>
        </w:rPr>
      </w:pPr>
    </w:p>
    <w:p>
      <w:pPr>
        <w:ind w:left="580" w:hanging="376"/>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96"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Singapore Securities and Futures Act Product Classification—Solely for the purposes of our obligations pursuant to Sections 309(B)(1)(a) and 309(B) (1)(c) of the SFA, we have determined, and hereby notify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Any reference to any term as defined in the SFA, or any provision in the SFA is a reference to that term as modified or amended from time to time including by such of its subsidiary legislation as may be applicable at the relevant time.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Switzerland</w:t>
      </w:r>
    </w:p>
    <w:p>
      <w:pPr>
        <w:spacing w:after="0" w:line="19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98" w:lineRule="exact"/>
        <w:rPr>
          <w:sz w:val="20"/>
          <w:szCs w:val="20"/>
          <w:color w:val="auto"/>
        </w:rPr>
      </w:pPr>
    </w:p>
    <w:p>
      <w:pPr>
        <w:ind w:left="200" w:right="160"/>
        <w:spacing w:after="0" w:line="286" w:lineRule="auto"/>
        <w:rPr>
          <w:sz w:val="20"/>
          <w:szCs w:val="20"/>
          <w:color w:val="auto"/>
        </w:rPr>
      </w:pPr>
      <w:r>
        <w:rPr>
          <w:rFonts w:ascii="Arial" w:cs="Arial" w:eastAsia="Arial" w:hAnsi="Arial"/>
          <w:sz w:val="17"/>
          <w:szCs w:val="17"/>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125" w:lineRule="exact"/>
        <w:rPr>
          <w:sz w:val="20"/>
          <w:szCs w:val="20"/>
          <w:color w:val="auto"/>
        </w:rPr>
      </w:pPr>
    </w:p>
    <w:p>
      <w:pPr>
        <w:ind w:left="560" w:hanging="356"/>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who meet the criteria of a “Qualified Investor” as defined in the SCA Board of Directors Decision No. 3 R.M. of 2017 (but excluding subparagraph</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1(d) in the “Qualified Investor” definition relating to natural persons);</w:t>
      </w:r>
    </w:p>
    <w:p>
      <w:pPr>
        <w:spacing w:after="0" w:line="170" w:lineRule="exact"/>
        <w:rPr>
          <w:rFonts w:ascii="Arial" w:cs="Arial" w:eastAsia="Arial" w:hAnsi="Arial"/>
          <w:sz w:val="16"/>
          <w:szCs w:val="16"/>
          <w:color w:val="auto"/>
        </w:rPr>
      </w:pPr>
    </w:p>
    <w:p>
      <w:pPr>
        <w:ind w:left="200" w:right="100" w:firstLine="4"/>
        <w:spacing w:after="0" w:line="277"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143" w:lineRule="exact"/>
        <w:rPr>
          <w:rFonts w:ascii="Arial" w:cs="Arial" w:eastAsia="Arial" w:hAnsi="Arial"/>
          <w:sz w:val="18"/>
          <w:szCs w:val="18"/>
          <w:color w:val="auto"/>
        </w:rPr>
      </w:pPr>
    </w:p>
    <w:p>
      <w:pPr>
        <w:ind w:left="200" w:right="100" w:firstLine="4"/>
        <w:spacing w:after="0" w:line="277" w:lineRule="auto"/>
        <w:tabs>
          <w:tab w:leader="none" w:pos="6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Investors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Each purchaser and holder of the notes (or any interest therein) will be deemed to have represented by its purchase or holding of the notes that either</w:t>
      </w:r>
    </w:p>
    <w:p>
      <w:pPr>
        <w:spacing w:after="0" w:line="46" w:lineRule="exact"/>
        <w:rPr>
          <w:sz w:val="20"/>
          <w:szCs w:val="20"/>
          <w:color w:val="auto"/>
        </w:rPr>
      </w:pPr>
    </w:p>
    <w:p>
      <w:pPr>
        <w:ind w:left="200" w:firstLine="4"/>
        <w:spacing w:after="0" w:line="252" w:lineRule="auto"/>
        <w:tabs>
          <w:tab w:leader="none" w:pos="4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Various legal matters relating to the offering will be passed upon for us by Elizabeth Wideman, Esquire, Vice President, Senior Deputy General Counsel and Assistant Secretary, Francis M. Buono, Esquire, Senior Vice President, Legal Regulatory Affairs and Senior Deputy General Counsel of Comcast Corporation, and by Davis Polk &amp; Wardwell LLP, New York, New York. Cahill Gordon &amp; Reindel LLP, New York, New York, is representing the underwriters.</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The consolidated financial statements and the related consolidated financial statement schedule of Comcast Corporation and subsidiaries (for purposes of this paragraph only, “Comcast Corporation”), incorporated herein by reference from Comcast Corporation’s Annual Report on Form 10-K for the year ended December 31, 2019,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3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herein by reference from NBCUniversal Media, LLC’s Annual Report on Form 10-K for the year ended December 31, 2019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Purchase contracts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w w:val="87"/>
              </w:rPr>
              <w:t>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Units</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156" w:lineRule="exact"/>
        <w:rPr>
          <w:sz w:val="20"/>
          <w:szCs w:val="20"/>
          <w:color w:val="auto"/>
        </w:rPr>
      </w:pPr>
    </w:p>
    <w:p>
      <w:pPr>
        <w:ind w:left="200" w:right="420" w:firstLine="441"/>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31, 2019, the reported last sale price on the Nasdaq Global Select Market for our Class A common stock was $43.17.</w:t>
      </w:r>
    </w:p>
    <w:p>
      <w:pPr>
        <w:spacing w:after="0" w:line="132"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Dividends</w:t>
            </w:r>
          </w:p>
        </w:tc>
        <w:tc>
          <w:tcPr>
            <w:tcW w:w="2980" w:type="dxa"/>
            <w:vAlign w:val="bottom"/>
            <w:gridSpan w:val="2"/>
          </w:tcPr>
          <w:p>
            <w:pPr>
              <w:ind w:left="680"/>
              <w:spacing w:after="0"/>
              <w:rPr>
                <w:sz w:val="20"/>
                <w:szCs w:val="20"/>
                <w:color w:val="auto"/>
              </w:rPr>
            </w:pPr>
            <w:r>
              <w:rPr>
                <w:rFonts w:ascii="Arial" w:cs="Arial" w:eastAsia="Arial" w:hAnsi="Arial"/>
                <w:sz w:val="18"/>
                <w:szCs w:val="18"/>
                <w:color w:val="auto"/>
                <w:w w:val="89"/>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Currency of payments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40"/>
              <w:spacing w:after="0"/>
              <w:rPr>
                <w:sz w:val="20"/>
                <w:szCs w:val="20"/>
                <w:color w:val="auto"/>
              </w:rPr>
            </w:pPr>
            <w:r>
              <w:rPr>
                <w:rFonts w:ascii="Arial" w:cs="Arial" w:eastAsia="Arial" w:hAnsi="Arial"/>
                <w:sz w:val="18"/>
                <w:szCs w:val="18"/>
                <w:color w:val="auto"/>
              </w:rPr>
              <w:t>Amount payable at maturity</w:t>
            </w: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189865</wp:posOffset>
            </wp:positionV>
            <wp:extent cx="14662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00" w:right="360" w:firstLine="441"/>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21 of Comcast’s and NBCUniversal’s combined annual report on Form 10-K for the year ended December 31, 2018, which is incorporated by reference herein.</w:t>
      </w:r>
    </w:p>
    <w:p>
      <w:pPr>
        <w:spacing w:after="0" w:line="74" w:lineRule="exact"/>
        <w:rPr>
          <w:sz w:val="20"/>
          <w:szCs w:val="20"/>
          <w:color w:val="auto"/>
        </w:rPr>
      </w:pPr>
    </w:p>
    <w:p>
      <w:pPr>
        <w:ind w:left="200" w:right="20" w:firstLine="441"/>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26"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August 1, 2019</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920" w:type="dxa"/>
            <w:vAlign w:val="bottom"/>
            <w:gridSpan w:val="2"/>
          </w:tcPr>
          <w:p>
            <w:pPr>
              <w:jc w:val="right"/>
              <w:ind w:right="4438"/>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The Companies</w:t>
              </w:r>
            </w:hyperlink>
          </w:p>
        </w:tc>
        <w:tc>
          <w:tcPr>
            <w:tcW w:w="2940" w:type="dxa"/>
            <w:vAlign w:val="bottom"/>
            <w:gridSpan w:val="9"/>
            <w:vMerge w:val="restart"/>
          </w:tcPr>
          <w:p>
            <w:pPr>
              <w:spacing w:after="0"/>
              <w:rPr>
                <w:sz w:val="24"/>
                <w:szCs w:val="24"/>
                <w:color w:val="auto"/>
              </w:rPr>
            </w:pPr>
          </w:p>
        </w:tc>
        <w:tc>
          <w:tcPr>
            <w:tcW w:w="6920" w:type="dxa"/>
            <w:vAlign w:val="bottom"/>
            <w:gridSpan w:val="2"/>
          </w:tcPr>
          <w:p>
            <w:pPr>
              <w:jc w:val="right"/>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2940" w:type="dxa"/>
            <w:vAlign w:val="bottom"/>
            <w:gridSpan w:val="9"/>
            <w:vMerge w:val="continue"/>
          </w:tcPr>
          <w:p>
            <w:pPr>
              <w:spacing w:after="0"/>
              <w:rPr>
                <w:sz w:val="13"/>
                <w:szCs w:val="13"/>
                <w:color w:val="auto"/>
              </w:rPr>
            </w:pPr>
          </w:p>
        </w:tc>
        <w:tc>
          <w:tcPr>
            <w:tcW w:w="660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06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Caution Concerning Forward-Looking Statements</w:t>
              </w:r>
            </w:hyperlink>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540" w:type="dxa"/>
            <w:vAlign w:val="bottom"/>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Dividend Policy</w:t>
              </w:r>
            </w:hyperlink>
          </w:p>
        </w:tc>
        <w:tc>
          <w:tcPr>
            <w:tcW w:w="2900" w:type="dxa"/>
            <w:vAlign w:val="bottom"/>
            <w:gridSpan w:val="7"/>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Debt Securities and Guarantees</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Global Securities</w:t>
              </w:r>
            </w:hyperlink>
          </w:p>
        </w:tc>
        <w:tc>
          <w:tcPr>
            <w:tcW w:w="2040" w:type="dxa"/>
            <w:vAlign w:val="bottom"/>
            <w:tcBorders>
              <w:top w:val="single" w:sz="8" w:color="0000EE"/>
            </w:tcBorders>
            <w:gridSpan w:val="4"/>
          </w:tcPr>
          <w:p>
            <w:pPr>
              <w:spacing w:after="0"/>
              <w:rPr>
                <w:sz w:val="17"/>
                <w:szCs w:val="17"/>
                <w:color w:val="auto"/>
              </w:rPr>
            </w:pPr>
          </w:p>
        </w:tc>
        <w:tc>
          <w:tcPr>
            <w:tcW w:w="800" w:type="dxa"/>
            <w:vAlign w:val="bottom"/>
            <w:gridSpan w:val="2"/>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Capital Stock</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Plan of Distribution</w:t>
              </w:r>
            </w:hyperlink>
          </w:p>
        </w:tc>
        <w:tc>
          <w:tcPr>
            <w:tcW w:w="600" w:type="dxa"/>
            <w:vAlign w:val="bottom"/>
            <w:tcBorders>
              <w:top w:val="single" w:sz="8" w:color="0000EE"/>
            </w:tcBorders>
            <w:gridSpan w:val="2"/>
          </w:tcPr>
          <w:p>
            <w:pPr>
              <w:spacing w:after="0"/>
              <w:rPr>
                <w:sz w:val="17"/>
                <w:szCs w:val="17"/>
                <w:color w:val="auto"/>
              </w:rPr>
            </w:pPr>
          </w:p>
        </w:tc>
        <w:tc>
          <w:tcPr>
            <w:tcW w:w="2060" w:type="dxa"/>
            <w:vAlign w:val="bottom"/>
            <w:gridSpan w:val="3"/>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Legal Matters</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Experts</w:t>
              </w:r>
            </w:hyperlink>
          </w:p>
        </w:tc>
        <w:tc>
          <w:tcPr>
            <w:tcW w:w="3080" w:type="dxa"/>
            <w:vAlign w:val="bottom"/>
            <w:gridSpan w:val="10"/>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Available Information</w:t>
              </w:r>
            </w:hyperlink>
          </w:p>
        </w:tc>
        <w:tc>
          <w:tcPr>
            <w:tcW w:w="2500" w:type="dxa"/>
            <w:vAlign w:val="bottom"/>
            <w:gridSpan w:val="4"/>
          </w:tcPr>
          <w:p>
            <w:pPr>
              <w:spacing w:after="0"/>
              <w:rPr>
                <w:sz w:val="17"/>
                <w:szCs w:val="17"/>
                <w:color w:val="auto"/>
              </w:rPr>
            </w:pPr>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060" w:type="dxa"/>
            <w:vAlign w:val="bottom"/>
            <w:gridSpan w:val="1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Incorporation of Certain Documents by Reference</w:t>
              </w:r>
            </w:hyperlink>
          </w:p>
        </w:tc>
        <w:tc>
          <w:tcPr>
            <w:tcW w:w="6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We refer to Comcast Corporation in this prospectus as “Comcast,” and Comcast and its consolidated subsidiaries as “we,” “us,” “our” or comparable terms; Comcast Holdings Corporation as “Comcast Holdings” and Sky Limited (formerly Sky plc) and its consolidated subsidiaries as “Sky.” We refer to NBCUniversal Media, LLC and its consolidated subsidiaries as “NBCUniversal,” Comcast Cable Communications, LLC and its consolidated subsidiaries as “Comcast Cable,” and both of them collectively as the “Guarantors.”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are a global media and technology company with three primary businesses, Comcast Cable, NBCUniversal and Sky. We present our operations for</w:t>
      </w:r>
    </w:p>
    <w:p>
      <w:pPr>
        <w:spacing w:after="0" w:line="50" w:lineRule="exact"/>
        <w:rPr>
          <w:sz w:val="20"/>
          <w:szCs w:val="20"/>
          <w:color w:val="auto"/>
        </w:rPr>
      </w:pPr>
    </w:p>
    <w:p>
      <w:pPr>
        <w:ind w:left="200" w:right="80" w:firstLine="4"/>
        <w:spacing w:after="0" w:line="255" w:lineRule="auto"/>
        <w:tabs>
          <w:tab w:leader="none" w:pos="4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57" w:lineRule="exact"/>
        <w:rPr>
          <w:rFonts w:ascii="Arial" w:cs="Arial" w:eastAsia="Arial" w:hAnsi="Arial"/>
          <w:sz w:val="18"/>
          <w:szCs w:val="18"/>
          <w:color w:val="auto"/>
        </w:rPr>
      </w:pPr>
    </w:p>
    <w:p>
      <w:pPr>
        <w:ind w:left="1180" w:right="200" w:hanging="436"/>
        <w:spacing w:after="0" w:line="262" w:lineRule="auto"/>
        <w:tabs>
          <w:tab w:leader="none" w:pos="118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video, voice, wireless, and security and automation services (“cable services”) to residential customers under the XFINITY brand; we also provide these and other services to business customers and sell advertising.</w:t>
      </w:r>
    </w:p>
    <w:p>
      <w:pPr>
        <w:spacing w:after="0" w:line="51" w:lineRule="exact"/>
        <w:rPr>
          <w:rFonts w:ascii="Arial" w:cs="Arial" w:eastAsia="Arial" w:hAnsi="Arial"/>
          <w:sz w:val="18"/>
          <w:szCs w:val="18"/>
          <w:color w:val="auto"/>
        </w:rPr>
      </w:pPr>
    </w:p>
    <w:p>
      <w:pPr>
        <w:ind w:left="1180" w:right="100" w:hanging="436"/>
        <w:spacing w:after="0" w:line="262" w:lineRule="auto"/>
        <w:tabs>
          <w:tab w:leader="none" w:pos="118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51" w:lineRule="exact"/>
        <w:rPr>
          <w:rFonts w:ascii="Arial" w:cs="Arial" w:eastAsia="Arial" w:hAnsi="Arial"/>
          <w:sz w:val="18"/>
          <w:szCs w:val="18"/>
          <w:color w:val="auto"/>
        </w:rPr>
      </w:pPr>
    </w:p>
    <w:p>
      <w:pPr>
        <w:ind w:left="1180" w:right="260" w:hanging="436"/>
        <w:spacing w:after="0" w:line="262" w:lineRule="auto"/>
        <w:tabs>
          <w:tab w:leader="none" w:pos="118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our broadcast television studio production operations, and various digital properties.</w:t>
      </w:r>
    </w:p>
    <w:p>
      <w:pPr>
        <w:spacing w:after="0" w:line="51" w:lineRule="exact"/>
        <w:rPr>
          <w:rFonts w:ascii="Arial" w:cs="Arial" w:eastAsia="Arial" w:hAnsi="Arial"/>
          <w:sz w:val="18"/>
          <w:szCs w:val="18"/>
          <w:color w:val="auto"/>
        </w:rPr>
      </w:pPr>
    </w:p>
    <w:p>
      <w:pPr>
        <w:ind w:left="1180" w:right="140" w:hanging="436"/>
        <w:spacing w:after="0" w:line="334" w:lineRule="auto"/>
        <w:tabs>
          <w:tab w:leader="none" w:pos="1180" w:val="left"/>
        </w:tabs>
        <w:numPr>
          <w:ilvl w:val="1"/>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DreamWorks Animation and Focus Features names.</w:t>
      </w:r>
    </w:p>
    <w:p>
      <w:pPr>
        <w:spacing w:after="0" w:line="1" w:lineRule="exact"/>
        <w:rPr>
          <w:rFonts w:ascii="Arial" w:cs="Arial" w:eastAsia="Arial" w:hAnsi="Arial"/>
          <w:sz w:val="16"/>
          <w:szCs w:val="16"/>
          <w:color w:val="auto"/>
        </w:rPr>
      </w:pPr>
    </w:p>
    <w:p>
      <w:pPr>
        <w:ind w:left="1180" w:right="260" w:hanging="436"/>
        <w:spacing w:after="0" w:line="334" w:lineRule="auto"/>
        <w:tabs>
          <w:tab w:leader="none" w:pos="1180" w:val="left"/>
        </w:tabs>
        <w:numPr>
          <w:ilvl w:val="1"/>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Theme Parks: </w:t>
      </w:r>
      <w:r>
        <w:rPr>
          <w:rFonts w:ascii="Arial" w:cs="Arial" w:eastAsia="Arial" w:hAnsi="Arial"/>
          <w:sz w:val="16"/>
          <w:szCs w:val="16"/>
          <w:color w:val="auto"/>
        </w:rPr>
        <w:t>Consists primarily of our Universal theme parks in Orlando, Florida; Hollywood, California; and Osaka, Japan.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along with a consortium of Chinese state-owned companies, we are developing a Universal theme park and resort in Beijing, China.</w:t>
      </w:r>
    </w:p>
    <w:p>
      <w:pPr>
        <w:spacing w:after="0" w:line="1" w:lineRule="exact"/>
        <w:rPr>
          <w:rFonts w:ascii="Arial" w:cs="Arial" w:eastAsia="Arial" w:hAnsi="Arial"/>
          <w:sz w:val="16"/>
          <w:szCs w:val="16"/>
          <w:color w:val="auto"/>
        </w:rPr>
      </w:pPr>
    </w:p>
    <w:p>
      <w:pPr>
        <w:ind w:left="1180" w:right="180" w:hanging="436"/>
        <w:spacing w:after="0" w:line="262" w:lineRule="auto"/>
        <w:tabs>
          <w:tab w:leader="none" w:pos="118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providing video, high-speed internet, voice and wireless phone services, and a content business, operating entertainment networks, the Sky News broadcast network and Sky Sports networks.</w:t>
      </w:r>
    </w:p>
    <w:p>
      <w:pPr>
        <w:spacing w:after="0" w:line="138"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132" w:lineRule="exact"/>
        <w:rPr>
          <w:sz w:val="20"/>
          <w:szCs w:val="20"/>
          <w:color w:val="auto"/>
        </w:rPr>
      </w:pPr>
    </w:p>
    <w:p>
      <w:pPr>
        <w:ind w:left="200" w:right="40" w:firstLine="441"/>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180" w:hanging="436"/>
        <w:spacing w:after="0" w:line="268"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left="200" w:right="320" w:firstLine="441"/>
        <w:spacing w:after="0" w:line="26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97790</wp:posOffset>
            </wp:positionV>
            <wp:extent cx="1466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0"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459"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2018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1180" w:right="220" w:hanging="436"/>
        <w:spacing w:after="0" w:line="268"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1180" w:right="320" w:hanging="436"/>
        <w:spacing w:after="0" w:line="268"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could adversely affect our businesses and challenge existing business models;</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impose additional costs and restrictions on our businesses;</w:t>
      </w:r>
    </w:p>
    <w:p>
      <w:pPr>
        <w:spacing w:after="0" w:line="113" w:lineRule="exact"/>
        <w:rPr>
          <w:rFonts w:ascii="Arial" w:cs="Arial" w:eastAsia="Arial" w:hAnsi="Arial"/>
          <w:sz w:val="16"/>
          <w:szCs w:val="16"/>
          <w:color w:val="auto"/>
        </w:rPr>
      </w:pPr>
    </w:p>
    <w:p>
      <w:pPr>
        <w:ind w:left="1180" w:right="500" w:hanging="436"/>
        <w:spacing w:after="0" w:line="268"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and Sky’s video businesses;</w:t>
      </w:r>
    </w:p>
    <w:p>
      <w:pPr>
        <w:spacing w:after="0" w:line="50" w:lineRule="exact"/>
        <w:rPr>
          <w:rFonts w:ascii="Arial" w:cs="Arial" w:eastAsia="Arial" w:hAnsi="Arial"/>
          <w:sz w:val="18"/>
          <w:szCs w:val="18"/>
          <w:color w:val="auto"/>
        </w:rPr>
      </w:pPr>
    </w:p>
    <w:p>
      <w:pPr>
        <w:ind w:left="1180" w:right="180" w:hanging="436"/>
        <w:spacing w:after="0" w:line="332" w:lineRule="auto"/>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4" w:lineRule="exact"/>
        <w:rPr>
          <w:rFonts w:ascii="Arial" w:cs="Arial" w:eastAsia="Arial" w:hAnsi="Arial"/>
          <w:sz w:val="16"/>
          <w:szCs w:val="16"/>
          <w:color w:val="auto"/>
        </w:rPr>
      </w:pPr>
    </w:p>
    <w:p>
      <w:pPr>
        <w:ind w:left="1180" w:hanging="436"/>
        <w:spacing w:after="0" w:line="268"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1180" w:right="340" w:hanging="436"/>
        <w:spacing w:after="0" w:line="268"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 favorable regulation, the loss of Sky’s transmission agreements with satellite or telecommunications providers or the renewal of these agreements on less favorable terms, could adversely affect Sky’s businesses;</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loss of Sky’s wholesale distribution agreements with traditional multichannel video providers could adversely affect Sky’s businesses;</w:t>
      </w:r>
    </w:p>
    <w:p>
      <w:pPr>
        <w:spacing w:after="0" w:line="113" w:lineRule="exact"/>
        <w:rPr>
          <w:rFonts w:ascii="Arial" w:cs="Arial" w:eastAsia="Arial" w:hAnsi="Arial"/>
          <w:sz w:val="16"/>
          <w:szCs w:val="16"/>
          <w:color w:val="auto"/>
        </w:rPr>
      </w:pPr>
    </w:p>
    <w:p>
      <w:pPr>
        <w:ind w:left="1180" w:right="540" w:hanging="436"/>
        <w:spacing w:after="0" w:line="268"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1180" w:right="440" w:hanging="436"/>
        <w:spacing w:after="0" w:line="268"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1180" w:right="360" w:hanging="436"/>
        <w:spacing w:after="0" w:line="268"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acquisitions, including our acquisitions of Sky, and other strategic initiatives present many risks, and we may not realize the financial and strategic goals that we had contemplated;</w:t>
      </w:r>
    </w:p>
    <w:p>
      <w:pPr>
        <w:spacing w:after="0" w:line="50" w:lineRule="exact"/>
        <w:rPr>
          <w:rFonts w:ascii="Arial" w:cs="Arial" w:eastAsia="Arial" w:hAnsi="Arial"/>
          <w:sz w:val="18"/>
          <w:szCs w:val="18"/>
          <w:color w:val="auto"/>
        </w:rPr>
      </w:pPr>
    </w:p>
    <w:p>
      <w:pPr>
        <w:ind w:left="1180" w:right="760" w:hanging="436"/>
        <w:spacing w:after="0" w:line="268"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1180" w:hanging="436"/>
        <w:spacing w:after="0"/>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loss of key management personnel or popular on-air and creative talent could have an adverse effect on our businesses;</w:t>
      </w:r>
    </w:p>
    <w:p>
      <w:pPr>
        <w:spacing w:after="0" w:line="113" w:lineRule="exact"/>
        <w:rPr>
          <w:rFonts w:ascii="Arial" w:cs="Arial" w:eastAsia="Arial" w:hAnsi="Arial"/>
          <w:sz w:val="16"/>
          <w:szCs w:val="16"/>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1180" w:hanging="436"/>
        <w:spacing w:after="0" w:line="332"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240" w:top="459" w:right="7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Our Board of Directors retains the right to change our dividend policy at any time.</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24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4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rate or rates, if any, per year, at which the debt securities will bear interest, or the method of determining such rate or rates;</w:t>
      </w:r>
    </w:p>
    <w:p>
      <w:pPr>
        <w:spacing w:after="0" w:line="113" w:lineRule="exact"/>
        <w:rPr>
          <w:rFonts w:ascii="Arial" w:cs="Arial" w:eastAsia="Arial" w:hAnsi="Arial"/>
          <w:sz w:val="16"/>
          <w:szCs w:val="16"/>
          <w:color w:val="auto"/>
        </w:rPr>
      </w:pPr>
    </w:p>
    <w:p>
      <w:pPr>
        <w:ind w:left="1180" w:right="100" w:hanging="436"/>
        <w:spacing w:after="0" w:line="259"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right="300" w:hanging="436"/>
        <w:spacing w:after="0" w:line="268"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1180" w:right="180" w:hanging="436"/>
        <w:spacing w:after="0" w:line="268"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1180" w:right="380" w:hanging="436"/>
        <w:spacing w:after="0" w:line="268"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1180" w:right="500" w:hanging="436"/>
        <w:spacing w:after="0" w:line="268"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1180" w:right="260" w:hanging="436"/>
        <w:spacing w:after="0" w:line="268"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1180" w:right="100" w:hanging="436"/>
        <w:spacing w:after="0" w:line="268"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“Aggregate Debt” means, with respect to an Obligor, the sum of the following as of the date of determination:</w:t>
      </w:r>
    </w:p>
    <w:p>
      <w:pPr>
        <w:spacing w:after="0" w:line="90" w:lineRule="exact"/>
        <w:rPr>
          <w:sz w:val="20"/>
          <w:szCs w:val="20"/>
          <w:color w:val="auto"/>
        </w:rPr>
      </w:pPr>
    </w:p>
    <w:p>
      <w:pPr>
        <w:ind w:left="200" w:right="140" w:firstLine="444"/>
        <w:spacing w:after="0" w:line="268" w:lineRule="auto"/>
        <w:tabs>
          <w:tab w:leader="none" w:pos="8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24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00" w:firstLine="444"/>
        <w:spacing w:after="0" w:line="268" w:lineRule="auto"/>
        <w:tabs>
          <w:tab w:leader="none" w:pos="889"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“Attributable Liens” means in connection with a sale and lease-back transaction of an Obligor the lesser of:</w:t>
      </w:r>
    </w:p>
    <w:p>
      <w:pPr>
        <w:spacing w:after="0" w:line="90" w:lineRule="exact"/>
        <w:rPr>
          <w:sz w:val="20"/>
          <w:szCs w:val="20"/>
          <w:color w:val="auto"/>
        </w:rPr>
      </w:pPr>
    </w:p>
    <w:p>
      <w:pPr>
        <w:ind w:left="200" w:right="100" w:firstLine="444"/>
        <w:spacing w:after="0" w:line="268" w:lineRule="auto"/>
        <w:tabs>
          <w:tab w:leader="none" w:pos="8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left="200" w:right="400" w:firstLine="444"/>
        <w:spacing w:after="0" w:line="306" w:lineRule="auto"/>
        <w:tabs>
          <w:tab w:leader="none" w:pos="88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07"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0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32" w:lineRule="exact"/>
        <w:rPr>
          <w:sz w:val="20"/>
          <w:szCs w:val="20"/>
          <w:color w:val="auto"/>
        </w:rPr>
      </w:pPr>
    </w:p>
    <w:p>
      <w:pPr>
        <w:ind w:left="200" w:right="200" w:firstLine="441"/>
        <w:spacing w:after="0" w:line="303" w:lineRule="auto"/>
        <w:rPr>
          <w:sz w:val="20"/>
          <w:szCs w:val="20"/>
          <w:color w:val="auto"/>
        </w:rPr>
      </w:pPr>
      <w:r>
        <w:rPr>
          <w:rFonts w:ascii="Arial" w:cs="Arial" w:eastAsia="Arial" w:hAnsi="Arial"/>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w:t>
      </w:r>
    </w:p>
    <w:p>
      <w:pPr>
        <w:spacing w:after="0" w:line="1" w:lineRule="exact"/>
        <w:rPr>
          <w:sz w:val="20"/>
          <w:szCs w:val="20"/>
          <w:color w:val="auto"/>
        </w:rPr>
      </w:pPr>
    </w:p>
    <w:p>
      <w:pPr>
        <w:ind w:left="200" w:firstLine="4"/>
        <w:spacing w:after="0" w:line="261" w:lineRule="auto"/>
        <w:tabs>
          <w:tab w:leader="none" w:pos="4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of the senior indenture, for purposes of the definition of “Capital Lease” and (ii) the date of determination, for all other purposes under the senior indenture.</w:t>
      </w:r>
    </w:p>
    <w:p>
      <w:pPr>
        <w:spacing w:after="0" w:line="13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20" w:lineRule="exact"/>
        <w:rPr>
          <w:sz w:val="20"/>
          <w:szCs w:val="20"/>
          <w:color w:val="auto"/>
        </w:rPr>
      </w:pPr>
    </w:p>
    <w:p>
      <w:pPr>
        <w:ind w:left="200" w:right="240" w:firstLine="441"/>
        <w:spacing w:after="0" w:line="294" w:lineRule="auto"/>
        <w:rPr>
          <w:sz w:val="20"/>
          <w:szCs w:val="20"/>
          <w:color w:val="auto"/>
        </w:rPr>
      </w:pPr>
      <w:r>
        <w:rPr>
          <w:rFonts w:ascii="Arial" w:cs="Arial" w:eastAsia="Arial" w:hAnsi="Arial"/>
          <w:sz w:val="16"/>
          <w:szCs w:val="16"/>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16"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“Obligor” means us and the Guarantors.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“Permitted Liens” means, with respect to an Obligor:</w:t>
      </w:r>
    </w:p>
    <w:p>
      <w:pPr>
        <w:spacing w:after="0" w:line="90" w:lineRule="exact"/>
        <w:rPr>
          <w:sz w:val="20"/>
          <w:szCs w:val="20"/>
          <w:color w:val="auto"/>
        </w:rPr>
      </w:pPr>
    </w:p>
    <w:p>
      <w:pPr>
        <w:jc w:val="both"/>
        <w:ind w:left="200" w:right="180" w:firstLine="444"/>
        <w:spacing w:after="0" w:line="259" w:lineRule="auto"/>
        <w:tabs>
          <w:tab w:leader="none" w:pos="8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rFonts w:ascii="Arial" w:cs="Arial" w:eastAsia="Arial" w:hAnsi="Arial"/>
          <w:sz w:val="18"/>
          <w:szCs w:val="18"/>
          <w:color w:val="auto"/>
        </w:rPr>
      </w:pPr>
    </w:p>
    <w:p>
      <w:pPr>
        <w:ind w:left="200" w:right="60" w:firstLine="444"/>
        <w:spacing w:after="0" w:line="291" w:lineRule="auto"/>
        <w:tabs>
          <w:tab w:leader="none" w:pos="889"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rFonts w:ascii="Arial" w:cs="Arial" w:eastAsia="Arial" w:hAnsi="Arial"/>
          <w:sz w:val="16"/>
          <w:szCs w:val="16"/>
          <w:color w:val="auto"/>
        </w:rPr>
      </w:pPr>
    </w:p>
    <w:p>
      <w:pPr>
        <w:ind w:left="200" w:right="840" w:firstLine="444"/>
        <w:spacing w:after="0" w:line="268" w:lineRule="auto"/>
        <w:tabs>
          <w:tab w:leader="none" w:pos="8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left="200" w:right="460" w:firstLine="444"/>
        <w:spacing w:after="0" w:line="268" w:lineRule="auto"/>
        <w:tabs>
          <w:tab w:leader="none" w:pos="8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left="200" w:right="220" w:firstLine="444"/>
        <w:spacing w:after="0" w:line="268" w:lineRule="auto"/>
        <w:tabs>
          <w:tab w:leader="none" w:pos="879"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left="200" w:right="400" w:firstLine="444"/>
        <w:spacing w:after="0" w:line="306" w:lineRule="auto"/>
        <w:tabs>
          <w:tab w:leader="none" w:pos="8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06" w:lineRule="exact"/>
        <w:rPr>
          <w:rFonts w:ascii="Arial" w:cs="Arial" w:eastAsia="Arial" w:hAnsi="Arial"/>
          <w:sz w:val="16"/>
          <w:szCs w:val="16"/>
          <w:color w:val="auto"/>
        </w:rPr>
      </w:pPr>
    </w:p>
    <w:p>
      <w:pPr>
        <w:ind w:left="900" w:hanging="25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jc w:val="both"/>
        <w:ind w:left="200" w:right="160" w:firstLine="444"/>
        <w:spacing w:after="0" w:line="259" w:lineRule="auto"/>
        <w:tabs>
          <w:tab w:leader="none" w:pos="8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left="200" w:right="120" w:firstLine="444"/>
        <w:spacing w:after="0" w:line="268" w:lineRule="auto"/>
        <w:tabs>
          <w:tab w:leader="none" w:pos="8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left="200" w:firstLine="444"/>
        <w:spacing w:after="0" w:line="268" w:lineRule="auto"/>
        <w:tabs>
          <w:tab w:leader="none" w:pos="8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left="200" w:right="40" w:firstLine="444"/>
        <w:spacing w:after="0" w:line="259" w:lineRule="auto"/>
        <w:tabs>
          <w:tab w:leader="none" w:pos="8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860" w:hanging="216"/>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4"/>
        <w:spacing w:after="0" w:line="268" w:lineRule="auto"/>
        <w:tabs>
          <w:tab w:leader="none" w:pos="93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900" w:hanging="25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left="200" w:right="140" w:firstLine="444"/>
        <w:spacing w:after="0" w:line="268" w:lineRule="auto"/>
        <w:tabs>
          <w:tab w:leader="none" w:pos="8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left="200" w:right="240" w:firstLine="444"/>
        <w:spacing w:after="0" w:line="268" w:lineRule="auto"/>
        <w:tabs>
          <w:tab w:leader="none" w:pos="8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left="200" w:right="180" w:firstLine="444"/>
        <w:spacing w:after="0" w:line="370" w:lineRule="auto"/>
        <w:tabs>
          <w:tab w:leader="none" w:pos="889" w:val="left"/>
        </w:tabs>
        <w:numPr>
          <w:ilvl w:val="0"/>
          <w:numId w:val="37"/>
        </w:numPr>
        <w:rPr>
          <w:rFonts w:ascii="Arial" w:cs="Arial" w:eastAsia="Arial" w:hAnsi="Arial"/>
          <w:sz w:val="15"/>
          <w:szCs w:val="15"/>
          <w:color w:val="auto"/>
        </w:rPr>
      </w:pPr>
      <w:r>
        <w:rPr>
          <w:rFonts w:ascii="Arial" w:cs="Arial" w:eastAsia="Arial" w:hAnsi="Arial"/>
          <w:sz w:val="15"/>
          <w:szCs w:val="15"/>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2" w:lineRule="exact"/>
        <w:rPr>
          <w:rFonts w:ascii="Arial" w:cs="Arial" w:eastAsia="Arial" w:hAnsi="Arial"/>
          <w:sz w:val="15"/>
          <w:szCs w:val="15"/>
          <w:color w:val="auto"/>
        </w:rPr>
      </w:pPr>
    </w:p>
    <w:p>
      <w:pPr>
        <w:ind w:left="200" w:right="200" w:firstLine="444"/>
        <w:spacing w:after="0" w:line="306" w:lineRule="auto"/>
        <w:tabs>
          <w:tab w:leader="none" w:pos="8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06" w:lineRule="exact"/>
        <w:rPr>
          <w:rFonts w:ascii="Arial" w:cs="Arial" w:eastAsia="Arial" w:hAnsi="Arial"/>
          <w:sz w:val="16"/>
          <w:szCs w:val="16"/>
          <w:color w:val="auto"/>
        </w:rPr>
      </w:pPr>
    </w:p>
    <w:p>
      <w:pPr>
        <w:ind w:left="880" w:hanging="236"/>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71" w:lineRule="exact"/>
        <w:rPr>
          <w:sz w:val="20"/>
          <w:szCs w:val="20"/>
          <w:color w:val="auto"/>
        </w:rPr>
      </w:pPr>
    </w:p>
    <w:p>
      <w:pPr>
        <w:ind w:left="200" w:right="980" w:firstLine="441"/>
        <w:spacing w:after="0" w:line="332" w:lineRule="auto"/>
        <w:rPr>
          <w:sz w:val="20"/>
          <w:szCs w:val="20"/>
          <w:color w:val="auto"/>
        </w:rPr>
      </w:pPr>
      <w:r>
        <w:rPr>
          <w:rFonts w:ascii="Arial" w:cs="Arial" w:eastAsia="Arial" w:hAnsi="Arial"/>
          <w:sz w:val="16"/>
          <w:szCs w:val="16"/>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85"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color w:val="auto"/>
        </w:rPr>
        <w:t>“Property” means with respect to any Person any property or asset, whether real, personal or mixed, or tangible or intangible, including shares of capital stock.</w:t>
      </w:r>
    </w:p>
    <w:p>
      <w:pPr>
        <w:spacing w:after="0" w:line="132" w:lineRule="exact"/>
        <w:rPr>
          <w:sz w:val="20"/>
          <w:szCs w:val="20"/>
          <w:color w:val="auto"/>
        </w:rPr>
      </w:pPr>
    </w:p>
    <w:p>
      <w:pPr>
        <w:ind w:left="200" w:right="340" w:firstLine="441"/>
        <w:spacing w:after="0" w:line="256"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left="200" w:right="100" w:firstLine="441"/>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180" w:right="80" w:hanging="436"/>
        <w:spacing w:after="0" w:line="268"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Limitation on Liens Securing Indebtedness. 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1180" w:hanging="436"/>
        <w:spacing w:after="0" w:line="268"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1180" w:right="180" w:hanging="436"/>
        <w:spacing w:after="0" w:line="255"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61"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5"/>
          <w:szCs w:val="15"/>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05"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Limitation on Sale and Lease-Back Transactions. 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right="160" w:hanging="436"/>
        <w:spacing w:after="0" w:line="306" w:lineRule="auto"/>
        <w:tabs>
          <w:tab w:leader="none" w:pos="1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25" w:lineRule="exact"/>
        <w:rPr>
          <w:rFonts w:ascii="Arial" w:cs="Arial" w:eastAsia="Arial" w:hAnsi="Arial"/>
          <w:sz w:val="16"/>
          <w:szCs w:val="16"/>
          <w:color w:val="auto"/>
        </w:rPr>
      </w:pPr>
    </w:p>
    <w:p>
      <w:pPr>
        <w:ind w:left="1180" w:right="120" w:hanging="436"/>
        <w:spacing w:after="0" w:line="256"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left="200" w:right="400" w:firstLine="441"/>
        <w:spacing w:after="0" w:line="306"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We will not consolidate or combine with or merge with or into or, directly or indirectly, sell, assign,</w:t>
      </w:r>
      <w:r>
        <w:rPr>
          <w:rFonts w:ascii="Arial" w:cs="Arial" w:eastAsia="Arial" w:hAnsi="Arial"/>
          <w:sz w:val="16"/>
          <w:szCs w:val="16"/>
          <w:i w:val="1"/>
          <w:iCs w:val="1"/>
          <w:color w:val="auto"/>
        </w:rPr>
        <w:t xml:space="preserve"> </w:t>
      </w:r>
      <w:r>
        <w:rPr>
          <w:rFonts w:ascii="Arial" w:cs="Arial" w:eastAsia="Arial" w:hAnsi="Arial"/>
          <w:sz w:val="16"/>
          <w:szCs w:val="16"/>
          <w:color w:val="auto"/>
        </w:rPr>
        <w:t>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26" w:lineRule="exact"/>
        <w:rPr>
          <w:sz w:val="20"/>
          <w:szCs w:val="20"/>
          <w:color w:val="auto"/>
        </w:rPr>
      </w:pPr>
    </w:p>
    <w:p>
      <w:pPr>
        <w:ind w:left="1180" w:right="100" w:hanging="436"/>
        <w:spacing w:after="0" w:line="259"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1180" w:right="300" w:hanging="436"/>
        <w:spacing w:after="0" w:line="268"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on a pro forma basis, no default has occurred and is continuing; and</w:t>
      </w:r>
    </w:p>
    <w:p>
      <w:pPr>
        <w:spacing w:after="0" w:line="50" w:lineRule="exact"/>
        <w:rPr>
          <w:rFonts w:ascii="Arial" w:cs="Arial" w:eastAsia="Arial" w:hAnsi="Arial"/>
          <w:sz w:val="18"/>
          <w:szCs w:val="18"/>
          <w:color w:val="auto"/>
        </w:rPr>
      </w:pPr>
    </w:p>
    <w:p>
      <w:pPr>
        <w:jc w:val="both"/>
        <w:ind w:left="1180" w:right="140" w:hanging="436"/>
        <w:spacing w:after="0" w:line="259"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1180" w:right="360" w:hanging="436"/>
        <w:spacing w:after="0" w:line="268"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20"/>
        <w:spacing w:after="0" w:line="332" w:lineRule="auto"/>
        <w:rPr>
          <w:sz w:val="20"/>
          <w:szCs w:val="20"/>
          <w:color w:val="auto"/>
        </w:rPr>
      </w:pPr>
      <w:r>
        <w:rPr>
          <w:rFonts w:ascii="Arial" w:cs="Arial" w:eastAsia="Arial" w:hAnsi="Arial"/>
          <w:sz w:val="16"/>
          <w:szCs w:val="16"/>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85" w:lineRule="exact"/>
        <w:rPr>
          <w:sz w:val="20"/>
          <w:szCs w:val="20"/>
          <w:color w:val="auto"/>
        </w:rPr>
      </w:pPr>
    </w:p>
    <w:p>
      <w:pPr>
        <w:ind w:left="200" w:right="100" w:firstLine="441"/>
        <w:spacing w:after="0" w:line="306" w:lineRule="auto"/>
        <w:rPr>
          <w:sz w:val="20"/>
          <w:szCs w:val="20"/>
          <w:color w:val="auto"/>
        </w:rPr>
      </w:pPr>
      <w:r>
        <w:rPr>
          <w:rFonts w:ascii="Arial" w:cs="Arial" w:eastAsia="Arial" w:hAnsi="Arial"/>
          <w:sz w:val="16"/>
          <w:szCs w:val="16"/>
          <w:i w:val="1"/>
          <w:iCs w:val="1"/>
          <w:color w:val="auto"/>
        </w:rPr>
        <w:t>Existence</w:t>
      </w:r>
      <w:r>
        <w:rPr>
          <w:rFonts w:ascii="Arial" w:cs="Arial" w:eastAsia="Arial" w:hAnsi="Arial"/>
          <w:sz w:val="16"/>
          <w:szCs w:val="16"/>
          <w:color w:val="auto"/>
        </w:rPr>
        <w:t>. Except as permitted under “—Consolidation, Merger and Sale of Assets,” the indenture requires us to do or cause to be done all things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0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i w:val="1"/>
          <w:iCs w:val="1"/>
          <w:color w:val="auto"/>
        </w:rPr>
        <w:t>Information</w:t>
      </w:r>
      <w:r>
        <w:rPr>
          <w:rFonts w:ascii="Arial" w:cs="Arial" w:eastAsia="Arial" w:hAnsi="Arial"/>
          <w:sz w:val="16"/>
          <w:szCs w:val="16"/>
          <w:color w:val="auto"/>
        </w:rPr>
        <w:t>. We will furnish to the trustee any document or report we are required to file with the SEC pursuant to Section 13 or Section 15(d)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default in paying interest on the senior debt securities of such series when it becomes due and the default continues for a period of 30 days or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more;</w:t>
      </w:r>
    </w:p>
    <w:p>
      <w:pPr>
        <w:spacing w:after="0" w:line="165" w:lineRule="exact"/>
        <w:rPr>
          <w:sz w:val="20"/>
          <w:szCs w:val="20"/>
          <w:color w:val="auto"/>
        </w:rPr>
      </w:pPr>
    </w:p>
    <w:p>
      <w:pPr>
        <w:ind w:left="900" w:hanging="25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left="200" w:right="260" w:firstLine="444"/>
        <w:spacing w:after="0" w:line="298" w:lineRule="auto"/>
        <w:tabs>
          <w:tab w:leader="none" w:pos="879"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12" w:lineRule="exact"/>
        <w:rPr>
          <w:rFonts w:ascii="Arial" w:cs="Arial" w:eastAsia="Arial" w:hAnsi="Arial"/>
          <w:sz w:val="16"/>
          <w:szCs w:val="16"/>
          <w:color w:val="auto"/>
        </w:rPr>
      </w:pPr>
    </w:p>
    <w:p>
      <w:pPr>
        <w:ind w:left="900" w:hanging="25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880" w:hanging="236"/>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jc w:val="both"/>
        <w:ind w:left="200" w:right="180" w:firstLine="441"/>
        <w:spacing w:after="0" w:line="370" w:lineRule="auto"/>
        <w:rPr>
          <w:sz w:val="20"/>
          <w:szCs w:val="20"/>
          <w:color w:val="auto"/>
        </w:rPr>
      </w:pPr>
      <w:r>
        <w:rPr>
          <w:rFonts w:ascii="Arial" w:cs="Arial" w:eastAsia="Arial" w:hAnsi="Arial"/>
          <w:sz w:val="15"/>
          <w:szCs w:val="15"/>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After a declaration of acceleration or any automatic acceleration under clause (d) described above, the holders of a majority in principal amount of the outstanding senior debt securities of any series (each such series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94" w:lineRule="auto"/>
        <w:rPr>
          <w:sz w:val="20"/>
          <w:szCs w:val="20"/>
          <w:color w:val="auto"/>
        </w:rPr>
      </w:pPr>
      <w:r>
        <w:rPr>
          <w:rFonts w:ascii="Arial" w:cs="Arial" w:eastAsia="Arial" w:hAnsi="Arial"/>
          <w:sz w:val="16"/>
          <w:szCs w:val="16"/>
          <w:color w:val="auto"/>
        </w:rPr>
        <w:t>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16" w:lineRule="exact"/>
        <w:rPr>
          <w:sz w:val="20"/>
          <w:szCs w:val="20"/>
          <w:color w:val="auto"/>
        </w:rPr>
      </w:pPr>
    </w:p>
    <w:p>
      <w:pPr>
        <w:ind w:left="200" w:right="440" w:firstLine="441"/>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51" w:lineRule="exact"/>
        <w:rPr>
          <w:sz w:val="20"/>
          <w:szCs w:val="20"/>
          <w:color w:val="auto"/>
        </w:rPr>
      </w:pPr>
    </w:p>
    <w:p>
      <w:pPr>
        <w:ind w:left="1180" w:hanging="436"/>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180" w:right="540" w:hanging="436"/>
        <w:spacing w:after="0" w:line="268"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180" w:right="60" w:hanging="436"/>
        <w:spacing w:after="0" w:line="294" w:lineRule="auto"/>
        <w:tabs>
          <w:tab w:leader="none" w:pos="1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1180" w:right="260" w:hanging="436"/>
        <w:spacing w:after="0" w:line="268"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1180" w:hanging="436"/>
        <w:spacing w:after="0" w:line="370" w:lineRule="auto"/>
        <w:tabs>
          <w:tab w:leader="none" w:pos="11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jc w:val="both"/>
        <w:ind w:left="200" w:right="40" w:firstLine="441"/>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1180" w:right="360" w:hanging="436"/>
        <w:spacing w:after="0" w:line="306" w:lineRule="auto"/>
        <w:tabs>
          <w:tab w:leader="none" w:pos="1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25" w:lineRule="exact"/>
        <w:rPr>
          <w:rFonts w:ascii="Arial" w:cs="Arial" w:eastAsia="Arial" w:hAnsi="Arial"/>
          <w:sz w:val="16"/>
          <w:szCs w:val="16"/>
          <w:color w:val="auto"/>
        </w:rPr>
      </w:pPr>
    </w:p>
    <w:p>
      <w:pPr>
        <w:ind w:left="1180" w:right="100" w:hanging="436"/>
        <w:spacing w:after="0" w:line="268"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 Events of Default” will no longer constitute an event of default for that series.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1180" w:right="240" w:hanging="436"/>
        <w:spacing w:after="0" w:line="357" w:lineRule="auto"/>
        <w:tabs>
          <w:tab w:leader="none" w:pos="11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200" w:right="8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1180" w:right="80" w:hanging="436"/>
        <w:spacing w:after="0" w:line="298" w:lineRule="auto"/>
        <w:tabs>
          <w:tab w:leader="none" w:pos="1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1180" w:right="100" w:hanging="436"/>
        <w:spacing w:after="0" w:line="256"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62" w:lineRule="exact"/>
        <w:rPr>
          <w:rFonts w:ascii="Arial" w:cs="Arial" w:eastAsia="Arial" w:hAnsi="Arial"/>
          <w:sz w:val="18"/>
          <w:szCs w:val="18"/>
          <w:color w:val="auto"/>
        </w:rPr>
      </w:pPr>
    </w:p>
    <w:p>
      <w:pPr>
        <w:ind w:left="1180" w:right="20" w:hanging="436"/>
        <w:spacing w:after="0" w:line="255"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61" w:lineRule="exact"/>
        <w:rPr>
          <w:rFonts w:ascii="Arial" w:cs="Arial" w:eastAsia="Arial" w:hAnsi="Arial"/>
          <w:sz w:val="18"/>
          <w:szCs w:val="18"/>
          <w:color w:val="auto"/>
        </w:rPr>
      </w:pPr>
    </w:p>
    <w:p>
      <w:pPr>
        <w:ind w:left="1180" w:right="140" w:hanging="436"/>
        <w:spacing w:after="0" w:line="268"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1180" w:right="20" w:hanging="436"/>
        <w:spacing w:after="0" w:line="259"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jc w:val="both"/>
        <w:ind w:left="1180" w:right="240" w:hanging="436"/>
        <w:spacing w:after="0" w:line="259"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59" w:lineRule="exact"/>
        <w:rPr>
          <w:rFonts w:ascii="Arial" w:cs="Arial" w:eastAsia="Arial" w:hAnsi="Arial"/>
          <w:sz w:val="18"/>
          <w:szCs w:val="18"/>
          <w:color w:val="auto"/>
        </w:rPr>
      </w:pPr>
    </w:p>
    <w:p>
      <w:pPr>
        <w:ind w:left="1180" w:hanging="436"/>
        <w:spacing w:after="0" w:line="268"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200" w:right="520" w:firstLine="441"/>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1180" w:right="240" w:hanging="436"/>
        <w:spacing w:after="0" w:line="268"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7" w:lineRule="exact"/>
        <w:rPr>
          <w:sz w:val="20"/>
          <w:szCs w:val="20"/>
          <w:color w:val="auto"/>
        </w:rPr>
      </w:pPr>
    </w:p>
    <w:p>
      <w:pPr>
        <w:ind w:left="1180" w:right="720" w:hanging="436"/>
        <w:spacing w:after="0" w:line="268"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1180" w:hanging="436"/>
        <w:spacing w:after="0" w:line="268"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00"/>
        <w:spacing w:after="0" w:line="298" w:lineRule="auto"/>
        <w:rPr>
          <w:sz w:val="20"/>
          <w:szCs w:val="20"/>
          <w:color w:val="auto"/>
        </w:rPr>
      </w:pPr>
      <w:r>
        <w:rPr>
          <w:rFonts w:ascii="Arial" w:cs="Arial" w:eastAsia="Arial" w:hAnsi="Arial"/>
          <w:sz w:val="16"/>
          <w:szCs w:val="16"/>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left="200" w:right="360" w:firstLine="441"/>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2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jc w:val="both"/>
        <w:ind w:left="200" w:right="60" w:firstLine="441"/>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left="200" w:right="140" w:firstLine="441"/>
        <w:spacing w:after="0" w:line="306" w:lineRule="auto"/>
        <w:rPr>
          <w:sz w:val="20"/>
          <w:szCs w:val="20"/>
          <w:color w:val="auto"/>
        </w:rPr>
      </w:pPr>
      <w:r>
        <w:rPr>
          <w:rFonts w:ascii="Arial" w:cs="Arial" w:eastAsia="Arial" w:hAnsi="Arial"/>
          <w:sz w:val="16"/>
          <w:szCs w:val="16"/>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3"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See “Dividend Policy” above.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320"/>
        <w:spacing w:after="0" w:line="306" w:lineRule="auto"/>
        <w:rPr>
          <w:sz w:val="20"/>
          <w:szCs w:val="20"/>
          <w:color w:val="auto"/>
        </w:rPr>
      </w:pPr>
      <w:r>
        <w:rPr>
          <w:rFonts w:ascii="Arial" w:cs="Arial" w:eastAsia="Arial" w:hAnsi="Arial"/>
          <w:sz w:val="16"/>
          <w:szCs w:val="16"/>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2019, if Mr. Roberts were to convert the Class B common stock he beneficially owns into Class A common stock, Mr. Roberts would beneficially own 43,588,528 shares of Class A common stock, which is approximately 1% of the Class A common stock that would be outstanding after the conversion.</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Class B common stock is convertible share for share into Class A common stock, subject to certain restrictions.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left="200" w:right="200" w:firstLine="441"/>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The transfer agent and registrar for our Class A common stock is Equiniti Trust Company D/B/A EQ Shareowner Services, P.O. Box 64854, St. Paul, Minnesota 55164-0854. Its telephone number is (888) 883-8903.</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44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400"/>
        <w:spacing w:after="0"/>
        <w:rPr>
          <w:sz w:val="20"/>
          <w:szCs w:val="20"/>
          <w:color w:val="auto"/>
        </w:rPr>
      </w:pPr>
      <w:r>
        <w:rPr>
          <w:rFonts w:ascii="Arial" w:cs="Arial" w:eastAsia="Arial" w:hAnsi="Arial"/>
          <w:sz w:val="16"/>
          <w:szCs w:val="16"/>
          <w:color w:val="auto"/>
        </w:rPr>
        <w:t>We or selling security holders may sell the securities being offered hereby in four ways:</w:t>
      </w:r>
    </w:p>
    <w:p>
      <w:pPr>
        <w:spacing w:after="0" w:line="113" w:lineRule="exact"/>
        <w:rPr>
          <w:sz w:val="20"/>
          <w:szCs w:val="20"/>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jc w:val="both"/>
        <w:ind w:left="200" w:right="260" w:firstLine="441"/>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As to matters governed by Pennsylvania law, Elizabeth Wideman, Esquire, Vice President, Senior Deputy General Counsel and Assistant Secretary,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Comcast Corporation and subsidiaries (for purposes of this paragraph only, “Comcast Corporation”),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44" w:lineRule="exact"/>
        <w:rPr>
          <w:sz w:val="20"/>
          <w:szCs w:val="20"/>
          <w:color w:val="auto"/>
        </w:rPr>
      </w:pPr>
    </w:p>
    <w:p>
      <w:pPr>
        <w:ind w:left="200" w:right="200" w:firstLine="441"/>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consolidated financial statements of Sky plc as of and for the year ended June 30, 2018, incorporated by reference in this Prospectus from Comcast Corporation’s Form 8-K/A filed on December 18, 2018, have been audited by Deloitte LLP, independent auditors, as stated in their report incorporated herein by reference (which report expresses a qualified opinion on the financial statements relating to the lack of presentation of comparative information for the preceding period and includes an emphasis-of-matter paragraph referring to the use of a basis of accounting different from accounting principles generally accepted in the United States). Such consolidated financial statements are incorporated by reference in reliance upon the report of such firm given upon their authority as experts in accounting and auditing.</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jc w:val="both"/>
        <w:ind w:left="200" w:right="40" w:firstLine="441"/>
        <w:spacing w:after="0" w:line="284"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w:t>
      </w:r>
    </w:p>
    <w:p>
      <w:pPr>
        <w:spacing w:after="0" w:line="1"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Our and NBCUniversal’s SEC filings, including the complete registration statement and all of the exhibits to it, are available through the SEC’s website at http://www.sec.gov.</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left="200" w:right="40" w:firstLine="441"/>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1180" w:hanging="436"/>
        <w:spacing w:after="0"/>
        <w:tabs>
          <w:tab w:leader="none" w:pos="1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81">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filed on January 31, 2019.</w:t>
      </w:r>
    </w:p>
    <w:p>
      <w:pPr>
        <w:spacing w:after="0" w:line="113" w:lineRule="exact"/>
        <w:rPr>
          <w:rFonts w:ascii="Arial" w:cs="Arial" w:eastAsia="Arial" w:hAnsi="Arial"/>
          <w:sz w:val="16"/>
          <w:szCs w:val="16"/>
          <w:color w:val="auto"/>
        </w:rPr>
      </w:pPr>
    </w:p>
    <w:p>
      <w:pPr>
        <w:ind w:left="1180" w:right="160" w:hanging="436"/>
        <w:spacing w:after="0" w:line="268"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Comcast’s and NBCUniversal’s combined Quarterly Reports on Form 10-Q for the quarters ended </w:t>
      </w:r>
      <w:hyperlink r:id="rId82">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3">
        <w:r>
          <w:rPr>
            <w:rFonts w:ascii="Arial" w:cs="Arial" w:eastAsia="Arial" w:hAnsi="Arial"/>
            <w:sz w:val="18"/>
            <w:szCs w:val="18"/>
            <w:u w:val="single" w:color="auto"/>
            <w:color w:val="0000EE"/>
          </w:rPr>
          <w:t>June 30, 2019</w:t>
        </w:r>
      </w:hyperlink>
      <w:r>
        <w:rPr>
          <w:rFonts w:ascii="Arial" w:cs="Arial" w:eastAsia="Arial" w:hAnsi="Arial"/>
          <w:sz w:val="18"/>
          <w:szCs w:val="18"/>
          <w:color w:val="auto"/>
        </w:rPr>
        <w:t xml:space="preserve">, filed on </w:t>
      </w:r>
      <w:hyperlink r:id="rId82">
        <w:r>
          <w:rPr>
            <w:rFonts w:ascii="Arial" w:cs="Arial" w:eastAsia="Arial" w:hAnsi="Arial"/>
            <w:sz w:val="18"/>
            <w:szCs w:val="18"/>
            <w:u w:val="single" w:color="auto"/>
            <w:color w:val="0000EE"/>
          </w:rPr>
          <w:t>April 25,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4">
        <w:r>
          <w:rPr>
            <w:rFonts w:ascii="Arial" w:cs="Arial" w:eastAsia="Arial" w:hAnsi="Arial"/>
            <w:sz w:val="18"/>
            <w:szCs w:val="18"/>
            <w:u w:val="single" w:color="auto"/>
            <w:color w:val="0000EE"/>
          </w:rPr>
          <w:t>July 25, 2019</w:t>
        </w:r>
      </w:hyperlink>
      <w:r>
        <w:rPr>
          <w:rFonts w:ascii="Arial" w:cs="Arial" w:eastAsia="Arial" w:hAnsi="Arial"/>
          <w:sz w:val="18"/>
          <w:szCs w:val="18"/>
          <w:color w:val="auto"/>
        </w:rPr>
        <w:t>, respectively.</w:t>
      </w:r>
    </w:p>
    <w:p>
      <w:pPr>
        <w:spacing w:after="0" w:line="50" w:lineRule="exact"/>
        <w:rPr>
          <w:rFonts w:ascii="Arial" w:cs="Arial" w:eastAsia="Arial" w:hAnsi="Arial"/>
          <w:sz w:val="18"/>
          <w:szCs w:val="18"/>
          <w:color w:val="auto"/>
        </w:rPr>
      </w:pPr>
    </w:p>
    <w:p>
      <w:pPr>
        <w:ind w:left="1180" w:right="780" w:hanging="436"/>
        <w:spacing w:after="0" w:line="268"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filed on </w:t>
      </w:r>
      <w:hyperlink r:id="rId85">
        <w:r>
          <w:rPr>
            <w:rFonts w:ascii="Arial" w:cs="Arial" w:eastAsia="Arial" w:hAnsi="Arial"/>
            <w:sz w:val="18"/>
            <w:szCs w:val="18"/>
            <w:u w:val="single" w:color="auto"/>
            <w:color w:val="0000EE"/>
          </w:rPr>
          <w:t>May 14, 2019</w:t>
        </w:r>
      </w:hyperlink>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EE"/>
          </w:rPr>
          <w:t>June 7,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7">
        <w:r>
          <w:rPr>
            <w:rFonts w:ascii="Arial" w:cs="Arial" w:eastAsia="Arial" w:hAnsi="Arial"/>
            <w:sz w:val="18"/>
            <w:szCs w:val="18"/>
            <w:u w:val="single" w:color="auto"/>
            <w:color w:val="0000EE"/>
          </w:rPr>
          <w:t>June 20,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7.01 thereto) and Form 8-K/A filed on </w:t>
      </w:r>
      <w:hyperlink r:id="rId88">
        <w:r>
          <w:rPr>
            <w:rFonts w:ascii="Arial" w:cs="Arial" w:eastAsia="Arial" w:hAnsi="Arial"/>
            <w:sz w:val="18"/>
            <w:szCs w:val="18"/>
            <w:u w:val="single" w:color="auto"/>
            <w:color w:val="0000EE"/>
          </w:rPr>
          <w:t>August 1, 2019</w:t>
        </w:r>
      </w:hyperlink>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80" w:right="640" w:hanging="436"/>
        <w:spacing w:after="0" w:line="268"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sections of Comcast’s </w:t>
      </w:r>
      <w:hyperlink r:id="rId89">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 </w:t>
      </w:r>
      <w:hyperlink r:id="rId89">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2019 annual meeting of shareholders incorporated by reference in Comcast’s Annual Report on Form 10-K for the year ended December 31, 2018.</w:t>
      </w:r>
    </w:p>
    <w:p>
      <w:pPr>
        <w:spacing w:after="0" w:line="50" w:lineRule="exact"/>
        <w:rPr>
          <w:rFonts w:ascii="Arial" w:cs="Arial" w:eastAsia="Arial" w:hAnsi="Arial"/>
          <w:sz w:val="18"/>
          <w:szCs w:val="18"/>
          <w:color w:val="auto"/>
        </w:rPr>
      </w:pPr>
    </w:p>
    <w:p>
      <w:pPr>
        <w:ind w:left="1180" w:right="340" w:hanging="436"/>
        <w:spacing w:after="0" w:line="332" w:lineRule="auto"/>
        <w:tabs>
          <w:tab w:leader="none" w:pos="1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The description of our capital stock included in Item 3.02 under the caption “Amended and Restated Description of our Class A Common Stock” in Comcast’s Current Report on </w:t>
      </w:r>
      <w:hyperlink r:id="rId90">
        <w:r>
          <w:rPr>
            <w:rFonts w:ascii="Arial" w:cs="Arial" w:eastAsia="Arial" w:hAnsi="Arial"/>
            <w:sz w:val="16"/>
            <w:szCs w:val="16"/>
            <w:u w:val="single" w:color="auto"/>
            <w:color w:val="0000EE"/>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2015, as the same may be further amended from time to time.</w:t>
      </w:r>
    </w:p>
    <w:p>
      <w:pPr>
        <w:spacing w:after="0" w:line="85" w:lineRule="exact"/>
        <w:rPr>
          <w:rFonts w:ascii="Arial" w:cs="Arial" w:eastAsia="Arial" w:hAnsi="Arial"/>
          <w:sz w:val="18"/>
          <w:szCs w:val="18"/>
          <w:color w:val="auto"/>
        </w:rPr>
      </w:pPr>
    </w:p>
    <w:p>
      <w:pPr>
        <w:ind w:left="200" w:firstLine="441"/>
        <w:spacing w:after="0" w:line="283"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w:t>
      </w:r>
    </w:p>
    <w:p>
      <w:pPr>
        <w:spacing w:after="0" w:line="2" w:lineRule="exact"/>
        <w:rPr>
          <w:rFonts w:ascii="Arial" w:cs="Arial" w:eastAsia="Arial" w:hAnsi="Arial"/>
          <w:sz w:val="18"/>
          <w:szCs w:val="18"/>
          <w:color w:val="auto"/>
        </w:rPr>
      </w:pPr>
    </w:p>
    <w:p>
      <w:pPr>
        <w:ind w:left="200"/>
        <w:spacing w:after="0"/>
        <w:rPr>
          <w:sz w:val="20"/>
          <w:szCs w:val="20"/>
          <w:color w:val="auto"/>
        </w:rPr>
      </w:pPr>
      <w:r>
        <w:rPr>
          <w:rFonts w:ascii="Arial" w:cs="Arial" w:eastAsia="Arial" w:hAnsi="Arial"/>
          <w:sz w:val="18"/>
          <w:szCs w:val="18"/>
          <w:color w:val="auto"/>
        </w:rPr>
        <w:t>286-1700.</w:t>
      </w:r>
    </w:p>
    <w:p>
      <w:pPr>
        <w:spacing w:after="0" w:line="151"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205740</wp:posOffset>
            </wp:positionV>
            <wp:extent cx="1397635" cy="4889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40" w:hanging="1194"/>
        <w:spacing w:after="0"/>
        <w:tabs>
          <w:tab w:leader="none" w:pos="5340" w:val="left"/>
        </w:tabs>
        <w:numPr>
          <w:ilvl w:val="0"/>
          <w:numId w:val="54"/>
        </w:numPr>
        <w:rPr>
          <w:rFonts w:ascii="Arial" w:cs="Arial" w:eastAsia="Arial" w:hAnsi="Arial"/>
          <w:sz w:val="25"/>
          <w:szCs w:val="25"/>
          <w:b w:val="1"/>
          <w:bCs w:val="1"/>
          <w:color w:val="auto"/>
        </w:rPr>
      </w:pPr>
      <w:r>
        <w:rPr>
          <w:rFonts w:ascii="Arial" w:cs="Arial" w:eastAsia="Arial" w:hAnsi="Arial"/>
          <w:sz w:val="25"/>
          <w:szCs w:val="25"/>
          <w:b w:val="1"/>
          <w:bCs w:val="1"/>
          <w:color w:val="auto"/>
        </w:rPr>
        <w:t>% Notes due 20</w:t>
      </w:r>
    </w:p>
    <w:p>
      <w:pPr>
        <w:spacing w:after="0" w:line="117" w:lineRule="exact"/>
        <w:rPr>
          <w:rFonts w:ascii="Arial" w:cs="Arial" w:eastAsia="Arial" w:hAnsi="Arial"/>
          <w:sz w:val="25"/>
          <w:szCs w:val="25"/>
          <w:b w:val="1"/>
          <w:bCs w:val="1"/>
          <w:color w:val="auto"/>
        </w:rPr>
      </w:pPr>
    </w:p>
    <w:p>
      <w:pPr>
        <w:ind w:left="5340" w:hanging="1194"/>
        <w:spacing w:after="0"/>
        <w:tabs>
          <w:tab w:leader="none" w:pos="5340" w:val="left"/>
        </w:tabs>
        <w:numPr>
          <w:ilvl w:val="0"/>
          <w:numId w:val="54"/>
        </w:numPr>
        <w:rPr>
          <w:rFonts w:ascii="Arial" w:cs="Arial" w:eastAsia="Arial" w:hAnsi="Arial"/>
          <w:sz w:val="25"/>
          <w:szCs w:val="25"/>
          <w:b w:val="1"/>
          <w:bCs w:val="1"/>
          <w:color w:val="auto"/>
        </w:rPr>
      </w:pPr>
      <w:r>
        <w:rPr>
          <w:rFonts w:ascii="Arial" w:cs="Arial" w:eastAsia="Arial" w:hAnsi="Arial"/>
          <w:sz w:val="25"/>
          <w:szCs w:val="25"/>
          <w:b w:val="1"/>
          <w:bCs w:val="1"/>
          <w:color w:val="auto"/>
        </w:rPr>
        <w:t>% Notes due 20</w:t>
      </w:r>
    </w:p>
    <w:p>
      <w:pPr>
        <w:spacing w:after="0" w:line="117" w:lineRule="exact"/>
        <w:rPr>
          <w:rFonts w:ascii="Arial" w:cs="Arial" w:eastAsia="Arial" w:hAnsi="Arial"/>
          <w:sz w:val="25"/>
          <w:szCs w:val="25"/>
          <w:b w:val="1"/>
          <w:bCs w:val="1"/>
          <w:color w:val="auto"/>
        </w:rPr>
      </w:pPr>
    </w:p>
    <w:p>
      <w:pPr>
        <w:ind w:left="5340" w:hanging="1194"/>
        <w:spacing w:after="0"/>
        <w:tabs>
          <w:tab w:leader="none" w:pos="5340" w:val="left"/>
        </w:tabs>
        <w:numPr>
          <w:ilvl w:val="0"/>
          <w:numId w:val="54"/>
        </w:numPr>
        <w:rPr>
          <w:rFonts w:ascii="Arial" w:cs="Arial" w:eastAsia="Arial" w:hAnsi="Arial"/>
          <w:sz w:val="25"/>
          <w:szCs w:val="25"/>
          <w:b w:val="1"/>
          <w:bCs w:val="1"/>
          <w:color w:val="auto"/>
        </w:rPr>
      </w:pPr>
      <w:r>
        <w:rPr>
          <w:rFonts w:ascii="Arial" w:cs="Arial" w:eastAsia="Arial" w:hAnsi="Arial"/>
          <w:sz w:val="25"/>
          <w:szCs w:val="25"/>
          <w:b w:val="1"/>
          <w:bCs w:val="1"/>
          <w:color w:val="auto"/>
        </w:rPr>
        <w:t>% Notes due 20</w:t>
      </w:r>
    </w:p>
    <w:p>
      <w:pPr>
        <w:spacing w:after="0" w:line="118" w:lineRule="exact"/>
        <w:rPr>
          <w:sz w:val="20"/>
          <w:szCs w:val="20"/>
          <w:color w:val="auto"/>
        </w:rPr>
      </w:pPr>
    </w:p>
    <w:p>
      <w:pPr>
        <w:ind w:left="5340" w:hanging="1194"/>
        <w:spacing w:after="0"/>
        <w:tabs>
          <w:tab w:leader="none" w:pos="5340" w:val="left"/>
        </w:tabs>
        <w:numPr>
          <w:ilvl w:val="0"/>
          <w:numId w:val="55"/>
        </w:numPr>
        <w:rPr>
          <w:rFonts w:ascii="Arial" w:cs="Arial" w:eastAsia="Arial" w:hAnsi="Arial"/>
          <w:sz w:val="25"/>
          <w:szCs w:val="25"/>
          <w:b w:val="1"/>
          <w:bCs w:val="1"/>
          <w:color w:val="auto"/>
        </w:rPr>
      </w:pPr>
      <w:r>
        <w:rPr>
          <w:rFonts w:ascii="Arial" w:cs="Arial" w:eastAsia="Arial" w:hAnsi="Arial"/>
          <w:sz w:val="25"/>
          <w:szCs w:val="25"/>
          <w:b w:val="1"/>
          <w:bCs w:val="1"/>
          <w:color w:val="auto"/>
        </w:rPr>
        <w:t>% Notes due 20</w:t>
      </w:r>
    </w:p>
    <w:p>
      <w:pPr>
        <w:spacing w:after="0" w:line="117" w:lineRule="exact"/>
        <w:rPr>
          <w:rFonts w:ascii="Arial" w:cs="Arial" w:eastAsia="Arial" w:hAnsi="Arial"/>
          <w:sz w:val="25"/>
          <w:szCs w:val="25"/>
          <w:b w:val="1"/>
          <w:bCs w:val="1"/>
          <w:color w:val="auto"/>
        </w:rPr>
      </w:pPr>
    </w:p>
    <w:p>
      <w:pPr>
        <w:ind w:left="5340" w:hanging="1194"/>
        <w:spacing w:after="0"/>
        <w:tabs>
          <w:tab w:leader="none" w:pos="5340" w:val="left"/>
        </w:tabs>
        <w:numPr>
          <w:ilvl w:val="0"/>
          <w:numId w:val="55"/>
        </w:numPr>
        <w:rPr>
          <w:rFonts w:ascii="Arial" w:cs="Arial" w:eastAsia="Arial" w:hAnsi="Arial"/>
          <w:sz w:val="25"/>
          <w:szCs w:val="25"/>
          <w:b w:val="1"/>
          <w:bCs w:val="1"/>
          <w:color w:val="auto"/>
        </w:rPr>
      </w:pPr>
      <w:r>
        <w:rPr>
          <w:rFonts w:ascii="Arial" w:cs="Arial" w:eastAsia="Arial" w:hAnsi="Arial"/>
          <w:sz w:val="25"/>
          <w:szCs w:val="25"/>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1624330</wp:posOffset>
            </wp:positionV>
            <wp:extent cx="699770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165735</wp:posOffset>
            </wp:positionV>
            <wp:extent cx="699770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00" w:lineRule="exact"/>
        <w:rPr>
          <w:sz w:val="20"/>
          <w:szCs w:val="20"/>
          <w:color w:val="auto"/>
        </w:rPr>
      </w:pPr>
    </w:p>
    <w:p>
      <w:pPr>
        <w:spacing w:after="0" w:line="288" w:lineRule="exact"/>
        <w:rPr>
          <w:sz w:val="20"/>
          <w:szCs w:val="20"/>
          <w:color w:val="auto"/>
        </w:rPr>
      </w:pPr>
    </w:p>
    <w:p>
      <w:pPr>
        <w:ind w:left="200"/>
        <w:spacing w:after="0"/>
        <w:tabs>
          <w:tab w:leader="none" w:pos="5620" w:val="left"/>
          <w:tab w:leader="none" w:pos="10180" w:val="left"/>
        </w:tabs>
        <w:rPr>
          <w:sz w:val="20"/>
          <w:szCs w:val="20"/>
          <w:color w:val="auto"/>
        </w:rPr>
      </w:pPr>
      <w:r>
        <w:rPr>
          <w:rFonts w:ascii="Arial" w:cs="Arial" w:eastAsia="Arial" w:hAnsi="Arial"/>
          <w:sz w:val="20"/>
          <w:szCs w:val="20"/>
          <w:b w:val="1"/>
          <w:bCs w:val="1"/>
          <w:color w:val="auto"/>
        </w:rPr>
        <w:t>BNP PARIBAS</w:t>
      </w:r>
      <w:r>
        <w:rPr>
          <w:sz w:val="20"/>
          <w:szCs w:val="20"/>
          <w:color w:val="auto"/>
        </w:rPr>
        <w:tab/>
      </w:r>
      <w:r>
        <w:rPr>
          <w:rFonts w:ascii="Arial" w:cs="Arial" w:eastAsia="Arial" w:hAnsi="Arial"/>
          <w:sz w:val="20"/>
          <w:szCs w:val="20"/>
          <w:b w:val="1"/>
          <w:bCs w:val="1"/>
          <w:color w:val="auto"/>
        </w:rPr>
        <w:t>Citigroup</w:t>
      </w:r>
      <w:r>
        <w:rPr>
          <w:sz w:val="20"/>
          <w:szCs w:val="20"/>
          <w:color w:val="auto"/>
        </w:rPr>
        <w:tab/>
      </w:r>
      <w:r>
        <w:rPr>
          <w:rFonts w:ascii="Arial" w:cs="Arial" w:eastAsia="Arial" w:hAnsi="Arial"/>
          <w:sz w:val="16"/>
          <w:szCs w:val="16"/>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554355</wp:posOffset>
            </wp:positionV>
            <wp:extent cx="2735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19"/>
        <w:spacing w:after="0"/>
        <w:tabs>
          <w:tab w:leader="none" w:pos="200" w:val="left"/>
        </w:tabs>
        <w:rPr>
          <w:sz w:val="20"/>
          <w:szCs w:val="20"/>
          <w:color w:val="auto"/>
        </w:rPr>
      </w:pPr>
      <w:r>
        <w:rPr>
          <w:rFonts w:ascii="Arial" w:cs="Arial" w:eastAsia="Arial" w:hAnsi="Arial"/>
          <w:sz w:val="18"/>
          <w:szCs w:val="18"/>
          <w:b w:val="1"/>
          <w:bCs w:val="1"/>
          <w:color w:val="auto"/>
        </w:rPr>
        <w:t>February</w:t>
        <w:tab/>
        <w:t>, 2020</w:t>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lvl w:ilvl="1">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3"/>
    </w:lvl>
    <w:lvl w:ilvl="1">
      <w:lvlJc w:val="left"/>
      <w:lvlText w:val="•"/>
      <w:numFmt w:val="bullet"/>
      <w:start w:val="1"/>
    </w:lvl>
  </w:abstractNum>
  <w:abstractNum w:abstractNumId="4">
    <w:nsid w:val="8138641"/>
    <w:multiLevelType w:val="hybridMultilevel"/>
    <w:lvl w:ilvl="0">
      <w:lvlJc w:val="left"/>
      <w:lvlText w:val="(%1)"/>
      <w:numFmt w:val="decimal"/>
      <w:start w:val="215"/>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decimal"/>
      <w:start w:val="20"/>
    </w:lvl>
  </w:abstractNum>
  <w:abstractNum w:abstractNumId="9">
    <w:nsid w:val="22221A70"/>
    <w:multiLevelType w:val="hybridMultilevel"/>
    <w:lvl w:ilvl="0">
      <w:lvlJc w:val="left"/>
      <w:lvlText w:val="%1"/>
      <w:numFmt w:val="decimal"/>
      <w:start w:val="20"/>
    </w:lvl>
  </w:abstractNum>
  <w:abstractNum w:abstractNumId="10">
    <w:nsid w:val="4516DDE9"/>
    <w:multiLevelType w:val="hybridMultilevel"/>
    <w:lvl w:ilvl="0">
      <w:lvlJc w:val="left"/>
      <w:lvlText w:val="%1"/>
      <w:numFmt w:val="decimal"/>
      <w:start w:val="20"/>
    </w:lvl>
  </w:abstractNum>
  <w:abstractNum w:abstractNumId="11">
    <w:nsid w:val="3006C83E"/>
    <w:multiLevelType w:val="hybridMultilevel"/>
    <w:lvl w:ilvl="0">
      <w:lvlJc w:val="left"/>
      <w:lvlText w:val="%1"/>
      <w:numFmt w:val="decimal"/>
      <w:start w:val="20"/>
    </w:lvl>
  </w:abstractNum>
  <w:abstractNum w:abstractNumId="12">
    <w:nsid w:val="614FD4A1"/>
    <w:multiLevelType w:val="hybridMultilevel"/>
    <w:lvl w:ilvl="0">
      <w:lvlJc w:val="left"/>
      <w:lvlText w:val="(%1)"/>
      <w:numFmt w:val="decimal"/>
      <w:start w:val="1"/>
    </w:lvl>
    <w:lvl w:ilvl="1">
      <w:lvlJc w:val="left"/>
      <w:lvlText w:val="(%2)"/>
      <w:numFmt w:val="lowerLetter"/>
      <w:start w:val="1"/>
    </w:lvl>
  </w:abstractNum>
  <w:abstractNum w:abstractNumId="13">
    <w:nsid w:val="419AC241"/>
    <w:multiLevelType w:val="hybridMultilevel"/>
    <w:lvl w:ilvl="0">
      <w:lvlJc w:val="left"/>
      <w:lvlText w:val="(%1)"/>
      <w:numFmt w:val="decimal"/>
      <w:start w:val="3"/>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lowerRoman"/>
      <w:start w:val="1"/>
    </w:lvl>
  </w:abstractNum>
  <w:abstractNum w:abstractNumId="21">
    <w:nsid w:val="2463B9EA"/>
    <w:multiLevelType w:val="hybridMultilevel"/>
    <w:lvl w:ilvl="0">
      <w:lvlJc w:val="left"/>
      <w:lvlText w:val="(%1)"/>
      <w:numFmt w:val="lowerRoman"/>
      <w:start w:val="1"/>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lowerRoman"/>
      <w:start w:val="1"/>
    </w:lvl>
  </w:abstractNum>
  <w:abstractNum w:abstractNumId="24">
    <w:nsid w:val="2D517796"/>
    <w:multiLevelType w:val="hybridMultilevel"/>
    <w:lvl w:ilvl="0">
      <w:lvlJc w:val="left"/>
      <w:lvlText w:val="(%1)"/>
      <w:numFmt w:val="lowerLetter"/>
      <w:start w:val="1"/>
    </w:lvl>
  </w:abstractNum>
  <w:abstractNum w:abstractNumId="25">
    <w:nsid w:val="580BD78F"/>
    <w:multiLevelType w:val="hybridMultilevel"/>
    <w:lvl w:ilvl="0">
      <w:lvlJc w:val="left"/>
      <w:lvlText w:val="(%1)"/>
      <w:numFmt w:val="decimal"/>
      <w:start w:val="1"/>
    </w:lvl>
    <w:lvl w:ilvl="1">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lowerLetter"/>
      <w:start w:val="1"/>
    </w:lvl>
  </w:abstractNum>
  <w:abstractNum w:abstractNumId="32">
    <w:nsid w:val="725A06FB"/>
    <w:multiLevelType w:val="hybridMultilevel"/>
    <w:lvl w:ilvl="0">
      <w:lvlJc w:val="left"/>
      <w:lvlText w:val="(%1)"/>
      <w:numFmt w:val="lowerLetter"/>
      <w:start w:val="2"/>
    </w:lvl>
  </w:abstractNum>
  <w:abstractNum w:abstractNumId="33">
    <w:nsid w:val="2CD89A32"/>
    <w:multiLevelType w:val="hybridMultilevel"/>
    <w:lvl w:ilvl="0">
      <w:lvlJc w:val="left"/>
      <w:lvlText w:val="(%1)"/>
      <w:numFmt w:val="lowerLetter"/>
      <w:start w:val="1"/>
    </w:lvl>
  </w:abstractNum>
  <w:abstractNum w:abstractNumId="34">
    <w:nsid w:val="57E4CCAF"/>
    <w:multiLevelType w:val="hybridMultilevel"/>
    <w:lvl w:ilvl="0">
      <w:lvlJc w:val="left"/>
      <w:lvlText w:val="(%1)"/>
      <w:numFmt w:val="lowerRoman"/>
      <w:start w:val="1"/>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lowerLetter"/>
      <w:start w:val="13"/>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lowerLetter"/>
      <w:start w:val="2"/>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jpe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jpe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15" Type="http://schemas.openxmlformats.org/officeDocument/2006/relationships/hyperlink" Target="http://www.sec.gov/ix?doc=/Archives/edgar/data/902739/000116669120000008/cmcsa-12312019x10k.htm" TargetMode="External"/><Relationship Id="rId81" Type="http://schemas.openxmlformats.org/officeDocument/2006/relationships/hyperlink" Target="http://www.sec.gov/Archives/edgar/data/902739/000116669119000005/cmcsa-12312018x10k.htm" TargetMode="External"/><Relationship Id="rId82" Type="http://schemas.openxmlformats.org/officeDocument/2006/relationships/hyperlink" Target="http://www.sec.gov/Archives/edgar/data/902739/000116669119000010/cmcsa-3312019x10q.htm" TargetMode="External"/><Relationship Id="rId83" Type="http://schemas.openxmlformats.org/officeDocument/2006/relationships/hyperlink" Target="http://www.sec.gov/ix?doc=/Archives/edgar/data/902739/000116669119000015/cmcsa-6302019x10q.htm" TargetMode="External"/><Relationship Id="rId84" Type="http://schemas.openxmlformats.org/officeDocument/2006/relationships/hyperlink" Target="http://www.sec.gov/Archives/edgar/data/902739/000116669119000015/cmcsa-6302019x10q.htm" TargetMode="External"/><Relationship Id="rId85" Type="http://schemas.openxmlformats.org/officeDocument/2006/relationships/hyperlink" Target="http://www.sec.gov/Archives/edgar/data/902739/000095010319006331/dp106765_8k.htm" TargetMode="External"/><Relationship Id="rId86" Type="http://schemas.openxmlformats.org/officeDocument/2006/relationships/hyperlink" Target="http://www.sec.gov/Archives/edgar/data/1166691/000095010319007912/dp108319_8k.htm" TargetMode="External"/><Relationship Id="rId87" Type="http://schemas.openxmlformats.org/officeDocument/2006/relationships/hyperlink" Target="http://www.sec.gov/Archives/edgar/data/902739/000095010319008213/dp108508_8k.htm" TargetMode="External"/><Relationship Id="rId88" Type="http://schemas.openxmlformats.org/officeDocument/2006/relationships/hyperlink" Target="http://www.sec.gov/Archives/edgar/data/1166691/000119312519210443/d736987d8ka.htm" TargetMode="External"/><Relationship Id="rId89" Type="http://schemas.openxmlformats.org/officeDocument/2006/relationships/hyperlink" Target="http://www.sec.gov/Archives/edgar/data/1166691/000119312519121456/d696198ddef14a.htm" TargetMode="External"/><Relationship Id="rId90"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2020-02-05T05:17:14Z</dcterms:created>
  <dcterms:modified xsi:type="dcterms:W3CDTF">2020-02-05T05:17:14Z</dcterms:modified>
</cp:coreProperties>
</file>