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7383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383780"/>
                    </a:xfrm>
                    <a:prstGeom prst="rect">
                      <a:avLst/>
                    </a:prstGeom>
                    <a:noFill/>
                  </pic:spPr>
                </pic:pic>
              </a:graphicData>
            </a:graphic>
          </wp:anchor>
        </w:drawing>
      </w:r>
    </w:p>
    <w:p>
      <w:pPr>
        <w:spacing w:after="0" w:line="108" w:lineRule="exact"/>
        <w:rPr>
          <w:sz w:val="24"/>
          <w:szCs w:val="24"/>
          <w:color w:val="auto"/>
        </w:rPr>
      </w:pPr>
    </w:p>
    <w:p>
      <w:pPr>
        <w:sectPr>
          <w:pgSz w:w="11900" w:h="16960" w:orient="portrait"/>
          <w:cols w:equalWidth="0" w:num="2">
            <w:col w:w="2320" w:space="400"/>
            <w:col w:w="880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COHEN DAVID L</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160"/>
        <w:spacing w:after="0" w:line="332" w:lineRule="auto"/>
        <w:rPr>
          <w:sz w:val="20"/>
          <w:szCs w:val="20"/>
          <w:color w:val="auto"/>
        </w:rPr>
      </w:pPr>
      <w:r>
        <w:rPr>
          <w:rFonts w:ascii="Arial" w:cs="Arial" w:eastAsia="Arial" w:hAnsi="Arial"/>
          <w:sz w:val="16"/>
          <w:szCs w:val="16"/>
          <w:color w:val="0000FF"/>
        </w:rPr>
        <w:t>COMCAST CORPORATION 1500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COMCAST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CMCSA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03/09/2004</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46" w:lineRule="exact"/>
        <w:rPr>
          <w:sz w:val="24"/>
          <w:szCs w:val="24"/>
          <w:color w:val="auto"/>
        </w:rPr>
      </w:pPr>
    </w:p>
    <w:p>
      <w:pPr>
        <w:sectPr>
          <w:pgSz w:w="11900" w:h="16960" w:orient="portrait"/>
          <w:cols w:equalWidth="0" w:num="3">
            <w:col w:w="3360" w:space="720"/>
            <w:col w:w="3257" w:space="720"/>
            <w:col w:w="3463"/>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780" w:type="dxa"/>
            <w:vAlign w:val="bottom"/>
            <w:gridSpan w:val="8"/>
          </w:tcPr>
          <w:p>
            <w:pPr>
              <w:ind w:left="160"/>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PHILADELPHIA PA</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19102</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80"/>
              <w:spacing w:after="0" w:line="129"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tcPr>
          <w:p>
            <w:pPr>
              <w:jc w:val="right"/>
              <w:ind w:right="279"/>
              <w:spacing w:after="0"/>
              <w:rPr>
                <w:sz w:val="20"/>
                <w:szCs w:val="20"/>
                <w:color w:val="auto"/>
              </w:rPr>
            </w:pPr>
            <w:r>
              <w:rPr>
                <w:rFonts w:ascii="Arial" w:cs="Arial" w:eastAsia="Arial" w:hAnsi="Arial"/>
                <w:sz w:val="17"/>
                <w:szCs w:val="17"/>
                <w:color w:val="0000FF"/>
              </w:rPr>
              <w:t>474.3833</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Special Common Stock</w:t>
            </w:r>
          </w:p>
        </w:tc>
        <w:tc>
          <w:tcPr>
            <w:tcW w:w="11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139"/>
              <w:spacing w:after="0"/>
              <w:rPr>
                <w:sz w:val="20"/>
                <w:szCs w:val="20"/>
                <w:color w:val="auto"/>
              </w:rPr>
            </w:pPr>
            <w:r>
              <w:rPr>
                <w:rFonts w:ascii="Arial" w:cs="Arial" w:eastAsia="Arial" w:hAnsi="Arial"/>
                <w:sz w:val="17"/>
                <w:szCs w:val="17"/>
                <w:color w:val="0000FF"/>
              </w:rPr>
              <w:t>10,527.802</w:t>
            </w:r>
            <w:r>
              <w:rPr>
                <w:rFonts w:ascii="Arial" w:cs="Arial" w:eastAsia="Arial" w:hAnsi="Arial"/>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6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9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9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1"/>
              </w:rPr>
              <w:t>375,000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80" w:type="dxa"/>
            <w:vAlign w:val="bottom"/>
            <w:vMerge w:val="restart"/>
          </w:tcPr>
          <w:p>
            <w:pPr>
              <w:jc w:val="center"/>
              <w:spacing w:after="0" w:line="102"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29.88</w:t>
            </w:r>
          </w:p>
        </w:tc>
        <w:tc>
          <w:tcPr>
            <w:tcW w:w="1080" w:type="dxa"/>
            <w:vAlign w:val="bottom"/>
            <w:vMerge w:val="restart"/>
          </w:tcPr>
          <w:p>
            <w:pPr>
              <w:jc w:val="right"/>
              <w:ind w:right="156"/>
              <w:spacing w:after="0" w:line="102" w:lineRule="exact"/>
              <w:rPr>
                <w:sz w:val="20"/>
                <w:szCs w:val="20"/>
                <w:color w:val="auto"/>
              </w:rPr>
            </w:pPr>
            <w:r>
              <w:rPr>
                <w:rFonts w:ascii="Arial" w:cs="Arial" w:eastAsia="Arial" w:hAnsi="Arial"/>
                <w:sz w:val="11"/>
                <w:szCs w:val="11"/>
                <w:color w:val="0000FF"/>
              </w:rPr>
              <w:t>03/09/2004</w:t>
            </w: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vMerge w:val="restart"/>
          </w:tcPr>
          <w:p>
            <w:pPr>
              <w:ind w:left="20"/>
              <w:spacing w:after="0" w:line="102" w:lineRule="exact"/>
              <w:rPr>
                <w:sz w:val="20"/>
                <w:szCs w:val="20"/>
                <w:color w:val="auto"/>
              </w:rPr>
            </w:pPr>
            <w:r>
              <w:rPr>
                <w:rFonts w:ascii="Arial" w:cs="Arial" w:eastAsia="Arial" w:hAnsi="Arial"/>
                <w:sz w:val="11"/>
                <w:szCs w:val="11"/>
                <w:color w:val="0000FF"/>
              </w:rPr>
              <w:t>A</w:t>
            </w:r>
          </w:p>
        </w:tc>
        <w:tc>
          <w:tcPr>
            <w:tcW w:w="680" w:type="dxa"/>
            <w:vAlign w:val="bottom"/>
            <w:vMerge w:val="restart"/>
          </w:tcPr>
          <w:p>
            <w:pPr>
              <w:ind w:left="100"/>
              <w:spacing w:after="0" w:line="102" w:lineRule="exact"/>
              <w:rPr>
                <w:sz w:val="20"/>
                <w:szCs w:val="20"/>
                <w:color w:val="auto"/>
              </w:rPr>
            </w:pPr>
            <w:r>
              <w:rPr>
                <w:rFonts w:ascii="Arial" w:cs="Arial" w:eastAsia="Arial" w:hAnsi="Arial"/>
                <w:sz w:val="11"/>
                <w:szCs w:val="11"/>
                <w:color w:val="0000FF"/>
              </w:rPr>
              <w:t>375,000</w:t>
            </w: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gridSpan w:val="2"/>
            <w:vMerge w:val="restart"/>
          </w:tcPr>
          <w:p>
            <w:pPr>
              <w:jc w:val="center"/>
              <w:spacing w:after="0" w:line="102" w:lineRule="exact"/>
              <w:rPr>
                <w:sz w:val="20"/>
                <w:szCs w:val="20"/>
                <w:color w:val="auto"/>
              </w:rPr>
            </w:pPr>
            <w:r>
              <w:rPr>
                <w:rFonts w:ascii="Arial" w:cs="Arial" w:eastAsia="Arial" w:hAnsi="Arial"/>
                <w:sz w:val="11"/>
                <w:szCs w:val="11"/>
                <w:color w:val="0000FF"/>
              </w:rPr>
              <w:t>03/09/2014</w:t>
            </w:r>
          </w:p>
        </w:tc>
        <w:tc>
          <w:tcPr>
            <w:tcW w:w="680" w:type="dxa"/>
            <w:vAlign w:val="bottom"/>
            <w:vMerge w:val="restart"/>
          </w:tcPr>
          <w:p>
            <w:pPr>
              <w:jc w:val="center"/>
              <w:spacing w:after="0" w:line="102" w:lineRule="exact"/>
              <w:rPr>
                <w:sz w:val="20"/>
                <w:szCs w:val="20"/>
                <w:color w:val="auto"/>
              </w:rPr>
            </w:pPr>
            <w:r>
              <w:rPr>
                <w:rFonts w:ascii="Arial" w:cs="Arial" w:eastAsia="Arial" w:hAnsi="Arial"/>
                <w:sz w:val="11"/>
                <w:szCs w:val="11"/>
                <w:color w:val="0000FF"/>
              </w:rPr>
              <w:t>Common</w:t>
            </w: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2"/>
            <w:vMerge w:val="restart"/>
          </w:tcPr>
          <w:p>
            <w:pPr>
              <w:ind w:left="260"/>
              <w:spacing w:after="0" w:line="102"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w:t>
            </w:r>
          </w:p>
        </w:tc>
        <w:tc>
          <w:tcPr>
            <w:tcW w:w="900" w:type="dxa"/>
            <w:vAlign w:val="bottom"/>
            <w:gridSpan w:val="2"/>
            <w:vMerge w:val="restart"/>
          </w:tcPr>
          <w:p>
            <w:pPr>
              <w:jc w:val="center"/>
              <w:spacing w:after="0" w:line="102" w:lineRule="exact"/>
              <w:rPr>
                <w:sz w:val="20"/>
                <w:szCs w:val="20"/>
                <w:color w:val="auto"/>
              </w:rPr>
            </w:pPr>
            <w:r>
              <w:rPr>
                <w:rFonts w:ascii="Arial" w:cs="Arial" w:eastAsia="Arial" w:hAnsi="Arial"/>
                <w:sz w:val="11"/>
                <w:szCs w:val="11"/>
                <w:color w:val="0000FF"/>
              </w:rPr>
              <w:t>375,000</w:t>
            </w:r>
          </w:p>
        </w:tc>
        <w:tc>
          <w:tcPr>
            <w:tcW w:w="660" w:type="dxa"/>
            <w:vAlign w:val="bottom"/>
            <w:vMerge w:val="restart"/>
          </w:tcPr>
          <w:p>
            <w:pPr>
              <w:ind w:left="340"/>
              <w:spacing w:after="0" w:line="102" w:lineRule="exact"/>
              <w:rPr>
                <w:sz w:val="20"/>
                <w:szCs w:val="20"/>
                <w:color w:val="auto"/>
              </w:rPr>
            </w:pPr>
            <w:r>
              <w:rPr>
                <w:rFonts w:ascii="Arial" w:cs="Arial" w:eastAsia="Arial" w:hAnsi="Arial"/>
                <w:sz w:val="11"/>
                <w:szCs w:val="11"/>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40" w:type="dxa"/>
            <w:vAlign w:val="bottom"/>
            <w:gridSpan w:val="2"/>
          </w:tcPr>
          <w:p>
            <w:pPr>
              <w:ind w:left="60"/>
              <w:spacing w:after="0" w:line="53" w:lineRule="exact"/>
              <w:rPr>
                <w:sz w:val="20"/>
                <w:szCs w:val="20"/>
                <w:color w:val="auto"/>
              </w:rPr>
            </w:pPr>
            <w:r>
              <w:rPr>
                <w:rFonts w:ascii="Arial" w:cs="Arial" w:eastAsia="Arial" w:hAnsi="Arial"/>
                <w:sz w:val="6"/>
                <w:szCs w:val="6"/>
                <w:color w:val="0000FF"/>
              </w:rPr>
              <w:t>Purchase</w:t>
            </w:r>
            <w:r>
              <w:rPr>
                <w:rFonts w:ascii="Arial" w:cs="Arial" w:eastAsia="Arial" w:hAnsi="Arial"/>
                <w:sz w:val="6"/>
                <w:szCs w:val="6"/>
                <w:color w:val="008000"/>
                <w:vertAlign w:val="superscript"/>
              </w:rPr>
              <w:t>(2)</w:t>
            </w:r>
          </w:p>
        </w:tc>
        <w:tc>
          <w:tcPr>
            <w:tcW w:w="78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0.0000</w:t>
            </w:r>
            <w:r>
              <w:rPr>
                <w:rFonts w:ascii="Arial" w:cs="Arial" w:eastAsia="Arial" w:hAnsi="Arial"/>
                <w:sz w:val="21"/>
                <w:szCs w:val="21"/>
                <w:color w:val="008000"/>
                <w:w w:val="88"/>
                <w:vertAlign w:val="superscript"/>
              </w:rPr>
              <w:t>(4)</w:t>
            </w: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rPr>
              <w:t>(5)</w:t>
            </w:r>
          </w:p>
        </w:tc>
        <w:tc>
          <w:tcPr>
            <w:tcW w:w="200" w:type="dxa"/>
            <w:vAlign w:val="bottom"/>
          </w:tcPr>
          <w:p>
            <w:pPr>
              <w:spacing w:after="0"/>
              <w:rPr>
                <w:sz w:val="16"/>
                <w:szCs w:val="16"/>
                <w:color w:val="auto"/>
              </w:rPr>
            </w:pPr>
          </w:p>
        </w:tc>
        <w:tc>
          <w:tcPr>
            <w:tcW w:w="520" w:type="dxa"/>
            <w:vAlign w:val="bottom"/>
            <w:vMerge w:val="restart"/>
          </w:tcPr>
          <w:p>
            <w:pPr>
              <w:jc w:val="center"/>
              <w:ind w:right="182"/>
              <w:spacing w:after="0"/>
              <w:rPr>
                <w:sz w:val="20"/>
                <w:szCs w:val="20"/>
                <w:color w:val="auto"/>
              </w:rPr>
            </w:pPr>
            <w:r>
              <w:rPr>
                <w:rFonts w:ascii="Arial" w:cs="Arial" w:eastAsia="Arial" w:hAnsi="Arial"/>
                <w:sz w:val="11"/>
                <w:szCs w:val="11"/>
                <w:color w:val="008000"/>
                <w:w w:val="88"/>
              </w:rPr>
              <w:t>(5)</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1"/>
              </w:rPr>
              <w:t>100,000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56"/>
              <w:spacing w:after="0" w:line="146" w:lineRule="exact"/>
              <w:rPr>
                <w:sz w:val="20"/>
                <w:szCs w:val="20"/>
                <w:color w:val="auto"/>
              </w:rPr>
            </w:pPr>
            <w:r>
              <w:rPr>
                <w:rFonts w:ascii="Arial" w:cs="Arial" w:eastAsia="Arial" w:hAnsi="Arial"/>
                <w:sz w:val="13"/>
                <w:szCs w:val="13"/>
                <w:color w:val="0000FF"/>
              </w:rPr>
              <w:t>03/09/2004</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20"/>
              <w:spacing w:after="0" w:line="146" w:lineRule="exact"/>
              <w:rPr>
                <w:sz w:val="20"/>
                <w:szCs w:val="20"/>
                <w:color w:val="auto"/>
              </w:rPr>
            </w:pPr>
            <w:r>
              <w:rPr>
                <w:rFonts w:ascii="Arial" w:cs="Arial" w:eastAsia="Arial" w:hAnsi="Arial"/>
                <w:sz w:val="13"/>
                <w:szCs w:val="13"/>
                <w:color w:val="0000FF"/>
              </w:rPr>
              <w:t>A</w:t>
            </w:r>
          </w:p>
        </w:tc>
        <w:tc>
          <w:tcPr>
            <w:tcW w:w="680" w:type="dxa"/>
            <w:vAlign w:val="bottom"/>
          </w:tcPr>
          <w:p>
            <w:pPr>
              <w:ind w:left="100"/>
              <w:spacing w:after="0" w:line="146" w:lineRule="exact"/>
              <w:rPr>
                <w:sz w:val="20"/>
                <w:szCs w:val="20"/>
                <w:color w:val="auto"/>
              </w:rPr>
            </w:pPr>
            <w:r>
              <w:rPr>
                <w:rFonts w:ascii="Arial" w:cs="Arial" w:eastAsia="Arial" w:hAnsi="Arial"/>
                <w:sz w:val="13"/>
                <w:szCs w:val="13"/>
                <w:color w:val="0000FF"/>
              </w:rPr>
              <w:t>100,000</w:t>
            </w: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line="146" w:lineRule="exact"/>
              <w:rPr>
                <w:sz w:val="20"/>
                <w:szCs w:val="20"/>
                <w:color w:val="auto"/>
              </w:rPr>
            </w:pPr>
            <w:r>
              <w:rPr>
                <w:rFonts w:ascii="Arial" w:cs="Arial" w:eastAsia="Arial" w:hAnsi="Arial"/>
                <w:sz w:val="13"/>
                <w:szCs w:val="13"/>
                <w:color w:val="0000FF"/>
                <w:w w:val="89"/>
              </w:rPr>
              <w:t>100,000</w:t>
            </w: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32.12</w:t>
            </w: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restart"/>
          </w:tcPr>
          <w:p>
            <w:pPr>
              <w:jc w:val="center"/>
              <w:ind w:right="1"/>
              <w:spacing w:after="0"/>
              <w:rPr>
                <w:sz w:val="20"/>
                <w:szCs w:val="20"/>
                <w:color w:val="auto"/>
              </w:rPr>
            </w:pPr>
            <w:r>
              <w:rPr>
                <w:rFonts w:ascii="Arial" w:cs="Arial" w:eastAsia="Arial" w:hAnsi="Arial"/>
                <w:sz w:val="13"/>
                <w:szCs w:val="13"/>
                <w:color w:val="0000FF"/>
                <w:w w:val="92"/>
              </w:rPr>
              <w:t>04/24/2005</w:t>
            </w:r>
          </w:p>
        </w:tc>
        <w:tc>
          <w:tcPr>
            <w:tcW w:w="7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12/31/2005</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vMerge w:val="restart"/>
          </w:tcPr>
          <w:p>
            <w:pPr>
              <w:jc w:val="center"/>
              <w:ind w:left="219"/>
              <w:spacing w:after="0"/>
              <w:rPr>
                <w:sz w:val="20"/>
                <w:szCs w:val="20"/>
                <w:color w:val="auto"/>
              </w:rPr>
            </w:pPr>
            <w:r>
              <w:rPr>
                <w:rFonts w:ascii="Arial" w:cs="Arial" w:eastAsia="Arial" w:hAnsi="Arial"/>
                <w:sz w:val="13"/>
                <w:szCs w:val="13"/>
                <w:color w:val="0000FF"/>
                <w:w w:val="92"/>
              </w:rPr>
              <w:t>100</w:t>
            </w:r>
          </w:p>
        </w:tc>
        <w:tc>
          <w:tcPr>
            <w:tcW w:w="300" w:type="dxa"/>
            <w:vAlign w:val="bottom"/>
          </w:tcPr>
          <w:p>
            <w:pPr>
              <w:spacing w:after="0"/>
              <w:rPr>
                <w:sz w:val="4"/>
                <w:szCs w:val="4"/>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line="159" w:lineRule="exact"/>
              <w:rPr>
                <w:sz w:val="20"/>
                <w:szCs w:val="20"/>
                <w:color w:val="auto"/>
              </w:rPr>
            </w:pPr>
            <w:r>
              <w:rPr>
                <w:rFonts w:ascii="Arial" w:cs="Arial" w:eastAsia="Arial" w:hAnsi="Arial"/>
                <w:sz w:val="12"/>
                <w:szCs w:val="12"/>
                <w:color w:val="0000FF"/>
              </w:rPr>
              <w:t>Purchase</w:t>
            </w:r>
            <w:r>
              <w:rPr>
                <w:rFonts w:ascii="Arial" w:cs="Arial" w:eastAsia="Arial" w:hAnsi="Arial"/>
                <w:sz w:val="18"/>
                <w:szCs w:val="18"/>
                <w:color w:val="008000"/>
                <w:vertAlign w:val="superscript"/>
              </w:rPr>
              <w:t>(2)</w:t>
            </w:r>
          </w:p>
        </w:tc>
        <w:tc>
          <w:tcPr>
            <w:tcW w:w="7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23.84</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center"/>
              <w:ind w:right="21"/>
              <w:spacing w:after="0"/>
              <w:rPr>
                <w:sz w:val="20"/>
                <w:szCs w:val="20"/>
                <w:color w:val="auto"/>
              </w:rPr>
            </w:pPr>
            <w:r>
              <w:rPr>
                <w:rFonts w:ascii="Arial" w:cs="Arial" w:eastAsia="Arial" w:hAnsi="Arial"/>
                <w:sz w:val="11"/>
                <w:szCs w:val="11"/>
                <w:color w:val="008000"/>
              </w:rPr>
              <w:t>(7)</w:t>
            </w:r>
          </w:p>
        </w:tc>
        <w:tc>
          <w:tcPr>
            <w:tcW w:w="7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07/01/2012</w:t>
            </w: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0000FF"/>
                <w:w w:val="89"/>
              </w:rPr>
              <w:t>Special</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1"/>
              </w:rPr>
              <w:t>500,000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500,000</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line="163" w:lineRule="exact"/>
              <w:rPr>
                <w:sz w:val="20"/>
                <w:szCs w:val="20"/>
                <w:color w:val="auto"/>
              </w:rPr>
            </w:pPr>
            <w:r>
              <w:rPr>
                <w:rFonts w:ascii="Arial" w:cs="Arial" w:eastAsia="Arial" w:hAnsi="Arial"/>
                <w:sz w:val="12"/>
                <w:szCs w:val="12"/>
                <w:color w:val="0000FF"/>
              </w:rPr>
              <w:t>Purchase</w:t>
            </w:r>
            <w:r>
              <w:rPr>
                <w:rFonts w:ascii="Arial" w:cs="Arial" w:eastAsia="Arial" w:hAnsi="Arial"/>
                <w:sz w:val="18"/>
                <w:szCs w:val="18"/>
                <w:color w:val="008000"/>
                <w:vertAlign w:val="superscript"/>
              </w:rPr>
              <w:t>(6)</w:t>
            </w:r>
          </w:p>
        </w:tc>
        <w:tc>
          <w:tcPr>
            <w:tcW w:w="7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23.84</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center"/>
              <w:ind w:right="21"/>
              <w:spacing w:after="0"/>
              <w:rPr>
                <w:sz w:val="20"/>
                <w:szCs w:val="20"/>
                <w:color w:val="auto"/>
              </w:rPr>
            </w:pPr>
            <w:r>
              <w:rPr>
                <w:rFonts w:ascii="Arial" w:cs="Arial" w:eastAsia="Arial" w:hAnsi="Arial"/>
                <w:sz w:val="11"/>
                <w:szCs w:val="11"/>
                <w:color w:val="008000"/>
              </w:rPr>
              <w:t>(8)</w:t>
            </w:r>
          </w:p>
        </w:tc>
        <w:tc>
          <w:tcPr>
            <w:tcW w:w="7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10/28/2012</w:t>
            </w: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0000FF"/>
                <w:w w:val="89"/>
              </w:rPr>
              <w:t>Special</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1"/>
              </w:rPr>
              <w:t>110,000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110,000</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line="163" w:lineRule="exact"/>
              <w:rPr>
                <w:sz w:val="20"/>
                <w:szCs w:val="20"/>
                <w:color w:val="auto"/>
              </w:rPr>
            </w:pPr>
            <w:r>
              <w:rPr>
                <w:rFonts w:ascii="Arial" w:cs="Arial" w:eastAsia="Arial" w:hAnsi="Arial"/>
                <w:sz w:val="12"/>
                <w:szCs w:val="12"/>
                <w:color w:val="0000FF"/>
              </w:rPr>
              <w:t>Purchase</w:t>
            </w:r>
            <w:r>
              <w:rPr>
                <w:rFonts w:ascii="Arial" w:cs="Arial" w:eastAsia="Arial" w:hAnsi="Arial"/>
                <w:sz w:val="18"/>
                <w:szCs w:val="18"/>
                <w:color w:val="008000"/>
                <w:vertAlign w:val="superscript"/>
              </w:rPr>
              <w:t>(6)</w:t>
            </w:r>
          </w:p>
        </w:tc>
        <w:tc>
          <w:tcPr>
            <w:tcW w:w="7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rPr>
              <w:t>(9)</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1"/>
              </w:rPr>
              <w:t>400,000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80" w:type="dxa"/>
            <w:vAlign w:val="bottom"/>
            <w:vMerge w:val="restart"/>
          </w:tcPr>
          <w:p>
            <w:pPr>
              <w:jc w:val="center"/>
              <w:spacing w:after="0" w:line="102"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27.12</w:t>
            </w: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gridSpan w:val="2"/>
            <w:vMerge w:val="restart"/>
          </w:tcPr>
          <w:p>
            <w:pPr>
              <w:jc w:val="center"/>
              <w:spacing w:after="0" w:line="102" w:lineRule="exact"/>
              <w:rPr>
                <w:sz w:val="20"/>
                <w:szCs w:val="20"/>
                <w:color w:val="auto"/>
              </w:rPr>
            </w:pPr>
            <w:r>
              <w:rPr>
                <w:rFonts w:ascii="Arial" w:cs="Arial" w:eastAsia="Arial" w:hAnsi="Arial"/>
                <w:sz w:val="11"/>
                <w:szCs w:val="11"/>
                <w:color w:val="0000FF"/>
              </w:rPr>
              <w:t>02/26/2013</w:t>
            </w:r>
          </w:p>
        </w:tc>
        <w:tc>
          <w:tcPr>
            <w:tcW w:w="680" w:type="dxa"/>
            <w:vAlign w:val="bottom"/>
            <w:vMerge w:val="restart"/>
          </w:tcPr>
          <w:p>
            <w:pPr>
              <w:jc w:val="center"/>
              <w:spacing w:after="0" w:line="102" w:lineRule="exact"/>
              <w:rPr>
                <w:sz w:val="20"/>
                <w:szCs w:val="20"/>
                <w:color w:val="auto"/>
              </w:rPr>
            </w:pPr>
            <w:r>
              <w:rPr>
                <w:rFonts w:ascii="Arial" w:cs="Arial" w:eastAsia="Arial" w:hAnsi="Arial"/>
                <w:sz w:val="11"/>
                <w:szCs w:val="11"/>
                <w:color w:val="0000FF"/>
              </w:rPr>
              <w:t>Common</w:t>
            </w: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gridSpan w:val="2"/>
            <w:vMerge w:val="restart"/>
          </w:tcPr>
          <w:p>
            <w:pPr>
              <w:jc w:val="center"/>
              <w:spacing w:after="0" w:line="102" w:lineRule="exact"/>
              <w:rPr>
                <w:sz w:val="20"/>
                <w:szCs w:val="20"/>
                <w:color w:val="auto"/>
              </w:rPr>
            </w:pPr>
            <w:r>
              <w:rPr>
                <w:rFonts w:ascii="Arial" w:cs="Arial" w:eastAsia="Arial" w:hAnsi="Arial"/>
                <w:sz w:val="11"/>
                <w:szCs w:val="11"/>
                <w:color w:val="0000FF"/>
              </w:rPr>
              <w:t>400,000</w:t>
            </w:r>
          </w:p>
        </w:tc>
        <w:tc>
          <w:tcPr>
            <w:tcW w:w="660" w:type="dxa"/>
            <w:vAlign w:val="bottom"/>
            <w:vMerge w:val="restart"/>
          </w:tcPr>
          <w:p>
            <w:pPr>
              <w:ind w:left="340"/>
              <w:spacing w:after="0" w:line="102" w:lineRule="exact"/>
              <w:rPr>
                <w:sz w:val="20"/>
                <w:szCs w:val="20"/>
                <w:color w:val="auto"/>
              </w:rPr>
            </w:pPr>
            <w:r>
              <w:rPr>
                <w:rFonts w:ascii="Arial" w:cs="Arial" w:eastAsia="Arial" w:hAnsi="Arial"/>
                <w:sz w:val="11"/>
                <w:szCs w:val="11"/>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40" w:type="dxa"/>
            <w:vAlign w:val="bottom"/>
            <w:gridSpan w:val="2"/>
          </w:tcPr>
          <w:p>
            <w:pPr>
              <w:ind w:left="60"/>
              <w:spacing w:after="0" w:line="53" w:lineRule="exact"/>
              <w:rPr>
                <w:sz w:val="20"/>
                <w:szCs w:val="20"/>
                <w:color w:val="auto"/>
              </w:rPr>
            </w:pPr>
            <w:r>
              <w:rPr>
                <w:rFonts w:ascii="Arial" w:cs="Arial" w:eastAsia="Arial" w:hAnsi="Arial"/>
                <w:sz w:val="6"/>
                <w:szCs w:val="6"/>
                <w:color w:val="0000FF"/>
              </w:rPr>
              <w:t>Purchase</w:t>
            </w:r>
            <w:r>
              <w:rPr>
                <w:rFonts w:ascii="Arial" w:cs="Arial" w:eastAsia="Arial" w:hAnsi="Arial"/>
                <w:sz w:val="6"/>
                <w:szCs w:val="6"/>
                <w:color w:val="008000"/>
                <w:vertAlign w:val="superscript"/>
              </w:rPr>
              <w:t>(2)</w:t>
            </w:r>
          </w:p>
        </w:tc>
        <w:tc>
          <w:tcPr>
            <w:tcW w:w="78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0.0000</w:t>
            </w:r>
            <w:r>
              <w:rPr>
                <w:rFonts w:ascii="Arial" w:cs="Arial" w:eastAsia="Arial" w:hAnsi="Arial"/>
                <w:sz w:val="21"/>
                <w:szCs w:val="21"/>
                <w:color w:val="008000"/>
                <w:w w:val="86"/>
                <w:vertAlign w:val="superscript"/>
              </w:rPr>
              <w:t>(10)</w:t>
            </w: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2"/>
                <w:szCs w:val="12"/>
                <w:color w:val="auto"/>
              </w:rPr>
            </w:pPr>
          </w:p>
        </w:tc>
        <w:tc>
          <w:tcPr>
            <w:tcW w:w="520" w:type="dxa"/>
            <w:vAlign w:val="bottom"/>
            <w:vMerge w:val="restart"/>
          </w:tcPr>
          <w:p>
            <w:pPr>
              <w:jc w:val="center"/>
              <w:ind w:right="182"/>
              <w:spacing w:after="0"/>
              <w:rPr>
                <w:sz w:val="20"/>
                <w:szCs w:val="20"/>
                <w:color w:val="auto"/>
              </w:rPr>
            </w:pPr>
            <w:r>
              <w:rPr>
                <w:rFonts w:ascii="Arial" w:cs="Arial" w:eastAsia="Arial" w:hAnsi="Arial"/>
                <w:sz w:val="11"/>
                <w:szCs w:val="11"/>
                <w:color w:val="008000"/>
                <w:w w:val="88"/>
              </w:rPr>
              <w:t>(1)</w:t>
            </w:r>
          </w:p>
        </w:tc>
        <w:tc>
          <w:tcPr>
            <w:tcW w:w="680" w:type="dxa"/>
            <w:vAlign w:val="bottom"/>
          </w:tcPr>
          <w:p>
            <w:pPr>
              <w:jc w:val="center"/>
              <w:spacing w:after="0" w:line="146" w:lineRule="exact"/>
              <w:rPr>
                <w:sz w:val="20"/>
                <w:szCs w:val="20"/>
                <w:color w:val="auto"/>
              </w:rPr>
            </w:pPr>
            <w:r>
              <w:rPr>
                <w:rFonts w:ascii="Arial" w:cs="Arial" w:eastAsia="Arial" w:hAnsi="Arial"/>
                <w:sz w:val="13"/>
                <w:szCs w:val="13"/>
                <w:color w:val="0000FF"/>
                <w:w w:val="89"/>
              </w:rPr>
              <w:t>Special</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2"/>
              </w:rPr>
              <w:t>10,000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10,000</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7180"/>
        <w:spacing w:after="0"/>
        <w:rPr>
          <w:sz w:val="20"/>
          <w:szCs w:val="20"/>
          <w:color w:val="auto"/>
        </w:rPr>
      </w:pPr>
      <w:r>
        <w:rPr>
          <w:rFonts w:ascii="Arial" w:cs="Arial" w:eastAsia="Arial" w:hAnsi="Arial"/>
          <w:sz w:val="13"/>
          <w:szCs w:val="13"/>
          <w:color w:val="0000FF"/>
        </w:rPr>
        <w:t>Stock</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60" w:firstLine="5"/>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7/1/02, the Reporting Person was granted 20,000 restricted shares of Class A Special Common Stock, which vested in four equal annual installments beginning 1/2/03 and had previously been reported as shares of Class A Special Common Stock directly owned on Table I of Form 4. As a result of a recent amendment to the plan pursuant to which the grant was issued, the 10,000 unvested restricted shares may now be paid in cash or in shares at the election of the Reporting Person, and therefore should now be reported on Table II.</w:t>
      </w:r>
    </w:p>
    <w:p>
      <w:pPr>
        <w:spacing w:after="0" w:line="2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an option to purchase Class A Common Stock.</w:t>
      </w:r>
    </w:p>
    <w:p>
      <w:pPr>
        <w:spacing w:after="0" w:line="48" w:lineRule="exact"/>
        <w:rPr>
          <w:rFonts w:ascii="Arial" w:cs="Arial" w:eastAsia="Arial" w:hAnsi="Arial"/>
          <w:sz w:val="13"/>
          <w:szCs w:val="13"/>
          <w:color w:val="008000"/>
        </w:rPr>
      </w:pPr>
    </w:p>
    <w:p>
      <w:pPr>
        <w:ind w:left="40" w:right="200" w:firstLine="5"/>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to 50% of the shares subject to this option, the shares vest in installments of 40%, 20%, 20% and 20% on the 2nd, 3rd,4th and 5th anniversaries of the date of grant, respectively; and as to the other 50% of the shares subject to this option, the shares vest in installments of 20%, 10%, 10%, 10%, 10%, 10%, 10%, 10% and 10% on the 2nd, 3rd, 4th, 5th, 6th, 7th, 8th, 9th, and 9.5th anniversaries of the date of grant, respectively.</w:t>
      </w:r>
    </w:p>
    <w:p>
      <w:pPr>
        <w:spacing w:after="0" w:line="2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contigent right to receive one share of Class A Common Stock.</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in installments of 15%, 15%, 15%, 15% and 40% on the 1st, 2nd, 3rd, 4th and 5th anniversaries of the date of grant, respectively.</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an option to purchase Class A Special Common Stock.</w:t>
      </w:r>
    </w:p>
    <w:p>
      <w:pPr>
        <w:spacing w:after="0" w:line="48" w:lineRule="exact"/>
        <w:rPr>
          <w:rFonts w:ascii="Arial" w:cs="Arial" w:eastAsia="Arial" w:hAnsi="Arial"/>
          <w:sz w:val="13"/>
          <w:szCs w:val="13"/>
          <w:color w:val="008000"/>
        </w:rPr>
      </w:pPr>
    </w:p>
    <w:p>
      <w:pPr>
        <w:ind w:left="40" w:right="440" w:firstLine="5"/>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respect to 37,746 shares, the option is exercisable as follows: 4,194 shares are exercisable on each of 7/1/2004, 7/1/2005, 7/1/2006, 7/1/2007, 7/1/2008, 7/1/2009, 7/1/2010, 7/1/2011 and 1/1/2012. With respect to 462,254 shares, the option is exercisable as follows: 145,806 shares are exercisable on 7/1/2004; 70,806 shares are exercisable on each of 7/1/2005, 7/1/2006, and 7/1/2007; and 20,806 shares are exercisable on each of 7/1/2008, 7/1/2009, 7/1/2010, 7/1/2011 and 1/1/2012.</w:t>
      </w:r>
    </w:p>
    <w:p>
      <w:pPr>
        <w:spacing w:after="0" w:line="28" w:lineRule="exact"/>
        <w:rPr>
          <w:rFonts w:ascii="Arial" w:cs="Arial" w:eastAsia="Arial" w:hAnsi="Arial"/>
          <w:sz w:val="13"/>
          <w:szCs w:val="13"/>
          <w:color w:val="008000"/>
        </w:rPr>
      </w:pPr>
    </w:p>
    <w:p>
      <w:pPr>
        <w:ind w:left="40" w:right="24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exercisable as follows: 35,500 shares are exercisable on 10/28/04; 17,750 shares are exercisable on each of 10/28/05, 10/28/06 and 10/28/07; and 4,250 shares are exercisable on each of 10/28/08, 10/28/09, 10/28/10, 10/28/11and 4/28/12.</w:t>
      </w:r>
    </w:p>
    <w:p>
      <w:pPr>
        <w:spacing w:after="0" w:line="21" w:lineRule="exact"/>
        <w:rPr>
          <w:rFonts w:ascii="Arial" w:cs="Arial" w:eastAsia="Arial" w:hAnsi="Arial"/>
          <w:sz w:val="13"/>
          <w:szCs w:val="13"/>
          <w:color w:val="008000"/>
        </w:rPr>
      </w:pPr>
    </w:p>
    <w:p>
      <w:pPr>
        <w:jc w:val="center"/>
        <w:ind w:left="40" w:right="300" w:firstLine="5"/>
        <w:spacing w:after="0" w:line="349"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25,000 of the shares subject to this option vest in installments of 40%, 20%, 20% and 20% on the 2nd, 3rd,4th and 5th anniversaries of the date of grant, respectively; shares subject to this option in excess of 25,000 vest as follows: one-half vests in installments of 40%, 20%, 20% and 20% on the 2nd, 3rd, 4th, and 5th anniversaries of the date of grant, respectively, and the other half vests in installments of 20%, 10%,</w:t>
      </w:r>
    </w:p>
    <w:p>
      <w:pPr>
        <w:sectPr>
          <w:pgSz w:w="11900" w:h="16960"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10%, 10%, 10%, 10%, 10%, 10% and 10% on the 2nd, 3rd, 4th, 5th, 6th, 7th, 8th, 9th, and 9.5th anniversaries of the date of grant,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008000"/>
        </w:rPr>
        <w:t>10. Each restricted share represents a contigent right to receive one share of Class A Special Common Stock.</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Arthur R. Block,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-1905</wp:posOffset>
            </wp:positionV>
            <wp:extent cx="1367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in-fact for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-12700</wp:posOffset>
            </wp:positionV>
            <wp:extent cx="1164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0000FF"/>
        </w:rPr>
        <w:t>03/10/2004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6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8" w:lineRule="exact"/>
        <w:rPr>
          <w:sz w:val="20"/>
          <w:szCs w:val="20"/>
          <w:color w:val="auto"/>
        </w:rPr>
      </w:pPr>
    </w:p>
    <w:p>
      <w:pPr>
        <w:sectPr>
          <w:pgSz w:w="11900" w:h="16838" w:orient="portrait"/>
          <w:cols w:equalWidth="0" w:num="2">
            <w:col w:w="8980" w:space="140"/>
            <w:col w:w="1059"/>
          </w:cols>
          <w:pgMar w:left="280" w:top="131"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2559" w:firstLine="5"/>
        <w:spacing w:after="0" w:line="316"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3695"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2019-12-18T10:22:21Z</dcterms:created>
  <dcterms:modified xsi:type="dcterms:W3CDTF">2019-12-18T10:22:21Z</dcterms:modified>
</cp:coreProperties>
</file>