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2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00" w:type="dxa"/>
            <w:vAlign w:val="bottom"/>
            <w:tcBorders>
              <w:left w:val="single" w:sz="8" w:color="auto"/>
            </w:tcBorders>
          </w:tcPr>
          <w:p>
            <w:pPr>
              <w:spacing w:after="0"/>
              <w:rPr>
                <w:sz w:val="9"/>
                <w:szCs w:val="9"/>
                <w:color w:val="auto"/>
              </w:rPr>
            </w:pPr>
          </w:p>
        </w:tc>
        <w:tc>
          <w:tcPr>
            <w:tcW w:w="148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00" w:type="dxa"/>
            <w:vAlign w:val="bottom"/>
            <w:tcBorders>
              <w:left w:val="single" w:sz="8" w:color="auto"/>
            </w:tcBorders>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00" w:type="dxa"/>
            <w:vAlign w:val="bottom"/>
            <w:tcBorders>
              <w:left w:val="single" w:sz="8" w:color="auto"/>
            </w:tcBorders>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Title Of Each Class Of</w:t>
            </w:r>
          </w:p>
        </w:tc>
        <w:tc>
          <w:tcPr>
            <w:tcW w:w="20" w:type="dxa"/>
            <w:vAlign w:val="bottom"/>
            <w:shd w:val="clear" w:color="auto" w:fill="000000"/>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00" w:type="dxa"/>
            <w:vAlign w:val="bottom"/>
            <w:tcBorders>
              <w:left w:val="single" w:sz="8" w:color="auto"/>
            </w:tcBorders>
          </w:tcPr>
          <w:p>
            <w:pPr>
              <w:spacing w:after="0"/>
              <w:rPr>
                <w:sz w:val="13"/>
                <w:szCs w:val="13"/>
                <w:color w:val="auto"/>
              </w:rPr>
            </w:pP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20" w:type="dxa"/>
            <w:vAlign w:val="bottom"/>
            <w:tcBorders>
              <w:bottom w:val="single" w:sz="8" w:color="auto"/>
            </w:tcBorders>
            <w:shd w:val="clear" w:color="auto" w:fill="000000"/>
          </w:tcPr>
          <w:p>
            <w:pPr>
              <w:spacing w:after="0"/>
              <w:rPr>
                <w:sz w:val="15"/>
                <w:szCs w:val="15"/>
                <w:color w:val="auto"/>
              </w:rPr>
            </w:pPr>
          </w:p>
        </w:tc>
        <w:tc>
          <w:tcPr>
            <w:tcW w:w="100" w:type="dxa"/>
            <w:vAlign w:val="bottom"/>
            <w:tcBorders>
              <w:left w:val="single" w:sz="8" w:color="auto"/>
              <w:bottom w:val="single" w:sz="8" w:color="auto"/>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00" w:type="dxa"/>
            <w:vAlign w:val="bottom"/>
            <w:tcBorders>
              <w:left w:val="single" w:sz="8" w:color="auto"/>
              <w:bottom w:val="single" w:sz="8" w:color="auto"/>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20" w:type="dxa"/>
            <w:vAlign w:val="bottom"/>
          </w:tcPr>
          <w:p>
            <w:pPr>
              <w:spacing w:after="0" w:line="195" w:lineRule="exact"/>
              <w:rPr>
                <w:sz w:val="20"/>
                <w:szCs w:val="20"/>
                <w:color w:val="auto"/>
              </w:rPr>
            </w:pPr>
            <w:r>
              <w:rPr>
                <w:rFonts w:ascii="Arial" w:cs="Arial" w:eastAsia="Arial" w:hAnsi="Arial"/>
                <w:sz w:val="18"/>
                <w:szCs w:val="18"/>
                <w:color w:val="auto"/>
              </w:rPr>
              <w:t>3.375% Notes due 2025</w:t>
            </w:r>
          </w:p>
        </w:tc>
        <w:tc>
          <w:tcPr>
            <w:tcW w:w="20" w:type="dxa"/>
            <w:vAlign w:val="bottom"/>
            <w:shd w:val="clear" w:color="auto" w:fill="000000"/>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1480" w:type="dxa"/>
            <w:vAlign w:val="bottom"/>
          </w:tcPr>
          <w:p>
            <w:pPr>
              <w:jc w:val="center"/>
              <w:spacing w:after="0" w:line="195" w:lineRule="exact"/>
              <w:rPr>
                <w:sz w:val="20"/>
                <w:szCs w:val="20"/>
                <w:color w:val="auto"/>
              </w:rPr>
            </w:pPr>
            <w:r>
              <w:rPr>
                <w:rFonts w:ascii="Arial" w:cs="Arial" w:eastAsia="Arial" w:hAnsi="Arial"/>
                <w:sz w:val="18"/>
                <w:szCs w:val="18"/>
                <w:color w:val="auto"/>
                <w:w w:val="89"/>
              </w:rPr>
              <w:t>$1,000,000,000</w:t>
            </w:r>
          </w:p>
        </w:tc>
        <w:tc>
          <w:tcPr>
            <w:tcW w:w="1580" w:type="dxa"/>
            <w:vAlign w:val="bottom"/>
            <w:tcBorders>
              <w:left w:val="single" w:sz="8" w:color="auto"/>
            </w:tcBorders>
            <w:gridSpan w:val="2"/>
          </w:tcPr>
          <w:p>
            <w:pPr>
              <w:jc w:val="center"/>
              <w:ind w:left="10"/>
              <w:spacing w:after="0" w:line="195" w:lineRule="exact"/>
              <w:rPr>
                <w:sz w:val="20"/>
                <w:szCs w:val="20"/>
                <w:color w:val="auto"/>
              </w:rPr>
            </w:pPr>
            <w:r>
              <w:rPr>
                <w:rFonts w:ascii="Arial" w:cs="Arial" w:eastAsia="Arial" w:hAnsi="Arial"/>
                <w:sz w:val="18"/>
                <w:szCs w:val="18"/>
                <w:color w:val="auto"/>
                <w:w w:val="90"/>
              </w:rPr>
              <w:t>$128,800</w:t>
            </w:r>
          </w:p>
        </w:tc>
        <w:tc>
          <w:tcPr>
            <w:tcW w:w="0" w:type="dxa"/>
            <w:vAlign w:val="bottom"/>
          </w:tcPr>
          <w:p>
            <w:pPr>
              <w:spacing w:after="0"/>
              <w:rPr>
                <w:sz w:val="1"/>
                <w:szCs w:val="1"/>
                <w:color w:val="auto"/>
              </w:rPr>
            </w:pP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rPr>
              <w:t>4.200% Notes due 2034</w:t>
            </w:r>
          </w:p>
        </w:tc>
        <w:tc>
          <w:tcPr>
            <w:tcW w:w="20" w:type="dxa"/>
            <w:vAlign w:val="bottom"/>
            <w:shd w:val="clear" w:color="auto" w:fill="000000"/>
          </w:tcPr>
          <w:p>
            <w:pPr>
              <w:spacing w:after="0"/>
              <w:rPr>
                <w:sz w:val="20"/>
                <w:szCs w:val="20"/>
                <w:color w:val="auto"/>
              </w:rPr>
            </w:pPr>
          </w:p>
        </w:tc>
        <w:tc>
          <w:tcPr>
            <w:tcW w:w="100" w:type="dxa"/>
            <w:vAlign w:val="bottom"/>
            <w:tcBorders>
              <w:left w:val="single" w:sz="8" w:color="auto"/>
            </w:tcBorders>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$1,000,000,000</w:t>
            </w:r>
          </w:p>
        </w:tc>
        <w:tc>
          <w:tcPr>
            <w:tcW w:w="1580" w:type="dxa"/>
            <w:vAlign w:val="bottom"/>
            <w:tcBorders>
              <w:left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90"/>
              </w:rPr>
              <w:t>$128,800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vMerge w:val="restart"/>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$2,000,000,000</w:t>
            </w:r>
          </w:p>
        </w:tc>
        <w:tc>
          <w:tcPr>
            <w:tcW w:w="100" w:type="dxa"/>
            <w:vAlign w:val="bottom"/>
          </w:tcPr>
          <w:p>
            <w:pPr>
              <w:spacing w:after="0" w:line="20" w:lineRule="exact"/>
              <w:rPr>
                <w:sz w:val="1"/>
                <w:szCs w:val="1"/>
                <w:color w:val="auto"/>
              </w:rPr>
            </w:pPr>
          </w:p>
        </w:tc>
        <w:tc>
          <w:tcPr>
            <w:tcW w:w="14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$257,600</w:t>
            </w: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Borders>
              <w:left w:val="single" w:sz="8" w:color="auto"/>
              <w:bottom w:val="single" w:sz="8" w:color="auto"/>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(1)   Calculated in accordance with Rule 457(r) of the Securities Act of 1933, as amended.</w:t>
            </w: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6226810</wp:posOffset>
            </wp:positionH>
            <wp:positionV relativeFrom="paragraph">
              <wp:posOffset>-338455</wp:posOffset>
            </wp:positionV>
            <wp:extent cx="342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-325755</wp:posOffset>
            </wp:positionV>
            <wp:extent cx="88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Registration No. 333-191239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September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187325</wp:posOffset>
            </wp:positionV>
            <wp:extent cx="1397635" cy="48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880"/>
        <w:spacing w:after="0"/>
        <w:tabs>
          <w:tab w:leader="none" w:pos="5300" w:val="left"/>
        </w:tabs>
        <w:rPr>
          <w:sz w:val="20"/>
          <w:szCs w:val="20"/>
          <w:color w:val="auto"/>
        </w:rPr>
      </w:pPr>
      <w:r>
        <w:rPr>
          <w:rFonts w:ascii="Arial" w:cs="Arial" w:eastAsia="Arial" w:hAnsi="Arial"/>
          <w:sz w:val="32"/>
          <w:szCs w:val="32"/>
          <w:b w:val="1"/>
          <w:bCs w:val="1"/>
          <w:color w:val="auto"/>
        </w:rPr>
        <w:t>$1,000,000,000</w:t>
      </w:r>
      <w:r>
        <w:rPr>
          <w:sz w:val="20"/>
          <w:szCs w:val="20"/>
          <w:color w:val="auto"/>
        </w:rPr>
        <w:tab/>
      </w:r>
      <w:r>
        <w:rPr>
          <w:rFonts w:ascii="Arial" w:cs="Arial" w:eastAsia="Arial" w:hAnsi="Arial"/>
          <w:sz w:val="29"/>
          <w:szCs w:val="29"/>
          <w:b w:val="1"/>
          <w:bCs w:val="1"/>
          <w:color w:val="auto"/>
        </w:rPr>
        <w:t>3.375% Notes due 2025</w:t>
      </w:r>
    </w:p>
    <w:p>
      <w:pPr>
        <w:spacing w:after="0" w:line="33" w:lineRule="exact"/>
        <w:rPr>
          <w:sz w:val="20"/>
          <w:szCs w:val="20"/>
          <w:color w:val="auto"/>
        </w:rPr>
      </w:pPr>
    </w:p>
    <w:p>
      <w:pPr>
        <w:ind w:left="2880"/>
        <w:spacing w:after="0"/>
        <w:tabs>
          <w:tab w:leader="none" w:pos="5300" w:val="left"/>
        </w:tabs>
        <w:rPr>
          <w:sz w:val="20"/>
          <w:szCs w:val="20"/>
          <w:color w:val="auto"/>
        </w:rPr>
      </w:pPr>
      <w:r>
        <w:rPr>
          <w:rFonts w:ascii="Arial" w:cs="Arial" w:eastAsia="Arial" w:hAnsi="Arial"/>
          <w:sz w:val="32"/>
          <w:szCs w:val="32"/>
          <w:b w:val="1"/>
          <w:bCs w:val="1"/>
          <w:color w:val="auto"/>
        </w:rPr>
        <w:t>$1,000,000,000</w:t>
      </w:r>
      <w:r>
        <w:rPr>
          <w:sz w:val="20"/>
          <w:szCs w:val="20"/>
          <w:color w:val="auto"/>
        </w:rPr>
        <w:tab/>
      </w:r>
      <w:r>
        <w:rPr>
          <w:rFonts w:ascii="Arial" w:cs="Arial" w:eastAsia="Arial" w:hAnsi="Arial"/>
          <w:sz w:val="29"/>
          <w:szCs w:val="29"/>
          <w:b w:val="1"/>
          <w:bCs w:val="1"/>
          <w:color w:val="auto"/>
        </w:rPr>
        <w:t>4.200% Notes due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Notes due 2025 will bear interest at a rate of 3.375% per year and will mature on February 15, 2025, and the Notes due 2034 will bear interest at a rate of 4.200% per year and will mature on August 15, 2034. We will pay interest on the Notes due 2025 on February 15 and August 15 of each year, beginning February 15, 2015. We will pay interest on the Notes due 2034 on February 15 and August 15 of each year, beginning February 15, 2015. We refer to the Notes due 2025 and the Notes due 2034 collectively as the “notes.” We may redeem any of the notes at any time by paying the applicable Redemption Price described under the heading “Description of the Notes—Optional Redemption.”</w:t>
      </w:r>
    </w:p>
    <w:p>
      <w:pPr>
        <w:spacing w:after="0" w:line="22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notes will be unsecured and will rank equally with all of our unsecured and unsubordinated indebtedness. The notes will be fully and unconditionally guaranteed by our wholly-owned subsidiaries named in this prospectus supplement and in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217805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300" w:firstLine="456"/>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31 of Comcast’s Annual Report on Form 10-K for the year ended December 31, 2013, which is incorporated by reference herein.</w:t>
      </w:r>
    </w:p>
    <w:p>
      <w:pPr>
        <w:spacing w:after="0" w:line="16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6"/>
              </w:rPr>
              <w:t>Price to Investors</w:t>
            </w:r>
          </w:p>
        </w:tc>
        <w:tc>
          <w:tcPr>
            <w:tcW w:w="54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78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0"/>
              </w:rPr>
              <w:t>Underwriters’</w:t>
            </w: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Proceeds to Us Before</w:t>
            </w:r>
          </w:p>
        </w:tc>
        <w:tc>
          <w:tcPr>
            <w:tcW w:w="0" w:type="dxa"/>
            <w:vAlign w:val="bottom"/>
          </w:tcPr>
          <w:p>
            <w:pPr>
              <w:spacing w:after="0"/>
              <w:rPr>
                <w:sz w:val="1"/>
                <w:szCs w:val="1"/>
                <w:color w:val="auto"/>
              </w:rPr>
            </w:pPr>
          </w:p>
        </w:tc>
      </w:tr>
      <w:tr>
        <w:trPr>
          <w:trHeight w:val="153"/>
        </w:trPr>
        <w:tc>
          <w:tcPr>
            <w:tcW w:w="2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80" w:type="dxa"/>
            <w:vAlign w:val="bottom"/>
            <w:tcBorders>
              <w:bottom w:val="single" w:sz="8" w:color="auto"/>
            </w:tcBorders>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780" w:type="dxa"/>
            <w:vAlign w:val="bottom"/>
            <w:gridSpan w:val="2"/>
          </w:tcPr>
          <w:p>
            <w:pPr>
              <w:jc w:val="right"/>
              <w:ind w:right="1100"/>
              <w:spacing w:after="0" w:line="148" w:lineRule="exact"/>
              <w:rPr>
                <w:sz w:val="20"/>
                <w:szCs w:val="20"/>
                <w:color w:val="auto"/>
              </w:rPr>
            </w:pPr>
            <w:r>
              <w:rPr>
                <w:rFonts w:ascii="Arial" w:cs="Arial" w:eastAsia="Arial" w:hAnsi="Arial"/>
                <w:sz w:val="14"/>
                <w:szCs w:val="14"/>
                <w:b w:val="1"/>
                <w:bCs w:val="1"/>
                <w:color w:val="auto"/>
              </w:rPr>
              <w:t>Discount</w:t>
            </w:r>
          </w:p>
        </w:tc>
        <w:tc>
          <w:tcPr>
            <w:tcW w:w="240" w:type="dxa"/>
            <w:vAlign w:val="bottom"/>
          </w:tcPr>
          <w:p>
            <w:pPr>
              <w:spacing w:after="0"/>
              <w:rPr>
                <w:sz w:val="12"/>
                <w:szCs w:val="12"/>
                <w:color w:val="auto"/>
              </w:rPr>
            </w:pPr>
          </w:p>
        </w:tc>
        <w:tc>
          <w:tcPr>
            <w:tcW w:w="124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rPr>
              <w:t>Expenses</w:t>
            </w:r>
          </w:p>
        </w:tc>
        <w:tc>
          <w:tcPr>
            <w:tcW w:w="0" w:type="dxa"/>
            <w:vAlign w:val="bottom"/>
          </w:tcPr>
          <w:p>
            <w:pPr>
              <w:spacing w:after="0"/>
              <w:rPr>
                <w:sz w:val="1"/>
                <w:szCs w:val="1"/>
                <w:color w:val="auto"/>
              </w:rPr>
            </w:pPr>
          </w:p>
        </w:tc>
      </w:tr>
      <w:tr>
        <w:trPr>
          <w:trHeight w:val="20"/>
        </w:trPr>
        <w:tc>
          <w:tcPr>
            <w:tcW w:w="2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 note due 2025</w:t>
            </w:r>
            <w:r>
              <w:rPr>
                <w:rFonts w:ascii="Arial" w:cs="Arial" w:eastAsia="Arial" w:hAnsi="Arial"/>
                <w:sz w:val="11"/>
                <w:szCs w:val="11"/>
                <w:color w:val="auto"/>
              </w:rPr>
              <w:t>(1)</w:t>
            </w:r>
          </w:p>
        </w:tc>
        <w:tc>
          <w:tcPr>
            <w:tcW w:w="1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8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99.912%</w:t>
            </w:r>
          </w:p>
        </w:tc>
        <w:tc>
          <w:tcPr>
            <w:tcW w:w="3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vMerge w:val="continue"/>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780" w:type="dxa"/>
            <w:vAlign w:val="bottom"/>
            <w:gridSpan w:val="2"/>
            <w:shd w:val="clear" w:color="auto" w:fill="CCEEFF"/>
          </w:tcPr>
          <w:p>
            <w:pPr>
              <w:jc w:val="right"/>
              <w:ind w:right="780"/>
              <w:spacing w:after="0" w:line="203" w:lineRule="exact"/>
              <w:rPr>
                <w:sz w:val="20"/>
                <w:szCs w:val="20"/>
                <w:color w:val="auto"/>
              </w:rPr>
            </w:pPr>
            <w:r>
              <w:rPr>
                <w:rFonts w:ascii="Arial" w:cs="Arial" w:eastAsia="Arial" w:hAnsi="Arial"/>
                <w:sz w:val="18"/>
                <w:szCs w:val="18"/>
                <w:color w:val="auto"/>
              </w:rPr>
              <w:t>0.45%</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99.462%</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Total</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w w:val="91"/>
              </w:rPr>
              <w:t>999,120,000</w:t>
            </w:r>
          </w:p>
        </w:tc>
        <w:tc>
          <w:tcPr>
            <w:tcW w:w="2160" w:type="dxa"/>
            <w:vAlign w:val="bottom"/>
            <w:gridSpan w:val="3"/>
          </w:tcPr>
          <w:p>
            <w:pPr>
              <w:jc w:val="right"/>
              <w:ind w:right="940"/>
              <w:spacing w:after="0"/>
              <w:rPr>
                <w:sz w:val="20"/>
                <w:szCs w:val="20"/>
                <w:color w:val="auto"/>
              </w:rPr>
            </w:pPr>
            <w:r>
              <w:rPr>
                <w:rFonts w:ascii="Arial" w:cs="Arial" w:eastAsia="Arial" w:hAnsi="Arial"/>
                <w:sz w:val="18"/>
                <w:szCs w:val="18"/>
                <w:color w:val="auto"/>
              </w:rPr>
              <w:t>$ 4,500,000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994,620,000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Per note due 2034</w:t>
            </w:r>
            <w:r>
              <w:rPr>
                <w:rFonts w:ascii="Arial" w:cs="Arial" w:eastAsia="Arial" w:hAnsi="Arial"/>
                <w:sz w:val="11"/>
                <w:szCs w:val="11"/>
                <w:color w:val="auto"/>
              </w:rPr>
              <w:t>(1)</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99.624%</w:t>
            </w:r>
          </w:p>
        </w:tc>
        <w:tc>
          <w:tcPr>
            <w:tcW w:w="21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0.65%</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98.974%</w:t>
            </w:r>
          </w:p>
        </w:tc>
        <w:tc>
          <w:tcPr>
            <w:tcW w:w="0" w:type="dxa"/>
            <w:vAlign w:val="bottom"/>
          </w:tcPr>
          <w:p>
            <w:pPr>
              <w:spacing w:after="0"/>
              <w:rPr>
                <w:sz w:val="1"/>
                <w:szCs w:val="1"/>
                <w:color w:val="auto"/>
              </w:rPr>
            </w:pPr>
          </w:p>
        </w:tc>
      </w:tr>
      <w:tr>
        <w:trPr>
          <w:trHeight w:val="222"/>
        </w:trPr>
        <w:tc>
          <w:tcPr>
            <w:tcW w:w="2860" w:type="dxa"/>
            <w:vAlign w:val="bottom"/>
          </w:tcPr>
          <w:p>
            <w:pPr>
              <w:spacing w:after="0"/>
              <w:rPr>
                <w:sz w:val="20"/>
                <w:szCs w:val="20"/>
                <w:color w:val="auto"/>
              </w:rPr>
            </w:pPr>
            <w:r>
              <w:rPr>
                <w:rFonts w:ascii="Arial" w:cs="Arial" w:eastAsia="Arial" w:hAnsi="Arial"/>
                <w:sz w:val="18"/>
                <w:szCs w:val="18"/>
                <w:color w:val="auto"/>
              </w:rPr>
              <w:t>Total</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w w:val="91"/>
              </w:rPr>
              <w:t>996,240,000</w:t>
            </w:r>
          </w:p>
        </w:tc>
        <w:tc>
          <w:tcPr>
            <w:tcW w:w="2160" w:type="dxa"/>
            <w:vAlign w:val="bottom"/>
            <w:gridSpan w:val="3"/>
          </w:tcPr>
          <w:p>
            <w:pPr>
              <w:jc w:val="right"/>
              <w:ind w:right="940"/>
              <w:spacing w:after="0"/>
              <w:rPr>
                <w:sz w:val="20"/>
                <w:szCs w:val="20"/>
                <w:color w:val="auto"/>
              </w:rPr>
            </w:pPr>
            <w:r>
              <w:rPr>
                <w:rFonts w:ascii="Arial" w:cs="Arial" w:eastAsia="Arial" w:hAnsi="Arial"/>
                <w:sz w:val="18"/>
                <w:szCs w:val="18"/>
                <w:color w:val="auto"/>
              </w:rPr>
              <w:t>$ 6,500,000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989,740,000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if any, from August 12, 2014, if settlement occurs after that date.</w:t>
      </w:r>
    </w:p>
    <w:p>
      <w:pPr>
        <w:spacing w:after="0" w:line="25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6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notes will be ready for delivery only through The Depository Trust Company and its participants, including Euroclear SA/NV (“Euroclear”) and Clearstream Banking SA (“Clearstream”), in book-entry form on or about August 12, 2014.</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Joint Book-Running Managers</w:t>
      </w:r>
    </w:p>
    <w:p>
      <w:pPr>
        <w:spacing w:after="0" w:line="264"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1260" w:type="dxa"/>
            <w:vAlign w:val="bottom"/>
          </w:tcPr>
          <w:p>
            <w:pPr>
              <w:spacing w:after="0"/>
              <w:rPr>
                <w:sz w:val="20"/>
                <w:szCs w:val="20"/>
                <w:color w:val="auto"/>
              </w:rPr>
            </w:pPr>
            <w:r>
              <w:rPr>
                <w:rFonts w:ascii="Arial" w:cs="Arial" w:eastAsia="Arial" w:hAnsi="Arial"/>
                <w:sz w:val="22"/>
                <w:szCs w:val="22"/>
                <w:b w:val="1"/>
                <w:bCs w:val="1"/>
                <w:color w:val="auto"/>
                <w:w w:val="88"/>
              </w:rPr>
              <w:t>Credit Suisse</w:t>
            </w:r>
          </w:p>
        </w:tc>
        <w:tc>
          <w:tcPr>
            <w:tcW w:w="2500" w:type="dxa"/>
            <w:vAlign w:val="bottom"/>
          </w:tcPr>
          <w:p>
            <w:pPr>
              <w:jc w:val="center"/>
              <w:ind w:left="12"/>
              <w:spacing w:after="0"/>
              <w:rPr>
                <w:sz w:val="20"/>
                <w:szCs w:val="20"/>
                <w:color w:val="auto"/>
              </w:rPr>
            </w:pPr>
            <w:r>
              <w:rPr>
                <w:rFonts w:ascii="Arial" w:cs="Arial" w:eastAsia="Arial" w:hAnsi="Arial"/>
                <w:sz w:val="22"/>
                <w:szCs w:val="22"/>
                <w:b w:val="1"/>
                <w:bCs w:val="1"/>
                <w:color w:val="auto"/>
                <w:w w:val="89"/>
              </w:rPr>
              <w:t>J.P. Morgan</w:t>
            </w:r>
          </w:p>
        </w:tc>
        <w:tc>
          <w:tcPr>
            <w:tcW w:w="2740" w:type="dxa"/>
            <w:vAlign w:val="bottom"/>
            <w:gridSpan w:val="2"/>
          </w:tcPr>
          <w:p>
            <w:pPr>
              <w:ind w:left="240"/>
              <w:spacing w:after="0"/>
              <w:rPr>
                <w:sz w:val="20"/>
                <w:szCs w:val="20"/>
                <w:color w:val="auto"/>
              </w:rPr>
            </w:pPr>
            <w:r>
              <w:rPr>
                <w:rFonts w:ascii="Arial" w:cs="Arial" w:eastAsia="Arial" w:hAnsi="Arial"/>
                <w:sz w:val="22"/>
                <w:szCs w:val="22"/>
                <w:b w:val="1"/>
                <w:bCs w:val="1"/>
                <w:color w:val="auto"/>
              </w:rPr>
              <w:t>Lloyds Securities</w:t>
            </w:r>
          </w:p>
        </w:tc>
        <w:tc>
          <w:tcPr>
            <w:tcW w:w="1860" w:type="dxa"/>
            <w:vAlign w:val="bottom"/>
            <w:gridSpan w:val="2"/>
          </w:tcPr>
          <w:p>
            <w:pPr>
              <w:spacing w:after="0"/>
              <w:rPr>
                <w:sz w:val="20"/>
                <w:szCs w:val="20"/>
                <w:color w:val="auto"/>
              </w:rPr>
            </w:pPr>
            <w:r>
              <w:rPr>
                <w:rFonts w:ascii="Arial" w:cs="Arial" w:eastAsia="Arial" w:hAnsi="Arial"/>
                <w:sz w:val="22"/>
                <w:szCs w:val="22"/>
                <w:b w:val="1"/>
                <w:bCs w:val="1"/>
                <w:color w:val="auto"/>
                <w:w w:val="98"/>
              </w:rPr>
              <w:t>Mizuho Securities</w:t>
            </w:r>
          </w:p>
        </w:tc>
        <w:tc>
          <w:tcPr>
            <w:tcW w:w="2440" w:type="dxa"/>
            <w:vAlign w:val="bottom"/>
          </w:tcPr>
          <w:p>
            <w:pPr>
              <w:jc w:val="center"/>
              <w:ind w:left="552"/>
              <w:spacing w:after="0"/>
              <w:rPr>
                <w:sz w:val="20"/>
                <w:szCs w:val="20"/>
                <w:color w:val="auto"/>
              </w:rPr>
            </w:pPr>
            <w:r>
              <w:rPr>
                <w:rFonts w:ascii="Arial" w:cs="Arial" w:eastAsia="Arial" w:hAnsi="Arial"/>
                <w:sz w:val="22"/>
                <w:szCs w:val="22"/>
                <w:b w:val="1"/>
                <w:bCs w:val="1"/>
                <w:color w:val="auto"/>
                <w:w w:val="88"/>
              </w:rPr>
              <w:t>SunTrust Robinson</w:t>
            </w: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40" w:type="dxa"/>
            <w:vAlign w:val="bottom"/>
          </w:tcPr>
          <w:p>
            <w:pPr>
              <w:jc w:val="center"/>
              <w:ind w:left="552"/>
              <w:spacing w:after="0"/>
              <w:rPr>
                <w:sz w:val="20"/>
                <w:szCs w:val="20"/>
                <w:color w:val="auto"/>
              </w:rPr>
            </w:pPr>
            <w:r>
              <w:rPr>
                <w:rFonts w:ascii="Arial" w:cs="Arial" w:eastAsia="Arial" w:hAnsi="Arial"/>
                <w:sz w:val="22"/>
                <w:szCs w:val="22"/>
                <w:b w:val="1"/>
                <w:bCs w:val="1"/>
                <w:color w:val="auto"/>
                <w:w w:val="91"/>
              </w:rPr>
              <w:t>Humphrey</w:t>
            </w: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3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7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5"/>
        </w:trPr>
        <w:tc>
          <w:tcPr>
            <w:tcW w:w="1260" w:type="dxa"/>
            <w:vAlign w:val="bottom"/>
          </w:tcPr>
          <w:p>
            <w:pPr>
              <w:spacing w:after="0"/>
              <w:rPr>
                <w:sz w:val="24"/>
                <w:szCs w:val="24"/>
                <w:color w:val="auto"/>
              </w:rPr>
            </w:pPr>
          </w:p>
        </w:tc>
        <w:tc>
          <w:tcPr>
            <w:tcW w:w="2500" w:type="dxa"/>
            <w:vAlign w:val="bottom"/>
          </w:tcPr>
          <w:p>
            <w:pPr>
              <w:jc w:val="center"/>
              <w:ind w:right="1672"/>
              <w:spacing w:after="0"/>
              <w:rPr>
                <w:sz w:val="20"/>
                <w:szCs w:val="20"/>
                <w:color w:val="auto"/>
              </w:rPr>
            </w:pPr>
            <w:r>
              <w:rPr>
                <w:rFonts w:ascii="Arial" w:cs="Arial" w:eastAsia="Arial" w:hAnsi="Arial"/>
                <w:sz w:val="18"/>
                <w:szCs w:val="18"/>
                <w:b w:val="1"/>
                <w:bCs w:val="1"/>
                <w:color w:val="auto"/>
                <w:w w:val="87"/>
              </w:rPr>
              <w:t>Barclays</w:t>
            </w:r>
          </w:p>
        </w:tc>
        <w:tc>
          <w:tcPr>
            <w:tcW w:w="440" w:type="dxa"/>
            <w:vAlign w:val="bottom"/>
          </w:tcPr>
          <w:p>
            <w:pPr>
              <w:spacing w:after="0"/>
              <w:rPr>
                <w:sz w:val="24"/>
                <w:szCs w:val="24"/>
                <w:color w:val="auto"/>
              </w:rPr>
            </w:pPr>
          </w:p>
        </w:tc>
        <w:tc>
          <w:tcPr>
            <w:tcW w:w="2300" w:type="dxa"/>
            <w:vAlign w:val="bottom"/>
          </w:tcPr>
          <w:p>
            <w:pPr>
              <w:jc w:val="center"/>
              <w:ind w:left="259"/>
              <w:spacing w:after="0"/>
              <w:rPr>
                <w:sz w:val="20"/>
                <w:szCs w:val="20"/>
                <w:color w:val="auto"/>
              </w:rPr>
            </w:pPr>
            <w:r>
              <w:rPr>
                <w:rFonts w:ascii="Arial" w:cs="Arial" w:eastAsia="Arial" w:hAnsi="Arial"/>
                <w:sz w:val="18"/>
                <w:szCs w:val="18"/>
                <w:b w:val="1"/>
                <w:bCs w:val="1"/>
                <w:color w:val="auto"/>
                <w:w w:val="93"/>
              </w:rPr>
              <w:t>BNP PARIBAS</w:t>
            </w: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40" w:type="dxa"/>
            <w:vAlign w:val="bottom"/>
          </w:tcPr>
          <w:p>
            <w:pPr>
              <w:jc w:val="center"/>
              <w:ind w:right="512"/>
              <w:spacing w:after="0"/>
              <w:rPr>
                <w:sz w:val="20"/>
                <w:szCs w:val="20"/>
                <w:color w:val="auto"/>
              </w:rPr>
            </w:pPr>
            <w:r>
              <w:rPr>
                <w:rFonts w:ascii="Arial" w:cs="Arial" w:eastAsia="Arial" w:hAnsi="Arial"/>
                <w:sz w:val="18"/>
                <w:szCs w:val="18"/>
                <w:b w:val="1"/>
                <w:bCs w:val="1"/>
                <w:color w:val="auto"/>
                <w:w w:val="92"/>
              </w:rPr>
              <w:t>BofA Merrill Lynch</w:t>
            </w:r>
          </w:p>
        </w:tc>
        <w:tc>
          <w:tcPr>
            <w:tcW w:w="0" w:type="dxa"/>
            <w:vAlign w:val="bottom"/>
          </w:tcPr>
          <w:p>
            <w:pPr>
              <w:spacing w:after="0"/>
              <w:rPr>
                <w:sz w:val="1"/>
                <w:szCs w:val="1"/>
                <w:color w:val="auto"/>
              </w:rPr>
            </w:pPr>
          </w:p>
        </w:tc>
      </w:tr>
      <w:tr>
        <w:trPr>
          <w:trHeight w:val="216"/>
        </w:trPr>
        <w:tc>
          <w:tcPr>
            <w:tcW w:w="3760" w:type="dxa"/>
            <w:vAlign w:val="bottom"/>
            <w:gridSpan w:val="2"/>
          </w:tcPr>
          <w:p>
            <w:pPr>
              <w:jc w:val="center"/>
              <w:ind w:right="412"/>
              <w:spacing w:after="0"/>
              <w:rPr>
                <w:sz w:val="20"/>
                <w:szCs w:val="20"/>
                <w:color w:val="auto"/>
              </w:rPr>
            </w:pPr>
            <w:r>
              <w:rPr>
                <w:rFonts w:ascii="Arial" w:cs="Arial" w:eastAsia="Arial" w:hAnsi="Arial"/>
                <w:sz w:val="18"/>
                <w:szCs w:val="18"/>
                <w:b w:val="1"/>
                <w:bCs w:val="1"/>
                <w:color w:val="auto"/>
                <w:w w:val="85"/>
              </w:rPr>
              <w:t>Deutsche Bank Securities</w:t>
            </w:r>
          </w:p>
        </w:tc>
        <w:tc>
          <w:tcPr>
            <w:tcW w:w="440" w:type="dxa"/>
            <w:vAlign w:val="bottom"/>
          </w:tcPr>
          <w:p>
            <w:pPr>
              <w:spacing w:after="0"/>
              <w:rPr>
                <w:sz w:val="18"/>
                <w:szCs w:val="18"/>
                <w:color w:val="auto"/>
              </w:rPr>
            </w:pPr>
          </w:p>
        </w:tc>
        <w:tc>
          <w:tcPr>
            <w:tcW w:w="2300" w:type="dxa"/>
            <w:vAlign w:val="bottom"/>
          </w:tcPr>
          <w:p>
            <w:pPr>
              <w:jc w:val="center"/>
              <w:ind w:left="259"/>
              <w:spacing w:after="0"/>
              <w:rPr>
                <w:sz w:val="20"/>
                <w:szCs w:val="20"/>
                <w:color w:val="auto"/>
              </w:rPr>
            </w:pPr>
            <w:r>
              <w:rPr>
                <w:rFonts w:ascii="Arial" w:cs="Arial" w:eastAsia="Arial" w:hAnsi="Arial"/>
                <w:sz w:val="18"/>
                <w:szCs w:val="18"/>
                <w:b w:val="1"/>
                <w:bCs w:val="1"/>
                <w:color w:val="auto"/>
                <w:w w:val="89"/>
              </w:rPr>
              <w:t>Goldman, Sachs &amp; Co.</w:t>
            </w: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40" w:type="dxa"/>
            <w:vAlign w:val="bottom"/>
          </w:tcPr>
          <w:p>
            <w:pPr>
              <w:jc w:val="center"/>
              <w:ind w:right="532"/>
              <w:spacing w:after="0"/>
              <w:rPr>
                <w:sz w:val="20"/>
                <w:szCs w:val="20"/>
                <w:color w:val="auto"/>
              </w:rPr>
            </w:pPr>
            <w:r>
              <w:rPr>
                <w:rFonts w:ascii="Arial" w:cs="Arial" w:eastAsia="Arial" w:hAnsi="Arial"/>
                <w:sz w:val="18"/>
                <w:szCs w:val="18"/>
                <w:b w:val="1"/>
                <w:bCs w:val="1"/>
                <w:color w:val="auto"/>
              </w:rPr>
              <w:t>MUFG</w:t>
            </w:r>
          </w:p>
        </w:tc>
        <w:tc>
          <w:tcPr>
            <w:tcW w:w="0" w:type="dxa"/>
            <w:vAlign w:val="bottom"/>
          </w:tcPr>
          <w:p>
            <w:pPr>
              <w:spacing w:after="0"/>
              <w:rPr>
                <w:sz w:val="1"/>
                <w:szCs w:val="1"/>
                <w:color w:val="auto"/>
              </w:rPr>
            </w:pPr>
          </w:p>
        </w:tc>
      </w:tr>
      <w:tr>
        <w:trPr>
          <w:trHeight w:val="228"/>
        </w:trPr>
        <w:tc>
          <w:tcPr>
            <w:tcW w:w="3760" w:type="dxa"/>
            <w:vAlign w:val="bottom"/>
            <w:gridSpan w:val="2"/>
          </w:tcPr>
          <w:p>
            <w:pPr>
              <w:jc w:val="center"/>
              <w:ind w:right="412"/>
              <w:spacing w:after="0"/>
              <w:rPr>
                <w:sz w:val="20"/>
                <w:szCs w:val="20"/>
                <w:color w:val="auto"/>
              </w:rPr>
            </w:pPr>
            <w:r>
              <w:rPr>
                <w:rFonts w:ascii="Arial" w:cs="Arial" w:eastAsia="Arial" w:hAnsi="Arial"/>
                <w:sz w:val="18"/>
                <w:szCs w:val="18"/>
                <w:b w:val="1"/>
                <w:bCs w:val="1"/>
                <w:color w:val="auto"/>
                <w:w w:val="93"/>
              </w:rPr>
              <w:t>RBC Capital Markets</w:t>
            </w:r>
          </w:p>
        </w:tc>
        <w:tc>
          <w:tcPr>
            <w:tcW w:w="440" w:type="dxa"/>
            <w:vAlign w:val="bottom"/>
          </w:tcPr>
          <w:p>
            <w:pPr>
              <w:spacing w:after="0"/>
              <w:rPr>
                <w:sz w:val="19"/>
                <w:szCs w:val="19"/>
                <w:color w:val="auto"/>
              </w:rPr>
            </w:pPr>
          </w:p>
        </w:tc>
        <w:tc>
          <w:tcPr>
            <w:tcW w:w="2300" w:type="dxa"/>
            <w:vAlign w:val="bottom"/>
          </w:tcPr>
          <w:p>
            <w:pPr>
              <w:jc w:val="center"/>
              <w:ind w:left="279"/>
              <w:spacing w:after="0"/>
              <w:rPr>
                <w:sz w:val="20"/>
                <w:szCs w:val="20"/>
                <w:color w:val="auto"/>
              </w:rPr>
            </w:pPr>
            <w:r>
              <w:rPr>
                <w:rFonts w:ascii="Arial" w:cs="Arial" w:eastAsia="Arial" w:hAnsi="Arial"/>
                <w:sz w:val="18"/>
                <w:szCs w:val="18"/>
                <w:b w:val="1"/>
                <w:bCs w:val="1"/>
                <w:color w:val="auto"/>
                <w:w w:val="89"/>
              </w:rPr>
              <w:t>RBS</w:t>
            </w: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40" w:type="dxa"/>
            <w:vAlign w:val="bottom"/>
          </w:tcPr>
          <w:p>
            <w:pPr>
              <w:jc w:val="center"/>
              <w:ind w:right="512"/>
              <w:spacing w:after="0"/>
              <w:rPr>
                <w:sz w:val="20"/>
                <w:szCs w:val="20"/>
                <w:color w:val="auto"/>
              </w:rPr>
            </w:pPr>
            <w:r>
              <w:rPr>
                <w:rFonts w:ascii="Arial" w:cs="Arial" w:eastAsia="Arial" w:hAnsi="Arial"/>
                <w:sz w:val="18"/>
                <w:szCs w:val="18"/>
                <w:b w:val="1"/>
                <w:bCs w:val="1"/>
                <w:color w:val="auto"/>
                <w:w w:val="93"/>
              </w:rPr>
              <w:t>SMBC Nikko</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8"/>
              </w:rPr>
              <w:t>UBS Investment Bank</w:t>
            </w:r>
          </w:p>
        </w:tc>
        <w:tc>
          <w:tcPr>
            <w:tcW w:w="4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20" w:type="dxa"/>
            <w:vAlign w:val="bottom"/>
            <w:gridSpan w:val="2"/>
          </w:tcPr>
          <w:p>
            <w:pPr>
              <w:jc w:val="center"/>
              <w:ind w:right="572"/>
              <w:spacing w:after="0"/>
              <w:rPr>
                <w:sz w:val="20"/>
                <w:szCs w:val="20"/>
                <w:color w:val="auto"/>
              </w:rPr>
            </w:pPr>
            <w:r>
              <w:rPr>
                <w:rFonts w:ascii="Arial" w:cs="Arial" w:eastAsia="Arial" w:hAnsi="Arial"/>
                <w:sz w:val="18"/>
                <w:szCs w:val="18"/>
                <w:b w:val="1"/>
                <w:bCs w:val="1"/>
                <w:color w:val="auto"/>
                <w:w w:val="86"/>
              </w:rPr>
              <w:t>Wells Fargo Securities</w:t>
            </w:r>
          </w:p>
        </w:tc>
        <w:tc>
          <w:tcPr>
            <w:tcW w:w="0" w:type="dxa"/>
            <w:vAlign w:val="bottom"/>
          </w:tcPr>
          <w:p>
            <w:pPr>
              <w:spacing w:after="0"/>
              <w:rPr>
                <w:sz w:val="1"/>
                <w:szCs w:val="1"/>
                <w:color w:val="auto"/>
              </w:rPr>
            </w:pPr>
          </w:p>
        </w:tc>
      </w:tr>
      <w:tr>
        <w:trPr>
          <w:trHeight w:val="285"/>
        </w:trPr>
        <w:tc>
          <w:tcPr>
            <w:tcW w:w="126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8"/>
              </w:rPr>
              <w:t>Santander</w:t>
            </w:r>
          </w:p>
        </w:tc>
        <w:tc>
          <w:tcPr>
            <w:tcW w:w="4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gridSpan w:val="2"/>
          </w:tcPr>
          <w:p>
            <w:pPr>
              <w:jc w:val="center"/>
              <w:ind w:right="572"/>
              <w:spacing w:after="0"/>
              <w:rPr>
                <w:sz w:val="20"/>
                <w:szCs w:val="20"/>
                <w:color w:val="auto"/>
              </w:rPr>
            </w:pPr>
            <w:r>
              <w:rPr>
                <w:rFonts w:ascii="Arial" w:cs="Arial" w:eastAsia="Arial" w:hAnsi="Arial"/>
                <w:sz w:val="18"/>
                <w:szCs w:val="18"/>
                <w:b w:val="1"/>
                <w:bCs w:val="1"/>
                <w:color w:val="auto"/>
                <w:w w:val="89"/>
              </w:rPr>
              <w:t>US Bancorp</w:t>
            </w:r>
          </w:p>
        </w:tc>
        <w:tc>
          <w:tcPr>
            <w:tcW w:w="0" w:type="dxa"/>
            <w:vAlign w:val="bottom"/>
          </w:tcPr>
          <w:p>
            <w:pPr>
              <w:spacing w:after="0"/>
              <w:rPr>
                <w:sz w:val="1"/>
                <w:szCs w:val="1"/>
                <w:color w:val="auto"/>
              </w:rPr>
            </w:pPr>
          </w:p>
        </w:tc>
      </w:tr>
      <w:tr>
        <w:trPr>
          <w:trHeight w:val="228"/>
        </w:trPr>
        <w:tc>
          <w:tcPr>
            <w:tcW w:w="3760" w:type="dxa"/>
            <w:vAlign w:val="bottom"/>
            <w:gridSpan w:val="2"/>
          </w:tcPr>
          <w:p>
            <w:pPr>
              <w:ind w:left="600"/>
              <w:spacing w:after="0"/>
              <w:rPr>
                <w:sz w:val="20"/>
                <w:szCs w:val="20"/>
                <w:color w:val="auto"/>
              </w:rPr>
            </w:pPr>
            <w:r>
              <w:rPr>
                <w:rFonts w:ascii="Arial" w:cs="Arial" w:eastAsia="Arial" w:hAnsi="Arial"/>
                <w:sz w:val="18"/>
                <w:szCs w:val="18"/>
                <w:b w:val="1"/>
                <w:bCs w:val="1"/>
                <w:color w:val="auto"/>
              </w:rPr>
              <w:t>DNB Markets</w:t>
            </w:r>
          </w:p>
        </w:tc>
        <w:tc>
          <w:tcPr>
            <w:tcW w:w="440" w:type="dxa"/>
            <w:vAlign w:val="bottom"/>
          </w:tcPr>
          <w:p>
            <w:pPr>
              <w:spacing w:after="0"/>
              <w:rPr>
                <w:sz w:val="19"/>
                <w:szCs w:val="19"/>
                <w:color w:val="auto"/>
              </w:rPr>
            </w:pPr>
          </w:p>
        </w:tc>
        <w:tc>
          <w:tcPr>
            <w:tcW w:w="2300" w:type="dxa"/>
            <w:vAlign w:val="bottom"/>
          </w:tcPr>
          <w:p>
            <w:pPr>
              <w:ind w:left="240"/>
              <w:spacing w:after="0"/>
              <w:rPr>
                <w:sz w:val="20"/>
                <w:szCs w:val="20"/>
                <w:color w:val="auto"/>
              </w:rPr>
            </w:pPr>
            <w:r>
              <w:rPr>
                <w:rFonts w:ascii="Arial" w:cs="Arial" w:eastAsia="Arial" w:hAnsi="Arial"/>
                <w:sz w:val="18"/>
                <w:szCs w:val="18"/>
                <w:b w:val="1"/>
                <w:bCs w:val="1"/>
                <w:color w:val="auto"/>
                <w:w w:val="94"/>
              </w:rPr>
              <w:t>PNC Capital Markets LLC</w:t>
            </w: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40" w:type="dxa"/>
            <w:vAlign w:val="bottom"/>
          </w:tcPr>
          <w:p>
            <w:pPr>
              <w:ind w:left="860"/>
              <w:spacing w:after="0"/>
              <w:rPr>
                <w:sz w:val="20"/>
                <w:szCs w:val="20"/>
                <w:color w:val="auto"/>
              </w:rPr>
            </w:pPr>
            <w:r>
              <w:rPr>
                <w:rFonts w:ascii="Arial" w:cs="Arial" w:eastAsia="Arial" w:hAnsi="Arial"/>
                <w:sz w:val="18"/>
                <w:szCs w:val="18"/>
                <w:b w:val="1"/>
                <w:bCs w:val="1"/>
                <w:color w:val="auto"/>
              </w:rPr>
              <w:t>TD Securities</w:t>
            </w:r>
          </w:p>
        </w:tc>
        <w:tc>
          <w:tcPr>
            <w:tcW w:w="0" w:type="dxa"/>
            <w:vAlign w:val="bottom"/>
          </w:tcPr>
          <w:p>
            <w:pPr>
              <w:spacing w:after="0"/>
              <w:rPr>
                <w:sz w:val="1"/>
                <w:szCs w:val="1"/>
                <w:color w:val="auto"/>
              </w:rPr>
            </w:pPr>
          </w:p>
        </w:tc>
      </w:tr>
      <w:tr>
        <w:trPr>
          <w:trHeight w:val="83"/>
        </w:trPr>
        <w:tc>
          <w:tcPr>
            <w:tcW w:w="1260" w:type="dxa"/>
            <w:vAlign w:val="bottom"/>
          </w:tcPr>
          <w:p>
            <w:pPr>
              <w:spacing w:after="0"/>
              <w:rPr>
                <w:sz w:val="7"/>
                <w:szCs w:val="7"/>
                <w:color w:val="auto"/>
              </w:rPr>
            </w:pPr>
          </w:p>
        </w:tc>
        <w:tc>
          <w:tcPr>
            <w:tcW w:w="2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The Williams Capital Group, L.P.</w:t>
            </w:r>
          </w:p>
        </w:tc>
        <w:tc>
          <w:tcPr>
            <w:tcW w:w="440" w:type="dxa"/>
            <w:vAlign w:val="bottom"/>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20" w:type="dxa"/>
            <w:vAlign w:val="bottom"/>
            <w:gridSpan w:val="2"/>
            <w:vMerge w:val="restart"/>
          </w:tcPr>
          <w:p>
            <w:pPr>
              <w:jc w:val="center"/>
              <w:ind w:right="572"/>
              <w:spacing w:after="0"/>
              <w:rPr>
                <w:sz w:val="20"/>
                <w:szCs w:val="20"/>
                <w:color w:val="auto"/>
              </w:rPr>
            </w:pPr>
            <w:r>
              <w:rPr>
                <w:rFonts w:ascii="Arial" w:cs="Arial" w:eastAsia="Arial" w:hAnsi="Arial"/>
                <w:sz w:val="14"/>
                <w:szCs w:val="14"/>
                <w:b w:val="1"/>
                <w:bCs w:val="1"/>
                <w:color w:val="auto"/>
                <w:w w:val="83"/>
              </w:rPr>
              <w:t>Jefferies</w:t>
            </w:r>
          </w:p>
        </w:tc>
        <w:tc>
          <w:tcPr>
            <w:tcW w:w="0" w:type="dxa"/>
            <w:vAlign w:val="bottom"/>
          </w:tcPr>
          <w:p>
            <w:pPr>
              <w:spacing w:after="0"/>
              <w:rPr>
                <w:sz w:val="1"/>
                <w:szCs w:val="1"/>
                <w:color w:val="auto"/>
              </w:rPr>
            </w:pPr>
          </w:p>
        </w:tc>
      </w:tr>
      <w:tr>
        <w:trPr>
          <w:trHeight w:val="385"/>
        </w:trPr>
        <w:tc>
          <w:tcPr>
            <w:tcW w:w="126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760" w:type="dxa"/>
            <w:vAlign w:val="bottom"/>
            <w:gridSpan w:val="2"/>
          </w:tcPr>
          <w:p>
            <w:pPr>
              <w:jc w:val="center"/>
              <w:ind w:right="432"/>
              <w:spacing w:after="0"/>
              <w:rPr>
                <w:sz w:val="20"/>
                <w:szCs w:val="20"/>
                <w:color w:val="auto"/>
              </w:rPr>
            </w:pPr>
            <w:r>
              <w:rPr>
                <w:rFonts w:ascii="Arial" w:cs="Arial" w:eastAsia="Arial" w:hAnsi="Arial"/>
                <w:sz w:val="14"/>
                <w:szCs w:val="14"/>
                <w:b w:val="1"/>
                <w:bCs w:val="1"/>
                <w:color w:val="auto"/>
                <w:w w:val="90"/>
              </w:rPr>
              <w:t>Drexel Hamilton</w:t>
            </w:r>
          </w:p>
        </w:tc>
        <w:tc>
          <w:tcPr>
            <w:tcW w:w="440" w:type="dxa"/>
            <w:vAlign w:val="bottom"/>
          </w:tcPr>
          <w:p>
            <w:pPr>
              <w:spacing w:after="0"/>
              <w:rPr>
                <w:sz w:val="17"/>
                <w:szCs w:val="17"/>
                <w:color w:val="auto"/>
              </w:rPr>
            </w:pPr>
          </w:p>
        </w:tc>
        <w:tc>
          <w:tcPr>
            <w:tcW w:w="2300" w:type="dxa"/>
            <w:vAlign w:val="bottom"/>
          </w:tcPr>
          <w:p>
            <w:pPr>
              <w:jc w:val="center"/>
              <w:ind w:left="259"/>
              <w:spacing w:after="0"/>
              <w:rPr>
                <w:sz w:val="20"/>
                <w:szCs w:val="20"/>
                <w:color w:val="auto"/>
              </w:rPr>
            </w:pPr>
            <w:r>
              <w:rPr>
                <w:rFonts w:ascii="Arial" w:cs="Arial" w:eastAsia="Arial" w:hAnsi="Arial"/>
                <w:sz w:val="14"/>
                <w:szCs w:val="14"/>
                <w:b w:val="1"/>
                <w:bCs w:val="1"/>
                <w:color w:val="auto"/>
                <w:w w:val="89"/>
              </w:rPr>
              <w:t>Lebenthal Capital Markets</w:t>
            </w: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40" w:type="dxa"/>
            <w:vAlign w:val="bottom"/>
          </w:tcPr>
          <w:p>
            <w:pPr>
              <w:jc w:val="center"/>
              <w:ind w:right="512"/>
              <w:spacing w:after="0"/>
              <w:rPr>
                <w:sz w:val="20"/>
                <w:szCs w:val="20"/>
                <w:color w:val="auto"/>
              </w:rPr>
            </w:pPr>
            <w:r>
              <w:rPr>
                <w:rFonts w:ascii="Arial" w:cs="Arial" w:eastAsia="Arial" w:hAnsi="Arial"/>
                <w:sz w:val="14"/>
                <w:szCs w:val="14"/>
                <w:b w:val="1"/>
                <w:bCs w:val="1"/>
                <w:color w:val="auto"/>
                <w:w w:val="90"/>
              </w:rPr>
              <w:t>Loop Capital Markets</w:t>
            </w:r>
          </w:p>
        </w:tc>
        <w:tc>
          <w:tcPr>
            <w:tcW w:w="0" w:type="dxa"/>
            <w:vAlign w:val="bottom"/>
          </w:tcPr>
          <w:p>
            <w:pPr>
              <w:spacing w:after="0"/>
              <w:rPr>
                <w:sz w:val="1"/>
                <w:szCs w:val="1"/>
                <w:color w:val="auto"/>
              </w:rPr>
            </w:pPr>
          </w:p>
        </w:tc>
      </w:tr>
      <w:tr>
        <w:trPr>
          <w:trHeight w:val="174"/>
        </w:trPr>
        <w:tc>
          <w:tcPr>
            <w:tcW w:w="3760" w:type="dxa"/>
            <w:vAlign w:val="bottom"/>
            <w:gridSpan w:val="2"/>
          </w:tcPr>
          <w:p>
            <w:pPr>
              <w:jc w:val="center"/>
              <w:ind w:right="432"/>
              <w:spacing w:after="0"/>
              <w:rPr>
                <w:sz w:val="20"/>
                <w:szCs w:val="20"/>
                <w:color w:val="auto"/>
              </w:rPr>
            </w:pPr>
            <w:r>
              <w:rPr>
                <w:rFonts w:ascii="Arial" w:cs="Arial" w:eastAsia="Arial" w:hAnsi="Arial"/>
                <w:sz w:val="14"/>
                <w:szCs w:val="14"/>
                <w:b w:val="1"/>
                <w:bCs w:val="1"/>
                <w:color w:val="auto"/>
                <w:w w:val="90"/>
              </w:rPr>
              <w:t>MFR Securities, Inc.</w:t>
            </w:r>
          </w:p>
        </w:tc>
        <w:tc>
          <w:tcPr>
            <w:tcW w:w="440" w:type="dxa"/>
            <w:vAlign w:val="bottom"/>
          </w:tcPr>
          <w:p>
            <w:pPr>
              <w:spacing w:after="0"/>
              <w:rPr>
                <w:sz w:val="15"/>
                <w:szCs w:val="15"/>
                <w:color w:val="auto"/>
              </w:rPr>
            </w:pPr>
          </w:p>
        </w:tc>
        <w:tc>
          <w:tcPr>
            <w:tcW w:w="2300" w:type="dxa"/>
            <w:vAlign w:val="bottom"/>
          </w:tcPr>
          <w:p>
            <w:pPr>
              <w:jc w:val="center"/>
              <w:ind w:left="259"/>
              <w:spacing w:after="0"/>
              <w:rPr>
                <w:sz w:val="20"/>
                <w:szCs w:val="20"/>
                <w:color w:val="auto"/>
              </w:rPr>
            </w:pPr>
            <w:r>
              <w:rPr>
                <w:rFonts w:ascii="Arial" w:cs="Arial" w:eastAsia="Arial" w:hAnsi="Arial"/>
                <w:sz w:val="14"/>
                <w:szCs w:val="14"/>
                <w:b w:val="1"/>
                <w:bCs w:val="1"/>
                <w:color w:val="auto"/>
                <w:w w:val="90"/>
              </w:rPr>
              <w:t>Mischler Financial Group, Inc.</w:t>
            </w: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440" w:type="dxa"/>
            <w:vAlign w:val="bottom"/>
          </w:tcPr>
          <w:p>
            <w:pPr>
              <w:jc w:val="center"/>
              <w:ind w:right="512"/>
              <w:spacing w:after="0"/>
              <w:rPr>
                <w:sz w:val="20"/>
                <w:szCs w:val="20"/>
                <w:color w:val="auto"/>
              </w:rPr>
            </w:pPr>
            <w:r>
              <w:rPr>
                <w:rFonts w:ascii="Arial" w:cs="Arial" w:eastAsia="Arial" w:hAnsi="Arial"/>
                <w:sz w:val="14"/>
                <w:szCs w:val="14"/>
                <w:b w:val="1"/>
                <w:bCs w:val="1"/>
                <w:color w:val="auto"/>
                <w:w w:val="91"/>
              </w:rPr>
              <w:t>Ramirez &amp; Co.,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189230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459" w:right="299" w:bottom="782"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The date of this prospectus supplement is August 5, 2014.</w:t>
      </w:r>
    </w:p>
    <w:p>
      <w:pPr>
        <w:sectPr>
          <w:pgSz w:w="11900" w:h="16838" w:orient="portrait"/>
          <w:cols w:equalWidth="0" w:num="1">
            <w:col w:w="11360"/>
          </w:cols>
          <w:pgMar w:left="240" w:top="459" w:right="299" w:bottom="782"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20" w:type="dxa"/>
            <w:vAlign w:val="bottom"/>
            <w:gridSpan w:val="5"/>
          </w:tcPr>
          <w:p>
            <w:pPr>
              <w:jc w:val="center"/>
              <w:ind w:right="4020"/>
              <w:spacing w:after="0"/>
              <w:rPr>
                <w:sz w:val="20"/>
                <w:szCs w:val="20"/>
                <w:color w:val="auto"/>
              </w:rPr>
            </w:pPr>
            <w:r>
              <w:rPr>
                <w:rFonts w:ascii="Arial" w:cs="Arial" w:eastAsia="Arial" w:hAnsi="Arial"/>
                <w:sz w:val="18"/>
                <w:szCs w:val="18"/>
                <w:b w:val="1"/>
                <w:bCs w:val="1"/>
                <w:color w:val="auto"/>
                <w:w w:val="96"/>
              </w:rPr>
              <w:t>TABLE OF CONTENTS</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20" w:type="dxa"/>
            <w:vAlign w:val="bottom"/>
            <w:gridSpan w:val="5"/>
          </w:tcPr>
          <w:p>
            <w:pPr>
              <w:jc w:val="center"/>
              <w:ind w:right="4020"/>
              <w:spacing w:after="0"/>
              <w:rPr>
                <w:sz w:val="20"/>
                <w:szCs w:val="20"/>
                <w:color w:val="auto"/>
              </w:rPr>
            </w:pPr>
            <w:r>
              <w:rPr>
                <w:rFonts w:ascii="Arial" w:cs="Arial" w:eastAsia="Arial" w:hAnsi="Arial"/>
                <w:sz w:val="18"/>
                <w:szCs w:val="18"/>
                <w:b w:val="1"/>
                <w:bCs w:val="1"/>
                <w:color w:val="auto"/>
                <w:w w:val="85"/>
              </w:rPr>
              <w:t>Prospectus Supplement</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940" w:type="dxa"/>
            <w:vAlign w:val="bottom"/>
            <w:gridSpan w:val="22"/>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Where You Can Find More Information</w:t>
              </w:r>
            </w:hyperlink>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940" w:type="dxa"/>
            <w:vAlign w:val="bottom"/>
            <w:gridSpan w:val="22"/>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420" w:type="dxa"/>
            <w:vAlign w:val="bottom"/>
            <w:tcBorders>
              <w:top w:val="single" w:sz="8" w:color="0000EE"/>
            </w:tcBorders>
          </w:tcPr>
          <w:p>
            <w:pPr>
              <w:spacing w:after="0"/>
              <w:rPr>
                <w:sz w:val="18"/>
                <w:szCs w:val="18"/>
                <w:color w:val="auto"/>
              </w:rPr>
            </w:pPr>
          </w:p>
        </w:tc>
        <w:tc>
          <w:tcPr>
            <w:tcW w:w="8140" w:type="dxa"/>
            <w:vAlign w:val="bottom"/>
            <w:gridSpan w:val="8"/>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Ratios of Earnings to Fixed Charges and of Earnings to Combined Fixed Charges and Preferred</w:t>
              </w:r>
            </w:hyperlink>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65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Dividends</w:t>
              </w:r>
            </w:hyperlink>
          </w:p>
        </w:tc>
        <w:tc>
          <w:tcPr>
            <w:tcW w:w="422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Description of the Notes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Material U.S. Federal Income Tax Consequences for Non-U.S. Holders</w:t>
              </w:r>
            </w:hyperlink>
          </w:p>
        </w:tc>
        <w:tc>
          <w:tcPr>
            <w:tcW w:w="5920" w:type="dxa"/>
            <w:vAlign w:val="bottom"/>
            <w:gridSpan w:val="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19">
              <w:r>
                <w:rPr>
                  <w:rFonts w:ascii="Arial" w:cs="Arial" w:eastAsia="Arial" w:hAnsi="Arial"/>
                  <w:sz w:val="18"/>
                  <w:szCs w:val="18"/>
                  <w:color w:val="0000EE"/>
                  <w:w w:val="93"/>
                </w:rPr>
                <w:t>Underwriting</w:t>
              </w:r>
            </w:hyperlink>
          </w:p>
        </w:tc>
        <w:tc>
          <w:tcPr>
            <w:tcW w:w="9980" w:type="dxa"/>
            <w:vAlign w:val="bottom"/>
            <w:gridSpan w:val="18"/>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S-15</w:t>
            </w: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Legal Matters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S-19</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Experts</w:t>
              </w:r>
            </w:hyperlink>
          </w:p>
        </w:tc>
        <w:tc>
          <w:tcPr>
            <w:tcW w:w="9960" w:type="dxa"/>
            <w:vAlign w:val="bottom"/>
            <w:gridSpan w:val="1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S-19</w:t>
            </w:r>
          </w:p>
        </w:tc>
        <w:tc>
          <w:tcPr>
            <w:tcW w:w="0" w:type="dxa"/>
            <w:vAlign w:val="bottom"/>
          </w:tcPr>
          <w:p>
            <w:pPr>
              <w:spacing w:after="0"/>
              <w:rPr>
                <w:sz w:val="1"/>
                <w:szCs w:val="1"/>
                <w:color w:val="auto"/>
              </w:rPr>
            </w:pPr>
          </w:p>
        </w:tc>
      </w:tr>
      <w:tr>
        <w:trPr>
          <w:trHeight w:val="451"/>
        </w:trPr>
        <w:tc>
          <w:tcPr>
            <w:tcW w:w="2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20" w:type="dxa"/>
            <w:vAlign w:val="bottom"/>
            <w:gridSpan w:val="4"/>
          </w:tcPr>
          <w:p>
            <w:pPr>
              <w:ind w:left="240"/>
              <w:spacing w:after="0"/>
              <w:rPr>
                <w:sz w:val="20"/>
                <w:szCs w:val="20"/>
                <w:color w:val="auto"/>
              </w:rPr>
            </w:pPr>
            <w:r>
              <w:rPr>
                <w:rFonts w:ascii="Arial" w:cs="Arial" w:eastAsia="Arial" w:hAnsi="Arial"/>
                <w:sz w:val="18"/>
                <w:szCs w:val="18"/>
                <w:b w:val="1"/>
                <w:bCs w:val="1"/>
                <w:color w:val="auto"/>
              </w:rPr>
              <w:t>Prospectus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26">
              <w:r>
                <w:rPr>
                  <w:rFonts w:ascii="Arial" w:cs="Arial" w:eastAsia="Arial" w:hAnsi="Arial"/>
                  <w:sz w:val="18"/>
                  <w:szCs w:val="18"/>
                  <w:color w:val="0000EE"/>
                  <w:w w:val="86"/>
                </w:rPr>
                <w:t>The Companies</w:t>
              </w:r>
            </w:hyperlink>
          </w:p>
        </w:tc>
        <w:tc>
          <w:tcPr>
            <w:tcW w:w="980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Caution Concerning Forward-Looking Statements</w:t>
              </w:r>
            </w:hyperlink>
          </w:p>
        </w:tc>
        <w:tc>
          <w:tcPr>
            <w:tcW w:w="740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Use of Proceeds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Dividend Policy</w:t>
              </w:r>
            </w:hyperlink>
          </w:p>
        </w:tc>
        <w:tc>
          <w:tcPr>
            <w:tcW w:w="978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Ratios of Earnings to Fixed Charges and of Earnings to Combined Fixed Charges and Preferred Dividends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Description of Debt Securities and Guarantees</w:t>
              </w:r>
            </w:hyperlink>
          </w:p>
        </w:tc>
        <w:tc>
          <w:tcPr>
            <w:tcW w:w="34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Global Securities</w:t>
              </w:r>
            </w:hyperlink>
          </w:p>
        </w:tc>
        <w:tc>
          <w:tcPr>
            <w:tcW w:w="768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74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Description of Capital Stock</w:t>
              </w:r>
            </w:hyperlink>
          </w:p>
        </w:tc>
        <w:tc>
          <w:tcPr>
            <w:tcW w:w="892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Plan of Distribution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Legal Matters</w:t>
              </w:r>
            </w:hyperlink>
          </w:p>
        </w:tc>
        <w:tc>
          <w:tcPr>
            <w:tcW w:w="954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Experts</w:t>
              </w:r>
            </w:hyperlink>
          </w:p>
        </w:tc>
        <w:tc>
          <w:tcPr>
            <w:tcW w:w="9960" w:type="dxa"/>
            <w:vAlign w:val="bottom"/>
            <w:gridSpan w:val="1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74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Available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gridSpan w:val="10"/>
            <w:shd w:val="clear" w:color="auto" w:fill="0000EE"/>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74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Incorporation of Certain Documents by Reference</w:t>
              </w:r>
            </w:hyperlink>
          </w:p>
        </w:tc>
        <w:tc>
          <w:tcPr>
            <w:tcW w:w="740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not, and the underwriters have not, authorized anyone to provide any information other than that contained or incorporated by reference in this prospectus supplement and the accompanying prospectus or the free writing prospectus prepared by or on behalf of us or to which we have referred you. We and the underwriters take no responsibility for, and can provide no assurance as to the reliability of, any other information that others may give you.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supplement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Comcast’s Annual Report on Form 10-K for the year ended December 31, 2013, filed on February 12, 2014.</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Comcast’s Quarterly Reports on Form 10-Q for the quarters ended March 31, 2014 and June 30, 2014.</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Comcast’s Current Reports on Form 8-K filed on February 13, 2014, February 14, 2014, February 25, 2014, April 28, 2014, May 22, 2014 and July 1, 2014.</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section of Comcast’s Definitive Proxy Statement on Schedule 14A for the 2014 annual meeting of shareholders incorporated by reference in Comcast’s Annual Report on Form 10-K for the year ended December 31, 2013.</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also incorporate by reference into this prospectus supplement and the accompanying prospectus additional documents that we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36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61360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200" w:right="140" w:firstLine="443"/>
        <w:spacing w:after="0" w:line="294" w:lineRule="auto"/>
        <w:rPr>
          <w:sz w:val="20"/>
          <w:szCs w:val="20"/>
          <w:color w:val="auto"/>
        </w:rPr>
      </w:pPr>
      <w:r>
        <w:rPr>
          <w:rFonts w:ascii="Arial" w:cs="Arial" w:eastAsia="Arial" w:hAnsi="Arial"/>
          <w:sz w:val="16"/>
          <w:szCs w:val="16"/>
          <w:color w:val="auto"/>
        </w:rPr>
        <w:t>We are a global media and technology company with two primary businesses, Comcast Cable and NBCUniversal Media, LLC (“NBCUniversal”). Comcast was incorporated under the laws of Pennsylvania in 2001, and through its predecessors, has developed, managed and operated cable systems since 1963. In 2011, we closed the NBCUniversal transaction in which we acquired control of the businesses of NBCUniversal, and in 2013, we acquired GE’s remaining 49% common equity interest in NBCUniversal. We present our operations for Comcast Cable in one reportable business segment, referred to as Cable Communications, and our operations for NBCUniversal in four reportable business segments.</w:t>
      </w:r>
    </w:p>
    <w:p>
      <w:pPr>
        <w:spacing w:after="0" w:line="29" w:lineRule="exact"/>
        <w:rPr>
          <w:sz w:val="20"/>
          <w:szCs w:val="20"/>
          <w:color w:val="auto"/>
        </w:rPr>
      </w:pPr>
    </w:p>
    <w:p>
      <w:pPr>
        <w:ind w:left="1060" w:right="180" w:hanging="323"/>
        <w:spacing w:after="0" w:line="334"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Cable Communications</w:t>
      </w:r>
      <w:r>
        <w:rPr>
          <w:rFonts w:ascii="Arial" w:cs="Arial" w:eastAsia="Arial" w:hAnsi="Arial"/>
          <w:sz w:val="16"/>
          <w:szCs w:val="16"/>
          <w:color w:val="auto"/>
        </w:rPr>
        <w:t>: Consists of the operations of Comcast Cable, which is the nation’s largest provider of video, high-speed Internet and</w:t>
      </w:r>
      <w:r>
        <w:rPr>
          <w:rFonts w:ascii="Arial" w:cs="Arial" w:eastAsia="Arial" w:hAnsi="Arial"/>
          <w:sz w:val="16"/>
          <w:szCs w:val="16"/>
          <w:b w:val="1"/>
          <w:bCs w:val="1"/>
          <w:color w:val="auto"/>
        </w:rPr>
        <w:t xml:space="preserve"> </w:t>
      </w:r>
      <w:r>
        <w:rPr>
          <w:rFonts w:ascii="Arial" w:cs="Arial" w:eastAsia="Arial" w:hAnsi="Arial"/>
          <w:sz w:val="16"/>
          <w:szCs w:val="16"/>
          <w:color w:val="auto"/>
        </w:rPr>
        <w:t>voice services to residential customers under the XFINITY brand, and we also provide similar services to businesses and sell advertising.</w:t>
      </w:r>
    </w:p>
    <w:p>
      <w:pPr>
        <w:spacing w:after="0" w:line="1" w:lineRule="exact"/>
        <w:rPr>
          <w:rFonts w:ascii="Arial" w:cs="Arial" w:eastAsia="Arial" w:hAnsi="Arial"/>
          <w:sz w:val="16"/>
          <w:szCs w:val="16"/>
          <w:color w:val="auto"/>
        </w:rPr>
      </w:pPr>
    </w:p>
    <w:p>
      <w:pPr>
        <w:ind w:left="1060" w:right="240" w:hanging="323"/>
        <w:spacing w:after="0" w:line="27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networks, our regional sports and news networks, our international cable networks,</w:t>
      </w:r>
      <w:r>
        <w:rPr>
          <w:rFonts w:ascii="Arial" w:cs="Arial" w:eastAsia="Arial" w:hAnsi="Arial"/>
          <w:sz w:val="18"/>
          <w:szCs w:val="18"/>
          <w:b w:val="1"/>
          <w:bCs w:val="1"/>
          <w:color w:val="auto"/>
        </w:rPr>
        <w:t xml:space="preserve"> </w:t>
      </w:r>
      <w:r>
        <w:rPr>
          <w:rFonts w:ascii="Arial" w:cs="Arial" w:eastAsia="Arial" w:hAnsi="Arial"/>
          <w:sz w:val="18"/>
          <w:szCs w:val="18"/>
          <w:color w:val="auto"/>
        </w:rPr>
        <w:t>and our cable television production operations.</w:t>
      </w:r>
    </w:p>
    <w:p>
      <w:pPr>
        <w:spacing w:after="0" w:line="38" w:lineRule="exact"/>
        <w:rPr>
          <w:rFonts w:ascii="Arial" w:cs="Arial" w:eastAsia="Arial" w:hAnsi="Arial"/>
          <w:sz w:val="18"/>
          <w:szCs w:val="18"/>
          <w:color w:val="auto"/>
        </w:rPr>
      </w:pPr>
    </w:p>
    <w:p>
      <w:pPr>
        <w:ind w:left="1060" w:right="420" w:hanging="323"/>
        <w:spacing w:after="0" w:line="27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NBC and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and our broadcast television production operations.</w:t>
      </w:r>
    </w:p>
    <w:p>
      <w:pPr>
        <w:spacing w:after="0" w:line="38" w:lineRule="exact"/>
        <w:rPr>
          <w:rFonts w:ascii="Arial" w:cs="Arial" w:eastAsia="Arial" w:hAnsi="Arial"/>
          <w:sz w:val="18"/>
          <w:szCs w:val="18"/>
          <w:color w:val="auto"/>
        </w:rPr>
      </w:pPr>
    </w:p>
    <w:p>
      <w:pPr>
        <w:ind w:left="1060" w:right="340" w:hanging="323"/>
        <w:spacing w:after="0" w:line="27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studio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worldwide.</w:t>
      </w:r>
    </w:p>
    <w:p>
      <w:pPr>
        <w:spacing w:after="0" w:line="38"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and Hollywood.</w:t>
      </w:r>
    </w:p>
    <w:p>
      <w:pPr>
        <w:spacing w:after="0" w:line="177" w:lineRule="exact"/>
        <w:rPr>
          <w:sz w:val="20"/>
          <w:szCs w:val="20"/>
          <w:color w:val="auto"/>
        </w:rPr>
      </w:pPr>
    </w:p>
    <w:p>
      <w:pPr>
        <w:ind w:left="200" w:right="640" w:firstLine="443"/>
        <w:spacing w:after="0" w:line="268" w:lineRule="auto"/>
        <w:rPr>
          <w:sz w:val="20"/>
          <w:szCs w:val="20"/>
          <w:color w:val="auto"/>
        </w:rPr>
      </w:pPr>
      <w:r>
        <w:rPr>
          <w:rFonts w:ascii="Arial" w:cs="Arial" w:eastAsia="Arial" w:hAnsi="Arial"/>
          <w:sz w:val="18"/>
          <w:szCs w:val="18"/>
          <w:color w:val="auto"/>
        </w:rPr>
        <w:t>The Cable Networks, Broadcast Television, Filmed Entertainment and Theme Parks segments comprise the NBCUniversal businesses and are collectively referred to as the “NBCUniversal segments.”</w:t>
      </w:r>
    </w:p>
    <w:p>
      <w:pPr>
        <w:spacing w:after="0" w:line="132" w:lineRule="exact"/>
        <w:rPr>
          <w:sz w:val="20"/>
          <w:szCs w:val="20"/>
          <w:color w:val="auto"/>
        </w:rPr>
      </w:pPr>
    </w:p>
    <w:p>
      <w:pPr>
        <w:ind w:left="200" w:right="700" w:firstLine="443"/>
        <w:spacing w:after="0" w:line="268" w:lineRule="auto"/>
        <w:rPr>
          <w:sz w:val="20"/>
          <w:szCs w:val="20"/>
          <w:color w:val="auto"/>
        </w:rPr>
      </w:pPr>
      <w:r>
        <w:rPr>
          <w:rFonts w:ascii="Arial" w:cs="Arial" w:eastAsia="Arial" w:hAnsi="Arial"/>
          <w:sz w:val="18"/>
          <w:szCs w:val="18"/>
          <w:color w:val="auto"/>
        </w:rPr>
        <w:t>During the six months ended June 30, 2014, our Cable Communications segment generated 64% of our consolidated revenue and 79% of our operating income before depreciation and amortization.</w:t>
      </w:r>
    </w:p>
    <w:p>
      <w:pPr>
        <w:spacing w:after="0" w:line="132" w:lineRule="exact"/>
        <w:rPr>
          <w:sz w:val="20"/>
          <w:szCs w:val="20"/>
          <w:color w:val="auto"/>
        </w:rPr>
      </w:pPr>
    </w:p>
    <w:p>
      <w:pPr>
        <w:ind w:left="200" w:right="860" w:firstLine="443"/>
        <w:spacing w:after="0" w:line="268"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132" w:lineRule="exact"/>
        <w:rPr>
          <w:sz w:val="20"/>
          <w:szCs w:val="20"/>
          <w:color w:val="auto"/>
        </w:rPr>
      </w:pPr>
    </w:p>
    <w:p>
      <w:pPr>
        <w:ind w:left="200" w:right="260" w:firstLine="443"/>
        <w:spacing w:after="0" w:line="306"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Securities and Exchange Commission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Comcast’s principal executive offices are located at One Comcast Center, Philadelphia, Pennsylvania 19103-2838. Comcast’s telephone number is</w:t>
      </w:r>
    </w:p>
    <w:p>
      <w:pPr>
        <w:spacing w:after="0" w:line="38" w:lineRule="exact"/>
        <w:rPr>
          <w:sz w:val="20"/>
          <w:szCs w:val="20"/>
          <w:color w:val="auto"/>
        </w:rPr>
      </w:pPr>
    </w:p>
    <w:p>
      <w:pPr>
        <w:ind w:left="200" w:hanging="3"/>
        <w:spacing w:after="0" w:line="255"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286-1700. NBCUniversal’s principal executive offices are located at 30 Rockefeller Plaza, New York, NY 10112-0015. NBCUniversal’s phone number is (212) 664-4444. The address of our website is www.comcastcorporation.com. The information on our website is not part of this prospectus supplement or the accompanying prospectus.</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left="200" w:right="80" w:firstLine="443"/>
        <w:spacing w:after="0" w:line="306" w:lineRule="auto"/>
        <w:rPr>
          <w:sz w:val="20"/>
          <w:szCs w:val="20"/>
          <w:color w:val="auto"/>
        </w:rPr>
      </w:pPr>
      <w:r>
        <w:rPr>
          <w:rFonts w:ascii="Arial" w:cs="Arial" w:eastAsia="Arial" w:hAnsi="Arial"/>
          <w:sz w:val="16"/>
          <w:szCs w:val="16"/>
          <w:color w:val="auto"/>
        </w:rPr>
        <w:t>Our obligations, including the payment of principal, premium, if any, and interest on the notes will be fully and unconditionally guaranteed by each of Comcast Cable Communications, LLC, Comcast Cable Holdings, LLC, Comcast MO Group, Inc., Comcast MO of Delaware, LLC and NBCUniversal Media, LLC. In this prospectus supplement, we refer to these guarantors as the guarantors and to these guarantees as the guarantees.</w:t>
      </w:r>
    </w:p>
    <w:p>
      <w:pPr>
        <w:spacing w:after="0" w:line="2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352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5352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060" w:right="260" w:hanging="323"/>
        <w:spacing w:after="0" w:line="268"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Each guarantor’s, other than NBCUniversal Media, LLC, principal place of business is One Comcast Center, Philadelphia, Pennsylvania 19103-2838.</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NBCUniversal’s principal executive offices are located at 30 Rockefeller Plaza, New York, NY 10112-0015.</w:t>
      </w:r>
    </w:p>
    <w:p>
      <w:pPr>
        <w:spacing w:after="0" w:line="24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Recent Developments</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Time Warner Cable Merger</w:t>
      </w:r>
    </w:p>
    <w:p>
      <w:pPr>
        <w:spacing w:after="0" w:line="96"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color w:val="auto"/>
        </w:rPr>
        <w:t>On February 12, 2014, Comcast entered into an agreement and plan of merger (the “merger agreement”) with Time Warner Cable. As a result of the merger agreement, Comcast will acquire 100% of Time Warner Cable’s outstanding shares of common stock in exchange for shares of Comcast’s Class A common stock (the “Time Warner Cable merger”). Time Warner Cable stockholders will receive, in exchange for each share of Time Warner Cable common stock owned immediately prior to the Time Warner Cable merger, 2.875 shares of Comcast’s Class A common stock. Time Warner Cable stockholders will then own approximately 23% of Comcast’s common stock, an estimate based on the number of shares outstanding as of the date of the merger agreement. Because the exchange ratio was fixed at the time of the merger agreement and the market value of Comcast’s Class A common stock will continue to fluctuate, the number of shares of Class A common stock to be issued and the total value of the consideration exchanged will not be determinable until the closing date. Following the close of the Time Warner Cable merger, Time Warner Cable will be a wholly owned subsidiary of Comcast. The Time Warner Cable merger remains subject to shareholder approval at both companies, regulatory review and other customary conditions. It is reasonably possible that the Time Warner Cable merger will close by the end of 2014.</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Divestiture Transactions</w:t>
      </w:r>
    </w:p>
    <w:p>
      <w:pPr>
        <w:spacing w:after="0" w:line="96" w:lineRule="exact"/>
        <w:rPr>
          <w:sz w:val="20"/>
          <w:szCs w:val="20"/>
          <w:color w:val="auto"/>
        </w:rPr>
      </w:pPr>
    </w:p>
    <w:p>
      <w:pPr>
        <w:ind w:left="200" w:right="20" w:firstLine="443"/>
        <w:spacing w:after="0" w:line="289" w:lineRule="auto"/>
        <w:rPr>
          <w:sz w:val="20"/>
          <w:szCs w:val="20"/>
          <w:color w:val="auto"/>
        </w:rPr>
      </w:pPr>
      <w:r>
        <w:rPr>
          <w:rFonts w:ascii="Arial" w:cs="Arial" w:eastAsia="Arial" w:hAnsi="Arial"/>
          <w:sz w:val="16"/>
          <w:szCs w:val="16"/>
          <w:color w:val="auto"/>
        </w:rPr>
        <w:t>The terms of the merger agreement contemplate that Comcast is prepared to divest systems serving up to approximately 3 million video customers of the combined company to reduce competitive concerns. As a result of this commitment, on April 25, 2014, Comcast entered into a transactions agreement with Charter Communications, Inc. (“Charter”) that, if consummated, would satisfy the divestiture undertaking. Under the transactions agreement, following the close of the Time Warner Cable merger and subject to various conditions, Comcast would divest cable systems resulting in a net disposition of approximately 3.9 million video customers through three transactions: (1) a spin-off of cable systems serving approximately 2.5 million of Comcast’s video customers (the “spin-off transaction”) into a newly formed public entity (“SpinCo”), (2) an exchange of cable systems serving approximately 1.5 million Time Warner Cable video customers for cable systems serving approximately 1.7 million Charter video customers, and (3) a sale to Charter of cable systems serving approximately 1.5 million Time Warner Cable video customers for cash (collectively, the “divestiture transactions”).</w:t>
      </w:r>
    </w:p>
    <w:p>
      <w:pPr>
        <w:spacing w:after="0" w:line="118" w:lineRule="exact"/>
        <w:rPr>
          <w:sz w:val="20"/>
          <w:szCs w:val="20"/>
          <w:color w:val="auto"/>
        </w:rPr>
      </w:pPr>
    </w:p>
    <w:p>
      <w:pPr>
        <w:ind w:left="200" w:right="60" w:firstLine="443"/>
        <w:spacing w:after="0" w:line="291" w:lineRule="auto"/>
        <w:rPr>
          <w:sz w:val="20"/>
          <w:szCs w:val="20"/>
          <w:color w:val="auto"/>
        </w:rPr>
      </w:pPr>
      <w:r>
        <w:rPr>
          <w:rFonts w:ascii="Arial" w:cs="Arial" w:eastAsia="Arial" w:hAnsi="Arial"/>
          <w:sz w:val="16"/>
          <w:szCs w:val="16"/>
          <w:color w:val="auto"/>
        </w:rPr>
        <w:t>In connection with the spin-off transaction and prior to the spin-off, it is expected that SpinCo will incur new debt to fund a distribution to Comcast in the form of cash and notes, which will enable Comcast to retire a portion of its debt. In the spin-off transaction, Comcast will distribute common stock of SpinCo pro rata to the holders of all of its outstanding common stock, including the former Time Warner Cable stockholders who continue to hold shares through the record date of the spin-off transaction. After the spin-off transaction, a newly formed, wholly owned indirect subsidiary of Charter will merge with and into Charter with the effect that all shares of Charter will be converted into shares of a new holding company, which will survive as the publicly traded parent company of Charter (“New Charter”). New Charter will then acquire an interest in SpinCo by</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539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15392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320"/>
        <w:spacing w:after="0" w:line="332" w:lineRule="auto"/>
        <w:rPr>
          <w:sz w:val="20"/>
          <w:szCs w:val="20"/>
          <w:color w:val="auto"/>
        </w:rPr>
      </w:pPr>
      <w:r>
        <w:rPr>
          <w:rFonts w:ascii="Arial" w:cs="Arial" w:eastAsia="Arial" w:hAnsi="Arial"/>
          <w:sz w:val="16"/>
          <w:szCs w:val="16"/>
          <w:color w:val="auto"/>
        </w:rPr>
        <w:t>issuing New Charter stock in exchange for a portion of the outstanding SpinCo stock, following which Comcast shareholders, including the former Time Warner Cable stockholders, are expected to own approximately 67% of SpinCo and New Charter is expected to own approximately 33% of SpinCo.</w:t>
      </w:r>
    </w:p>
    <w:p>
      <w:pPr>
        <w:spacing w:after="0" w:line="85"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The close of the divestiture transactions is subject to the completion of the Time Warner Cable merger, Charter stockholder approval, completion of the SpinCo financing transactions, regulatory approvals and other customary conditions. The Time Warner Cable merger and the divestiture transactions are subject to separate conditions, and the Time Warner Cable merger can be completed regardless of whether the divestiture transactions are ultimately completed.</w:t>
      </w:r>
    </w:p>
    <w:p>
      <w:pPr>
        <w:spacing w:after="0" w:line="143"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According to its publicly available information, as of June 30, 2014, Time Warner Cable had $24.580 billion aggregate outstanding debt and its ratio of earnings to fixed charges for the year ended December 31, 2013 was 2.8x.</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060" w:type="dxa"/>
            <w:vAlign w:val="bottom"/>
            <w:tcBorders>
              <w:top w:val="single" w:sz="8" w:color="auto"/>
              <w:left w:val="single" w:sz="8" w:color="auto"/>
            </w:tcBorders>
          </w:tcPr>
          <w:p>
            <w:pPr>
              <w:spacing w:after="0"/>
              <w:rPr>
                <w:sz w:val="24"/>
                <w:szCs w:val="24"/>
                <w:color w:val="auto"/>
              </w:rPr>
            </w:pPr>
          </w:p>
        </w:tc>
        <w:tc>
          <w:tcPr>
            <w:tcW w:w="8400" w:type="dxa"/>
            <w:vAlign w:val="bottom"/>
            <w:tcBorders>
              <w:top w:val="single" w:sz="8" w:color="auto"/>
              <w:right w:val="single" w:sz="8" w:color="auto"/>
            </w:tcBorders>
          </w:tcPr>
          <w:p>
            <w:pPr>
              <w:ind w:left="2180"/>
              <w:spacing w:after="0"/>
              <w:rPr>
                <w:sz w:val="20"/>
                <w:szCs w:val="20"/>
                <w:color w:val="auto"/>
              </w:rPr>
            </w:pPr>
            <w:r>
              <w:rPr>
                <w:rFonts w:ascii="Arial" w:cs="Arial" w:eastAsia="Arial" w:hAnsi="Arial"/>
                <w:sz w:val="18"/>
                <w:szCs w:val="18"/>
                <w:b w:val="1"/>
                <w:bCs w:val="1"/>
                <w:color w:val="auto"/>
              </w:rPr>
              <w:t>The Offering</w:t>
            </w:r>
          </w:p>
        </w:tc>
      </w:tr>
      <w:tr>
        <w:trPr>
          <w:trHeight w:val="419"/>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Issuer</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Comcast Corporation.</w:t>
            </w:r>
          </w:p>
        </w:tc>
      </w:tr>
      <w:tr>
        <w:trPr>
          <w:trHeight w:val="43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Securities Offered</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$1,000,000,000 aggregate principal amount of 3.375% Notes due 2025.</w:t>
            </w:r>
          </w:p>
        </w:tc>
      </w:tr>
      <w:tr>
        <w:trPr>
          <w:trHeight w:val="432"/>
        </w:trPr>
        <w:tc>
          <w:tcPr>
            <w:tcW w:w="306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$1,000,000,000 aggregate principal amount of 4.200% Notes due 2034.</w:t>
            </w:r>
          </w:p>
        </w:tc>
      </w:tr>
      <w:tr>
        <w:trPr>
          <w:trHeight w:val="419"/>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Maturity</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The Notes due 2025 will mature on February 15, 2025.</w:t>
            </w:r>
          </w:p>
        </w:tc>
      </w:tr>
      <w:tr>
        <w:trPr>
          <w:trHeight w:val="432"/>
        </w:trPr>
        <w:tc>
          <w:tcPr>
            <w:tcW w:w="306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The Notes due 2034 will mature on August 15, 2034.</w:t>
            </w:r>
          </w:p>
        </w:tc>
      </w:tr>
      <w:tr>
        <w:trPr>
          <w:trHeight w:val="41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Interest</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1"/>
              </w:rPr>
              <w:t>Interest on the Notes due 2025 will accrue at the rate of 3.375% per year, payable semi-annually</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3"/>
              </w:rPr>
              <w:t>in cash in arrears on February 15 and August 15, beginning February 15, 2015. Interest on the</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6"/>
              </w:rPr>
              <w:t>Notes due 2034 will accrue at the rate of 4.200% per year, payable semi-annually in cash in</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arrears on February 15 and August 15, beginning February 15, 2015.</w:t>
            </w:r>
          </w:p>
        </w:tc>
      </w:tr>
      <w:tr>
        <w:trPr>
          <w:trHeight w:val="41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Ranking</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2"/>
              </w:rPr>
              <w:t>The notes will be unsecured and will rank equally with all of our unsecured and unsubordinated</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indebtedness.</w:t>
            </w:r>
          </w:p>
        </w:tc>
      </w:tr>
      <w:tr>
        <w:trPr>
          <w:trHeight w:val="41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Guarantors</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5"/>
              </w:rPr>
              <w:t>Comcast Cable Communications, LLC, Comcast Cable Holdings, LLC, Comcast MO Group,</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Inc., Comcast MO of Delaware, LLC and NBCUniversal Media, LLC.</w:t>
            </w:r>
          </w:p>
        </w:tc>
      </w:tr>
      <w:tr>
        <w:trPr>
          <w:trHeight w:val="41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Guarantees</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7"/>
              </w:rPr>
              <w:t>The guarantors will fully and unconditionally guarantee the notes, including the payment of</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4"/>
              </w:rPr>
              <w:t>principal, premium, if any, and interest. The guarantees will rank equally with all other general</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unsecured and unsubordinated obligations of the guarantors.</w:t>
            </w:r>
          </w:p>
        </w:tc>
      </w:tr>
      <w:tr>
        <w:trPr>
          <w:trHeight w:val="41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7"/>
              </w:rPr>
              <w:t>We may, at our option, redeem either series of notes, in whole or in part, at any time at the</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1"/>
              </w:rPr>
              <w:t>applicable Redemption Price determined as set forth under the heading “Description of the Notes</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—Optional Redemption.”</w:t>
            </w:r>
          </w:p>
        </w:tc>
      </w:tr>
      <w:tr>
        <w:trPr>
          <w:trHeight w:val="41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3"/>
              </w:rPr>
              <w:t>We intend to use the net proceeds from the offering, after deducting underwriters’ discount and</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2"/>
              </w:rPr>
              <w:t>expenses, for working capital and general corporate purposes, which may include repayment in</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7"/>
              </w:rPr>
              <w:t>January 2015 of our 6.5% notes due 2015 ($900 million principal amount outstanding) and</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repayment in April 2015 of our 3.65% notes due 2015 ($1.0 billion principal amount</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outstanding). See “Use of Proceeds” in this prospectus supplement.</w:t>
            </w:r>
          </w:p>
        </w:tc>
      </w:tr>
      <w:tr>
        <w:trPr>
          <w:trHeight w:val="41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Book Entry</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4"/>
              </w:rPr>
              <w:t>The notes will be issued in book-entry form and will be represented by global notes deposited</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with, or on behalf of, DTC and registered in the name of DTC or its nominees. Beneficial</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1"/>
              </w:rPr>
              <w:t>interests in any of the notes will be shown on, and transfers will be effected only through, records</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4"/>
              </w:rPr>
              <w:t>maintained by DTC or its nominee or indirectly through organizations that have accounts with</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1"/>
              </w:rPr>
              <w:t>DTC, including Euroclear and Clearstream, and these beneficial interests may not be exchanged</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5"/>
              </w:rPr>
              <w:t>for certificated notes, except in limited circumstances. See “Description of the Notes—Book-</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Entry System” in this prospectus supplement.</w:t>
            </w:r>
          </w:p>
        </w:tc>
      </w:tr>
      <w:tr>
        <w:trPr>
          <w:trHeight w:val="161"/>
        </w:trPr>
        <w:tc>
          <w:tcPr>
            <w:tcW w:w="3060" w:type="dxa"/>
            <w:vAlign w:val="bottom"/>
            <w:tcBorders>
              <w:left w:val="single" w:sz="8" w:color="auto"/>
              <w:bottom w:val="single" w:sz="8" w:color="auto"/>
            </w:tcBorders>
          </w:tcPr>
          <w:p>
            <w:pPr>
              <w:spacing w:after="0"/>
              <w:rPr>
                <w:sz w:val="13"/>
                <w:szCs w:val="13"/>
                <w:color w:val="auto"/>
              </w:rPr>
            </w:pPr>
          </w:p>
        </w:tc>
        <w:tc>
          <w:tcPr>
            <w:tcW w:w="8400" w:type="dxa"/>
            <w:vAlign w:val="bottom"/>
            <w:tcBorders>
              <w:bottom w:val="single" w:sz="8" w:color="auto"/>
              <w:right w:val="single" w:sz="8" w:color="auto"/>
            </w:tcBorders>
          </w:tcPr>
          <w:p>
            <w:pPr>
              <w:spacing w:after="0"/>
              <w:rPr>
                <w:sz w:val="13"/>
                <w:szCs w:val="13"/>
                <w:color w:val="auto"/>
              </w:rPr>
            </w:pPr>
          </w:p>
        </w:tc>
      </w:tr>
      <w:tr>
        <w:trPr>
          <w:trHeight w:val="359"/>
        </w:trPr>
        <w:tc>
          <w:tcPr>
            <w:tcW w:w="3060" w:type="dxa"/>
            <w:vAlign w:val="bottom"/>
          </w:tcPr>
          <w:p>
            <w:pPr>
              <w:spacing w:after="0"/>
              <w:rPr>
                <w:sz w:val="24"/>
                <w:szCs w:val="24"/>
                <w:color w:val="auto"/>
              </w:rPr>
            </w:pPr>
          </w:p>
        </w:tc>
        <w:tc>
          <w:tcPr>
            <w:tcW w:w="8400" w:type="dxa"/>
            <w:vAlign w:val="bottom"/>
          </w:tcPr>
          <w:p>
            <w:pPr>
              <w:ind w:left="254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60"/>
          </w:cols>
          <w:pgMar w:left="240" w:top="459" w:right="1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intend to use the net proceeds from the offering, after deducting underwriters’ discount and expenses, for working capital and general corporate purposes, which may include repayment in January 2015 of our 6.5% notes due 2015 ($900 million principal amount outstanding) and repayment in April 2015 of our 3.65% notes due 2015 ($1.0 billion principal amount outstanding).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FIXED CHARGES AND PREFERRED DIVIDENDS</w:t>
      </w:r>
    </w:p>
    <w:p>
      <w:pPr>
        <w:spacing w:after="0" w:line="16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For the Six Months</w:t>
            </w:r>
          </w:p>
        </w:tc>
        <w:tc>
          <w:tcPr>
            <w:tcW w:w="1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5"/>
        </w:trPr>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Ended June 30,</w:t>
            </w:r>
          </w:p>
        </w:tc>
        <w:tc>
          <w:tcPr>
            <w:tcW w:w="17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80" w:type="dxa"/>
            <w:vAlign w:val="bottom"/>
          </w:tcPr>
          <w:p>
            <w:pPr>
              <w:ind w:left="280"/>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56"/>
        </w:trPr>
        <w:tc>
          <w:tcPr>
            <w:tcW w:w="2420" w:type="dxa"/>
            <w:vAlign w:val="bottom"/>
            <w:tcBorders>
              <w:top w:val="single" w:sz="8" w:color="auto"/>
              <w:bottom w:val="single" w:sz="8" w:color="auto"/>
            </w:tcBorders>
          </w:tcPr>
          <w:p>
            <w:pPr>
              <w:jc w:val="right"/>
              <w:ind w:right="1004"/>
              <w:spacing w:after="0" w:line="156"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3"/>
                <w:szCs w:val="13"/>
                <w:color w:val="auto"/>
              </w:rPr>
            </w:pPr>
          </w:p>
        </w:tc>
        <w:tc>
          <w:tcPr>
            <w:tcW w:w="1760" w:type="dxa"/>
            <w:vAlign w:val="bottom"/>
            <w:tcBorders>
              <w:top w:val="single" w:sz="8" w:color="auto"/>
              <w:bottom w:val="single" w:sz="8" w:color="auto"/>
            </w:tcBorders>
          </w:tcPr>
          <w:p>
            <w:pPr>
              <w:jc w:val="right"/>
              <w:ind w:right="702"/>
              <w:spacing w:after="0" w:line="156" w:lineRule="exact"/>
              <w:rPr>
                <w:sz w:val="20"/>
                <w:szCs w:val="20"/>
                <w:color w:val="auto"/>
              </w:rPr>
            </w:pPr>
            <w:r>
              <w:rPr>
                <w:rFonts w:ascii="Arial" w:cs="Arial" w:eastAsia="Arial" w:hAnsi="Arial"/>
                <w:sz w:val="14"/>
                <w:szCs w:val="14"/>
                <w:b w:val="1"/>
                <w:bCs w:val="1"/>
                <w:color w:val="auto"/>
              </w:rPr>
              <w:t>2013</w:t>
            </w:r>
          </w:p>
        </w:tc>
        <w:tc>
          <w:tcPr>
            <w:tcW w:w="1400" w:type="dxa"/>
            <w:vAlign w:val="bottom"/>
            <w:tcBorders>
              <w:top w:val="single" w:sz="8" w:color="auto"/>
              <w:bottom w:val="single" w:sz="8" w:color="auto"/>
            </w:tcBorders>
          </w:tcPr>
          <w:p>
            <w:pPr>
              <w:jc w:val="right"/>
              <w:ind w:right="262"/>
              <w:spacing w:after="0" w:line="156" w:lineRule="exact"/>
              <w:rPr>
                <w:sz w:val="20"/>
                <w:szCs w:val="20"/>
                <w:color w:val="auto"/>
              </w:rPr>
            </w:pPr>
            <w:r>
              <w:rPr>
                <w:rFonts w:ascii="Arial" w:cs="Arial" w:eastAsia="Arial" w:hAnsi="Arial"/>
                <w:sz w:val="14"/>
                <w:szCs w:val="14"/>
                <w:b w:val="1"/>
                <w:bCs w:val="1"/>
                <w:color w:val="auto"/>
              </w:rPr>
              <w:t>2012</w:t>
            </w:r>
          </w:p>
        </w:tc>
        <w:tc>
          <w:tcPr>
            <w:tcW w:w="2880" w:type="dxa"/>
            <w:vAlign w:val="bottom"/>
            <w:tcBorders>
              <w:top w:val="single" w:sz="8" w:color="auto"/>
              <w:bottom w:val="single" w:sz="8" w:color="auto"/>
            </w:tcBorders>
          </w:tcPr>
          <w:p>
            <w:pPr>
              <w:jc w:val="right"/>
              <w:ind w:right="1326"/>
              <w:spacing w:after="0" w:line="156" w:lineRule="exact"/>
              <w:rPr>
                <w:sz w:val="20"/>
                <w:szCs w:val="20"/>
                <w:color w:val="auto"/>
              </w:rPr>
            </w:pPr>
            <w:r>
              <w:rPr>
                <w:rFonts w:ascii="Arial" w:cs="Arial" w:eastAsia="Arial" w:hAnsi="Arial"/>
                <w:sz w:val="14"/>
                <w:szCs w:val="14"/>
                <w:b w:val="1"/>
                <w:bCs w:val="1"/>
                <w:color w:val="auto"/>
              </w:rPr>
              <w:t>2011</w:t>
            </w:r>
          </w:p>
        </w:tc>
        <w:tc>
          <w:tcPr>
            <w:tcW w:w="1160" w:type="dxa"/>
            <w:vAlign w:val="bottom"/>
            <w:tcBorders>
              <w:top w:val="single" w:sz="8" w:color="auto"/>
              <w:bottom w:val="single" w:sz="8" w:color="auto"/>
            </w:tcBorders>
          </w:tcPr>
          <w:p>
            <w:pPr>
              <w:jc w:val="right"/>
              <w:ind w:right="662"/>
              <w:spacing w:after="0" w:line="156" w:lineRule="exact"/>
              <w:rPr>
                <w:sz w:val="20"/>
                <w:szCs w:val="20"/>
                <w:color w:val="auto"/>
              </w:rPr>
            </w:pPr>
            <w:r>
              <w:rPr>
                <w:rFonts w:ascii="Arial" w:cs="Arial" w:eastAsia="Arial" w:hAnsi="Arial"/>
                <w:sz w:val="14"/>
                <w:szCs w:val="14"/>
                <w:b w:val="1"/>
                <w:bCs w:val="1"/>
                <w:color w:val="auto"/>
              </w:rPr>
              <w:t>2010</w:t>
            </w:r>
          </w:p>
        </w:tc>
        <w:tc>
          <w:tcPr>
            <w:tcW w:w="1680" w:type="dxa"/>
            <w:vAlign w:val="bottom"/>
            <w:tcBorders>
              <w:top w:val="single" w:sz="8" w:color="auto"/>
              <w:bottom w:val="single" w:sz="8" w:color="auto"/>
            </w:tcBorders>
          </w:tcPr>
          <w:p>
            <w:pPr>
              <w:jc w:val="right"/>
              <w:ind w:right="582"/>
              <w:spacing w:after="0" w:line="156" w:lineRule="exact"/>
              <w:rPr>
                <w:sz w:val="20"/>
                <w:szCs w:val="20"/>
                <w:color w:val="auto"/>
              </w:rPr>
            </w:pPr>
            <w:r>
              <w:rPr>
                <w:rFonts w:ascii="Arial" w:cs="Arial" w:eastAsia="Arial" w:hAnsi="Arial"/>
                <w:sz w:val="14"/>
                <w:szCs w:val="14"/>
                <w:b w:val="1"/>
                <w:bCs w:val="1"/>
                <w:color w:val="auto"/>
              </w:rPr>
              <w:t>2009</w:t>
            </w:r>
          </w:p>
        </w:tc>
      </w:tr>
      <w:tr>
        <w:trPr>
          <w:trHeight w:val="210"/>
        </w:trPr>
        <w:tc>
          <w:tcPr>
            <w:tcW w:w="8580" w:type="dxa"/>
            <w:vAlign w:val="bottom"/>
            <w:gridSpan w:val="5"/>
            <w:shd w:val="clear" w:color="auto" w:fill="CCEEFF"/>
          </w:tcPr>
          <w:p>
            <w:pPr>
              <w:ind w:left="440"/>
              <w:spacing w:after="0"/>
              <w:rPr>
                <w:sz w:val="20"/>
                <w:szCs w:val="20"/>
                <w:color w:val="auto"/>
              </w:rPr>
            </w:pPr>
            <w:r>
              <w:rPr>
                <w:rFonts w:ascii="Arial" w:cs="Arial" w:eastAsia="Arial" w:hAnsi="Arial"/>
                <w:sz w:val="18"/>
                <w:szCs w:val="18"/>
                <w:b w:val="1"/>
                <w:bCs w:val="1"/>
                <w:color w:val="auto"/>
                <w:w w:val="88"/>
              </w:rPr>
              <w:t>Ratio of earnings to fixed charges and ratio of earnings to combined fixed charges and preferred dividends:</w:t>
            </w:r>
          </w:p>
        </w:tc>
        <w:tc>
          <w:tcPr>
            <w:tcW w:w="1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28"/>
        </w:trPr>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5.28x</w:t>
            </w:r>
          </w:p>
        </w:tc>
        <w:tc>
          <w:tcPr>
            <w:tcW w:w="1760" w:type="dxa"/>
            <w:vAlign w:val="bottom"/>
          </w:tcPr>
          <w:p>
            <w:pPr>
              <w:jc w:val="center"/>
              <w:spacing w:after="0"/>
              <w:rPr>
                <w:sz w:val="20"/>
                <w:szCs w:val="20"/>
                <w:color w:val="auto"/>
              </w:rPr>
            </w:pPr>
            <w:r>
              <w:rPr>
                <w:rFonts w:ascii="Arial" w:cs="Arial" w:eastAsia="Arial" w:hAnsi="Arial"/>
                <w:sz w:val="18"/>
                <w:szCs w:val="18"/>
                <w:color w:val="auto"/>
                <w:w w:val="86"/>
              </w:rPr>
              <w:t>4.85x</w:t>
            </w:r>
          </w:p>
        </w:tc>
        <w:tc>
          <w:tcPr>
            <w:tcW w:w="1400" w:type="dxa"/>
            <w:vAlign w:val="bottom"/>
          </w:tcPr>
          <w:p>
            <w:pPr>
              <w:jc w:val="center"/>
              <w:ind w:left="382"/>
              <w:spacing w:after="0"/>
              <w:rPr>
                <w:sz w:val="20"/>
                <w:szCs w:val="20"/>
                <w:color w:val="auto"/>
              </w:rPr>
            </w:pPr>
            <w:r>
              <w:rPr>
                <w:rFonts w:ascii="Arial" w:cs="Arial" w:eastAsia="Arial" w:hAnsi="Arial"/>
                <w:sz w:val="18"/>
                <w:szCs w:val="18"/>
                <w:color w:val="auto"/>
                <w:w w:val="86"/>
              </w:rPr>
              <w:t>4.82x</w:t>
            </w:r>
          </w:p>
        </w:tc>
        <w:tc>
          <w:tcPr>
            <w:tcW w:w="2880" w:type="dxa"/>
            <w:vAlign w:val="bottom"/>
          </w:tcPr>
          <w:p>
            <w:pPr>
              <w:jc w:val="center"/>
              <w:ind w:right="86"/>
              <w:spacing w:after="0"/>
              <w:rPr>
                <w:sz w:val="20"/>
                <w:szCs w:val="20"/>
                <w:color w:val="auto"/>
              </w:rPr>
            </w:pPr>
            <w:r>
              <w:rPr>
                <w:rFonts w:ascii="Arial" w:cs="Arial" w:eastAsia="Arial" w:hAnsi="Arial"/>
                <w:sz w:val="18"/>
                <w:szCs w:val="18"/>
                <w:color w:val="auto"/>
                <w:w w:val="90"/>
              </w:rPr>
              <w:t>4.04x</w:t>
            </w:r>
          </w:p>
        </w:tc>
        <w:tc>
          <w:tcPr>
            <w:tcW w:w="1160" w:type="dxa"/>
            <w:vAlign w:val="bottom"/>
          </w:tcPr>
          <w:p>
            <w:pPr>
              <w:jc w:val="center"/>
              <w:ind w:right="502"/>
              <w:spacing w:after="0"/>
              <w:rPr>
                <w:sz w:val="20"/>
                <w:szCs w:val="20"/>
                <w:color w:val="auto"/>
              </w:rPr>
            </w:pPr>
            <w:r>
              <w:rPr>
                <w:rFonts w:ascii="Arial" w:cs="Arial" w:eastAsia="Arial" w:hAnsi="Arial"/>
                <w:sz w:val="18"/>
                <w:szCs w:val="18"/>
                <w:color w:val="auto"/>
                <w:w w:val="86"/>
              </w:rPr>
              <w:t>3.57x</w:t>
            </w:r>
          </w:p>
        </w:tc>
        <w:tc>
          <w:tcPr>
            <w:tcW w:w="1680" w:type="dxa"/>
            <w:vAlign w:val="bottom"/>
          </w:tcPr>
          <w:p>
            <w:pPr>
              <w:jc w:val="center"/>
              <w:ind w:left="2"/>
              <w:spacing w:after="0"/>
              <w:rPr>
                <w:sz w:val="20"/>
                <w:szCs w:val="20"/>
                <w:color w:val="auto"/>
              </w:rPr>
            </w:pPr>
            <w:r>
              <w:rPr>
                <w:rFonts w:ascii="Arial" w:cs="Arial" w:eastAsia="Arial" w:hAnsi="Arial"/>
                <w:sz w:val="18"/>
                <w:szCs w:val="18"/>
                <w:color w:val="auto"/>
                <w:w w:val="90"/>
              </w:rPr>
              <w:t>3.01x</w:t>
            </w:r>
          </w:p>
        </w:tc>
      </w:tr>
    </w:tbl>
    <w:p>
      <w:pPr>
        <w:spacing w:after="0" w:line="156"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6"/>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According to its publicly available information, as of June 30, 2014, Time Warner Cable had $24.580 billion aggregate outstanding debt and its ratio of earnings to fixed charges for the year ended December 31, 2013 was 2.8x.</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NOTES</w:t>
      </w:r>
    </w:p>
    <w:p>
      <w:pPr>
        <w:spacing w:after="0" w:line="17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We are offering $1,000,000,000 aggregate principal amount of our 3.375% Notes due 2025 and $1,000,000,000 aggregate principal amount of our 4.200% Notes due 2034. The Notes due 2025 and Notes due 2034 will each be a separate series of securities issued under a senior indenture dated September 18, 2013, entered into among us, the guarantors and The Bank of New York Mellon, as trustee. The notes will be our direct unsecured and unsubordinated obligations and will be fully and unconditionally guaranteed by Comcast Cable Communications, LLC, Comcast Cable Holdings, LLC, Comcast MO Group, Inc., Comcast MO of Delaware, LLC and NBCUniversal Media, LLC,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Copies of the indenture and the form of notes are available from us upon request.</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will rank equally with all of our other unsecured and unsubordinated debt and will be entitled to the benefits of the guarantees described below;</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$2,000,000,000 comprised as follows:</w:t>
      </w:r>
    </w:p>
    <w:p>
      <w:pPr>
        <w:spacing w:after="0" w:line="90" w:lineRule="exact"/>
        <w:rPr>
          <w:rFonts w:ascii="Arial" w:cs="Arial" w:eastAsia="Arial" w:hAnsi="Arial"/>
          <w:sz w:val="18"/>
          <w:szCs w:val="18"/>
          <w:color w:val="auto"/>
        </w:rPr>
      </w:pPr>
    </w:p>
    <w:p>
      <w:pPr>
        <w:ind w:left="1480" w:right="520" w:hanging="446"/>
        <w:spacing w:after="0" w:line="259"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$1,000,000,000 initial aggregate principal amount of 3.375% Notes due 2025, maturing on February 15, 2025, with interest payable semiannually on each February 15 and August 15, beginning February 15, 2015, to holders of record on the preceding February 1 and August 1;</w:t>
      </w:r>
    </w:p>
    <w:p>
      <w:pPr>
        <w:spacing w:after="0" w:line="59" w:lineRule="exact"/>
        <w:rPr>
          <w:rFonts w:ascii="Arial" w:cs="Arial" w:eastAsia="Arial" w:hAnsi="Arial"/>
          <w:sz w:val="18"/>
          <w:szCs w:val="18"/>
          <w:color w:val="auto"/>
        </w:rPr>
      </w:pPr>
    </w:p>
    <w:p>
      <w:pPr>
        <w:ind w:left="1480" w:right="520" w:hanging="446"/>
        <w:spacing w:after="0" w:line="259"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$1,000,000,000 initial aggregate principal amount of 4.200% Notes due 2034, maturing on August 15, 2034, with interest payable semiannually on each February 15 and August 15, beginning February 15, 2015, to holders of record on the preceding February 1 and August 1;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$2,000 and in multiples of $1,000 in excess thereof.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Interest on the notes will be computed on the basis of a 360-day year consisting of twelve 30-day months. Interest on the notes will accrue from (i) the earlier of August 12, 2014 and the date of original issuance, or (ii) from the most recent interest payment date to which interest has been paid, and will be payable semiannually on interest payment dates described for each year.</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will have the right at our option to redeem any of the notes in whole or in part, at any time or from time to time prior to their maturity, on at least 30 days, but not more than 60 days, prior notice mailed to the registered address of each holder of notes, at the applicable Redemption Price.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“Redemption Price” means:</w:t>
      </w:r>
    </w:p>
    <w:p>
      <w:pPr>
        <w:spacing w:after="0" w:line="90" w:lineRule="exact"/>
        <w:rPr>
          <w:sz w:val="20"/>
          <w:szCs w:val="20"/>
          <w:color w:val="auto"/>
        </w:rPr>
      </w:pPr>
    </w:p>
    <w:p>
      <w:pPr>
        <w:ind w:right="20" w:firstLine="464"/>
        <w:spacing w:after="0" w:line="306" w:lineRule="auto"/>
        <w:tabs>
          <w:tab w:leader="none" w:pos="695" w:val="left"/>
        </w:tabs>
        <w:numPr>
          <w:ilvl w:val="0"/>
          <w:numId w:val="8"/>
        </w:numPr>
        <w:rPr>
          <w:rFonts w:ascii="Arial" w:cs="Arial" w:eastAsia="Arial" w:hAnsi="Arial"/>
          <w:sz w:val="16"/>
          <w:szCs w:val="16"/>
          <w:color w:val="auto"/>
        </w:rPr>
      </w:pPr>
      <w:r>
        <w:rPr>
          <w:rFonts w:ascii="Arial" w:cs="Arial" w:eastAsia="Arial" w:hAnsi="Arial"/>
          <w:sz w:val="16"/>
          <w:szCs w:val="16"/>
          <w:color w:val="auto"/>
        </w:rPr>
        <w:t>with respect to the Notes due 2025, at any time prior to November 15, 2024 (three months prior to the maturity of the Notes due 2025), the greater of (i) 100% of the principal amount of such notes and (ii) the sum of the present values of the remaining scheduled payments of principal and interest thereon (exclusive of interest accrued to the date of redemption) discounted to the redemption date on a semiannual basis (assuming a 360-day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 xml:space="preserve">year consisting of twelve 30-day months) at the Treasury Rate plus 15 basis points, </w:t>
      </w:r>
      <w:r>
        <w:rPr>
          <w:rFonts w:ascii="Arial" w:cs="Arial" w:eastAsia="Arial" w:hAnsi="Arial"/>
          <w:sz w:val="16"/>
          <w:szCs w:val="16"/>
          <w:i w:val="1"/>
          <w:iCs w:val="1"/>
          <w:color w:val="auto"/>
        </w:rPr>
        <w:t>provided that</w:t>
      </w:r>
      <w:r>
        <w:rPr>
          <w:rFonts w:ascii="Arial" w:cs="Arial" w:eastAsia="Arial" w:hAnsi="Arial"/>
          <w:sz w:val="16"/>
          <w:szCs w:val="16"/>
          <w:color w:val="auto"/>
        </w:rPr>
        <w:t>, if the Notes due 2025 are redeemed on or after November 15, 2024 (three months prior to the maturity of the Notes due 2025) the Redemption Price will equal 100% of the principal amount of such notes; and</w:t>
      </w:r>
    </w:p>
    <w:p>
      <w:pPr>
        <w:spacing w:after="0" w:line="85" w:lineRule="exact"/>
        <w:rPr>
          <w:sz w:val="20"/>
          <w:szCs w:val="20"/>
          <w:color w:val="auto"/>
        </w:rPr>
      </w:pPr>
    </w:p>
    <w:p>
      <w:pPr>
        <w:ind w:firstLine="464"/>
        <w:spacing w:after="0" w:line="294" w:lineRule="auto"/>
        <w:tabs>
          <w:tab w:leader="none" w:pos="705"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with respect to the Notes due 2034, at any time prior to February 15, 2034 (six months prior to the maturity of the Notes due 2034), the greater of (i) 100% of the principal amount of such notes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15 basis points, </w:t>
      </w:r>
      <w:r>
        <w:rPr>
          <w:rFonts w:ascii="Arial" w:cs="Arial" w:eastAsia="Arial" w:hAnsi="Arial"/>
          <w:sz w:val="16"/>
          <w:szCs w:val="16"/>
          <w:i w:val="1"/>
          <w:iCs w:val="1"/>
          <w:color w:val="auto"/>
        </w:rPr>
        <w:t>provided that</w:t>
      </w:r>
      <w:r>
        <w:rPr>
          <w:rFonts w:ascii="Arial" w:cs="Arial" w:eastAsia="Arial" w:hAnsi="Arial"/>
          <w:sz w:val="16"/>
          <w:szCs w:val="16"/>
          <w:color w:val="auto"/>
        </w:rPr>
        <w:t>, if the Notes due 2034 are redeemed on or after February 15, 2034 (six months prior to the maturity of the Notes due 2034) the Redemption Price will equal 100% of the principal amount of such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and unpaid interest thereon to the date of redemption.</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“Comparable Treasury Issue” means the United States Treasury security or securities selected by an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“Reference Treasury Dealer” means each of Credit Suisse Securities (USA) LLC, J.P. Morgan Securities LLC, and Mizuho Securities USA Inc. or their affiliates which are primary United States government securities dealers, and their respective successors; provided, however, that if any of the foregoing shall cease to be a primary United States government securities dealer in the United States (a “Primary Treasury Dealer”), we will substitute therefor another Primary Treasury Dealer.</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3:30 pm New York time on the third business day preceding such redemption date.</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(provided that interests in notes represented by a Global Note will be selected for redemption by The Depository Trust Company in accordance with its standard procedures therefor). Additionally, we may at any time repurchase notes in the open market and may hold or surrender such notes to the trustee for cancellation.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1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Holders may hold interests in the notes outside the United States through Euroclear or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DTC</w:t>
      </w:r>
    </w:p>
    <w:p>
      <w:pPr>
        <w:spacing w:after="0" w:line="9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So long as DTC (or its nominee) is the registered holder and owner of a Global Note, DTC (or such nominee) will be considered the sole legal owner and holder of the notes evidenced by such Global Note for 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2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$2,000 principal amount and multiples of $1,000 in excess thereof if:</w:t>
      </w:r>
    </w:p>
    <w:p>
      <w:pPr>
        <w:spacing w:after="0" w:line="51" w:lineRule="exact"/>
        <w:rPr>
          <w:sz w:val="20"/>
          <w:szCs w:val="20"/>
          <w:color w:val="auto"/>
        </w:rPr>
      </w:pPr>
    </w:p>
    <w:p>
      <w:pPr>
        <w:ind w:left="900" w:right="58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Same-Day Payment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20"/>
          </w:cols>
          <w:pgMar w:left="24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51" w:lineRule="exact"/>
        <w:rPr>
          <w:sz w:val="20"/>
          <w:szCs w:val="20"/>
          <w:color w:val="auto"/>
        </w:rPr>
      </w:pPr>
    </w:p>
    <w:p>
      <w:pPr>
        <w:jc w:val="both"/>
        <w:ind w:left="900" w:right="8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5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w:t>
      </w:r>
    </w:p>
    <w:p>
      <w:pPr>
        <w:spacing w:after="0" w:line="171"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If a partnership or other entity classified as a partnership for U.S. federal income tax purposes holds the notes, the tax treatment of a partner will generally depend upon the status of the partner and the activities of the partnership. A partner of a partnership holding the notes is urged to consult his or her tax advisor.</w:t>
      </w:r>
    </w:p>
    <w:p>
      <w:pPr>
        <w:spacing w:after="0" w:line="6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This summary is based on the Internal Revenue Code of 1986, as amended to the date hereof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foreign taxing jurisdiction.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“Non-U.S. Holder” does not include a holder who is an individual present in the United States for 183 days or more in the taxable year of disposition. Such a holder is urged to consult his or her tax advisor regarding the U.S. federal income tax consequences of the sale, exchange or other disposition of a note.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a Note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59" w:lineRule="exact"/>
        <w:rPr>
          <w:sz w:val="20"/>
          <w:szCs w:val="20"/>
          <w:color w:val="auto"/>
        </w:rPr>
      </w:pPr>
    </w:p>
    <w:p>
      <w:pPr>
        <w:ind w:left="900" w:right="1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Interest on a note described above will not be exempt from withholding tax unless the beneficial owner of that note certifies on a properly executed Internal Revenue Service Form W-8BEN or W-BEN-E, as appropriate, under penalties of perjury, that it is not a U.S. person.</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a Non-U.S. Holder of a note is engaged in a trade or business in the United States, and if interest on the note is effectively connected with the conduct of such trade or business, the Non-U.S. Holder will generally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Subject to the discussions below concerning backup withholding and FATCA, a Non-U.S. Holder of a note will not be subject to U.S. federal income tax on gain realized on the sale, exchange, redemption or other disposition of such note, unless the gain is effectively connected with the conduct by the holder of a trade or business in the United States.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 Non-U.S. Holder of a note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Information returns will be filed with the Internal Revenue Service in connection with interest payments on the notes. Unless the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Legislation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Provisions commonly referred to as “FATCA” impose withholding of 30% on payments of U.S.-source interest and, if made after December 31, 2016,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Prospective investors should consult their tax advisers regarding the effects of FATCA on their investment in the notes. We will not pay additional amounts with respect to any withholding taxes.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7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Underwriter</w:t>
            </w: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Principal Amount</w:t>
            </w:r>
          </w:p>
        </w:tc>
        <w:tc>
          <w:tcPr>
            <w:tcW w:w="12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68"/>
        </w:trPr>
        <w:tc>
          <w:tcPr>
            <w:tcW w:w="298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of Notes due 2025</w:t>
            </w:r>
          </w:p>
        </w:tc>
        <w:tc>
          <w:tcPr>
            <w:tcW w:w="120" w:type="dxa"/>
            <w:vAlign w:val="bottom"/>
          </w:tcPr>
          <w:p>
            <w:pPr>
              <w:spacing w:after="0"/>
              <w:rPr>
                <w:sz w:val="14"/>
                <w:szCs w:val="14"/>
                <w:color w:val="auto"/>
              </w:rPr>
            </w:pPr>
          </w:p>
        </w:tc>
        <w:tc>
          <w:tcPr>
            <w:tcW w:w="128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of Notes due 2034</w:t>
            </w:r>
          </w:p>
        </w:tc>
        <w:tc>
          <w:tcPr>
            <w:tcW w:w="0" w:type="dxa"/>
            <w:vAlign w:val="bottom"/>
          </w:tcPr>
          <w:p>
            <w:pPr>
              <w:spacing w:after="0"/>
              <w:rPr>
                <w:sz w:val="1"/>
                <w:szCs w:val="1"/>
                <w:color w:val="auto"/>
              </w:rPr>
            </w:pPr>
          </w:p>
        </w:tc>
      </w:tr>
      <w:tr>
        <w:trPr>
          <w:trHeight w:val="203"/>
        </w:trPr>
        <w:tc>
          <w:tcPr>
            <w:tcW w:w="3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Credit Suisse Securities (USA) LLC</w:t>
            </w:r>
          </w:p>
        </w:tc>
        <w:tc>
          <w:tcPr>
            <w:tcW w:w="3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132,500,000</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132,500,000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132,500,000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Lloyds Securities Inc.</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132,500,000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Mizuho Securities USA Inc.</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132,500,000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132,500,000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22,000,000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22,000,000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22,000,000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22,000,000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4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740" w:type="dxa"/>
            <w:vAlign w:val="bottom"/>
            <w:gridSpan w:val="2"/>
          </w:tcPr>
          <w:p>
            <w:pPr>
              <w:ind w:left="920"/>
              <w:spacing w:after="0"/>
              <w:rPr>
                <w:sz w:val="20"/>
                <w:szCs w:val="20"/>
                <w:color w:val="auto"/>
              </w:rPr>
            </w:pPr>
            <w:r>
              <w:rPr>
                <w:rFonts w:ascii="Arial" w:cs="Arial" w:eastAsia="Arial" w:hAnsi="Arial"/>
                <w:sz w:val="18"/>
                <w:szCs w:val="18"/>
                <w:color w:val="auto"/>
              </w:rPr>
              <w:t>Incorporated</w:t>
            </w:r>
          </w:p>
        </w:tc>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22,000,000</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22,000,000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Mitsubishi UFJ Securities (USA), Inc.</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22,000,000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22,000,000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RBS Securities Inc.</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22,000,000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SMBC Nikko Securities America, Inc.</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22,000,000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22,000,000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22,000,000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Santander Investment Securities Inc.</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13,000,000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13,000,000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DNB Markets, Inc.</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10,000,000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Securities (USA) LLC</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The Williams Capital Group, L.P.</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7,500,000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Jefferies LLC</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5,000,000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Drexel Hamilton, LLC</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4,500,000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Lebenthal &amp; Co., LLC</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4,500,000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Loop Capital Markets LLC</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4,500,000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MFR Securities, Inc.</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4,500,000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Mischler Financial Group, Inc.</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4,500,000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A. Ramirez &amp; Company, Inc.</w:t>
            </w:r>
          </w:p>
        </w:tc>
        <w:tc>
          <w:tcPr>
            <w:tcW w:w="3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1,000,000,000</w:t>
            </w:r>
          </w:p>
        </w:tc>
        <w:tc>
          <w:tcPr>
            <w:tcW w:w="6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w w:val="99"/>
              </w:rPr>
              <w:t>1,000,000,000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It is expected that delivery of the notes will be made against payment therefor on or about August 12, 2014, which is the fifth business day following the date hereof (such settlement cycle being referred to as “T+5”).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pricing or the next succeeding business day will be required, by virtue of the fact that the notes initially will settle in T+5, to specify an alternative settlement cycle at the time of any such trade to prevent failed settlement and should consult their own advisors.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underwriters have advised us that they propose initially to offer the notes to the public at the public offering price on the cover page of this prospectus supplement, and to dealers at that price less a concession not in excess of 0.25% and 0.40% of the principal amount of the Notes due 2025 and Notes due 2034, respectively. The underwriters may allow, and the dealers may reallow, a discount not in excess of 0.20% and 0.25% of the principal amount of the Notes due 2025 and Notes due 2034, respectively, to other dealers. After the initial public offering, the public offering prices, concessions and discounts may be changed.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expenses of the offering, not including the underwriting discount, are estimated to be $600,000 and are payable by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Each series of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 J.P. Morgan Securities LLC and Barclays Capital Inc. have acted as financial advisors to the Company in connection with the Time Warner Cable merger, and affiliates of J.P. Morgan Securities LLC have acted as financial advisors to the Company in connection with the divestiture transactions, and in each case, they received or may in the future receive customary fees and commissions.</w:t>
      </w:r>
    </w:p>
    <w:p>
      <w:pPr>
        <w:spacing w:after="0" w:line="116"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including the 6.5% Notes due 2015 and the</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3.65% Notes due 2015, and therefore, the underwriters and/or their respective affiliates may indirectly receive a portion of the net proceeds from this offering.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no offer of notes may be made to the public in that Relevant Member State other than:</w:t>
      </w:r>
    </w:p>
    <w:p>
      <w:pPr>
        <w:spacing w:after="0" w:line="59"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 or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provided that no such offer of notes shall require the Company or the representative to publish a prospectus pursuant to Article 3 of the Prospectus Directive or supplement a prospectus pursuant to Article 16 of the Prospectus Directive.</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This prospectus supplement has been prepared on the basis that any offer of notes in any Relevant Member State will be made pursuant to an exemption under the Prospectus Directive from the requirement to publish a prospectus for offers of notes. Accordingly, any person making or intending to make an offer in that Relevant Member State of notes which are the subject of the offering contemplated in this prospectus supplement may only do so in circumstances in which no obligation arises for us or any of the underwriters to publish 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prospectus pursuant to Article 3 of the Prospectus Directive in relation to such offer. Neither we nor the underwriters have authorized, nor do we or the underwriters authorize, the making of any offer of notes in circumstances in which an obligation arises for us or the underwriters to publish a prospectus for such offer.</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For the purpose of the above provisions, the expression “an offer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the Relevant Member State by any measure implementing the Prospectus Directive in the Relevant Member State,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United Kingdom</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guarantors; and it has complied with and will comply with all applicable provisions of FSMA with respect to anything done by it in relation to the notes in, from or otherwise involving the United Kingdom.</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Hong Kong</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Japan</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62" w:lineRule="exact"/>
        <w:rPr>
          <w:sz w:val="20"/>
          <w:szCs w:val="20"/>
          <w:color w:val="auto"/>
        </w:rPr>
      </w:pPr>
    </w:p>
    <w:p>
      <w:pPr>
        <w:ind w:left="5540" w:right="1920" w:hanging="4637"/>
        <w:spacing w:after="0" w:line="440" w:lineRule="auto"/>
        <w:tabs>
          <w:tab w:leader="none" w:pos="11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 S-18</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a relevant person, or any person pursuant to Section 257(1A), and in accordance with the conditions, specified in Section 275 of the SFA; or</w:t>
      </w:r>
    </w:p>
    <w:p>
      <w:pPr>
        <w:spacing w:after="0" w:line="113" w:lineRule="exact"/>
        <w:rPr>
          <w:rFonts w:ascii="Arial" w:cs="Arial" w:eastAsia="Arial" w:hAnsi="Arial"/>
          <w:sz w:val="16"/>
          <w:szCs w:val="16"/>
          <w:color w:val="auto"/>
        </w:rPr>
      </w:pPr>
    </w:p>
    <w:p>
      <w:pPr>
        <w:ind w:left="1200" w:hanging="297"/>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Whether the notes are subscribed or purchased under Section 275 by a relevant person that is:</w:t>
      </w:r>
    </w:p>
    <w:p>
      <w:pPr>
        <w:spacing w:after="0" w:line="90" w:lineRule="exact"/>
        <w:rPr>
          <w:sz w:val="20"/>
          <w:szCs w:val="20"/>
          <w:color w:val="auto"/>
        </w:rPr>
      </w:pPr>
    </w:p>
    <w:p>
      <w:pPr>
        <w:ind w:left="460" w:right="20" w:firstLine="443"/>
        <w:spacing w:after="0" w:line="268" w:lineRule="auto"/>
        <w:tabs>
          <w:tab w:leader="none" w:pos="113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 xml:space="preserve">Various legal matters relating to the offering will be passed upon for us by Arthur R. Block, Esquire, Senior Vice President, General Counsel and Secretary of Comcast Corporation, Lynn A. Charytan, Esquire, Senior Vice President, Legal and Regulatory Affairs and Senior Deputy General Counsel of Comcast Corporation, and by Davis Polk &amp; Wardwell LLP, Menlo Park, California. Cahill Gordon &amp; Reindel </w:t>
      </w:r>
      <w:r>
        <w:rPr>
          <w:rFonts w:ascii="Arial" w:cs="Arial" w:eastAsia="Arial" w:hAnsi="Arial"/>
          <w:sz w:val="12"/>
          <w:szCs w:val="12"/>
          <w:color w:val="auto"/>
        </w:rPr>
        <w:t>LLP</w:t>
      </w:r>
      <w:r>
        <w:rPr>
          <w:rFonts w:ascii="Arial" w:cs="Arial" w:eastAsia="Arial" w:hAnsi="Arial"/>
          <w:sz w:val="15"/>
          <w:szCs w:val="15"/>
          <w:color w:val="auto"/>
        </w:rPr>
        <w:t>, New York, New York, is representing the underwriters.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herein by reference from Comcast Corporation’s Annual Report on Form 10-K for the year ended December 31, 2013,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 Universal, Inc. and its subsidiaries (predecessor) and NBCUniversal Media, LLC and its subsidiaries (successor) for the period from January 1, 2011 to January 28, 2011 (predecessor period) and for the period from January 29, 2011 to December 31, 2011 and for the years ended December 31, 2012 and 2013 (successor period), incorporated in this prospectus supplement by reference from NBCUniversal Media, LLC’s Annual Report on Form 10-K for the year ended December 31, 2013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872490</wp:posOffset>
            </wp:positionV>
            <wp:extent cx="15176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194945</wp:posOffset>
            </wp:positionV>
            <wp:extent cx="1397635" cy="4889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Unsecured senior debt securities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3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Warrants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 Purchase contracts</w:t>
            </w:r>
          </w:p>
        </w:tc>
        <w:tc>
          <w:tcPr>
            <w:tcW w:w="3960" w:type="dxa"/>
            <w:vAlign w:val="bottom"/>
            <w:gridSpan w:val="2"/>
          </w:tcPr>
          <w:p>
            <w:pPr>
              <w:ind w:left="1620"/>
              <w:spacing w:after="0"/>
              <w:rPr>
                <w:sz w:val="20"/>
                <w:szCs w:val="20"/>
                <w:color w:val="auto"/>
              </w:rPr>
            </w:pPr>
            <w:r>
              <w:rPr>
                <w:rFonts w:ascii="Arial" w:cs="Arial" w:eastAsia="Arial" w:hAnsi="Arial"/>
                <w:sz w:val="18"/>
                <w:szCs w:val="18"/>
                <w:color w:val="auto"/>
              </w:rPr>
              <w:t>• Class A common stock</w:t>
            </w: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 Units</w:t>
            </w:r>
          </w:p>
        </w:tc>
        <w:tc>
          <w:tcPr>
            <w:tcW w:w="3960" w:type="dxa"/>
            <w:vAlign w:val="bottom"/>
            <w:gridSpan w:val="2"/>
          </w:tcPr>
          <w:p>
            <w:pPr>
              <w:ind w:left="1620"/>
              <w:spacing w:after="0"/>
              <w:rPr>
                <w:sz w:val="20"/>
                <w:szCs w:val="20"/>
                <w:color w:val="auto"/>
              </w:rPr>
            </w:pPr>
            <w:r>
              <w:rPr>
                <w:rFonts w:ascii="Arial" w:cs="Arial" w:eastAsia="Arial" w:hAnsi="Arial"/>
                <w:sz w:val="18"/>
                <w:szCs w:val="18"/>
                <w:color w:val="auto"/>
                <w:w w:val="89"/>
              </w:rPr>
              <w:t>• Class A Special common stock</w:t>
            </w:r>
          </w:p>
        </w:tc>
      </w:tr>
    </w:tbl>
    <w:p>
      <w:pPr>
        <w:spacing w:after="0" w:line="156"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Class A common stock and Class A Special common stock are quoted on the Nasdaq Global Select Market under the ticker symbols “CMCSA” and “CMCSK”. On September 17, 2013, the reported last sale prices on the Nasdaq Global Select Market for our Class A common stock and our Class A Special common stock were $44.45 and $43.10,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Maturity</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Dividends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w w:val="87"/>
              </w:rPr>
              <w:t>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Redemption terms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Listing on a securities exchange</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Subsidiary guarantees</w:t>
            </w:r>
          </w:p>
        </w:tc>
      </w:tr>
      <w:tr>
        <w:trPr>
          <w:trHeight w:val="222"/>
        </w:trPr>
        <w:tc>
          <w:tcPr>
            <w:tcW w:w="2280" w:type="dxa"/>
            <w:vAlign w:val="bottom"/>
            <w:gridSpan w:val="2"/>
          </w:tcPr>
          <w:p>
            <w:pPr>
              <w:spacing w:after="0"/>
              <w:rPr>
                <w:sz w:val="20"/>
                <w:szCs w:val="20"/>
                <w:color w:val="auto"/>
              </w:rPr>
            </w:pPr>
            <w:r>
              <w:rPr>
                <w:rFonts w:ascii="Arial" w:cs="Arial" w:eastAsia="Arial" w:hAnsi="Arial"/>
                <w:sz w:val="18"/>
                <w:szCs w:val="18"/>
                <w:color w:val="auto"/>
              </w:rPr>
              <w:t>• Currency of payments</w:t>
            </w:r>
          </w:p>
        </w:tc>
        <w:tc>
          <w:tcPr>
            <w:tcW w:w="3720" w:type="dxa"/>
            <w:vAlign w:val="bottom"/>
            <w:gridSpan w:val="2"/>
          </w:tcPr>
          <w:p>
            <w:pPr>
              <w:ind w:left="580"/>
              <w:spacing w:after="0"/>
              <w:rPr>
                <w:sz w:val="20"/>
                <w:szCs w:val="20"/>
                <w:color w:val="auto"/>
              </w:rPr>
            </w:pPr>
            <w:r>
              <w:rPr>
                <w:rFonts w:ascii="Arial" w:cs="Arial" w:eastAsia="Arial" w:hAnsi="Arial"/>
                <w:sz w:val="18"/>
                <w:szCs w:val="18"/>
                <w:color w:val="auto"/>
              </w:rPr>
              <w:t>• Amount payable at maturity</w:t>
            </w: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Investing in these securities involves certain risks. See “Item 1A—Risk Factors” beginning on page 29 of Comcast’s annual report on Form 10-K for the year ended December 31, 2012, and beginning on page 14 of NBCUniversal’s annual report on Form 10-K for the year ended December 31, 2012,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170180</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170815</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September 18, 2013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520" w:type="dxa"/>
            <w:vAlign w:val="bottom"/>
            <w:gridSpan w:val="2"/>
          </w:tcPr>
          <w:p>
            <w:pPr>
              <w:ind w:left="1240"/>
              <w:spacing w:after="0"/>
              <w:rPr>
                <w:sz w:val="20"/>
                <w:szCs w:val="20"/>
                <w:color w:val="auto"/>
              </w:rPr>
            </w:pPr>
            <w:r>
              <w:rPr>
                <w:rFonts w:ascii="Arial" w:cs="Arial" w:eastAsia="Arial" w:hAnsi="Arial"/>
                <w:sz w:val="18"/>
                <w:szCs w:val="18"/>
                <w:b w:val="1"/>
                <w:bCs w:val="1"/>
                <w:color w:val="auto"/>
              </w:rPr>
              <w:t>TABLE OF CONTENTS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120" w:type="dxa"/>
            <w:vAlign w:val="bottom"/>
            <w:gridSpan w:val="3"/>
            <w:vMerge w:val="restart"/>
          </w:tcPr>
          <w:p>
            <w:pPr>
              <w:spacing w:after="0"/>
              <w:rPr>
                <w:rFonts w:ascii="Arial" w:cs="Arial" w:eastAsia="Arial" w:hAnsi="Arial"/>
                <w:sz w:val="18"/>
                <w:szCs w:val="18"/>
                <w:color w:val="0000EE"/>
                <w:w w:val="86"/>
              </w:rPr>
            </w:pPr>
            <w:hyperlink w:anchor="page26">
              <w:r>
                <w:rPr>
                  <w:rFonts w:ascii="Arial" w:cs="Arial" w:eastAsia="Arial" w:hAnsi="Arial"/>
                  <w:sz w:val="18"/>
                  <w:szCs w:val="18"/>
                  <w:color w:val="0000EE"/>
                  <w:w w:val="86"/>
                </w:rPr>
                <w:t>The Companies</w:t>
              </w:r>
            </w:hyperlink>
          </w:p>
        </w:tc>
        <w:tc>
          <w:tcPr>
            <w:tcW w:w="9940" w:type="dxa"/>
            <w:vAlign w:val="bottom"/>
            <w:gridSpan w:val="10"/>
            <w:vMerge w:val="restart"/>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174"/>
        </w:trPr>
        <w:tc>
          <w:tcPr>
            <w:tcW w:w="1120" w:type="dxa"/>
            <w:vAlign w:val="bottom"/>
            <w:tcBorders>
              <w:bottom w:val="single" w:sz="8" w:color="0000EE"/>
            </w:tcBorders>
            <w:gridSpan w:val="3"/>
            <w:vMerge w:val="continue"/>
          </w:tcPr>
          <w:p>
            <w:pPr>
              <w:spacing w:after="0"/>
              <w:rPr>
                <w:sz w:val="14"/>
                <w:szCs w:val="14"/>
                <w:color w:val="auto"/>
              </w:rPr>
            </w:pPr>
          </w:p>
        </w:tc>
        <w:tc>
          <w:tcPr>
            <w:tcW w:w="9940" w:type="dxa"/>
            <w:vAlign w:val="bottom"/>
            <w:gridSpan w:val="10"/>
            <w:vMerge w:val="continue"/>
          </w:tcPr>
          <w:p>
            <w:pPr>
              <w:spacing w:after="0"/>
              <w:rPr>
                <w:sz w:val="14"/>
                <w:szCs w:val="14"/>
                <w:color w:val="auto"/>
              </w:rPr>
            </w:pPr>
          </w:p>
        </w:tc>
        <w:tc>
          <w:tcPr>
            <w:tcW w:w="26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Caution Concerning Forward-Looking Statements</w:t>
              </w:r>
            </w:hyperlink>
          </w:p>
        </w:tc>
        <w:tc>
          <w:tcPr>
            <w:tcW w:w="7520" w:type="dxa"/>
            <w:vAlign w:val="bottom"/>
            <w:gridSpan w:val="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Use of Proceeds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Dividend Policy</w:t>
              </w:r>
            </w:hyperlink>
          </w:p>
        </w:tc>
        <w:tc>
          <w:tcPr>
            <w:tcW w:w="9900" w:type="dxa"/>
            <w:vAlign w:val="bottom"/>
            <w:gridSpan w:val="8"/>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Ratios of Earnings to Fixed Charges and of Earnings to Combined Fixed Charges and Preferred Dividends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Description of Debt Securities and Guarantees</w:t>
              </w:r>
            </w:hyperlink>
          </w:p>
        </w:tc>
        <w:tc>
          <w:tcPr>
            <w:tcW w:w="358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Global Securities</w:t>
              </w:r>
            </w:hyperlink>
          </w:p>
        </w:tc>
        <w:tc>
          <w:tcPr>
            <w:tcW w:w="7800" w:type="dxa"/>
            <w:vAlign w:val="bottom"/>
            <w:gridSpan w:val="3"/>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Description of Capital Stock</w:t>
              </w:r>
            </w:hyperlink>
          </w:p>
        </w:tc>
        <w:tc>
          <w:tcPr>
            <w:tcW w:w="9040" w:type="dxa"/>
            <w:vAlign w:val="bottom"/>
            <w:gridSpan w:val="4"/>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Plan of Distribution</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Legal Matters</w:t>
              </w:r>
            </w:hyperlink>
          </w:p>
        </w:tc>
        <w:tc>
          <w:tcPr>
            <w:tcW w:w="9660" w:type="dxa"/>
            <w:vAlign w:val="bottom"/>
            <w:gridSpan w:val="6"/>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Experts</w:t>
              </w:r>
            </w:hyperlink>
          </w:p>
        </w:tc>
        <w:tc>
          <w:tcPr>
            <w:tcW w:w="10080" w:type="dxa"/>
            <w:vAlign w:val="bottom"/>
            <w:gridSpan w:val="11"/>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Available Information</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Incorporation of Certain Documents by Reference</w:t>
              </w:r>
            </w:hyperlink>
          </w:p>
        </w:tc>
        <w:tc>
          <w:tcPr>
            <w:tcW w:w="7520" w:type="dxa"/>
            <w:vAlign w:val="bottom"/>
            <w:gridSpan w:val="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refer to Comcast Corporation in this prospectus as “Comcast;” Comcast and its consolidated subsidiaries, including NBCUniversal, as “we,” “us,” “our” or comparable terms and to Comcast Holdings Corporation as “Comcast Holdings.” We refer to NBCUniversal Media, LLC as “NBCUniversal,” Comcast Cable Communications, LLC as “Comcast Cable,” Comcast MO Group, Inc. as “Comcast MO Group,” Comcast Cable Holdings, LLC as “Comcast Cable Holdings,” Comcast MO of Delaware, LLC as “Comcast MO of Delaware,” and all of them collectively as the “Guarantors.”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in the following five reportable business segments:</w:t>
      </w:r>
    </w:p>
    <w:p>
      <w:pPr>
        <w:spacing w:after="0" w:line="45" w:lineRule="exact"/>
        <w:rPr>
          <w:sz w:val="20"/>
          <w:szCs w:val="20"/>
          <w:color w:val="auto"/>
        </w:rPr>
      </w:pPr>
    </w:p>
    <w:p>
      <w:pPr>
        <w:ind w:left="900" w:hanging="325"/>
        <w:spacing w:after="0" w:line="334"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Cable Communications</w:t>
      </w:r>
      <w:r>
        <w:rPr>
          <w:rFonts w:ascii="Arial" w:cs="Arial" w:eastAsia="Arial" w:hAnsi="Arial"/>
          <w:sz w:val="16"/>
          <w:szCs w:val="16"/>
          <w:color w:val="auto"/>
        </w:rPr>
        <w:t>: Consists of the operations of Comcast Cable, which is the nation’s largest provider of video, high-speed Internet and voice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to residential customers under the XFINITY brand, and Comcast Cable also provides these services to businesses.</w:t>
      </w:r>
    </w:p>
    <w:p>
      <w:pPr>
        <w:spacing w:after="0" w:line="1" w:lineRule="exact"/>
        <w:rPr>
          <w:rFonts w:ascii="Arial" w:cs="Arial" w:eastAsia="Arial" w:hAnsi="Arial"/>
          <w:sz w:val="16"/>
          <w:szCs w:val="16"/>
          <w:color w:val="auto"/>
        </w:rPr>
      </w:pPr>
    </w:p>
    <w:p>
      <w:pPr>
        <w:ind w:left="900" w:right="440" w:hanging="325"/>
        <w:spacing w:after="0" w:line="275"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NBCUniversal’s national cable networks, its regional sports and news networks, its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its cable television production operations, and its related digital media properties.</w:t>
      </w:r>
    </w:p>
    <w:p>
      <w:pPr>
        <w:spacing w:after="0" w:line="38" w:lineRule="exact"/>
        <w:rPr>
          <w:rFonts w:ascii="Arial" w:cs="Arial" w:eastAsia="Arial" w:hAnsi="Arial"/>
          <w:sz w:val="18"/>
          <w:szCs w:val="18"/>
          <w:color w:val="auto"/>
        </w:rPr>
      </w:pPr>
    </w:p>
    <w:p>
      <w:pPr>
        <w:ind w:left="900" w:right="460" w:hanging="325"/>
        <w:spacing w:after="0" w:line="334"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Broadcast Television</w:t>
      </w:r>
      <w:r>
        <w:rPr>
          <w:rFonts w:ascii="Arial" w:cs="Arial" w:eastAsia="Arial" w:hAnsi="Arial"/>
          <w:sz w:val="16"/>
          <w:szCs w:val="16"/>
          <w:color w:val="auto"/>
        </w:rPr>
        <w:t>: Consists primarily of NBCUniversal’s broadcast networks, NBC and Telemundo, its NBC and Telemundo owned local</w:t>
      </w:r>
      <w:r>
        <w:rPr>
          <w:rFonts w:ascii="Arial" w:cs="Arial" w:eastAsia="Arial" w:hAnsi="Arial"/>
          <w:sz w:val="16"/>
          <w:szCs w:val="16"/>
          <w:b w:val="1"/>
          <w:bCs w:val="1"/>
          <w:color w:val="auto"/>
        </w:rPr>
        <w:t xml:space="preserve"> </w:t>
      </w:r>
      <w:r>
        <w:rPr>
          <w:rFonts w:ascii="Arial" w:cs="Arial" w:eastAsia="Arial" w:hAnsi="Arial"/>
          <w:sz w:val="16"/>
          <w:szCs w:val="16"/>
          <w:color w:val="auto"/>
        </w:rPr>
        <w:t>broadcast television stations, its broadcast television production operations, and its related digital media properties.</w:t>
      </w:r>
    </w:p>
    <w:p>
      <w:pPr>
        <w:spacing w:after="0" w:line="1" w:lineRule="exact"/>
        <w:rPr>
          <w:rFonts w:ascii="Arial" w:cs="Arial" w:eastAsia="Arial" w:hAnsi="Arial"/>
          <w:sz w:val="16"/>
          <w:szCs w:val="16"/>
          <w:color w:val="auto"/>
        </w:rPr>
      </w:pPr>
    </w:p>
    <w:p>
      <w:pPr>
        <w:ind w:left="900" w:right="560" w:hanging="325"/>
        <w:spacing w:after="0" w:line="275"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w:t>
      </w:r>
    </w:p>
    <w:p>
      <w:pPr>
        <w:spacing w:after="0" w:line="38"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NBCUniversal’s Universal theme parks in Orlando and Hollywood.</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2012, the Cable Communications segment generated 63% of Comcast’s consolidated revenue and more than 80% of Comcast’s operating income before depreciation and amortization. The Cable Networks, Broadcast Television, Filmed Entertainment and Theme Parks segments comprise NBCUniversal’s businesses.</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a description of the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other filings incorporated by reference in this prospectus, see “Available Information” in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4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NBCUniversal is one of the world’s leading media and entertainment companies. It develops, produces and distributes entertainment, news and information, sports and other content for global audiences and owns and operates a diversified and integrated portfolio of some of the most recognizable media brands in the world.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Comcast Cable Holdings is a Delaware limited liability company (formerly known as AT&amp;T Broadband, LLC) formed in 1994. Comcast Cable Holdings is a wholly owned subsidiary of Comcast Cable.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 owned subsidiary of Comcast Cable.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of Delaware,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MO of Delaware, which was incorporated in 1996 as a Delaware corporation, became a Delaware limited liability company in 2003. Comcast MO of Delaware is an indirect wholly owned subsidiary of Comcast MO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97790</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principal executive offices of Comcast and the Guarantors other than NBCUniversal are located at One Comcast Center, Philadelphia, Pennsylvania 19103-2838, and our telephone number is (215) 286-1700.</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and NBCUniversal’s Annual Reports on Form 10-K for the year ended December 31, 2012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900" w:right="42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consumer behavior driven by new technologies may adversely affect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programming expenses for our video services are increasing, which could adversely affect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decline in advertising expenditures or changes in advertising markets could negatively impact our businesses;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which is difficult to predict, and its businesses may be adversely affected if its content fails to achieve sufficient consumer acceptance or our costs to acquire content increase;</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DVDs have been declining;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 and</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intend to pay quarterly dividends at an annual rate currently of $0.78 per share. Our Board of Directors retains the right to change our dividend policy at any time.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 COMBINED FIXED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CHARGES AND PREFERRED DIVIDENDS</w:t>
      </w:r>
    </w:p>
    <w:p>
      <w:pPr>
        <w:spacing w:after="0" w:line="16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60" w:type="dxa"/>
            <w:vAlign w:val="bottom"/>
          </w:tcPr>
          <w:p>
            <w:pPr>
              <w:jc w:val="center"/>
              <w:ind w:right="22"/>
              <w:spacing w:after="0"/>
              <w:rPr>
                <w:sz w:val="20"/>
                <w:szCs w:val="20"/>
                <w:color w:val="auto"/>
              </w:rPr>
            </w:pPr>
            <w:r>
              <w:rPr>
                <w:rFonts w:ascii="Arial" w:cs="Arial" w:eastAsia="Arial" w:hAnsi="Arial"/>
                <w:sz w:val="14"/>
                <w:szCs w:val="14"/>
                <w:b w:val="1"/>
                <w:bCs w:val="1"/>
                <w:color w:val="auto"/>
                <w:w w:val="87"/>
              </w:rPr>
              <w:t>For the Six Months</w:t>
            </w:r>
          </w:p>
        </w:tc>
        <w:tc>
          <w:tcPr>
            <w:tcW w:w="2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For the Years Ended December 31,</w:t>
            </w:r>
          </w:p>
        </w:tc>
        <w:tc>
          <w:tcPr>
            <w:tcW w:w="13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r>
      <w:tr>
        <w:trPr>
          <w:trHeight w:val="156"/>
        </w:trPr>
        <w:tc>
          <w:tcPr>
            <w:tcW w:w="1960" w:type="dxa"/>
            <w:vAlign w:val="bottom"/>
            <w:tcBorders>
              <w:bottom w:val="single" w:sz="8" w:color="auto"/>
            </w:tcBorders>
          </w:tcPr>
          <w:p>
            <w:pPr>
              <w:jc w:val="center"/>
              <w:ind w:right="42"/>
              <w:spacing w:after="0" w:line="155" w:lineRule="exact"/>
              <w:rPr>
                <w:sz w:val="20"/>
                <w:szCs w:val="20"/>
                <w:color w:val="auto"/>
              </w:rPr>
            </w:pPr>
            <w:r>
              <w:rPr>
                <w:rFonts w:ascii="Arial" w:cs="Arial" w:eastAsia="Arial" w:hAnsi="Arial"/>
                <w:sz w:val="14"/>
                <w:szCs w:val="14"/>
                <w:b w:val="1"/>
                <w:bCs w:val="1"/>
                <w:color w:val="auto"/>
                <w:w w:val="87"/>
              </w:rPr>
              <w:t>Ended June 30, 2013</w:t>
            </w:r>
          </w:p>
        </w:tc>
        <w:tc>
          <w:tcPr>
            <w:tcW w:w="2120" w:type="dxa"/>
            <w:vAlign w:val="bottom"/>
            <w:tcBorders>
              <w:bottom w:val="single" w:sz="8" w:color="auto"/>
            </w:tcBorders>
          </w:tcPr>
          <w:p>
            <w:pPr>
              <w:jc w:val="right"/>
              <w:ind w:right="822"/>
              <w:spacing w:after="0" w:line="155" w:lineRule="exact"/>
              <w:rPr>
                <w:sz w:val="20"/>
                <w:szCs w:val="20"/>
                <w:color w:val="auto"/>
              </w:rPr>
            </w:pPr>
            <w:r>
              <w:rPr>
                <w:rFonts w:ascii="Arial" w:cs="Arial" w:eastAsia="Arial" w:hAnsi="Arial"/>
                <w:sz w:val="14"/>
                <w:szCs w:val="14"/>
                <w:b w:val="1"/>
                <w:bCs w:val="1"/>
                <w:color w:val="auto"/>
              </w:rPr>
              <w:t>2012</w:t>
            </w:r>
          </w:p>
        </w:tc>
        <w:tc>
          <w:tcPr>
            <w:tcW w:w="142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2011</w:t>
            </w:r>
          </w:p>
        </w:tc>
        <w:tc>
          <w:tcPr>
            <w:tcW w:w="2800" w:type="dxa"/>
            <w:vAlign w:val="bottom"/>
            <w:tcBorders>
              <w:bottom w:val="single" w:sz="8" w:color="auto"/>
            </w:tcBorders>
          </w:tcPr>
          <w:p>
            <w:pPr>
              <w:jc w:val="right"/>
              <w:ind w:right="1146"/>
              <w:spacing w:after="0" w:line="155" w:lineRule="exact"/>
              <w:rPr>
                <w:sz w:val="20"/>
                <w:szCs w:val="20"/>
                <w:color w:val="auto"/>
              </w:rPr>
            </w:pPr>
            <w:r>
              <w:rPr>
                <w:rFonts w:ascii="Arial" w:cs="Arial" w:eastAsia="Arial" w:hAnsi="Arial"/>
                <w:sz w:val="14"/>
                <w:szCs w:val="14"/>
                <w:b w:val="1"/>
                <w:bCs w:val="1"/>
                <w:color w:val="auto"/>
              </w:rPr>
              <w:t>2010</w:t>
            </w: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2009</w:t>
            </w:r>
          </w:p>
        </w:tc>
        <w:tc>
          <w:tcPr>
            <w:tcW w:w="1760" w:type="dxa"/>
            <w:vAlign w:val="bottom"/>
            <w:tcBorders>
              <w:bottom w:val="single" w:sz="8" w:color="auto"/>
            </w:tcBorders>
          </w:tcPr>
          <w:p>
            <w:pPr>
              <w:jc w:val="right"/>
              <w:ind w:right="642"/>
              <w:spacing w:after="0" w:line="155" w:lineRule="exact"/>
              <w:rPr>
                <w:sz w:val="20"/>
                <w:szCs w:val="20"/>
                <w:color w:val="auto"/>
              </w:rPr>
            </w:pPr>
            <w:r>
              <w:rPr>
                <w:rFonts w:ascii="Arial" w:cs="Arial" w:eastAsia="Arial" w:hAnsi="Arial"/>
                <w:sz w:val="14"/>
                <w:szCs w:val="14"/>
                <w:b w:val="1"/>
                <w:bCs w:val="1"/>
                <w:color w:val="auto"/>
              </w:rPr>
              <w:t>2008</w:t>
            </w:r>
          </w:p>
        </w:tc>
      </w:tr>
      <w:tr>
        <w:trPr>
          <w:trHeight w:val="210"/>
        </w:trPr>
        <w:tc>
          <w:tcPr>
            <w:tcW w:w="83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89"/>
              </w:rPr>
              <w:t>Ratio of earnings to fixed charges and ratio of earnings to combined fixed charges and preferred dividends:</w:t>
            </w:r>
          </w:p>
        </w:tc>
        <w:tc>
          <w:tcPr>
            <w:tcW w:w="1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2"/>
        </w:trPr>
        <w:tc>
          <w:tcPr>
            <w:tcW w:w="1960" w:type="dxa"/>
            <w:vAlign w:val="bottom"/>
          </w:tcPr>
          <w:p>
            <w:pPr>
              <w:jc w:val="center"/>
              <w:ind w:right="42"/>
              <w:spacing w:after="0"/>
              <w:rPr>
                <w:sz w:val="20"/>
                <w:szCs w:val="20"/>
                <w:color w:val="auto"/>
              </w:rPr>
            </w:pPr>
            <w:r>
              <w:rPr>
                <w:rFonts w:ascii="Arial" w:cs="Arial" w:eastAsia="Arial" w:hAnsi="Arial"/>
                <w:sz w:val="18"/>
                <w:szCs w:val="18"/>
                <w:color w:val="auto"/>
                <w:w w:val="90"/>
              </w:rPr>
              <w:t>4.68x</w:t>
            </w:r>
          </w:p>
        </w:tc>
        <w:tc>
          <w:tcPr>
            <w:tcW w:w="2120" w:type="dxa"/>
            <w:vAlign w:val="bottom"/>
          </w:tcPr>
          <w:p>
            <w:pPr>
              <w:jc w:val="center"/>
              <w:ind w:left="2"/>
              <w:spacing w:after="0"/>
              <w:rPr>
                <w:sz w:val="20"/>
                <w:szCs w:val="20"/>
                <w:color w:val="auto"/>
              </w:rPr>
            </w:pPr>
            <w:r>
              <w:rPr>
                <w:rFonts w:ascii="Arial" w:cs="Arial" w:eastAsia="Arial" w:hAnsi="Arial"/>
                <w:sz w:val="18"/>
                <w:szCs w:val="18"/>
                <w:color w:val="auto"/>
                <w:w w:val="90"/>
              </w:rPr>
              <w:t>4.82x</w:t>
            </w:r>
          </w:p>
        </w:tc>
        <w:tc>
          <w:tcPr>
            <w:tcW w:w="1420" w:type="dxa"/>
            <w:vAlign w:val="bottom"/>
          </w:tcPr>
          <w:p>
            <w:pPr>
              <w:jc w:val="center"/>
              <w:ind w:left="582"/>
              <w:spacing w:after="0"/>
              <w:rPr>
                <w:sz w:val="20"/>
                <w:szCs w:val="20"/>
                <w:color w:val="auto"/>
              </w:rPr>
            </w:pPr>
            <w:r>
              <w:rPr>
                <w:rFonts w:ascii="Arial" w:cs="Arial" w:eastAsia="Arial" w:hAnsi="Arial"/>
                <w:sz w:val="18"/>
                <w:szCs w:val="18"/>
                <w:color w:val="auto"/>
                <w:w w:val="90"/>
              </w:rPr>
              <w:t>4.04x</w:t>
            </w:r>
          </w:p>
        </w:tc>
        <w:tc>
          <w:tcPr>
            <w:tcW w:w="2800" w:type="dxa"/>
            <w:vAlign w:val="bottom"/>
          </w:tcPr>
          <w:p>
            <w:pPr>
              <w:jc w:val="center"/>
              <w:ind w:left="26"/>
              <w:spacing w:after="0"/>
              <w:rPr>
                <w:sz w:val="20"/>
                <w:szCs w:val="20"/>
                <w:color w:val="auto"/>
              </w:rPr>
            </w:pPr>
            <w:r>
              <w:rPr>
                <w:rFonts w:ascii="Arial" w:cs="Arial" w:eastAsia="Arial" w:hAnsi="Arial"/>
                <w:sz w:val="18"/>
                <w:szCs w:val="18"/>
                <w:color w:val="auto"/>
                <w:w w:val="86"/>
              </w:rPr>
              <w:t>3.57x</w:t>
            </w:r>
          </w:p>
        </w:tc>
        <w:tc>
          <w:tcPr>
            <w:tcW w:w="1360" w:type="dxa"/>
            <w:vAlign w:val="bottom"/>
          </w:tcPr>
          <w:p>
            <w:pPr>
              <w:jc w:val="center"/>
              <w:ind w:right="362"/>
              <w:spacing w:after="0"/>
              <w:rPr>
                <w:sz w:val="20"/>
                <w:szCs w:val="20"/>
                <w:color w:val="auto"/>
              </w:rPr>
            </w:pPr>
            <w:r>
              <w:rPr>
                <w:rFonts w:ascii="Arial" w:cs="Arial" w:eastAsia="Arial" w:hAnsi="Arial"/>
                <w:sz w:val="18"/>
                <w:szCs w:val="18"/>
                <w:color w:val="auto"/>
                <w:w w:val="90"/>
              </w:rPr>
              <w:t>3.01x</w:t>
            </w:r>
          </w:p>
        </w:tc>
        <w:tc>
          <w:tcPr>
            <w:tcW w:w="1760" w:type="dxa"/>
            <w:vAlign w:val="bottom"/>
          </w:tcPr>
          <w:p>
            <w:pPr>
              <w:jc w:val="center"/>
              <w:spacing w:after="0"/>
              <w:rPr>
                <w:sz w:val="20"/>
                <w:szCs w:val="20"/>
                <w:color w:val="auto"/>
              </w:rPr>
            </w:pPr>
            <w:r>
              <w:rPr>
                <w:rFonts w:ascii="Arial" w:cs="Arial" w:eastAsia="Arial" w:hAnsi="Arial"/>
                <w:sz w:val="18"/>
                <w:szCs w:val="18"/>
                <w:color w:val="auto"/>
                <w:w w:val="86"/>
              </w:rPr>
              <w:t>2.49x</w:t>
            </w:r>
          </w:p>
        </w:tc>
      </w:tr>
    </w:tbl>
    <w:p>
      <w:pPr>
        <w:spacing w:after="0" w:line="161"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23"/>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Our debt securities, consisting of notes, debentures or other evidences of indebtedness, may be issued from time to time in one or more series under a senior indenture dated September 18, 2013, entered into among us, the Guarantors and The Bank of New York Mellon, as trustee.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is included as an exhibit to the registration statement of which this prospectus is a part.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900" w:right="56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Debt</w:t>
      </w:r>
      <w:r>
        <w:rPr>
          <w:rFonts w:ascii="Arial" w:cs="Arial" w:eastAsia="Arial" w:hAnsi="Arial"/>
          <w:sz w:val="18"/>
          <w:szCs w:val="18"/>
          <w:color w:val="auto"/>
        </w:rPr>
        <w:t>” means, with respect to an Obligor, the sum of the following as of the date of determination:</w:t>
      </w:r>
    </w:p>
    <w:p>
      <w:pPr>
        <w:spacing w:after="0" w:line="96" w:lineRule="exact"/>
        <w:rPr>
          <w:sz w:val="20"/>
          <w:szCs w:val="20"/>
          <w:color w:val="auto"/>
        </w:rPr>
      </w:pPr>
    </w:p>
    <w:p>
      <w:pPr>
        <w:ind w:right="320" w:firstLine="464"/>
        <w:spacing w:after="0" w:line="268"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and</w:t>
      </w:r>
    </w:p>
    <w:p>
      <w:pPr>
        <w:spacing w:after="0" w:line="131" w:lineRule="exact"/>
        <w:rPr>
          <w:rFonts w:ascii="Arial" w:cs="Arial" w:eastAsia="Arial" w:hAnsi="Arial"/>
          <w:sz w:val="18"/>
          <w:szCs w:val="18"/>
          <w:color w:val="auto"/>
        </w:rPr>
      </w:pPr>
    </w:p>
    <w:p>
      <w:pPr>
        <w:ind w:right="460" w:firstLine="464"/>
        <w:spacing w:after="0" w:line="268"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w:t>
      </w: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Liens</w:t>
      </w:r>
      <w:r>
        <w:rPr>
          <w:rFonts w:ascii="Arial" w:cs="Arial" w:eastAsia="Arial" w:hAnsi="Arial"/>
          <w:sz w:val="18"/>
          <w:szCs w:val="18"/>
          <w:color w:val="auto"/>
        </w:rPr>
        <w:t>” means in connection with a sale and lease-back transaction of an Obligor the lesser of:</w:t>
      </w:r>
    </w:p>
    <w:p>
      <w:pPr>
        <w:spacing w:after="0" w:line="96" w:lineRule="exact"/>
        <w:rPr>
          <w:sz w:val="20"/>
          <w:szCs w:val="20"/>
          <w:color w:val="auto"/>
        </w:rPr>
      </w:pPr>
    </w:p>
    <w:p>
      <w:pPr>
        <w:ind w:right="480" w:firstLine="464"/>
        <w:spacing w:after="0" w:line="268"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34"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97"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Worth</w:t>
      </w:r>
      <w:r>
        <w:rPr>
          <w:rFonts w:ascii="Arial" w:cs="Arial" w:eastAsia="Arial" w:hAnsi="Arial"/>
          <w:sz w:val="18"/>
          <w:szCs w:val="18"/>
          <w:color w:val="auto"/>
        </w:rPr>
        <w:t>” of any Person means, as of any date of determination, stockholders’ equity or members’ capital of such Person as reflected on the most recent consolidated balance sheet of such Person and prepared in accordance with GAAP.</w:t>
      </w:r>
    </w:p>
    <w:p>
      <w:pPr>
        <w:spacing w:after="0" w:line="120" w:lineRule="exact"/>
        <w:rPr>
          <w:sz w:val="20"/>
          <w:szCs w:val="20"/>
          <w:color w:val="auto"/>
        </w:rPr>
      </w:pPr>
    </w:p>
    <w:p>
      <w:pPr>
        <w:ind w:right="80" w:firstLine="456"/>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89" w:lineRule="exact"/>
        <w:rPr>
          <w:sz w:val="20"/>
          <w:szCs w:val="20"/>
          <w:color w:val="auto"/>
        </w:rPr>
      </w:pPr>
    </w:p>
    <w:p>
      <w:pPr>
        <w:ind w:right="160" w:firstLine="456"/>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Governmental Obligations</w:t>
      </w:r>
      <w:r>
        <w:rPr>
          <w:rFonts w:ascii="Arial" w:cs="Arial" w:eastAsia="Arial" w:hAnsi="Arial"/>
          <w:sz w:val="15"/>
          <w:szCs w:val="15"/>
          <w:color w:val="auto"/>
        </w:rPr>
        <w:t>”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0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08"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us and the Guarantors.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with respect to an Obligor:</w:t>
      </w:r>
    </w:p>
    <w:p>
      <w:pPr>
        <w:spacing w:after="0" w:line="96" w:lineRule="exact"/>
        <w:rPr>
          <w:sz w:val="20"/>
          <w:szCs w:val="20"/>
          <w:color w:val="auto"/>
        </w:rPr>
      </w:pPr>
    </w:p>
    <w:p>
      <w:pPr>
        <w:ind w:right="120" w:firstLine="464"/>
        <w:spacing w:after="0" w:line="259"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20" w:lineRule="exact"/>
        <w:rPr>
          <w:sz w:val="20"/>
          <w:szCs w:val="20"/>
          <w:color w:val="auto"/>
        </w:rPr>
      </w:pPr>
    </w:p>
    <w:p>
      <w:pPr>
        <w:ind w:left="700" w:hanging="236"/>
        <w:spacing w:after="0"/>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 with the importation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goods;</w:t>
      </w:r>
    </w:p>
    <w:p>
      <w:pPr>
        <w:spacing w:after="0" w:line="164" w:lineRule="exact"/>
        <w:rPr>
          <w:rFonts w:ascii="Arial" w:cs="Arial" w:eastAsia="Arial" w:hAnsi="Arial"/>
          <w:sz w:val="16"/>
          <w:szCs w:val="16"/>
          <w:color w:val="auto"/>
        </w:rPr>
      </w:pPr>
    </w:p>
    <w:p>
      <w:pPr>
        <w:ind w:right="60" w:firstLine="464"/>
        <w:spacing w:after="0" w:line="268"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right="160" w:firstLine="464"/>
        <w:spacing w:after="0" w:line="268"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right="360" w:firstLine="464"/>
        <w:spacing w:after="0" w:line="259" w:lineRule="auto"/>
        <w:tabs>
          <w:tab w:leader="none" w:pos="6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ind w:right="320" w:firstLine="464"/>
        <w:spacing w:after="0" w:line="259"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40" w:lineRule="exact"/>
        <w:rPr>
          <w:rFonts w:ascii="Arial" w:cs="Arial" w:eastAsia="Arial" w:hAnsi="Arial"/>
          <w:sz w:val="18"/>
          <w:szCs w:val="18"/>
          <w:color w:val="auto"/>
        </w:rPr>
      </w:pPr>
    </w:p>
    <w:p>
      <w:pPr>
        <w:ind w:right="360" w:firstLine="464"/>
        <w:spacing w:after="0" w:line="268" w:lineRule="auto"/>
        <w:tabs>
          <w:tab w:leader="none" w:pos="666"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right="380" w:firstLine="464"/>
        <w:spacing w:after="0" w:line="268" w:lineRule="auto"/>
        <w:tabs>
          <w:tab w:leader="none" w:pos="666"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64"/>
        <w:spacing w:after="0" w:line="268" w:lineRule="auto"/>
        <w:tabs>
          <w:tab w:leader="none" w:pos="754" w:val="left"/>
        </w:tabs>
        <w:numPr>
          <w:ilvl w:val="1"/>
          <w:numId w:val="30"/>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right="240" w:firstLine="464"/>
        <w:spacing w:after="0" w:line="268" w:lineRule="auto"/>
        <w:tabs>
          <w:tab w:leader="none" w:pos="705" w:val="left"/>
        </w:tabs>
        <w:numPr>
          <w:ilvl w:val="1"/>
          <w:numId w:val="30"/>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right="600" w:firstLine="464"/>
        <w:spacing w:after="0" w:line="268" w:lineRule="auto"/>
        <w:tabs>
          <w:tab w:leader="none" w:pos="705" w:val="left"/>
        </w:tabs>
        <w:numPr>
          <w:ilvl w:val="1"/>
          <w:numId w:val="30"/>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firstLine="464"/>
        <w:spacing w:after="0" w:line="332" w:lineRule="auto"/>
        <w:tabs>
          <w:tab w:leader="none" w:pos="705" w:val="left"/>
        </w:tabs>
        <w:numPr>
          <w:ilvl w:val="1"/>
          <w:numId w:val="30"/>
        </w:numPr>
        <w:rPr>
          <w:rFonts w:ascii="Arial" w:cs="Arial" w:eastAsia="Arial" w:hAnsi="Arial"/>
          <w:sz w:val="16"/>
          <w:szCs w:val="16"/>
          <w:color w:val="auto"/>
        </w:rPr>
      </w:pPr>
      <w:r>
        <w:rPr>
          <w:rFonts w:ascii="Arial" w:cs="Arial" w:eastAsia="Arial" w:hAnsi="Arial"/>
          <w:sz w:val="16"/>
          <w:szCs w:val="16"/>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85" w:lineRule="exact"/>
        <w:rPr>
          <w:rFonts w:ascii="Arial" w:cs="Arial" w:eastAsia="Arial" w:hAnsi="Arial"/>
          <w:sz w:val="16"/>
          <w:szCs w:val="16"/>
          <w:color w:val="auto"/>
        </w:rPr>
      </w:pPr>
    </w:p>
    <w:p>
      <w:pPr>
        <w:ind w:right="200" w:firstLine="464"/>
        <w:spacing w:after="0" w:line="286" w:lineRule="auto"/>
        <w:tabs>
          <w:tab w:leader="none" w:pos="676" w:val="left"/>
        </w:tabs>
        <w:numPr>
          <w:ilvl w:val="1"/>
          <w:numId w:val="30"/>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w:t>
      </w: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attaching to other prepayments, deposits or earnest money in the ordinary course of business; and</w:t>
      </w:r>
    </w:p>
    <w:p>
      <w:pPr>
        <w:spacing w:after="0" w:line="164" w:lineRule="exact"/>
        <w:rPr>
          <w:rFonts w:ascii="Arial" w:cs="Arial" w:eastAsia="Arial" w:hAnsi="Arial"/>
          <w:sz w:val="18"/>
          <w:szCs w:val="18"/>
          <w:color w:val="auto"/>
        </w:rPr>
      </w:pPr>
    </w:p>
    <w:p>
      <w:pPr>
        <w:ind w:left="700" w:hanging="236"/>
        <w:spacing w:after="0"/>
        <w:tabs>
          <w:tab w:leader="none" w:pos="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65"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Property</w:t>
      </w:r>
      <w:r>
        <w:rPr>
          <w:rFonts w:ascii="Arial" w:cs="Arial" w:eastAsia="Arial" w:hAnsi="Arial"/>
          <w:sz w:val="16"/>
          <w:szCs w:val="16"/>
          <w:color w:val="auto"/>
        </w:rPr>
        <w:t>” means with respect to any Person any property or asset, whether real, personal or mixed, or tangible or intangible, including shares of capital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59"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12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Limitation on Liens Securing Indebtedness. </w:t>
      </w:r>
      <w:r>
        <w:rPr>
          <w:rFonts w:ascii="Arial" w:cs="Arial" w:eastAsia="Arial" w:hAnsi="Arial"/>
          <w:sz w:val="18"/>
          <w:szCs w:val="18"/>
          <w:color w:val="auto"/>
        </w:rPr>
        <w:t>With respect to the senior debt securities of each series, each Obligor will covenant under the senior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r>
        <w:rPr>
          <w:rFonts w:ascii="Arial" w:cs="Arial" w:eastAsia="Arial" w:hAnsi="Arial"/>
          <w:sz w:val="18"/>
          <w:szCs w:val="18"/>
          <w:i w:val="1"/>
          <w:iCs w:val="1"/>
          <w:color w:val="auto"/>
        </w:rPr>
        <w:t>:</w:t>
      </w:r>
    </w:p>
    <w:p>
      <w:pPr>
        <w:spacing w:after="0" w:line="62"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900" w:right="20" w:hanging="325"/>
        <w:spacing w:after="0" w:line="323" w:lineRule="auto"/>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16" w:lineRule="exact"/>
        <w:rPr>
          <w:rFonts w:ascii="Arial" w:cs="Arial" w:eastAsia="Arial" w:hAnsi="Arial"/>
          <w:sz w:val="15"/>
          <w:szCs w:val="15"/>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1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With respect to the senior debt securities of each series, each Obligor will covenant under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above; or</w:t>
      </w:r>
    </w:p>
    <w:p>
      <w:pPr>
        <w:spacing w:after="0" w:line="59"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We will not consolidate or combine with or merge with or into or, directly or indirectly, sell, assign, convey,</w:t>
      </w:r>
      <w:r>
        <w:rPr>
          <w:rFonts w:ascii="Arial" w:cs="Arial" w:eastAsia="Arial" w:hAnsi="Arial"/>
          <w:sz w:val="18"/>
          <w:szCs w:val="18"/>
          <w:i w:val="1"/>
          <w:iCs w:val="1"/>
          <w:color w:val="auto"/>
        </w:rPr>
        <w:t xml:space="preserve"> </w:t>
      </w:r>
      <w:r>
        <w:rPr>
          <w:rFonts w:ascii="Arial" w:cs="Arial" w:eastAsia="Arial" w:hAnsi="Arial"/>
          <w:sz w:val="18"/>
          <w:szCs w:val="18"/>
          <w:color w:val="auto"/>
        </w:rPr>
        <w:t>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59" w:lineRule="exact"/>
        <w:rPr>
          <w:sz w:val="20"/>
          <w:szCs w:val="20"/>
          <w:color w:val="auto"/>
        </w:rPr>
      </w:pPr>
    </w:p>
    <w:p>
      <w:pPr>
        <w:ind w:left="900" w:right="30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113" w:lineRule="exact"/>
        <w:rPr>
          <w:rFonts w:ascii="Arial" w:cs="Arial" w:eastAsia="Arial" w:hAnsi="Arial"/>
          <w:sz w:val="16"/>
          <w:szCs w:val="16"/>
          <w:color w:val="auto"/>
        </w:rPr>
      </w:pPr>
    </w:p>
    <w:p>
      <w:pPr>
        <w:ind w:left="900" w:right="42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900" w:right="2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be substituted for, and may exercise every right and power of ours under the indenture with the same effect 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permitted under “—</w:t>
      </w: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the indenture requires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Information. </w:t>
      </w:r>
      <w:r>
        <w:rPr>
          <w:rFonts w:ascii="Arial" w:cs="Arial" w:eastAsia="Arial" w:hAnsi="Arial"/>
          <w:sz w:val="18"/>
          <w:szCs w:val="18"/>
          <w:color w:val="auto"/>
        </w:rPr>
        <w:t>We will furnish to the trustee any document or report we are required to file with the SEC pursuant to Section 13 or Section 15(d)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90" w:lineRule="exact"/>
        <w:rPr>
          <w:sz w:val="20"/>
          <w:szCs w:val="20"/>
          <w:color w:val="auto"/>
        </w:rPr>
      </w:pPr>
    </w:p>
    <w:p>
      <w:pPr>
        <w:ind w:left="700" w:hanging="236"/>
        <w:spacing w:after="0"/>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default in paying interest on the senior debt securities of such series when it becomes due and the default continues for a period of 30 days or more;</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right="180" w:firstLine="464"/>
        <w:spacing w:after="0" w:line="256"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terminate our obligations and the obligations of the Guarantors under the indenture with respect to the senior debt securities of any series and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Guarantees of such series of senior debt securities, when:</w:t>
      </w:r>
    </w:p>
    <w:p>
      <w:pPr>
        <w:spacing w:after="0" w:line="84"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80" w:right="440" w:hanging="446"/>
        <w:spacing w:after="0" w:line="268"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480" w:right="40" w:hanging="446"/>
        <w:spacing w:after="0" w:line="294" w:lineRule="auto"/>
        <w:tabs>
          <w:tab w:leader="none" w:pos="14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34"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900" w:right="460" w:hanging="325"/>
        <w:spacing w:after="0" w:line="370" w:lineRule="auto"/>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6"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jc w:val="both"/>
        <w:ind w:left="900" w:right="20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59"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w:t>
      </w:r>
      <w:r>
        <w:rPr>
          <w:rFonts w:ascii="Arial" w:cs="Arial" w:eastAsia="Arial" w:hAnsi="Arial"/>
          <w:sz w:val="18"/>
          <w:szCs w:val="18"/>
          <w:i w:val="1"/>
          <w:iCs w:val="1"/>
          <w:color w:val="auto"/>
        </w:rPr>
        <w:t>Events of Default</w:t>
      </w:r>
      <w:r>
        <w:rPr>
          <w:rFonts w:ascii="Arial" w:cs="Arial" w:eastAsia="Arial" w:hAnsi="Arial"/>
          <w:sz w:val="18"/>
          <w:szCs w:val="18"/>
          <w:color w:val="auto"/>
        </w:rPr>
        <w:t>” will no longer constitute an event of default for that series.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900" w:right="440" w:hanging="325"/>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900" w:right="100" w:hanging="325"/>
        <w:spacing w:after="0" w:line="298"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the case of legal defeasance, we have delivered to the trustee an opinion of counsel stating that, as a result of an Internal Revenue Service (“IRS”) ruling or a change in applicable federal income tax law, the holders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31"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the case of covenant defeasance, we have delivered to the trustee an opinion of counsel to the effect that the holders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25"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31"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9" w:lineRule="exact"/>
        <w:rPr>
          <w:rFonts w:ascii="Arial" w:cs="Arial" w:eastAsia="Arial" w:hAnsi="Arial"/>
          <w:sz w:val="18"/>
          <w:szCs w:val="18"/>
          <w:color w:val="auto"/>
        </w:rPr>
      </w:pPr>
    </w:p>
    <w:p>
      <w:pPr>
        <w:ind w:left="900" w:right="460" w:hanging="325"/>
        <w:spacing w:after="0" w:line="357" w:lineRule="auto"/>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ind w:left="900" w:right="4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900" w:right="46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9" w:lineRule="exact"/>
        <w:rPr>
          <w:sz w:val="20"/>
          <w:szCs w:val="20"/>
          <w:color w:val="auto"/>
        </w:rPr>
      </w:pPr>
    </w:p>
    <w:p>
      <w:pPr>
        <w:ind w:left="900" w:right="18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 future stockholder, employee, officer or director, as such, of us, any Guarantor, or of any of their respective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senior indenture, including any Guarantee, and each senior debt security is governed by and construed in accordance with the laws of the State of New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the Chairman and Chief Executive Officer and a director of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stock dividends on, or stock splits of, our Class B common stock may also be paid or issued in shares of our Class A Special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pay quarterly dividends at an annual rate currently of $0.78 per share. See “Dividend Policy”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6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As of December 31, 2012, on all matters submitted for a vote of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aggregate voting power of our capital stock. As of December 31, 2012, our Class B common stock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common stock. This nondilutable voting power is subject to proportional decrease to the extent the number of shares of Class B common stock is reduced below 9,444,375, subject to adjustment in specified situations. Stock dividends payable on the Class B common stock in the form of Class B or Class A Special common stock do not decrease the nondilutable voting power of the Class B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Except as required by law, holders of Class A Special common stock and Class A common stock have no specific approval rights over any corporate actions. Holders of our Class B common stock have an approval right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or Class A Special common stock. As of June 30, 2013, if Mr. Roberts were to convert the Class B common stock he beneficially owns into Class A common stock, Mr. Roberts would beneficially own 13,993,718 shares of Class A common stock, which is less than 1% of the Class A common stock that would be outstanding after the conversion.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common stock offered hereby, or issuable upon conversion, exchange or exercise of securities offered hereby, will, when issued, be, fully paid and nonassessable.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We have been advised that the Class A common stock and Class A Special common stock are exempt from existing Pennsylvania personal property tax.</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transfer agent and registrar for our Class A Special common stock and Class A common stock is Wells Fargo Shareowner Services, P.O. Box 64874, 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Paul, Minnesota 55164-0874 . Their telephone number is (888) 883-8903.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 xml:space="preserve">As to matters governed by Pennsylvania law, Arthur R. Block, Esquire, Senior Vice President, General Counsel and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w:t>
      </w:r>
      <w:r>
        <w:rPr>
          <w:rFonts w:ascii="Arial" w:cs="Arial" w:eastAsia="Arial" w:hAnsi="Arial"/>
          <w:sz w:val="14"/>
          <w:szCs w:val="14"/>
          <w:color w:val="auto"/>
        </w:rPr>
        <w:t>LLP</w:t>
      </w:r>
      <w:r>
        <w:rPr>
          <w:rFonts w:ascii="Arial" w:cs="Arial" w:eastAsia="Arial" w:hAnsi="Arial"/>
          <w:sz w:val="18"/>
          <w:szCs w:val="18"/>
          <w:color w:val="auto"/>
        </w:rPr>
        <w:t xml:space="preserve"> will represent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consolidated financial statements of Comcast Corporation and subsidiaries, incorporated herein by reference from Comcast Corporation’s Current Report on Form 8-K filed with the SEC on September 18, 2013, the related financial statement schedule incorporated in this prospectus by reference from Comcast Corporation’s Annual Report on Form 10-K for the year ended December 31, 2012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2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NBC Universal, Inc. and its subsidiaries (predecessor) and NBCUniversal Media, LLC and its subsidiaries (successor) for the period from January 1, 2011 to January 28, 2011 (predecessor period) and for the period from January 29, 2011 to December 31, 2011 and for the year ended December 31, 2012 (successor period), incorporated in this prospectus by reference from NBCUniversal Media, LLC’s Annual Report on Form 10-K for the year ended December 31, 2012 have been audited by Deloitte &amp; Touche LLP, an independent registered public accounting firm, as stated in their reports (which report on the consolidated financial statements expresses an unqualified opinion and includes an explanatory paragraph referring to General Electric Company’s transaction with Comcast Corporation on January 28, 2011),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8"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The consolidated financial statements and financial statement schedule of NBC Universal, Inc. and its consolidated subsidiaries for the year ended December 31, 2010 (predecessor), appearing in the 2012 Annual Report on Form 10-K of NBCUniversal Media, LLC incorporated in this prospectus by reference from NBCUniversal Media, LLC’s Annual Report on Form 10-K for the year ended December 31, 2012, have been audited by KPMG LLP, an independent registered public accounting firm, as stated in their report, which is incorporated herein by reference. Such consolidated financial statements and consolidated financial statement schedule have been so incorporated in reliance upon the report of KPMG LLP as experts in accounting and auditing.</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Comcast and NBCUniversal file annual, quarterly and special reports and other information with the SEC. Comcast Cable, Comcast Cable Holdings, Comcast MO Group and Comcast MO of Delaware do not currently file information with the SEC. Although the Guarantors other than NBCUniversal would normally be required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 xml:space="preserve">file information with the SEC on an ongoing basis, we expect that these Guarantors will be exempt from this filing obligation for as long as we continue to file our information with the SEC. You may read and copy any document we or NBCUniversal files at the SEC’s public reference room located at 100 F Street, NE, Washington, D.C. 20549. Please call the SEC at 1-800-SEC-0330 for further information on the public reference rooms. Our and NBCUniversal’s SEC filings, including the complete registration statement and all of the exhibits to it, are available through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in any free writing prospectus prepared by or on behalf of us or to which we have referred you and in material we or NBCUniversal file with the SEC and incorporate by reference herein.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any such free writing prospectus and our and NBCUniversal’s filings with the SEC is accurate as of any date other than their respective dates.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SEC allows us to “incorporate by reference” the information we and NBCUniversal file with them, which means that we and NBCUniversal can disclose important information to you by referring you directly to those documents. The information incorporated by reference is considered to be part of this prospectus. In addition, information we or NBCUniversal files with the SEC in the future will automatically update and supersede information contained in this prospectus and any accompanying prospectus supplement.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Comcast’s Annual Report on Form 10-K for the year ended December 31, 2012, filed on February 21, 2013.</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Comcast’s Quarterly Report on Form 10-Q for the quarterly period ended March 31, 2013, filed on May 1, 2013 and for the quarterly period ended June 30, 2013, filed on July 31, 2013.</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Comcast’s Current Reports on Form 8-K filed on January 9, 2013, February 12, 2013 (except to the extent information is furnished pursuant to Item 7.01), March 19, 2013, March 27, 2013, May 16, 2013, July 24, 2013, August 16, 2013 and September 18, 2013.</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section of Comcast’s Definitive Proxy Statement on Schedule 14A for the 2013 annual meeting of shareholders incorporated by reference in Comcast’s Annual Report on Form 10-K for the year ended December 31, 2012.</w:t>
      </w:r>
    </w:p>
    <w:p>
      <w:pPr>
        <w:spacing w:after="0" w:line="50"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Comcast’s Current Report on Form 8-K12G3 and Registration Statement on Form 8-A12G, each filed on November 18, 2002, as amended by our Registration Statement on Form 8-A12B/A filed on December 20, 2010, as the same may be further amended from time to time.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NBCUniversal’s Annual Report on Form 10-K for the year ended December 31, 2012, filed on February 21, 2013.</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NBCUniversal’s Quarterly Report on Form 10-Q for the quarterly period ended March 31, 2013, filed on May 1, 2013 and for the quarterly period ended June 30, 2013, filed on July 31, 2013.</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NBCUniversal’s Current Reports on Form 8-K dated February 12, 2013 (except to the extent information is furnished pursuant to Item 7.01), March 19, 2013 and March 27, 2013.</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906145</wp:posOffset>
            </wp:positionV>
            <wp:extent cx="1397635" cy="4889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880" w:right="2680"/>
        <w:spacing w:after="0" w:line="288" w:lineRule="auto"/>
        <w:rPr>
          <w:sz w:val="20"/>
          <w:szCs w:val="20"/>
          <w:color w:val="auto"/>
        </w:rPr>
      </w:pPr>
      <w:r>
        <w:rPr>
          <w:rFonts w:ascii="Arial" w:cs="Arial" w:eastAsia="Arial" w:hAnsi="Arial"/>
          <w:sz w:val="31"/>
          <w:szCs w:val="31"/>
          <w:b w:val="1"/>
          <w:bCs w:val="1"/>
          <w:color w:val="auto"/>
        </w:rPr>
        <w:t>$1,000,000,000 3.375% Notes due 2025 $1,000,000,000 4.200% Notes due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1240790</wp:posOffset>
            </wp:positionV>
            <wp:extent cx="15176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22"/>
          <w:szCs w:val="22"/>
          <w:i w:val="1"/>
          <w:iCs w:val="1"/>
          <w:color w:val="auto"/>
        </w:rPr>
        <w:t>Joint Book-Running Managers</w:t>
      </w:r>
    </w:p>
    <w:p>
      <w:pPr>
        <w:spacing w:after="0" w:line="186" w:lineRule="exact"/>
        <w:rPr>
          <w:sz w:val="20"/>
          <w:szCs w:val="20"/>
          <w:color w:val="auto"/>
        </w:rPr>
      </w:pPr>
    </w:p>
    <w:tbl>
      <w:tblPr>
        <w:tblLayout w:type="fixed"/>
        <w:tblInd w:w="240" w:type="dxa"/>
        <w:tblCellMar>
          <w:top w:w="0" w:type="dxa"/>
          <w:left w:w="0" w:type="dxa"/>
          <w:bottom w:w="0" w:type="dxa"/>
          <w:right w:w="0" w:type="dxa"/>
        </w:tblCellMar>
      </w:tblPr>
      <w:tr>
        <w:trPr>
          <w:trHeight w:val="284"/>
        </w:trPr>
        <w:tc>
          <w:tcPr>
            <w:tcW w:w="1380" w:type="dxa"/>
            <w:vAlign w:val="bottom"/>
          </w:tcPr>
          <w:p>
            <w:pPr>
              <w:spacing w:after="0"/>
              <w:rPr>
                <w:sz w:val="20"/>
                <w:szCs w:val="20"/>
                <w:color w:val="auto"/>
              </w:rPr>
            </w:pPr>
            <w:r>
              <w:rPr>
                <w:rFonts w:ascii="Arial" w:cs="Arial" w:eastAsia="Arial" w:hAnsi="Arial"/>
                <w:sz w:val="24"/>
                <w:szCs w:val="24"/>
                <w:b w:val="1"/>
                <w:bCs w:val="1"/>
                <w:color w:val="auto"/>
                <w:w w:val="88"/>
              </w:rPr>
              <w:t>Credit Suisse</w:t>
            </w:r>
          </w:p>
        </w:tc>
        <w:tc>
          <w:tcPr>
            <w:tcW w:w="2560" w:type="dxa"/>
            <w:vAlign w:val="bottom"/>
          </w:tcPr>
          <w:p>
            <w:pPr>
              <w:jc w:val="center"/>
              <w:spacing w:after="0"/>
              <w:rPr>
                <w:sz w:val="20"/>
                <w:szCs w:val="20"/>
                <w:color w:val="auto"/>
              </w:rPr>
            </w:pPr>
            <w:r>
              <w:rPr>
                <w:rFonts w:ascii="Arial" w:cs="Arial" w:eastAsia="Arial" w:hAnsi="Arial"/>
                <w:sz w:val="24"/>
                <w:szCs w:val="24"/>
                <w:b w:val="1"/>
                <w:bCs w:val="1"/>
                <w:color w:val="auto"/>
                <w:w w:val="92"/>
              </w:rPr>
              <w:t>J.P. Morgan</w:t>
            </w:r>
          </w:p>
        </w:tc>
        <w:tc>
          <w:tcPr>
            <w:tcW w:w="2500" w:type="dxa"/>
            <w:vAlign w:val="bottom"/>
            <w:gridSpan w:val="2"/>
          </w:tcPr>
          <w:p>
            <w:pPr>
              <w:ind w:left="40"/>
              <w:spacing w:after="0"/>
              <w:rPr>
                <w:sz w:val="20"/>
                <w:szCs w:val="20"/>
                <w:color w:val="auto"/>
              </w:rPr>
            </w:pPr>
            <w:r>
              <w:rPr>
                <w:rFonts w:ascii="Arial" w:cs="Arial" w:eastAsia="Arial" w:hAnsi="Arial"/>
                <w:sz w:val="24"/>
                <w:szCs w:val="24"/>
                <w:b w:val="1"/>
                <w:bCs w:val="1"/>
                <w:color w:val="auto"/>
              </w:rPr>
              <w:t>Lloyds Securities</w:t>
            </w:r>
          </w:p>
        </w:tc>
        <w:tc>
          <w:tcPr>
            <w:tcW w:w="1960" w:type="dxa"/>
            <w:vAlign w:val="bottom"/>
            <w:gridSpan w:val="2"/>
          </w:tcPr>
          <w:p>
            <w:pPr>
              <w:ind w:left="40"/>
              <w:spacing w:after="0"/>
              <w:rPr>
                <w:sz w:val="20"/>
                <w:szCs w:val="20"/>
                <w:color w:val="auto"/>
              </w:rPr>
            </w:pPr>
            <w:r>
              <w:rPr>
                <w:rFonts w:ascii="Arial" w:cs="Arial" w:eastAsia="Arial" w:hAnsi="Arial"/>
                <w:sz w:val="24"/>
                <w:szCs w:val="24"/>
                <w:b w:val="1"/>
                <w:bCs w:val="1"/>
                <w:color w:val="auto"/>
                <w:w w:val="93"/>
              </w:rPr>
              <w:t>Mizuho Securities</w:t>
            </w:r>
          </w:p>
        </w:tc>
        <w:tc>
          <w:tcPr>
            <w:tcW w:w="2580" w:type="dxa"/>
            <w:vAlign w:val="bottom"/>
          </w:tcPr>
          <w:p>
            <w:pPr>
              <w:jc w:val="center"/>
              <w:ind w:left="481"/>
              <w:spacing w:after="0"/>
              <w:rPr>
                <w:sz w:val="20"/>
                <w:szCs w:val="20"/>
                <w:color w:val="auto"/>
              </w:rPr>
            </w:pPr>
            <w:r>
              <w:rPr>
                <w:rFonts w:ascii="Arial" w:cs="Arial" w:eastAsia="Arial" w:hAnsi="Arial"/>
                <w:sz w:val="24"/>
                <w:szCs w:val="24"/>
                <w:b w:val="1"/>
                <w:bCs w:val="1"/>
                <w:color w:val="auto"/>
                <w:w w:val="89"/>
              </w:rPr>
              <w:t>SunTrust Robinson</w:t>
            </w:r>
          </w:p>
        </w:tc>
        <w:tc>
          <w:tcPr>
            <w:tcW w:w="0" w:type="dxa"/>
            <w:vAlign w:val="bottom"/>
          </w:tcPr>
          <w:p>
            <w:pPr>
              <w:spacing w:after="0"/>
              <w:rPr>
                <w:sz w:val="1"/>
                <w:szCs w:val="1"/>
                <w:color w:val="auto"/>
              </w:rPr>
            </w:pPr>
          </w:p>
        </w:tc>
      </w:tr>
      <w:tr>
        <w:trPr>
          <w:trHeight w:val="317"/>
        </w:trPr>
        <w:tc>
          <w:tcPr>
            <w:tcW w:w="1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580" w:type="dxa"/>
            <w:vAlign w:val="bottom"/>
          </w:tcPr>
          <w:p>
            <w:pPr>
              <w:jc w:val="center"/>
              <w:ind w:left="481"/>
              <w:spacing w:after="0"/>
              <w:rPr>
                <w:sz w:val="20"/>
                <w:szCs w:val="20"/>
                <w:color w:val="auto"/>
              </w:rPr>
            </w:pPr>
            <w:r>
              <w:rPr>
                <w:rFonts w:ascii="Arial" w:cs="Arial" w:eastAsia="Arial" w:hAnsi="Arial"/>
                <w:sz w:val="24"/>
                <w:szCs w:val="24"/>
                <w:b w:val="1"/>
                <w:bCs w:val="1"/>
                <w:color w:val="auto"/>
                <w:w w:val="94"/>
              </w:rPr>
              <w:t>Humphrey</w:t>
            </w:r>
          </w:p>
        </w:tc>
        <w:tc>
          <w:tcPr>
            <w:tcW w:w="0" w:type="dxa"/>
            <w:vAlign w:val="bottom"/>
          </w:tcPr>
          <w:p>
            <w:pPr>
              <w:spacing w:after="0"/>
              <w:rPr>
                <w:sz w:val="1"/>
                <w:szCs w:val="1"/>
                <w:color w:val="auto"/>
              </w:rPr>
            </w:pPr>
          </w:p>
        </w:tc>
      </w:tr>
      <w:tr>
        <w:trPr>
          <w:trHeight w:val="293"/>
        </w:trPr>
        <w:tc>
          <w:tcPr>
            <w:tcW w:w="39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940" w:type="dxa"/>
            <w:vAlign w:val="bottom"/>
            <w:gridSpan w:val="2"/>
          </w:tcPr>
          <w:p>
            <w:pPr>
              <w:jc w:val="center"/>
              <w:ind w:right="444"/>
              <w:spacing w:after="0"/>
              <w:rPr>
                <w:sz w:val="20"/>
                <w:szCs w:val="20"/>
                <w:color w:val="auto"/>
              </w:rPr>
            </w:pPr>
            <w:r>
              <w:rPr>
                <w:rFonts w:ascii="Arial" w:cs="Arial" w:eastAsia="Arial" w:hAnsi="Arial"/>
                <w:sz w:val="22"/>
                <w:szCs w:val="22"/>
                <w:b w:val="1"/>
                <w:bCs w:val="1"/>
                <w:color w:val="auto"/>
                <w:w w:val="87"/>
              </w:rPr>
              <w:t>Barclays</w:t>
            </w:r>
          </w:p>
        </w:tc>
        <w:tc>
          <w:tcPr>
            <w:tcW w:w="340" w:type="dxa"/>
            <w:vAlign w:val="bottom"/>
          </w:tcPr>
          <w:p>
            <w:pPr>
              <w:spacing w:after="0"/>
              <w:rPr>
                <w:sz w:val="24"/>
                <w:szCs w:val="24"/>
                <w:color w:val="auto"/>
              </w:rPr>
            </w:pPr>
          </w:p>
        </w:tc>
        <w:tc>
          <w:tcPr>
            <w:tcW w:w="2160" w:type="dxa"/>
            <w:vAlign w:val="bottom"/>
          </w:tcPr>
          <w:p>
            <w:pPr>
              <w:jc w:val="center"/>
              <w:ind w:left="409"/>
              <w:spacing w:after="0"/>
              <w:rPr>
                <w:sz w:val="20"/>
                <w:szCs w:val="20"/>
                <w:color w:val="auto"/>
              </w:rPr>
            </w:pPr>
            <w:r>
              <w:rPr>
                <w:rFonts w:ascii="Arial" w:cs="Arial" w:eastAsia="Arial" w:hAnsi="Arial"/>
                <w:sz w:val="22"/>
                <w:szCs w:val="22"/>
                <w:b w:val="1"/>
                <w:bCs w:val="1"/>
                <w:color w:val="auto"/>
                <w:w w:val="93"/>
              </w:rPr>
              <w:t>BNP PARIBAS</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580" w:type="dxa"/>
            <w:vAlign w:val="bottom"/>
          </w:tcPr>
          <w:p>
            <w:pPr>
              <w:jc w:val="center"/>
              <w:ind w:right="561"/>
              <w:spacing w:after="0"/>
              <w:rPr>
                <w:sz w:val="20"/>
                <w:szCs w:val="20"/>
                <w:color w:val="auto"/>
              </w:rPr>
            </w:pPr>
            <w:r>
              <w:rPr>
                <w:rFonts w:ascii="Arial" w:cs="Arial" w:eastAsia="Arial" w:hAnsi="Arial"/>
                <w:sz w:val="22"/>
                <w:szCs w:val="22"/>
                <w:b w:val="1"/>
                <w:bCs w:val="1"/>
                <w:color w:val="auto"/>
                <w:w w:val="94"/>
              </w:rPr>
              <w:t>BofA Merrill Lynch</w:t>
            </w:r>
          </w:p>
        </w:tc>
        <w:tc>
          <w:tcPr>
            <w:tcW w:w="0" w:type="dxa"/>
            <w:vAlign w:val="bottom"/>
          </w:tcPr>
          <w:p>
            <w:pPr>
              <w:spacing w:after="0"/>
              <w:rPr>
                <w:sz w:val="1"/>
                <w:szCs w:val="1"/>
                <w:color w:val="auto"/>
              </w:rPr>
            </w:pPr>
          </w:p>
        </w:tc>
      </w:tr>
      <w:tr>
        <w:trPr>
          <w:trHeight w:val="243"/>
        </w:trPr>
        <w:tc>
          <w:tcPr>
            <w:tcW w:w="3940" w:type="dxa"/>
            <w:vAlign w:val="bottom"/>
            <w:gridSpan w:val="2"/>
          </w:tcPr>
          <w:p>
            <w:pPr>
              <w:jc w:val="center"/>
              <w:ind w:right="424"/>
              <w:spacing w:after="0" w:line="243" w:lineRule="exact"/>
              <w:rPr>
                <w:sz w:val="20"/>
                <w:szCs w:val="20"/>
                <w:color w:val="auto"/>
              </w:rPr>
            </w:pPr>
            <w:r>
              <w:rPr>
                <w:rFonts w:ascii="Arial" w:cs="Arial" w:eastAsia="Arial" w:hAnsi="Arial"/>
                <w:sz w:val="22"/>
                <w:szCs w:val="22"/>
                <w:b w:val="1"/>
                <w:bCs w:val="1"/>
                <w:color w:val="auto"/>
                <w:w w:val="86"/>
              </w:rPr>
              <w:t>Deutsche Bank Securities</w:t>
            </w:r>
          </w:p>
        </w:tc>
        <w:tc>
          <w:tcPr>
            <w:tcW w:w="340" w:type="dxa"/>
            <w:vAlign w:val="bottom"/>
          </w:tcPr>
          <w:p>
            <w:pPr>
              <w:spacing w:after="0"/>
              <w:rPr>
                <w:sz w:val="21"/>
                <w:szCs w:val="21"/>
                <w:color w:val="auto"/>
              </w:rPr>
            </w:pPr>
          </w:p>
        </w:tc>
        <w:tc>
          <w:tcPr>
            <w:tcW w:w="4120" w:type="dxa"/>
            <w:vAlign w:val="bottom"/>
            <w:gridSpan w:val="3"/>
          </w:tcPr>
          <w:p>
            <w:pPr>
              <w:jc w:val="center"/>
              <w:ind w:right="1392"/>
              <w:spacing w:after="0" w:line="243" w:lineRule="exact"/>
              <w:rPr>
                <w:sz w:val="20"/>
                <w:szCs w:val="20"/>
                <w:color w:val="auto"/>
              </w:rPr>
            </w:pPr>
            <w:r>
              <w:rPr>
                <w:rFonts w:ascii="Arial" w:cs="Arial" w:eastAsia="Arial" w:hAnsi="Arial"/>
                <w:sz w:val="22"/>
                <w:szCs w:val="22"/>
                <w:b w:val="1"/>
                <w:bCs w:val="1"/>
                <w:color w:val="auto"/>
                <w:w w:val="89"/>
              </w:rPr>
              <w:t>Goldman, Sachs &amp; Co.</w:t>
            </w:r>
          </w:p>
        </w:tc>
        <w:tc>
          <w:tcPr>
            <w:tcW w:w="2580" w:type="dxa"/>
            <w:vAlign w:val="bottom"/>
          </w:tcPr>
          <w:p>
            <w:pPr>
              <w:jc w:val="center"/>
              <w:ind w:right="581"/>
              <w:spacing w:after="0" w:line="243" w:lineRule="exact"/>
              <w:rPr>
                <w:sz w:val="20"/>
                <w:szCs w:val="20"/>
                <w:color w:val="auto"/>
              </w:rPr>
            </w:pPr>
            <w:r>
              <w:rPr>
                <w:rFonts w:ascii="Arial" w:cs="Arial" w:eastAsia="Arial" w:hAnsi="Arial"/>
                <w:sz w:val="22"/>
                <w:szCs w:val="22"/>
                <w:b w:val="1"/>
                <w:bCs w:val="1"/>
                <w:color w:val="auto"/>
              </w:rPr>
              <w:t>MUFG</w:t>
            </w:r>
          </w:p>
        </w:tc>
        <w:tc>
          <w:tcPr>
            <w:tcW w:w="0" w:type="dxa"/>
            <w:vAlign w:val="bottom"/>
          </w:tcPr>
          <w:p>
            <w:pPr>
              <w:spacing w:after="0"/>
              <w:rPr>
                <w:sz w:val="1"/>
                <w:szCs w:val="1"/>
                <w:color w:val="auto"/>
              </w:rPr>
            </w:pPr>
          </w:p>
        </w:tc>
      </w:tr>
      <w:tr>
        <w:trPr>
          <w:trHeight w:val="270"/>
        </w:trPr>
        <w:tc>
          <w:tcPr>
            <w:tcW w:w="3940" w:type="dxa"/>
            <w:vAlign w:val="bottom"/>
            <w:gridSpan w:val="2"/>
          </w:tcPr>
          <w:p>
            <w:pPr>
              <w:jc w:val="center"/>
              <w:ind w:right="424"/>
              <w:spacing w:after="0"/>
              <w:rPr>
                <w:sz w:val="20"/>
                <w:szCs w:val="20"/>
                <w:color w:val="auto"/>
              </w:rPr>
            </w:pPr>
            <w:r>
              <w:rPr>
                <w:rFonts w:ascii="Arial" w:cs="Arial" w:eastAsia="Arial" w:hAnsi="Arial"/>
                <w:sz w:val="22"/>
                <w:szCs w:val="22"/>
                <w:b w:val="1"/>
                <w:bCs w:val="1"/>
                <w:color w:val="auto"/>
                <w:w w:val="93"/>
              </w:rPr>
              <w:t>RBC Capital Markets</w:t>
            </w:r>
          </w:p>
        </w:tc>
        <w:tc>
          <w:tcPr>
            <w:tcW w:w="340" w:type="dxa"/>
            <w:vAlign w:val="bottom"/>
          </w:tcPr>
          <w:p>
            <w:pPr>
              <w:spacing w:after="0"/>
              <w:rPr>
                <w:sz w:val="23"/>
                <w:szCs w:val="23"/>
                <w:color w:val="auto"/>
              </w:rPr>
            </w:pPr>
          </w:p>
        </w:tc>
        <w:tc>
          <w:tcPr>
            <w:tcW w:w="2160" w:type="dxa"/>
            <w:vAlign w:val="bottom"/>
          </w:tcPr>
          <w:p>
            <w:pPr>
              <w:jc w:val="center"/>
              <w:ind w:left="409"/>
              <w:spacing w:after="0"/>
              <w:rPr>
                <w:sz w:val="20"/>
                <w:szCs w:val="20"/>
                <w:color w:val="auto"/>
              </w:rPr>
            </w:pPr>
            <w:r>
              <w:rPr>
                <w:rFonts w:ascii="Arial" w:cs="Arial" w:eastAsia="Arial" w:hAnsi="Arial"/>
                <w:sz w:val="22"/>
                <w:szCs w:val="22"/>
                <w:b w:val="1"/>
                <w:bCs w:val="1"/>
                <w:color w:val="auto"/>
                <w:w w:val="90"/>
              </w:rPr>
              <w:t>RBS</w:t>
            </w:r>
          </w:p>
        </w:tc>
        <w:tc>
          <w:tcPr>
            <w:tcW w:w="2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580" w:type="dxa"/>
            <w:vAlign w:val="bottom"/>
          </w:tcPr>
          <w:p>
            <w:pPr>
              <w:jc w:val="center"/>
              <w:ind w:right="561"/>
              <w:spacing w:after="0"/>
              <w:rPr>
                <w:sz w:val="20"/>
                <w:szCs w:val="20"/>
                <w:color w:val="auto"/>
              </w:rPr>
            </w:pPr>
            <w:r>
              <w:rPr>
                <w:rFonts w:ascii="Arial" w:cs="Arial" w:eastAsia="Arial" w:hAnsi="Arial"/>
                <w:sz w:val="22"/>
                <w:szCs w:val="22"/>
                <w:b w:val="1"/>
                <w:bCs w:val="1"/>
                <w:color w:val="auto"/>
                <w:w w:val="94"/>
              </w:rPr>
              <w:t>SMBC Nikko</w:t>
            </w:r>
          </w:p>
        </w:tc>
        <w:tc>
          <w:tcPr>
            <w:tcW w:w="0" w:type="dxa"/>
            <w:vAlign w:val="bottom"/>
          </w:tcPr>
          <w:p>
            <w:pPr>
              <w:spacing w:after="0"/>
              <w:rPr>
                <w:sz w:val="1"/>
                <w:szCs w:val="1"/>
                <w:color w:val="auto"/>
              </w:rPr>
            </w:pPr>
          </w:p>
        </w:tc>
      </w:tr>
      <w:tr>
        <w:trPr>
          <w:trHeight w:val="228"/>
        </w:trPr>
        <w:tc>
          <w:tcPr>
            <w:tcW w:w="138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UBS Investment Bank</w:t>
            </w:r>
          </w:p>
        </w:tc>
        <w:tc>
          <w:tcPr>
            <w:tcW w:w="3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20" w:type="dxa"/>
            <w:vAlign w:val="bottom"/>
            <w:gridSpan w:val="2"/>
          </w:tcPr>
          <w:p>
            <w:pPr>
              <w:jc w:val="center"/>
              <w:ind w:right="701"/>
              <w:spacing w:after="0"/>
              <w:rPr>
                <w:sz w:val="20"/>
                <w:szCs w:val="20"/>
                <w:color w:val="auto"/>
              </w:rPr>
            </w:pPr>
            <w:r>
              <w:rPr>
                <w:rFonts w:ascii="Arial" w:cs="Arial" w:eastAsia="Arial" w:hAnsi="Arial"/>
                <w:sz w:val="18"/>
                <w:szCs w:val="18"/>
                <w:b w:val="1"/>
                <w:bCs w:val="1"/>
                <w:color w:val="auto"/>
                <w:w w:val="86"/>
              </w:rPr>
              <w:t>Wells Fargo Securities</w:t>
            </w:r>
          </w:p>
        </w:tc>
        <w:tc>
          <w:tcPr>
            <w:tcW w:w="0" w:type="dxa"/>
            <w:vAlign w:val="bottom"/>
          </w:tcPr>
          <w:p>
            <w:pPr>
              <w:spacing w:after="0"/>
              <w:rPr>
                <w:sz w:val="1"/>
                <w:szCs w:val="1"/>
                <w:color w:val="auto"/>
              </w:rPr>
            </w:pPr>
          </w:p>
        </w:tc>
      </w:tr>
      <w:tr>
        <w:trPr>
          <w:trHeight w:val="285"/>
        </w:trPr>
        <w:tc>
          <w:tcPr>
            <w:tcW w:w="138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Santander</w:t>
            </w: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20" w:type="dxa"/>
            <w:vAlign w:val="bottom"/>
            <w:gridSpan w:val="2"/>
          </w:tcPr>
          <w:p>
            <w:pPr>
              <w:jc w:val="center"/>
              <w:ind w:right="721"/>
              <w:spacing w:after="0"/>
              <w:rPr>
                <w:sz w:val="20"/>
                <w:szCs w:val="20"/>
                <w:color w:val="auto"/>
              </w:rPr>
            </w:pPr>
            <w:r>
              <w:rPr>
                <w:rFonts w:ascii="Arial" w:cs="Arial" w:eastAsia="Arial" w:hAnsi="Arial"/>
                <w:sz w:val="18"/>
                <w:szCs w:val="18"/>
                <w:b w:val="1"/>
                <w:bCs w:val="1"/>
                <w:color w:val="auto"/>
                <w:w w:val="87"/>
              </w:rPr>
              <w:t>US Bancorp</w:t>
            </w:r>
          </w:p>
        </w:tc>
        <w:tc>
          <w:tcPr>
            <w:tcW w:w="0" w:type="dxa"/>
            <w:vAlign w:val="bottom"/>
          </w:tcPr>
          <w:p>
            <w:pPr>
              <w:spacing w:after="0"/>
              <w:rPr>
                <w:sz w:val="1"/>
                <w:szCs w:val="1"/>
                <w:color w:val="auto"/>
              </w:rPr>
            </w:pPr>
          </w:p>
        </w:tc>
      </w:tr>
      <w:tr>
        <w:trPr>
          <w:trHeight w:val="228"/>
        </w:trPr>
        <w:tc>
          <w:tcPr>
            <w:tcW w:w="3940" w:type="dxa"/>
            <w:vAlign w:val="bottom"/>
            <w:gridSpan w:val="2"/>
          </w:tcPr>
          <w:p>
            <w:pPr>
              <w:ind w:left="680"/>
              <w:spacing w:after="0"/>
              <w:rPr>
                <w:sz w:val="20"/>
                <w:szCs w:val="20"/>
                <w:color w:val="auto"/>
              </w:rPr>
            </w:pPr>
            <w:r>
              <w:rPr>
                <w:rFonts w:ascii="Arial" w:cs="Arial" w:eastAsia="Arial" w:hAnsi="Arial"/>
                <w:sz w:val="18"/>
                <w:szCs w:val="18"/>
                <w:b w:val="1"/>
                <w:bCs w:val="1"/>
                <w:color w:val="auto"/>
              </w:rPr>
              <w:t>DNB Markets</w:t>
            </w:r>
          </w:p>
        </w:tc>
        <w:tc>
          <w:tcPr>
            <w:tcW w:w="340" w:type="dxa"/>
            <w:vAlign w:val="bottom"/>
          </w:tcPr>
          <w:p>
            <w:pPr>
              <w:spacing w:after="0"/>
              <w:rPr>
                <w:sz w:val="19"/>
                <w:szCs w:val="19"/>
                <w:color w:val="auto"/>
              </w:rPr>
            </w:pPr>
          </w:p>
        </w:tc>
        <w:tc>
          <w:tcPr>
            <w:tcW w:w="4120" w:type="dxa"/>
            <w:vAlign w:val="bottom"/>
            <w:gridSpan w:val="3"/>
          </w:tcPr>
          <w:p>
            <w:pPr>
              <w:ind w:left="240"/>
              <w:spacing w:after="0"/>
              <w:rPr>
                <w:sz w:val="20"/>
                <w:szCs w:val="20"/>
                <w:color w:val="auto"/>
              </w:rPr>
            </w:pPr>
            <w:r>
              <w:rPr>
                <w:rFonts w:ascii="Arial" w:cs="Arial" w:eastAsia="Arial" w:hAnsi="Arial"/>
                <w:sz w:val="18"/>
                <w:szCs w:val="18"/>
                <w:b w:val="1"/>
                <w:bCs w:val="1"/>
                <w:color w:val="auto"/>
              </w:rPr>
              <w:t>PNC Capital Markets LLC</w:t>
            </w:r>
          </w:p>
        </w:tc>
        <w:tc>
          <w:tcPr>
            <w:tcW w:w="2580" w:type="dxa"/>
            <w:vAlign w:val="bottom"/>
          </w:tcPr>
          <w:p>
            <w:pPr>
              <w:ind w:left="900"/>
              <w:spacing w:after="0"/>
              <w:rPr>
                <w:sz w:val="20"/>
                <w:szCs w:val="20"/>
                <w:color w:val="auto"/>
              </w:rPr>
            </w:pPr>
            <w:r>
              <w:rPr>
                <w:rFonts w:ascii="Arial" w:cs="Arial" w:eastAsia="Arial" w:hAnsi="Arial"/>
                <w:sz w:val="18"/>
                <w:szCs w:val="18"/>
                <w:b w:val="1"/>
                <w:bCs w:val="1"/>
                <w:color w:val="auto"/>
              </w:rPr>
              <w:t>TD Securities</w:t>
            </w:r>
          </w:p>
        </w:tc>
        <w:tc>
          <w:tcPr>
            <w:tcW w:w="0" w:type="dxa"/>
            <w:vAlign w:val="bottom"/>
          </w:tcPr>
          <w:p>
            <w:pPr>
              <w:spacing w:after="0"/>
              <w:rPr>
                <w:sz w:val="1"/>
                <w:szCs w:val="1"/>
                <w:color w:val="auto"/>
              </w:rPr>
            </w:pPr>
          </w:p>
        </w:tc>
      </w:tr>
      <w:tr>
        <w:trPr>
          <w:trHeight w:val="83"/>
        </w:trPr>
        <w:tc>
          <w:tcPr>
            <w:tcW w:w="1380" w:type="dxa"/>
            <w:vAlign w:val="bottom"/>
          </w:tcPr>
          <w:p>
            <w:pPr>
              <w:spacing w:after="0"/>
              <w:rPr>
                <w:sz w:val="7"/>
                <w:szCs w:val="7"/>
                <w:color w:val="auto"/>
              </w:rPr>
            </w:pPr>
          </w:p>
        </w:tc>
        <w:tc>
          <w:tcPr>
            <w:tcW w:w="25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The Williams Capital Group, L.P.</w:t>
            </w:r>
          </w:p>
        </w:tc>
        <w:tc>
          <w:tcPr>
            <w:tcW w:w="340" w:type="dxa"/>
            <w:vAlign w:val="bottom"/>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320" w:type="dxa"/>
            <w:vAlign w:val="bottom"/>
            <w:gridSpan w:val="2"/>
            <w:vMerge w:val="restart"/>
          </w:tcPr>
          <w:p>
            <w:pPr>
              <w:jc w:val="center"/>
              <w:ind w:right="721"/>
              <w:spacing w:after="0"/>
              <w:rPr>
                <w:sz w:val="20"/>
                <w:szCs w:val="20"/>
                <w:color w:val="auto"/>
              </w:rPr>
            </w:pPr>
            <w:r>
              <w:rPr>
                <w:rFonts w:ascii="Arial" w:cs="Arial" w:eastAsia="Arial" w:hAnsi="Arial"/>
                <w:sz w:val="18"/>
                <w:szCs w:val="18"/>
                <w:b w:val="1"/>
                <w:bCs w:val="1"/>
                <w:color w:val="auto"/>
                <w:w w:val="83"/>
              </w:rPr>
              <w:t>Jefferies</w:t>
            </w:r>
          </w:p>
        </w:tc>
        <w:tc>
          <w:tcPr>
            <w:tcW w:w="0" w:type="dxa"/>
            <w:vAlign w:val="bottom"/>
          </w:tcPr>
          <w:p>
            <w:pPr>
              <w:spacing w:after="0"/>
              <w:rPr>
                <w:sz w:val="1"/>
                <w:szCs w:val="1"/>
                <w:color w:val="auto"/>
              </w:rPr>
            </w:pPr>
          </w:p>
        </w:tc>
      </w:tr>
      <w:tr>
        <w:trPr>
          <w:trHeight w:val="437"/>
        </w:trPr>
        <w:tc>
          <w:tcPr>
            <w:tcW w:w="13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940" w:type="dxa"/>
            <w:vAlign w:val="bottom"/>
            <w:gridSpan w:val="2"/>
          </w:tcPr>
          <w:p>
            <w:pPr>
              <w:jc w:val="center"/>
              <w:ind w:right="444"/>
              <w:spacing w:after="0"/>
              <w:rPr>
                <w:sz w:val="20"/>
                <w:szCs w:val="20"/>
                <w:color w:val="auto"/>
              </w:rPr>
            </w:pPr>
            <w:r>
              <w:rPr>
                <w:rFonts w:ascii="Arial" w:cs="Arial" w:eastAsia="Arial" w:hAnsi="Arial"/>
                <w:sz w:val="14"/>
                <w:szCs w:val="14"/>
                <w:b w:val="1"/>
                <w:bCs w:val="1"/>
                <w:color w:val="auto"/>
                <w:w w:val="90"/>
              </w:rPr>
              <w:t>Drexel Hamilton</w:t>
            </w:r>
          </w:p>
        </w:tc>
        <w:tc>
          <w:tcPr>
            <w:tcW w:w="340" w:type="dxa"/>
            <w:vAlign w:val="bottom"/>
          </w:tcPr>
          <w:p>
            <w:pPr>
              <w:spacing w:after="0"/>
              <w:rPr>
                <w:sz w:val="19"/>
                <w:szCs w:val="19"/>
                <w:color w:val="auto"/>
              </w:rPr>
            </w:pPr>
          </w:p>
        </w:tc>
        <w:tc>
          <w:tcPr>
            <w:tcW w:w="2160" w:type="dxa"/>
            <w:vAlign w:val="bottom"/>
          </w:tcPr>
          <w:p>
            <w:pPr>
              <w:jc w:val="center"/>
              <w:ind w:left="389"/>
              <w:spacing w:after="0"/>
              <w:rPr>
                <w:sz w:val="20"/>
                <w:szCs w:val="20"/>
                <w:color w:val="auto"/>
              </w:rPr>
            </w:pPr>
            <w:r>
              <w:rPr>
                <w:rFonts w:ascii="Arial" w:cs="Arial" w:eastAsia="Arial" w:hAnsi="Arial"/>
                <w:sz w:val="14"/>
                <w:szCs w:val="14"/>
                <w:b w:val="1"/>
                <w:bCs w:val="1"/>
                <w:color w:val="auto"/>
                <w:w w:val="89"/>
              </w:rPr>
              <w:t>Lebenthal Capital Markets</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580" w:type="dxa"/>
            <w:vAlign w:val="bottom"/>
          </w:tcPr>
          <w:p>
            <w:pPr>
              <w:jc w:val="center"/>
              <w:ind w:right="561"/>
              <w:spacing w:after="0"/>
              <w:rPr>
                <w:sz w:val="20"/>
                <w:szCs w:val="20"/>
                <w:color w:val="auto"/>
              </w:rPr>
            </w:pPr>
            <w:r>
              <w:rPr>
                <w:rFonts w:ascii="Arial" w:cs="Arial" w:eastAsia="Arial" w:hAnsi="Arial"/>
                <w:sz w:val="14"/>
                <w:szCs w:val="14"/>
                <w:b w:val="1"/>
                <w:bCs w:val="1"/>
                <w:color w:val="auto"/>
                <w:w w:val="90"/>
              </w:rPr>
              <w:t>Loop Capital Markets</w:t>
            </w:r>
          </w:p>
        </w:tc>
        <w:tc>
          <w:tcPr>
            <w:tcW w:w="0" w:type="dxa"/>
            <w:vAlign w:val="bottom"/>
          </w:tcPr>
          <w:p>
            <w:pPr>
              <w:spacing w:after="0"/>
              <w:rPr>
                <w:sz w:val="1"/>
                <w:szCs w:val="1"/>
                <w:color w:val="auto"/>
              </w:rPr>
            </w:pPr>
          </w:p>
        </w:tc>
      </w:tr>
      <w:tr>
        <w:trPr>
          <w:trHeight w:val="174"/>
        </w:trPr>
        <w:tc>
          <w:tcPr>
            <w:tcW w:w="3940" w:type="dxa"/>
            <w:vAlign w:val="bottom"/>
            <w:gridSpan w:val="2"/>
          </w:tcPr>
          <w:p>
            <w:pPr>
              <w:jc w:val="center"/>
              <w:ind w:right="444"/>
              <w:spacing w:after="0"/>
              <w:rPr>
                <w:sz w:val="20"/>
                <w:szCs w:val="20"/>
                <w:color w:val="auto"/>
              </w:rPr>
            </w:pPr>
            <w:r>
              <w:rPr>
                <w:rFonts w:ascii="Arial" w:cs="Arial" w:eastAsia="Arial" w:hAnsi="Arial"/>
                <w:sz w:val="14"/>
                <w:szCs w:val="14"/>
                <w:b w:val="1"/>
                <w:bCs w:val="1"/>
                <w:color w:val="auto"/>
                <w:w w:val="90"/>
              </w:rPr>
              <w:t>MFR Securities, Inc.</w:t>
            </w:r>
          </w:p>
        </w:tc>
        <w:tc>
          <w:tcPr>
            <w:tcW w:w="340" w:type="dxa"/>
            <w:vAlign w:val="bottom"/>
          </w:tcPr>
          <w:p>
            <w:pPr>
              <w:spacing w:after="0"/>
              <w:rPr>
                <w:sz w:val="15"/>
                <w:szCs w:val="15"/>
                <w:color w:val="auto"/>
              </w:rPr>
            </w:pPr>
          </w:p>
        </w:tc>
        <w:tc>
          <w:tcPr>
            <w:tcW w:w="4120" w:type="dxa"/>
            <w:vAlign w:val="bottom"/>
            <w:gridSpan w:val="3"/>
          </w:tcPr>
          <w:p>
            <w:pPr>
              <w:jc w:val="center"/>
              <w:ind w:right="1392"/>
              <w:spacing w:after="0"/>
              <w:rPr>
                <w:sz w:val="20"/>
                <w:szCs w:val="20"/>
                <w:color w:val="auto"/>
              </w:rPr>
            </w:pPr>
            <w:r>
              <w:rPr>
                <w:rFonts w:ascii="Arial" w:cs="Arial" w:eastAsia="Arial" w:hAnsi="Arial"/>
                <w:sz w:val="14"/>
                <w:szCs w:val="14"/>
                <w:b w:val="1"/>
                <w:bCs w:val="1"/>
                <w:color w:val="auto"/>
                <w:w w:val="90"/>
              </w:rPr>
              <w:t>Mischler Financial Group, Inc.</w:t>
            </w:r>
          </w:p>
        </w:tc>
        <w:tc>
          <w:tcPr>
            <w:tcW w:w="2580" w:type="dxa"/>
            <w:vAlign w:val="bottom"/>
          </w:tcPr>
          <w:p>
            <w:pPr>
              <w:jc w:val="center"/>
              <w:ind w:right="561"/>
              <w:spacing w:after="0"/>
              <w:rPr>
                <w:sz w:val="20"/>
                <w:szCs w:val="20"/>
                <w:color w:val="auto"/>
              </w:rPr>
            </w:pPr>
            <w:r>
              <w:rPr>
                <w:rFonts w:ascii="Arial" w:cs="Arial" w:eastAsia="Arial" w:hAnsi="Arial"/>
                <w:sz w:val="14"/>
                <w:szCs w:val="14"/>
                <w:b w:val="1"/>
                <w:bCs w:val="1"/>
                <w:color w:val="auto"/>
                <w:w w:val="91"/>
              </w:rPr>
              <w:t>Ramirez &amp; Co., Inc.</w:t>
            </w:r>
          </w:p>
        </w:tc>
        <w:tc>
          <w:tcPr>
            <w:tcW w:w="0" w:type="dxa"/>
            <w:vAlign w:val="bottom"/>
          </w:tcPr>
          <w:p>
            <w:pPr>
              <w:spacing w:after="0"/>
              <w:rPr>
                <w:sz w:val="1"/>
                <w:szCs w:val="1"/>
                <w:color w:val="auto"/>
              </w:rPr>
            </w:pPr>
          </w:p>
        </w:tc>
      </w:tr>
      <w:tr>
        <w:trPr>
          <w:trHeight w:val="365"/>
        </w:trPr>
        <w:tc>
          <w:tcPr>
            <w:tcW w:w="1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August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220"/>
      </w:cols>
      <w:pgMar w:left="24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215"/>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1)"/>
      <w:numFmt w:val="lowerLetter"/>
      <w:start w:val="3"/>
    </w:lvl>
  </w:abstractNum>
  <w:abstractNum w:abstractNumId="6">
    <w:nsid w:val="71F32454"/>
    <w:multiLevelType w:val="hybridMultilevel"/>
    <w:lvl w:ilvl="0">
      <w:lvlJc w:val="left"/>
      <w:lvlText w:val="•"/>
      <w:numFmt w:val="bullet"/>
      <w:start w:val="1"/>
    </w:lvl>
    <w:lvl w:ilvl="1">
      <w:lvlJc w:val="left"/>
      <w:lvlText w:val="•"/>
      <w:numFmt w:val="bullet"/>
      <w:start w:val="1"/>
    </w:lvl>
  </w:abstractNum>
  <w:abstractNum w:abstractNumId="7">
    <w:nsid w:val="2CA88611"/>
    <w:multiLevelType w:val="hybridMultilevel"/>
    <w:lvl w:ilvl="0">
      <w:lvlJc w:val="left"/>
      <w:lvlText w:val="(%1)"/>
      <w:numFmt w:val="lowerLetter"/>
      <w:start w:val="1"/>
    </w:lvl>
  </w:abstractNum>
  <w:abstractNum w:abstractNumId="8">
    <w:nsid w:val="836C40E"/>
    <w:multiLevelType w:val="hybridMultilevel"/>
    <w:lvl w:ilvl="0">
      <w:lvlJc w:val="left"/>
      <w:lvlText w:val="(%1)"/>
      <w:numFmt w:val="lowerLetter"/>
      <w:start w:val="2"/>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1."/>
      <w:numFmt w:val="upperLetter"/>
      <w:start w:val="1"/>
    </w:lvl>
  </w:abstractNum>
  <w:abstractNum w:abstractNumId="15">
    <w:nsid w:val="6CEAF087"/>
    <w:multiLevelType w:val="hybridMultilevel"/>
    <w:lvl w:ilvl="0">
      <w:lvlJc w:val="left"/>
      <w:lvlText w:val="(%1)"/>
      <w:numFmt w:val="lowerRoman"/>
      <w:start w:val="1"/>
    </w:lvl>
  </w:abstractNum>
  <w:abstractNum w:abstractNumId="16">
    <w:nsid w:val="22221A70"/>
    <w:multiLevelType w:val="hybridMultilevel"/>
    <w:lvl w:ilvl="0">
      <w:lvlJc w:val="left"/>
      <w:lvlText w:val="(%1)"/>
      <w:numFmt w:val="lowerRoman"/>
      <w:start w:val="2"/>
    </w:lvl>
  </w:abstractNum>
  <w:abstractNum w:abstractNumId="17">
    <w:nsid w:val="4516DDE9"/>
    <w:multiLevelType w:val="hybridMultilevel"/>
    <w:lvl w:ilvl="0">
      <w:lvlJc w:val="left"/>
      <w:lvlText w:val="(%1)"/>
      <w:numFmt w:val="lowerLetter"/>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1)"/>
      <w:numFmt w:val="lowerLetter"/>
      <w:start w:val="3"/>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1)"/>
      <w:numFmt w:val="lowerLetter"/>
      <w:start w:val="1"/>
    </w:lvl>
  </w:abstractNum>
  <w:abstractNum w:abstractNumId="26">
    <w:nsid w:val="7724C67E"/>
    <w:multiLevelType w:val="hybridMultilevel"/>
    <w:lvl w:ilvl="0">
      <w:lvlJc w:val="left"/>
      <w:lvlText w:val="(%1)"/>
      <w:numFmt w:val="lowerLetter"/>
      <w:start w:val="1"/>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1)"/>
      <w:numFmt w:val="lowerLetter"/>
      <w:start w:val="3"/>
    </w:lvl>
  </w:abstractNum>
  <w:abstractNum w:abstractNumId="29">
    <w:nsid w:val="5E884ADC"/>
    <w:multiLevelType w:val="hybridMultilevel"/>
    <w:lvl w:ilvl="0">
      <w:lvlJc w:val="left"/>
      <w:lvlText w:val="%1"/>
      <w:numFmt w:val="lowerLetter"/>
      <w:start w:val="1"/>
    </w:lvl>
    <w:lvl w:ilvl="1">
      <w:lvlJc w:val="left"/>
      <w:lvlText w:val="(%2)"/>
      <w:numFmt w:val="lowerLetter"/>
      <w:start w:val="13"/>
    </w:lvl>
  </w:abstractNum>
  <w:abstractNum w:abstractNumId="30">
    <w:nsid w:val="51EAD36B"/>
    <w:multiLevelType w:val="hybridMultilevel"/>
    <w:lvl w:ilvl="0">
      <w:lvlJc w:val="left"/>
      <w:lvlText w:val="(%1)"/>
      <w:numFmt w:val="lowerLetter"/>
      <w:start w:val="61"/>
    </w:lvl>
    <w:lvl w:ilvl="1">
      <w:lvlJc w:val="left"/>
      <w:lvlText w:val="(%2)"/>
      <w:numFmt w:val="lowerLetter"/>
      <w:start w:val="19"/>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
      <w:numFmt w:val="bullet"/>
      <w:start w:val="1"/>
    </w:lvl>
    <w:lvl w:ilvl="1">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lvl w:ilvl="1">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2019-12-07T03:30:48Z</dcterms:created>
  <dcterms:modified xsi:type="dcterms:W3CDTF">2019-12-07T03:30:48Z</dcterms:modified>
</cp:coreProperties>
</file>