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205740</wp:posOffset>
            </wp:positionV>
            <wp:extent cx="724662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231140</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357" w:lineRule="exact"/>
        <w:rPr>
          <w:sz w:val="24"/>
          <w:szCs w:val="24"/>
          <w:color w:val="auto"/>
        </w:rPr>
      </w:pPr>
    </w:p>
    <w:p>
      <w:pPr>
        <w:jc w:val="center"/>
        <w:ind w:right="-439"/>
        <w:spacing w:after="0"/>
        <w:rPr>
          <w:sz w:val="20"/>
          <w:szCs w:val="20"/>
          <w:color w:val="auto"/>
        </w:rPr>
      </w:pPr>
      <w:r>
        <w:rPr>
          <w:rFonts w:ascii="Arial" w:cs="Arial" w:eastAsia="Arial" w:hAnsi="Arial"/>
          <w:sz w:val="32"/>
          <w:szCs w:val="32"/>
          <w:b w:val="1"/>
          <w:bCs w:val="1"/>
          <w:color w:val="auto"/>
        </w:rPr>
        <w:t>UNITED STATES</w:t>
      </w:r>
    </w:p>
    <w:p>
      <w:pPr>
        <w:spacing w:after="0" w:line="31" w:lineRule="exact"/>
        <w:rPr>
          <w:sz w:val="24"/>
          <w:szCs w:val="24"/>
          <w:color w:val="auto"/>
        </w:rPr>
      </w:pPr>
    </w:p>
    <w:p>
      <w:pPr>
        <w:jc w:val="center"/>
        <w:ind w:right="-439"/>
        <w:spacing w:after="0"/>
        <w:rPr>
          <w:sz w:val="20"/>
          <w:szCs w:val="20"/>
          <w:color w:val="auto"/>
        </w:rPr>
      </w:pPr>
      <w:r>
        <w:rPr>
          <w:rFonts w:ascii="Arial" w:cs="Arial" w:eastAsia="Arial" w:hAnsi="Arial"/>
          <w:sz w:val="32"/>
          <w:szCs w:val="32"/>
          <w:b w:val="1"/>
          <w:bCs w:val="1"/>
          <w:color w:val="auto"/>
        </w:rPr>
        <w:t>SECURITIES AND EXCHANGE COMMISSION</w:t>
      </w:r>
    </w:p>
    <w:p>
      <w:pPr>
        <w:jc w:val="center"/>
        <w:ind w:right="-439"/>
        <w:spacing w:after="0"/>
        <w:rPr>
          <w:sz w:val="20"/>
          <w:szCs w:val="20"/>
          <w:color w:val="auto"/>
        </w:rPr>
      </w:pPr>
      <w:r>
        <w:rPr>
          <w:rFonts w:ascii="Arial" w:cs="Arial" w:eastAsia="Arial" w:hAnsi="Arial"/>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184785</wp:posOffset>
            </wp:positionV>
            <wp:extent cx="151765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0" w:lineRule="exact"/>
        <w:rPr>
          <w:sz w:val="24"/>
          <w:szCs w:val="24"/>
          <w:color w:val="auto"/>
        </w:rPr>
      </w:pPr>
    </w:p>
    <w:p>
      <w:pPr>
        <w:spacing w:after="0" w:line="205" w:lineRule="exact"/>
        <w:rPr>
          <w:sz w:val="24"/>
          <w:szCs w:val="24"/>
          <w:color w:val="auto"/>
        </w:rPr>
      </w:pPr>
    </w:p>
    <w:p>
      <w:pPr>
        <w:jc w:val="center"/>
        <w:ind w:right="-439"/>
        <w:spacing w:after="0"/>
        <w:rPr>
          <w:sz w:val="20"/>
          <w:szCs w:val="20"/>
          <w:color w:val="auto"/>
        </w:rPr>
      </w:pPr>
      <w:r>
        <w:rPr>
          <w:rFonts w:ascii="Arial" w:cs="Arial" w:eastAsia="Arial" w:hAnsi="Arial"/>
          <w:sz w:val="32"/>
          <w:szCs w:val="32"/>
          <w:b w:val="1"/>
          <w:bCs w:val="1"/>
          <w:color w:val="auto"/>
        </w:rPr>
        <w:t>Form 11-K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203835</wp:posOffset>
            </wp:positionV>
            <wp:extent cx="151765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0" w:lineRule="exact"/>
        <w:rPr>
          <w:sz w:val="24"/>
          <w:szCs w:val="24"/>
          <w:color w:val="auto"/>
        </w:rPr>
      </w:pPr>
    </w:p>
    <w:p>
      <w:pPr>
        <w:spacing w:after="0" w:line="250" w:lineRule="exact"/>
        <w:rPr>
          <w:sz w:val="24"/>
          <w:szCs w:val="24"/>
          <w:color w:val="auto"/>
        </w:rPr>
      </w:pPr>
    </w:p>
    <w:p>
      <w:pPr>
        <w:ind w:left="4780"/>
        <w:spacing w:after="0"/>
        <w:rPr>
          <w:sz w:val="20"/>
          <w:szCs w:val="20"/>
          <w:color w:val="auto"/>
        </w:rPr>
      </w:pPr>
      <w:r>
        <w:rPr>
          <w:rFonts w:ascii="Arial" w:cs="Arial" w:eastAsia="Arial" w:hAnsi="Arial"/>
          <w:sz w:val="22"/>
          <w:szCs w:val="22"/>
          <w:b w:val="1"/>
          <w:bCs w:val="1"/>
          <w:color w:val="auto"/>
        </w:rPr>
        <w:t>ANNUAL REPORT</w:t>
      </w:r>
    </w:p>
    <w:p>
      <w:pPr>
        <w:spacing w:after="0" w:line="152" w:lineRule="exact"/>
        <w:rPr>
          <w:sz w:val="24"/>
          <w:szCs w:val="24"/>
          <w:color w:val="auto"/>
        </w:rPr>
      </w:pPr>
    </w:p>
    <w:p>
      <w:pPr>
        <w:ind w:left="4260"/>
        <w:spacing w:after="0"/>
        <w:rPr>
          <w:sz w:val="20"/>
          <w:szCs w:val="20"/>
          <w:color w:val="auto"/>
        </w:rPr>
      </w:pPr>
      <w:r>
        <w:rPr>
          <w:rFonts w:ascii="Arial" w:cs="Arial" w:eastAsia="Arial" w:hAnsi="Arial"/>
          <w:sz w:val="22"/>
          <w:szCs w:val="22"/>
          <w:b w:val="1"/>
          <w:bCs w:val="1"/>
          <w:color w:val="auto"/>
        </w:rPr>
        <w:t>Pursuant to Section 15(d) of the</w:t>
      </w:r>
    </w:p>
    <w:p>
      <w:pPr>
        <w:spacing w:after="0" w:line="14" w:lineRule="exact"/>
        <w:rPr>
          <w:sz w:val="24"/>
          <w:szCs w:val="24"/>
          <w:color w:val="auto"/>
        </w:rPr>
      </w:pPr>
    </w:p>
    <w:p>
      <w:pPr>
        <w:ind w:left="4240"/>
        <w:spacing w:after="0"/>
        <w:rPr>
          <w:sz w:val="20"/>
          <w:szCs w:val="20"/>
          <w:color w:val="auto"/>
        </w:rPr>
      </w:pPr>
      <w:r>
        <w:rPr>
          <w:rFonts w:ascii="Arial" w:cs="Arial" w:eastAsia="Arial" w:hAnsi="Arial"/>
          <w:sz w:val="22"/>
          <w:szCs w:val="22"/>
          <w:b w:val="1"/>
          <w:bCs w:val="1"/>
          <w:color w:val="auto"/>
        </w:rPr>
        <w:t>Securities Exchange Act of 1934</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175895</wp:posOffset>
            </wp:positionV>
            <wp:extent cx="151765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517650" cy="8890"/>
                    </a:xfrm>
                    <a:prstGeom prst="rect">
                      <a:avLst/>
                    </a:prstGeom>
                    <a:noFill/>
                  </pic:spPr>
                </pic:pic>
              </a:graphicData>
            </a:graphic>
          </wp:anchor>
        </w:drawing>
        <w:drawing>
          <wp:anchor simplePos="0" relativeHeight="251657728" behindDoc="1" locked="0" layoutInCell="0" allowOverlap="1">
            <wp:simplePos x="0" y="0"/>
            <wp:positionH relativeFrom="column">
              <wp:posOffset>2303145</wp:posOffset>
            </wp:positionH>
            <wp:positionV relativeFrom="paragraph">
              <wp:posOffset>287655</wp:posOffset>
            </wp:positionV>
            <wp:extent cx="2658745" cy="6775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2658745" cy="67754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56" w:lineRule="exact"/>
        <w:rPr>
          <w:sz w:val="24"/>
          <w:szCs w:val="24"/>
          <w:color w:val="auto"/>
        </w:rPr>
      </w:pPr>
    </w:p>
    <w:p>
      <w:pPr>
        <w:ind w:left="2920"/>
        <w:spacing w:after="0"/>
        <w:rPr>
          <w:sz w:val="20"/>
          <w:szCs w:val="20"/>
          <w:color w:val="auto"/>
        </w:rPr>
      </w:pPr>
      <w:r>
        <w:rPr>
          <w:rFonts w:ascii="Arial" w:cs="Arial" w:eastAsia="Arial" w:hAnsi="Arial"/>
          <w:sz w:val="43"/>
          <w:szCs w:val="43"/>
          <w:b w:val="1"/>
          <w:bCs w:val="1"/>
          <w:color w:val="auto"/>
        </w:rPr>
        <w:t>COMCAST CORPORATION</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219710</wp:posOffset>
            </wp:positionV>
            <wp:extent cx="151765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0" w:lineRule="exact"/>
        <w:rPr>
          <w:sz w:val="24"/>
          <w:szCs w:val="24"/>
          <w:color w:val="auto"/>
        </w:rPr>
      </w:pPr>
    </w:p>
    <w:p>
      <w:pPr>
        <w:spacing w:after="0" w:line="287" w:lineRule="exact"/>
        <w:rPr>
          <w:sz w:val="24"/>
          <w:szCs w:val="24"/>
          <w:color w:val="auto"/>
        </w:rPr>
      </w:pPr>
    </w:p>
    <w:p>
      <w:pPr>
        <w:spacing w:after="0"/>
        <w:rPr>
          <w:sz w:val="20"/>
          <w:szCs w:val="20"/>
          <w:color w:val="auto"/>
        </w:rPr>
      </w:pPr>
      <w:r>
        <w:rPr>
          <w:rFonts w:ascii="Arial" w:cs="Arial" w:eastAsia="Arial" w:hAnsi="Arial"/>
          <w:sz w:val="18"/>
          <w:szCs w:val="18"/>
          <w:b w:val="1"/>
          <w:bCs w:val="1"/>
          <w:color w:val="auto"/>
        </w:rPr>
        <w:t>(Mark One):</w:t>
      </w:r>
    </w:p>
    <w:p>
      <w:pPr>
        <w:spacing w:after="0" w:line="20" w:lineRule="exact"/>
        <w:rPr>
          <w:sz w:val="24"/>
          <w:szCs w:val="24"/>
          <w:color w:val="auto"/>
        </w:rPr>
      </w:pPr>
    </w:p>
    <w:p>
      <w:pPr>
        <w:ind w:left="580" w:hanging="572"/>
        <w:spacing w:after="0"/>
        <w:tabs>
          <w:tab w:leader="none" w:pos="580" w:val="left"/>
        </w:tabs>
        <w:numPr>
          <w:ilvl w:val="0"/>
          <w:numId w:val="1"/>
        </w:numPr>
        <w:rPr>
          <w:rFonts w:ascii="MS PGothic" w:cs="MS PGothic" w:eastAsia="MS PGothic" w:hAnsi="MS PGothic"/>
          <w:sz w:val="22"/>
          <w:szCs w:val="22"/>
          <w:color w:val="auto"/>
          <w:highlight w:val="black"/>
        </w:rPr>
      </w:pPr>
      <w:r>
        <w:rPr>
          <w:rFonts w:ascii="Arial" w:cs="Arial" w:eastAsia="Arial" w:hAnsi="Arial"/>
          <w:sz w:val="22"/>
          <w:szCs w:val="22"/>
          <w:b w:val="1"/>
          <w:bCs w:val="1"/>
          <w:color w:val="auto"/>
        </w:rPr>
        <w:t>ANNUAL REPORT PURSUANT TO SECTION 15(d) OF THE SECURITIES EXCHANGE ACT OF 1934.</w:t>
      </w:r>
    </w:p>
    <w:p>
      <w:pPr>
        <w:spacing w:after="0" w:line="155" w:lineRule="exact"/>
        <w:rPr>
          <w:sz w:val="24"/>
          <w:szCs w:val="24"/>
          <w:color w:val="auto"/>
        </w:rPr>
      </w:pPr>
    </w:p>
    <w:p>
      <w:pPr>
        <w:ind w:left="580"/>
        <w:spacing w:after="0"/>
        <w:rPr>
          <w:sz w:val="20"/>
          <w:szCs w:val="20"/>
          <w:color w:val="auto"/>
        </w:rPr>
      </w:pPr>
      <w:r>
        <w:rPr>
          <w:rFonts w:ascii="Arial" w:cs="Arial" w:eastAsia="Arial" w:hAnsi="Arial"/>
          <w:sz w:val="18"/>
          <w:szCs w:val="18"/>
          <w:b w:val="1"/>
          <w:bCs w:val="1"/>
          <w:color w:val="auto"/>
        </w:rPr>
        <w:t>For the fiscal year ended December 31, 2007.</w:t>
      </w:r>
    </w:p>
    <w:p>
      <w:pPr>
        <w:spacing w:after="0" w:line="171" w:lineRule="exact"/>
        <w:rPr>
          <w:sz w:val="24"/>
          <w:szCs w:val="24"/>
          <w:color w:val="auto"/>
        </w:rPr>
      </w:pPr>
    </w:p>
    <w:p>
      <w:pPr>
        <w:jc w:val="center"/>
        <w:ind w:right="-439"/>
        <w:spacing w:after="0"/>
        <w:rPr>
          <w:sz w:val="20"/>
          <w:szCs w:val="20"/>
          <w:color w:val="auto"/>
        </w:rPr>
      </w:pPr>
      <w:r>
        <w:rPr>
          <w:rFonts w:ascii="Arial" w:cs="Arial" w:eastAsia="Arial" w:hAnsi="Arial"/>
          <w:sz w:val="18"/>
          <w:szCs w:val="18"/>
          <w:b w:val="1"/>
          <w:bCs w:val="1"/>
          <w:color w:val="auto"/>
        </w:rPr>
        <w:t>OR</w:t>
      </w:r>
    </w:p>
    <w:p>
      <w:pPr>
        <w:spacing w:after="0" w:line="199" w:lineRule="exact"/>
        <w:rPr>
          <w:sz w:val="24"/>
          <w:szCs w:val="24"/>
          <w:color w:val="auto"/>
        </w:rPr>
      </w:pPr>
    </w:p>
    <w:p>
      <w:pPr>
        <w:ind w:left="580" w:hanging="572"/>
        <w:spacing w:after="0"/>
        <w:tabs>
          <w:tab w:leader="none" w:pos="580" w:val="left"/>
        </w:tabs>
        <w:numPr>
          <w:ilvl w:val="0"/>
          <w:numId w:val="2"/>
        </w:numPr>
        <w:rPr>
          <w:rFonts w:ascii="MS PGothic" w:cs="MS PGothic" w:eastAsia="MS PGothic" w:hAnsi="MS PGothic"/>
          <w:sz w:val="21"/>
          <w:szCs w:val="21"/>
          <w:color w:val="auto"/>
          <w:highlight w:val="black"/>
        </w:rPr>
      </w:pPr>
      <w:r>
        <w:rPr>
          <w:rFonts w:ascii="Arial" w:cs="Arial" w:eastAsia="Arial" w:hAnsi="Arial"/>
          <w:sz w:val="21"/>
          <w:szCs w:val="21"/>
          <w:b w:val="1"/>
          <w:bCs w:val="1"/>
          <w:color w:val="auto"/>
        </w:rPr>
        <w:t>TRANSITION REPORT PURSUANT TO SECTION 15(d) OF THE SECURITIES EXCHANGE ACT OF 1934.</w:t>
      </w:r>
    </w:p>
    <w:p>
      <w:pPr>
        <w:spacing w:after="0" w:line="190" w:lineRule="exact"/>
        <w:rPr>
          <w:sz w:val="24"/>
          <w:szCs w:val="24"/>
          <w:color w:val="auto"/>
        </w:rPr>
      </w:pPr>
    </w:p>
    <w:p>
      <w:pPr>
        <w:ind w:left="580"/>
        <w:spacing w:after="0"/>
        <w:tabs>
          <w:tab w:leader="none" w:pos="3440" w:val="left"/>
        </w:tabs>
        <w:rPr>
          <w:sz w:val="20"/>
          <w:szCs w:val="20"/>
          <w:color w:val="auto"/>
        </w:rPr>
      </w:pPr>
      <w:r>
        <w:rPr>
          <w:rFonts w:ascii="Arial" w:cs="Arial" w:eastAsia="Arial" w:hAnsi="Arial"/>
          <w:sz w:val="18"/>
          <w:szCs w:val="18"/>
          <w:b w:val="1"/>
          <w:bCs w:val="1"/>
          <w:color w:val="auto"/>
        </w:rPr>
        <w:t>For the transition period from</w:t>
      </w:r>
      <w:r>
        <w:rPr>
          <w:sz w:val="20"/>
          <w:szCs w:val="20"/>
          <w:color w:val="auto"/>
        </w:rPr>
        <w:tab/>
      </w:r>
      <w:r>
        <w:rPr>
          <w:rFonts w:ascii="Arial" w:cs="Arial" w:eastAsia="Arial" w:hAnsi="Arial"/>
          <w:sz w:val="14"/>
          <w:szCs w:val="14"/>
          <w:b w:val="1"/>
          <w:bCs w:val="1"/>
          <w:color w:val="auto"/>
        </w:rPr>
        <w:t>to</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1836420</wp:posOffset>
            </wp:positionH>
            <wp:positionV relativeFrom="paragraph">
              <wp:posOffset>-10160</wp:posOffset>
            </wp:positionV>
            <wp:extent cx="817245"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817245" cy="8890"/>
                    </a:xfrm>
                    <a:prstGeom prst="rect">
                      <a:avLst/>
                    </a:prstGeom>
                    <a:noFill/>
                  </pic:spPr>
                </pic:pic>
              </a:graphicData>
            </a:graphic>
          </wp:anchor>
        </w:drawing>
      </w:r>
    </w:p>
    <w:p>
      <w:pPr>
        <w:spacing w:after="0" w:line="151" w:lineRule="exact"/>
        <w:rPr>
          <w:sz w:val="24"/>
          <w:szCs w:val="24"/>
          <w:color w:val="auto"/>
        </w:rPr>
      </w:pPr>
    </w:p>
    <w:p>
      <w:pPr>
        <w:ind w:left="4380"/>
        <w:spacing w:after="0"/>
        <w:rPr>
          <w:sz w:val="20"/>
          <w:szCs w:val="20"/>
          <w:color w:val="auto"/>
        </w:rPr>
      </w:pPr>
      <w:r>
        <w:rPr>
          <w:rFonts w:ascii="Arial" w:cs="Arial" w:eastAsia="Arial" w:hAnsi="Arial"/>
          <w:sz w:val="18"/>
          <w:szCs w:val="18"/>
          <w:b w:val="1"/>
          <w:bCs w:val="1"/>
          <w:color w:val="auto"/>
        </w:rPr>
        <w:t>Commission file number 001-32871</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194945</wp:posOffset>
            </wp:positionV>
            <wp:extent cx="151765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0" w:lineRule="exact"/>
        <w:rPr>
          <w:sz w:val="24"/>
          <w:szCs w:val="24"/>
          <w:color w:val="auto"/>
        </w:rPr>
      </w:pPr>
    </w:p>
    <w:p>
      <w:pPr>
        <w:spacing w:after="0" w:line="254" w:lineRule="exact"/>
        <w:rPr>
          <w:sz w:val="24"/>
          <w:szCs w:val="24"/>
          <w:color w:val="auto"/>
        </w:rPr>
      </w:pPr>
    </w:p>
    <w:p>
      <w:pPr>
        <w:spacing w:after="0"/>
        <w:rPr>
          <w:sz w:val="20"/>
          <w:szCs w:val="20"/>
          <w:color w:val="auto"/>
        </w:rPr>
      </w:pPr>
      <w:r>
        <w:rPr>
          <w:rFonts w:ascii="Arial" w:cs="Arial" w:eastAsia="Arial" w:hAnsi="Arial"/>
          <w:sz w:val="18"/>
          <w:szCs w:val="18"/>
          <w:color w:val="auto"/>
        </w:rPr>
        <w:t>A. Full title of the plan and the address of the plan, if different from that of the issuer named below:</w:t>
      </w:r>
    </w:p>
    <w:p>
      <w:pPr>
        <w:spacing w:after="0" w:line="171" w:lineRule="exact"/>
        <w:rPr>
          <w:sz w:val="24"/>
          <w:szCs w:val="24"/>
          <w:color w:val="auto"/>
        </w:rPr>
      </w:pPr>
    </w:p>
    <w:p>
      <w:pPr>
        <w:spacing w:after="0"/>
        <w:rPr>
          <w:sz w:val="20"/>
          <w:szCs w:val="20"/>
          <w:color w:val="auto"/>
        </w:rPr>
      </w:pPr>
      <w:r>
        <w:rPr>
          <w:rFonts w:ascii="Arial" w:cs="Arial" w:eastAsia="Arial" w:hAnsi="Arial"/>
          <w:sz w:val="18"/>
          <w:szCs w:val="18"/>
          <w:color w:val="auto"/>
        </w:rPr>
        <w:t>COMCAST CORPORATION RETIREMENT-INVESTMENT PLAN</w:t>
      </w:r>
    </w:p>
    <w:p>
      <w:pPr>
        <w:spacing w:after="0" w:line="171" w:lineRule="exact"/>
        <w:rPr>
          <w:sz w:val="24"/>
          <w:szCs w:val="24"/>
          <w:color w:val="auto"/>
        </w:rPr>
      </w:pPr>
    </w:p>
    <w:p>
      <w:pPr>
        <w:spacing w:after="0"/>
        <w:rPr>
          <w:sz w:val="20"/>
          <w:szCs w:val="20"/>
          <w:color w:val="auto"/>
        </w:rPr>
      </w:pPr>
      <w:r>
        <w:rPr>
          <w:rFonts w:ascii="Arial" w:cs="Arial" w:eastAsia="Arial" w:hAnsi="Arial"/>
          <w:sz w:val="18"/>
          <w:szCs w:val="18"/>
          <w:color w:val="auto"/>
        </w:rPr>
        <w:t>B. Name of issuer of the securities held pursuant to the plan and the address of its principal executive office:</w:t>
      </w:r>
    </w:p>
    <w:p>
      <w:pPr>
        <w:spacing w:after="0" w:line="171" w:lineRule="exact"/>
        <w:rPr>
          <w:sz w:val="24"/>
          <w:szCs w:val="24"/>
          <w:color w:val="auto"/>
        </w:rPr>
      </w:pPr>
    </w:p>
    <w:p>
      <w:pPr>
        <w:spacing w:after="0"/>
        <w:rPr>
          <w:sz w:val="20"/>
          <w:szCs w:val="20"/>
          <w:color w:val="auto"/>
        </w:rPr>
      </w:pPr>
      <w:r>
        <w:rPr>
          <w:rFonts w:ascii="Arial" w:cs="Arial" w:eastAsia="Arial" w:hAnsi="Arial"/>
          <w:sz w:val="18"/>
          <w:szCs w:val="18"/>
          <w:color w:val="auto"/>
        </w:rPr>
        <w:t>Comcast Corporation</w:t>
      </w:r>
    </w:p>
    <w:p>
      <w:pPr>
        <w:spacing w:after="0" w:line="15" w:lineRule="exact"/>
        <w:rPr>
          <w:sz w:val="24"/>
          <w:szCs w:val="24"/>
          <w:color w:val="auto"/>
        </w:rPr>
      </w:pPr>
    </w:p>
    <w:p>
      <w:pPr>
        <w:spacing w:after="0"/>
        <w:rPr>
          <w:sz w:val="20"/>
          <w:szCs w:val="20"/>
          <w:color w:val="auto"/>
        </w:rPr>
      </w:pPr>
      <w:r>
        <w:rPr>
          <w:rFonts w:ascii="Arial" w:cs="Arial" w:eastAsia="Arial" w:hAnsi="Arial"/>
          <w:sz w:val="18"/>
          <w:szCs w:val="18"/>
          <w:color w:val="auto"/>
        </w:rPr>
        <w:t>One Comcast Center</w:t>
      </w:r>
    </w:p>
    <w:p>
      <w:pPr>
        <w:spacing w:after="0" w:line="9" w:lineRule="exact"/>
        <w:rPr>
          <w:sz w:val="24"/>
          <w:szCs w:val="24"/>
          <w:color w:val="auto"/>
        </w:rPr>
      </w:pPr>
    </w:p>
    <w:p>
      <w:pPr>
        <w:spacing w:after="0"/>
        <w:rPr>
          <w:sz w:val="20"/>
          <w:szCs w:val="20"/>
          <w:color w:val="auto"/>
        </w:rPr>
      </w:pPr>
      <w:r>
        <w:rPr>
          <w:rFonts w:ascii="Arial" w:cs="Arial" w:eastAsia="Arial" w:hAnsi="Arial"/>
          <w:sz w:val="18"/>
          <w:szCs w:val="18"/>
          <w:color w:val="auto"/>
        </w:rPr>
        <w:t>Philadelphia, PA 19103-2838</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58420</wp:posOffset>
            </wp:positionV>
            <wp:extent cx="7246620"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84455</wp:posOffset>
            </wp:positionV>
            <wp:extent cx="7246620" cy="88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0980"/>
          </w:cols>
          <w:pgMar w:left="240" w:top="230" w:right="679" w:bottom="1440" w:gutter="0" w:footer="0" w:header="0"/>
        </w:sectPr>
      </w:pPr>
    </w:p>
    <w:bookmarkStart w:id="1" w:name="page2"/>
    <w:bookmarkEnd w:id="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COMCAST CORPORATION RETIREMENT- INVESTMENT PLAN</w:t>
      </w:r>
    </w:p>
    <w:p>
      <w:pPr>
        <w:spacing w:after="0" w:line="119" w:lineRule="exact"/>
        <w:rPr>
          <w:sz w:val="20"/>
          <w:szCs w:val="20"/>
          <w:color w:val="auto"/>
        </w:rPr>
      </w:pPr>
    </w:p>
    <w:p>
      <w:pPr>
        <w:spacing w:after="0"/>
        <w:rPr>
          <w:sz w:val="20"/>
          <w:szCs w:val="20"/>
          <w:color w:val="auto"/>
        </w:rPr>
      </w:pPr>
      <w:r>
        <w:rPr>
          <w:rFonts w:ascii="Arial" w:cs="Arial" w:eastAsia="Arial" w:hAnsi="Arial"/>
          <w:sz w:val="18"/>
          <w:szCs w:val="18"/>
          <w:color w:val="auto"/>
        </w:rPr>
        <w:t>Financial Statements as of</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December 31, 2007 and 2006 and for</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the Year Ended December 31, 2007;</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Supplemental Schedule as of December 31, 2007;</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and Report of Independent Registered Public</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Accounting Firm</w:t>
      </w:r>
    </w:p>
    <w:p>
      <w:pPr>
        <w:sectPr>
          <w:pgSz w:w="11900" w:h="16838" w:orient="portrait"/>
          <w:cols w:equalWidth="0" w:num="1">
            <w:col w:w="10219"/>
          </w:cols>
          <w:pgMar w:left="240" w:top="459" w:right="1440" w:bottom="1440" w:gutter="0" w:footer="0" w:header="0"/>
        </w:sectPr>
      </w:pPr>
    </w:p>
    <w:bookmarkStart w:id="2" w:name="page3"/>
    <w:bookmarkEnd w:id="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COMCAST CORPORATION RETIREMENT-INVESTMENT PLAN</w:t>
      </w:r>
    </w:p>
    <w:p>
      <w:pPr>
        <w:spacing w:after="0" w:line="96" w:lineRule="exact"/>
        <w:rPr>
          <w:sz w:val="20"/>
          <w:szCs w:val="20"/>
          <w:color w:val="auto"/>
        </w:rPr>
      </w:pPr>
    </w:p>
    <w:p>
      <w:pPr>
        <w:spacing w:after="0"/>
        <w:rPr>
          <w:sz w:val="20"/>
          <w:szCs w:val="20"/>
          <w:color w:val="auto"/>
        </w:rPr>
      </w:pPr>
      <w:r>
        <w:rPr>
          <w:rFonts w:ascii="Arial" w:cs="Arial" w:eastAsia="Arial" w:hAnsi="Arial"/>
          <w:sz w:val="18"/>
          <w:szCs w:val="18"/>
          <w:color w:val="auto"/>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36830</wp:posOffset>
            </wp:positionV>
            <wp:extent cx="7246620" cy="889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6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1140" w:type="dxa"/>
            <w:vAlign w:val="bottom"/>
            <w:gridSpan w:val="9"/>
            <w:vMerge w:val="restart"/>
          </w:tcPr>
          <w:p>
            <w:pPr>
              <w:spacing w:after="0"/>
              <w:rPr>
                <w:rFonts w:ascii="Arial" w:cs="Arial" w:eastAsia="Arial" w:hAnsi="Arial"/>
                <w:sz w:val="18"/>
                <w:szCs w:val="18"/>
                <w:color w:val="0000EE"/>
              </w:rPr>
            </w:pPr>
            <w:hyperlink w:anchor="page4">
              <w:r>
                <w:rPr>
                  <w:rFonts w:ascii="Arial" w:cs="Arial" w:eastAsia="Arial" w:hAnsi="Arial"/>
                  <w:sz w:val="18"/>
                  <w:szCs w:val="18"/>
                  <w:color w:val="0000EE"/>
                </w:rPr>
                <w:t>REPORT OF INDEPENDENT REGISTERED PUBLIC ACCOUNTING FIRM</w:t>
              </w:r>
            </w:hyperlink>
          </w:p>
        </w:tc>
        <w:tc>
          <w:tcPr>
            <w:tcW w:w="300" w:type="dxa"/>
            <w:vAlign w:val="bottom"/>
            <w:gridSpan w:val="2"/>
          </w:tcPr>
          <w:p>
            <w:pPr>
              <w:jc w:val="right"/>
              <w:ind w:right="20"/>
              <w:spacing w:after="0"/>
              <w:rPr>
                <w:sz w:val="20"/>
                <w:szCs w:val="20"/>
                <w:color w:val="auto"/>
              </w:rPr>
            </w:pPr>
            <w:r>
              <w:rPr>
                <w:rFonts w:ascii="Arial" w:cs="Arial" w:eastAsia="Arial" w:hAnsi="Arial"/>
                <w:sz w:val="14"/>
                <w:szCs w:val="14"/>
                <w:b w:val="1"/>
                <w:bCs w:val="1"/>
                <w:color w:val="auto"/>
                <w:w w:val="77"/>
              </w:rPr>
              <w:t>Page</w:t>
            </w:r>
          </w:p>
        </w:tc>
        <w:tc>
          <w:tcPr>
            <w:tcW w:w="0" w:type="dxa"/>
            <w:vAlign w:val="bottom"/>
          </w:tcPr>
          <w:p>
            <w:pPr>
              <w:spacing w:after="0"/>
              <w:rPr>
                <w:sz w:val="1"/>
                <w:szCs w:val="1"/>
                <w:color w:val="auto"/>
              </w:rPr>
            </w:pPr>
          </w:p>
        </w:tc>
      </w:tr>
      <w:tr>
        <w:trPr>
          <w:trHeight w:val="169"/>
        </w:trPr>
        <w:tc>
          <w:tcPr>
            <w:tcW w:w="11140" w:type="dxa"/>
            <w:vAlign w:val="bottom"/>
            <w:gridSpan w:val="9"/>
            <w:vMerge w:val="continue"/>
          </w:tcPr>
          <w:p>
            <w:pPr>
              <w:spacing w:after="0"/>
              <w:rPr>
                <w:sz w:val="14"/>
                <w:szCs w:val="14"/>
                <w:color w:val="auto"/>
              </w:rPr>
            </w:pPr>
          </w:p>
        </w:tc>
        <w:tc>
          <w:tcPr>
            <w:tcW w:w="280" w:type="dxa"/>
            <w:vAlign w:val="bottom"/>
            <w:tcBorders>
              <w:top w:val="single" w:sz="8" w:color="auto"/>
            </w:tcBorders>
          </w:tcPr>
          <w:p>
            <w:pPr>
              <w:jc w:val="right"/>
              <w:spacing w:after="0" w:line="170" w:lineRule="exact"/>
              <w:rPr>
                <w:sz w:val="20"/>
                <w:szCs w:val="20"/>
                <w:color w:val="auto"/>
              </w:rPr>
            </w:pPr>
            <w:r>
              <w:rPr>
                <w:rFonts w:ascii="Arial" w:cs="Arial" w:eastAsia="Arial" w:hAnsi="Arial"/>
                <w:sz w:val="18"/>
                <w:szCs w:val="18"/>
                <w:color w:val="auto"/>
              </w:rPr>
              <w:t>1</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343"/>
        </w:trPr>
        <w:tc>
          <w:tcPr>
            <w:tcW w:w="5660" w:type="dxa"/>
            <w:vAlign w:val="bottom"/>
            <w:tcBorders>
              <w:top w:val="single" w:sz="8" w:color="0000EE"/>
            </w:tcBorders>
            <w:gridSpan w:val="4"/>
          </w:tcPr>
          <w:p>
            <w:pPr>
              <w:spacing w:after="0"/>
              <w:rPr>
                <w:sz w:val="20"/>
                <w:szCs w:val="20"/>
                <w:color w:val="auto"/>
              </w:rPr>
            </w:pPr>
            <w:r>
              <w:rPr>
                <w:rFonts w:ascii="Arial" w:cs="Arial" w:eastAsia="Arial" w:hAnsi="Arial"/>
                <w:sz w:val="18"/>
                <w:szCs w:val="18"/>
                <w:color w:val="auto"/>
              </w:rPr>
              <w:t>FINANCIAL STATEMENTS:</w:t>
            </w:r>
          </w:p>
        </w:tc>
        <w:tc>
          <w:tcPr>
            <w:tcW w:w="5480" w:type="dxa"/>
            <w:vAlign w:val="bottom"/>
            <w:gridSpan w:val="5"/>
          </w:tcPr>
          <w:p>
            <w:pPr>
              <w:spacing w:after="0"/>
              <w:rPr>
                <w:sz w:val="24"/>
                <w:szCs w:val="24"/>
                <w:color w:val="auto"/>
              </w:rPr>
            </w:pPr>
          </w:p>
        </w:tc>
        <w:tc>
          <w:tcPr>
            <w:tcW w:w="2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86"/>
        </w:trPr>
        <w:tc>
          <w:tcPr>
            <w:tcW w:w="440" w:type="dxa"/>
            <w:vAlign w:val="bottom"/>
          </w:tcPr>
          <w:p>
            <w:pPr>
              <w:spacing w:after="0"/>
              <w:rPr>
                <w:sz w:val="24"/>
                <w:szCs w:val="24"/>
                <w:color w:val="auto"/>
              </w:rPr>
            </w:pPr>
          </w:p>
        </w:tc>
        <w:tc>
          <w:tcPr>
            <w:tcW w:w="10700" w:type="dxa"/>
            <w:vAlign w:val="bottom"/>
            <w:gridSpan w:val="8"/>
          </w:tcPr>
          <w:p>
            <w:pPr>
              <w:spacing w:after="0"/>
              <w:rPr>
                <w:rFonts w:ascii="Arial" w:cs="Arial" w:eastAsia="Arial" w:hAnsi="Arial"/>
                <w:sz w:val="18"/>
                <w:szCs w:val="18"/>
                <w:color w:val="0000EE"/>
              </w:rPr>
            </w:pPr>
            <w:hyperlink w:anchor="page5">
              <w:r>
                <w:rPr>
                  <w:rFonts w:ascii="Arial" w:cs="Arial" w:eastAsia="Arial" w:hAnsi="Arial"/>
                  <w:sz w:val="18"/>
                  <w:szCs w:val="18"/>
                  <w:color w:val="0000EE"/>
                </w:rPr>
                <w:t>Statements of Net Assets Available for Benefits as of December 31, 2007 and 2006</w:t>
              </w:r>
            </w:hyperlink>
          </w:p>
        </w:tc>
        <w:tc>
          <w:tcPr>
            <w:tcW w:w="300" w:type="dxa"/>
            <w:vAlign w:val="bottom"/>
            <w:gridSpan w:val="2"/>
          </w:tcPr>
          <w:p>
            <w:pPr>
              <w:jc w:val="right"/>
              <w:ind w:right="20"/>
              <w:spacing w:after="0"/>
              <w:rPr>
                <w:sz w:val="20"/>
                <w:szCs w:val="20"/>
                <w:color w:val="auto"/>
              </w:rPr>
            </w:pPr>
            <w:r>
              <w:rPr>
                <w:rFonts w:ascii="Arial" w:cs="Arial" w:eastAsia="Arial" w:hAnsi="Arial"/>
                <w:sz w:val="18"/>
                <w:szCs w:val="18"/>
                <w:color w:val="auto"/>
              </w:rPr>
              <w:t>2</w:t>
            </w:r>
          </w:p>
        </w:tc>
        <w:tc>
          <w:tcPr>
            <w:tcW w:w="0" w:type="dxa"/>
            <w:vAlign w:val="bottom"/>
          </w:tcPr>
          <w:p>
            <w:pPr>
              <w:spacing w:after="0"/>
              <w:rPr>
                <w:sz w:val="1"/>
                <w:szCs w:val="1"/>
                <w:color w:val="auto"/>
              </w:rPr>
            </w:pPr>
          </w:p>
        </w:tc>
      </w:tr>
      <w:tr>
        <w:trPr>
          <w:trHeight w:val="20"/>
        </w:trPr>
        <w:tc>
          <w:tcPr>
            <w:tcW w:w="440" w:type="dxa"/>
            <w:vAlign w:val="bottom"/>
          </w:tcPr>
          <w:p>
            <w:pPr>
              <w:spacing w:after="0" w:line="20" w:lineRule="exact"/>
              <w:rPr>
                <w:sz w:val="1"/>
                <w:szCs w:val="1"/>
                <w:color w:val="auto"/>
              </w:rPr>
            </w:pPr>
          </w:p>
        </w:tc>
        <w:tc>
          <w:tcPr>
            <w:tcW w:w="540" w:type="dxa"/>
            <w:vAlign w:val="bottom"/>
            <w:shd w:val="clear" w:color="auto" w:fill="0000EE"/>
          </w:tcPr>
          <w:p>
            <w:pPr>
              <w:spacing w:after="0" w:line="20" w:lineRule="exact"/>
              <w:rPr>
                <w:sz w:val="1"/>
                <w:szCs w:val="1"/>
                <w:color w:val="auto"/>
              </w:rPr>
            </w:pPr>
          </w:p>
        </w:tc>
        <w:tc>
          <w:tcPr>
            <w:tcW w:w="1560" w:type="dxa"/>
            <w:vAlign w:val="bottom"/>
            <w:shd w:val="clear" w:color="auto" w:fill="0000EE"/>
          </w:tcPr>
          <w:p>
            <w:pPr>
              <w:spacing w:after="0" w:line="20" w:lineRule="exact"/>
              <w:rPr>
                <w:sz w:val="1"/>
                <w:szCs w:val="1"/>
                <w:color w:val="auto"/>
              </w:rPr>
            </w:pPr>
          </w:p>
        </w:tc>
        <w:tc>
          <w:tcPr>
            <w:tcW w:w="3280" w:type="dxa"/>
            <w:vAlign w:val="bottom"/>
            <w:gridSpan w:val="2"/>
            <w:shd w:val="clear" w:color="auto" w:fill="0000EE"/>
          </w:tcPr>
          <w:p>
            <w:pPr>
              <w:spacing w:after="0" w:line="20" w:lineRule="exact"/>
              <w:rPr>
                <w:sz w:val="1"/>
                <w:szCs w:val="1"/>
                <w:color w:val="auto"/>
              </w:rPr>
            </w:pPr>
          </w:p>
        </w:tc>
        <w:tc>
          <w:tcPr>
            <w:tcW w:w="460" w:type="dxa"/>
            <w:vAlign w:val="bottom"/>
            <w:shd w:val="clear" w:color="auto" w:fill="0000EE"/>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3800" w:type="dxa"/>
            <w:vAlign w:val="bottom"/>
          </w:tcPr>
          <w:p>
            <w:pPr>
              <w:spacing w:after="0" w:line="20" w:lineRule="exact"/>
              <w:rPr>
                <w:sz w:val="1"/>
                <w:szCs w:val="1"/>
                <w:color w:val="auto"/>
              </w:rPr>
            </w:pPr>
          </w:p>
        </w:tc>
        <w:tc>
          <w:tcPr>
            <w:tcW w:w="30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04"/>
        </w:trPr>
        <w:tc>
          <w:tcPr>
            <w:tcW w:w="440" w:type="dxa"/>
            <w:vAlign w:val="bottom"/>
          </w:tcPr>
          <w:p>
            <w:pPr>
              <w:spacing w:after="0"/>
              <w:rPr>
                <w:sz w:val="24"/>
                <w:szCs w:val="24"/>
                <w:color w:val="auto"/>
              </w:rPr>
            </w:pPr>
          </w:p>
        </w:tc>
        <w:tc>
          <w:tcPr>
            <w:tcW w:w="10700" w:type="dxa"/>
            <w:vAlign w:val="bottom"/>
            <w:gridSpan w:val="8"/>
          </w:tcPr>
          <w:p>
            <w:pPr>
              <w:spacing w:after="0"/>
              <w:rPr>
                <w:rFonts w:ascii="Arial" w:cs="Arial" w:eastAsia="Arial" w:hAnsi="Arial"/>
                <w:sz w:val="18"/>
                <w:szCs w:val="18"/>
                <w:color w:val="0000EE"/>
              </w:rPr>
            </w:pPr>
            <w:hyperlink w:anchor="page6">
              <w:r>
                <w:rPr>
                  <w:rFonts w:ascii="Arial" w:cs="Arial" w:eastAsia="Arial" w:hAnsi="Arial"/>
                  <w:sz w:val="18"/>
                  <w:szCs w:val="18"/>
                  <w:color w:val="0000EE"/>
                </w:rPr>
                <w:t>Statement of Changes in Net Assets Available for Benefits for the Year Ended December 31, 2007</w:t>
              </w:r>
            </w:hyperlink>
          </w:p>
        </w:tc>
        <w:tc>
          <w:tcPr>
            <w:tcW w:w="300" w:type="dxa"/>
            <w:vAlign w:val="bottom"/>
            <w:gridSpan w:val="2"/>
          </w:tcPr>
          <w:p>
            <w:pPr>
              <w:jc w:val="right"/>
              <w:ind w:right="20"/>
              <w:spacing w:after="0"/>
              <w:rPr>
                <w:sz w:val="20"/>
                <w:szCs w:val="20"/>
                <w:color w:val="auto"/>
              </w:rPr>
            </w:pPr>
            <w:r>
              <w:rPr>
                <w:rFonts w:ascii="Arial" w:cs="Arial" w:eastAsia="Arial" w:hAnsi="Arial"/>
                <w:sz w:val="18"/>
                <w:szCs w:val="18"/>
                <w:color w:val="auto"/>
              </w:rPr>
              <w:t>3</w:t>
            </w:r>
          </w:p>
        </w:tc>
        <w:tc>
          <w:tcPr>
            <w:tcW w:w="0" w:type="dxa"/>
            <w:vAlign w:val="bottom"/>
          </w:tcPr>
          <w:p>
            <w:pPr>
              <w:spacing w:after="0"/>
              <w:rPr>
                <w:sz w:val="1"/>
                <w:szCs w:val="1"/>
                <w:color w:val="auto"/>
              </w:rPr>
            </w:pPr>
          </w:p>
        </w:tc>
      </w:tr>
      <w:tr>
        <w:trPr>
          <w:trHeight w:val="304"/>
        </w:trPr>
        <w:tc>
          <w:tcPr>
            <w:tcW w:w="440" w:type="dxa"/>
            <w:vAlign w:val="bottom"/>
          </w:tcPr>
          <w:p>
            <w:pPr>
              <w:spacing w:after="0"/>
              <w:rPr>
                <w:sz w:val="24"/>
                <w:szCs w:val="24"/>
                <w:color w:val="auto"/>
              </w:rPr>
            </w:pPr>
          </w:p>
        </w:tc>
        <w:tc>
          <w:tcPr>
            <w:tcW w:w="6900" w:type="dxa"/>
            <w:vAlign w:val="bottom"/>
            <w:tcBorders>
              <w:top w:val="single" w:sz="8" w:color="0000EE"/>
            </w:tcBorders>
            <w:gridSpan w:val="7"/>
          </w:tcPr>
          <w:p>
            <w:pPr>
              <w:spacing w:after="0"/>
              <w:rPr>
                <w:rFonts w:ascii="Arial" w:cs="Arial" w:eastAsia="Arial" w:hAnsi="Arial"/>
                <w:sz w:val="18"/>
                <w:szCs w:val="18"/>
                <w:color w:val="0000EE"/>
              </w:rPr>
            </w:pPr>
            <w:hyperlink w:anchor="page7">
              <w:r>
                <w:rPr>
                  <w:rFonts w:ascii="Arial" w:cs="Arial" w:eastAsia="Arial" w:hAnsi="Arial"/>
                  <w:sz w:val="18"/>
                  <w:szCs w:val="18"/>
                  <w:color w:val="0000EE"/>
                </w:rPr>
                <w:t>Notes to Financial Statements</w:t>
              </w:r>
            </w:hyperlink>
          </w:p>
        </w:tc>
        <w:tc>
          <w:tcPr>
            <w:tcW w:w="3800" w:type="dxa"/>
            <w:vAlign w:val="bottom"/>
          </w:tcPr>
          <w:p>
            <w:pPr>
              <w:spacing w:after="0"/>
              <w:rPr>
                <w:sz w:val="24"/>
                <w:szCs w:val="24"/>
                <w:color w:val="auto"/>
              </w:rPr>
            </w:pPr>
          </w:p>
        </w:tc>
        <w:tc>
          <w:tcPr>
            <w:tcW w:w="300" w:type="dxa"/>
            <w:vAlign w:val="bottom"/>
            <w:gridSpan w:val="2"/>
          </w:tcPr>
          <w:p>
            <w:pPr>
              <w:jc w:val="right"/>
              <w:ind w:right="20"/>
              <w:spacing w:after="0"/>
              <w:rPr>
                <w:sz w:val="20"/>
                <w:szCs w:val="20"/>
                <w:color w:val="auto"/>
              </w:rPr>
            </w:pPr>
            <w:r>
              <w:rPr>
                <w:rFonts w:ascii="Arial" w:cs="Arial" w:eastAsia="Arial" w:hAnsi="Arial"/>
                <w:sz w:val="18"/>
                <w:szCs w:val="18"/>
                <w:color w:val="auto"/>
                <w:w w:val="99"/>
              </w:rPr>
              <w:t>4-7</w:t>
            </w:r>
          </w:p>
        </w:tc>
        <w:tc>
          <w:tcPr>
            <w:tcW w:w="0" w:type="dxa"/>
            <w:vAlign w:val="bottom"/>
          </w:tcPr>
          <w:p>
            <w:pPr>
              <w:spacing w:after="0"/>
              <w:rPr>
                <w:sz w:val="1"/>
                <w:szCs w:val="1"/>
                <w:color w:val="auto"/>
              </w:rPr>
            </w:pPr>
          </w:p>
        </w:tc>
      </w:tr>
      <w:tr>
        <w:trPr>
          <w:trHeight w:val="20"/>
        </w:trPr>
        <w:tc>
          <w:tcPr>
            <w:tcW w:w="440" w:type="dxa"/>
            <w:vAlign w:val="bottom"/>
          </w:tcPr>
          <w:p>
            <w:pPr>
              <w:spacing w:after="0" w:line="20" w:lineRule="exact"/>
              <w:rPr>
                <w:sz w:val="1"/>
                <w:szCs w:val="1"/>
                <w:color w:val="auto"/>
              </w:rPr>
            </w:pPr>
          </w:p>
        </w:tc>
        <w:tc>
          <w:tcPr>
            <w:tcW w:w="540" w:type="dxa"/>
            <w:vAlign w:val="bottom"/>
            <w:shd w:val="clear" w:color="auto" w:fill="0000EE"/>
          </w:tcPr>
          <w:p>
            <w:pPr>
              <w:spacing w:after="0" w:line="20" w:lineRule="exact"/>
              <w:rPr>
                <w:sz w:val="1"/>
                <w:szCs w:val="1"/>
                <w:color w:val="auto"/>
              </w:rPr>
            </w:pPr>
          </w:p>
        </w:tc>
        <w:tc>
          <w:tcPr>
            <w:tcW w:w="1560" w:type="dxa"/>
            <w:vAlign w:val="bottom"/>
            <w:shd w:val="clear" w:color="auto" w:fill="0000EE"/>
          </w:tcPr>
          <w:p>
            <w:pPr>
              <w:spacing w:after="0" w:line="20" w:lineRule="exact"/>
              <w:rPr>
                <w:sz w:val="1"/>
                <w:szCs w:val="1"/>
                <w:color w:val="auto"/>
              </w:rPr>
            </w:pPr>
          </w:p>
        </w:tc>
        <w:tc>
          <w:tcPr>
            <w:tcW w:w="3280" w:type="dxa"/>
            <w:vAlign w:val="bottom"/>
            <w:gridSpan w:val="2"/>
          </w:tcPr>
          <w:p>
            <w:pPr>
              <w:spacing w:after="0" w:line="20" w:lineRule="exact"/>
              <w:rPr>
                <w:sz w:val="1"/>
                <w:szCs w:val="1"/>
                <w:color w:val="auto"/>
              </w:rPr>
            </w:pPr>
          </w:p>
        </w:tc>
        <w:tc>
          <w:tcPr>
            <w:tcW w:w="920" w:type="dxa"/>
            <w:vAlign w:val="bottom"/>
            <w:gridSpan w:val="2"/>
          </w:tcPr>
          <w:p>
            <w:pPr>
              <w:spacing w:after="0" w:line="20" w:lineRule="exact"/>
              <w:rPr>
                <w:sz w:val="1"/>
                <w:szCs w:val="1"/>
                <w:color w:val="auto"/>
              </w:rPr>
            </w:pPr>
          </w:p>
        </w:tc>
        <w:tc>
          <w:tcPr>
            <w:tcW w:w="4400" w:type="dxa"/>
            <w:vAlign w:val="bottom"/>
            <w:gridSpan w:val="2"/>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43"/>
        </w:trPr>
        <w:tc>
          <w:tcPr>
            <w:tcW w:w="11140" w:type="dxa"/>
            <w:vAlign w:val="bottom"/>
            <w:gridSpan w:val="9"/>
          </w:tcPr>
          <w:p>
            <w:pPr>
              <w:spacing w:after="0"/>
              <w:rPr>
                <w:sz w:val="20"/>
                <w:szCs w:val="20"/>
                <w:color w:val="auto"/>
              </w:rPr>
            </w:pPr>
            <w:r>
              <w:rPr>
                <w:rFonts w:ascii="Arial" w:cs="Arial" w:eastAsia="Arial" w:hAnsi="Arial"/>
                <w:sz w:val="18"/>
                <w:szCs w:val="18"/>
                <w:color w:val="auto"/>
              </w:rPr>
              <w:t>SUPPLEMENTAL SCHEDULE:</w:t>
            </w:r>
          </w:p>
        </w:tc>
        <w:tc>
          <w:tcPr>
            <w:tcW w:w="2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86"/>
        </w:trPr>
        <w:tc>
          <w:tcPr>
            <w:tcW w:w="440" w:type="dxa"/>
            <w:vAlign w:val="bottom"/>
          </w:tcPr>
          <w:p>
            <w:pPr>
              <w:spacing w:after="0"/>
              <w:rPr>
                <w:sz w:val="24"/>
                <w:szCs w:val="24"/>
                <w:color w:val="auto"/>
              </w:rPr>
            </w:pPr>
          </w:p>
        </w:tc>
        <w:tc>
          <w:tcPr>
            <w:tcW w:w="10700" w:type="dxa"/>
            <w:vAlign w:val="bottom"/>
            <w:gridSpan w:val="8"/>
          </w:tcPr>
          <w:p>
            <w:pPr>
              <w:spacing w:after="0"/>
              <w:rPr>
                <w:rFonts w:ascii="Arial" w:cs="Arial" w:eastAsia="Arial" w:hAnsi="Arial"/>
                <w:sz w:val="18"/>
                <w:szCs w:val="18"/>
                <w:color w:val="0000EE"/>
              </w:rPr>
            </w:pPr>
            <w:hyperlink w:anchor="page11">
              <w:r>
                <w:rPr>
                  <w:rFonts w:ascii="Arial" w:cs="Arial" w:eastAsia="Arial" w:hAnsi="Arial"/>
                  <w:sz w:val="18"/>
                  <w:szCs w:val="18"/>
                  <w:color w:val="0000EE"/>
                </w:rPr>
                <w:t>Schedule H - Line 4i - Schedule of Assets (Held at End of Year) as of December 31, 2007</w:t>
              </w:r>
            </w:hyperlink>
          </w:p>
        </w:tc>
        <w:tc>
          <w:tcPr>
            <w:tcW w:w="300" w:type="dxa"/>
            <w:vAlign w:val="bottom"/>
            <w:gridSpan w:val="2"/>
          </w:tcPr>
          <w:p>
            <w:pPr>
              <w:jc w:val="right"/>
              <w:ind w:right="20"/>
              <w:spacing w:after="0"/>
              <w:rPr>
                <w:sz w:val="20"/>
                <w:szCs w:val="20"/>
                <w:color w:val="auto"/>
              </w:rPr>
            </w:pPr>
            <w:r>
              <w:rPr>
                <w:rFonts w:ascii="Arial" w:cs="Arial" w:eastAsia="Arial" w:hAnsi="Arial"/>
                <w:sz w:val="18"/>
                <w:szCs w:val="18"/>
                <w:color w:val="auto"/>
                <w:w w:val="99"/>
              </w:rPr>
              <w:t>8-9</w:t>
            </w:r>
          </w:p>
        </w:tc>
        <w:tc>
          <w:tcPr>
            <w:tcW w:w="0" w:type="dxa"/>
            <w:vAlign w:val="bottom"/>
          </w:tcPr>
          <w:p>
            <w:pPr>
              <w:spacing w:after="0"/>
              <w:rPr>
                <w:sz w:val="1"/>
                <w:szCs w:val="1"/>
                <w:color w:val="auto"/>
              </w:rPr>
            </w:pPr>
          </w:p>
        </w:tc>
      </w:tr>
      <w:tr>
        <w:trPr>
          <w:trHeight w:val="20"/>
        </w:trPr>
        <w:tc>
          <w:tcPr>
            <w:tcW w:w="440" w:type="dxa"/>
            <w:vAlign w:val="bottom"/>
          </w:tcPr>
          <w:p>
            <w:pPr>
              <w:spacing w:after="0" w:line="20" w:lineRule="exact"/>
              <w:rPr>
                <w:sz w:val="1"/>
                <w:szCs w:val="1"/>
                <w:color w:val="auto"/>
              </w:rPr>
            </w:pPr>
          </w:p>
        </w:tc>
        <w:tc>
          <w:tcPr>
            <w:tcW w:w="540" w:type="dxa"/>
            <w:vAlign w:val="bottom"/>
            <w:shd w:val="clear" w:color="auto" w:fill="0000EE"/>
          </w:tcPr>
          <w:p>
            <w:pPr>
              <w:spacing w:after="0" w:line="20" w:lineRule="exact"/>
              <w:rPr>
                <w:sz w:val="1"/>
                <w:szCs w:val="1"/>
                <w:color w:val="auto"/>
              </w:rPr>
            </w:pPr>
          </w:p>
        </w:tc>
        <w:tc>
          <w:tcPr>
            <w:tcW w:w="4840" w:type="dxa"/>
            <w:vAlign w:val="bottom"/>
            <w:gridSpan w:val="3"/>
            <w:shd w:val="clear" w:color="auto" w:fill="0000EE"/>
          </w:tcPr>
          <w:p>
            <w:pPr>
              <w:spacing w:after="0" w:line="20" w:lineRule="exact"/>
              <w:rPr>
                <w:sz w:val="1"/>
                <w:szCs w:val="1"/>
                <w:color w:val="auto"/>
              </w:rPr>
            </w:pPr>
          </w:p>
        </w:tc>
        <w:tc>
          <w:tcPr>
            <w:tcW w:w="920" w:type="dxa"/>
            <w:vAlign w:val="bottom"/>
            <w:gridSpan w:val="2"/>
            <w:shd w:val="clear" w:color="auto" w:fill="0000EE"/>
          </w:tcPr>
          <w:p>
            <w:pPr>
              <w:spacing w:after="0" w:line="20" w:lineRule="exact"/>
              <w:rPr>
                <w:sz w:val="1"/>
                <w:szCs w:val="1"/>
                <w:color w:val="auto"/>
              </w:rPr>
            </w:pPr>
          </w:p>
        </w:tc>
        <w:tc>
          <w:tcPr>
            <w:tcW w:w="4400" w:type="dxa"/>
            <w:vAlign w:val="bottom"/>
            <w:gridSpan w:val="2"/>
          </w:tcPr>
          <w:p>
            <w:pPr>
              <w:spacing w:after="0" w:line="20" w:lineRule="exact"/>
              <w:rPr>
                <w:sz w:val="1"/>
                <w:szCs w:val="1"/>
                <w:color w:val="auto"/>
              </w:rPr>
            </w:pPr>
          </w:p>
        </w:tc>
        <w:tc>
          <w:tcPr>
            <w:tcW w:w="30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04"/>
        </w:trPr>
        <w:tc>
          <w:tcPr>
            <w:tcW w:w="5820" w:type="dxa"/>
            <w:vAlign w:val="bottom"/>
            <w:tcBorders>
              <w:bottom w:val="single" w:sz="8" w:color="0000EE"/>
            </w:tcBorders>
            <w:gridSpan w:val="5"/>
          </w:tcPr>
          <w:p>
            <w:pPr>
              <w:spacing w:after="0"/>
              <w:rPr>
                <w:rFonts w:ascii="Arial" w:cs="Arial" w:eastAsia="Arial" w:hAnsi="Arial"/>
                <w:sz w:val="18"/>
                <w:szCs w:val="18"/>
                <w:color w:val="0000EE"/>
                <w:w w:val="93"/>
              </w:rPr>
            </w:pPr>
            <w:hyperlink w:anchor="page13">
              <w:r>
                <w:rPr>
                  <w:rFonts w:ascii="Arial" w:cs="Arial" w:eastAsia="Arial" w:hAnsi="Arial"/>
                  <w:sz w:val="18"/>
                  <w:szCs w:val="18"/>
                  <w:color w:val="0000EE"/>
                  <w:w w:val="93"/>
                </w:rPr>
                <w:t>CONSENT OF INDEPENDENT REGISTERED PUBLIC ACCOUNTING FIRM</w:t>
              </w:r>
            </w:hyperlink>
          </w:p>
        </w:tc>
        <w:tc>
          <w:tcPr>
            <w:tcW w:w="5320" w:type="dxa"/>
            <w:vAlign w:val="bottom"/>
            <w:gridSpan w:val="4"/>
          </w:tcPr>
          <w:p>
            <w:pPr>
              <w:spacing w:after="0"/>
              <w:rPr>
                <w:sz w:val="24"/>
                <w:szCs w:val="24"/>
                <w:color w:val="auto"/>
              </w:rPr>
            </w:pPr>
          </w:p>
        </w:tc>
        <w:tc>
          <w:tcPr>
            <w:tcW w:w="300" w:type="dxa"/>
            <w:vAlign w:val="bottom"/>
            <w:gridSpan w:val="2"/>
          </w:tcPr>
          <w:p>
            <w:pPr>
              <w:jc w:val="right"/>
              <w:ind w:right="20"/>
              <w:spacing w:after="0"/>
              <w:rPr>
                <w:sz w:val="20"/>
                <w:szCs w:val="20"/>
                <w:color w:val="auto"/>
              </w:rPr>
            </w:pPr>
            <w:r>
              <w:rPr>
                <w:rFonts w:ascii="Arial" w:cs="Arial" w:eastAsia="Arial" w:hAnsi="Arial"/>
                <w:sz w:val="18"/>
                <w:szCs w:val="18"/>
                <w:color w:val="auto"/>
              </w:rPr>
              <w:t>10</w:t>
            </w:r>
          </w:p>
        </w:tc>
        <w:tc>
          <w:tcPr>
            <w:tcW w:w="0" w:type="dxa"/>
            <w:vAlign w:val="bottom"/>
          </w:tcPr>
          <w:p>
            <w:pPr>
              <w:spacing w:after="0"/>
              <w:rPr>
                <w:sz w:val="1"/>
                <w:szCs w:val="1"/>
                <w:color w:val="auto"/>
              </w:rPr>
            </w:pPr>
          </w:p>
        </w:tc>
      </w:tr>
      <w:tr>
        <w:trPr>
          <w:trHeight w:val="304"/>
        </w:trPr>
        <w:tc>
          <w:tcPr>
            <w:tcW w:w="11140" w:type="dxa"/>
            <w:vAlign w:val="bottom"/>
            <w:gridSpan w:val="9"/>
          </w:tcPr>
          <w:p>
            <w:pPr>
              <w:spacing w:after="0"/>
              <w:rPr>
                <w:rFonts w:ascii="Arial" w:cs="Arial" w:eastAsia="Arial" w:hAnsi="Arial"/>
                <w:sz w:val="18"/>
                <w:szCs w:val="18"/>
                <w:color w:val="0000EE"/>
              </w:rPr>
            </w:pPr>
            <w:hyperlink w:anchor="page14">
              <w:r>
                <w:rPr>
                  <w:rFonts w:ascii="Arial" w:cs="Arial" w:eastAsia="Arial" w:hAnsi="Arial"/>
                  <w:sz w:val="18"/>
                  <w:szCs w:val="18"/>
                  <w:color w:val="0000EE"/>
                </w:rPr>
                <w:t>SIGNATURE</w:t>
              </w:r>
            </w:hyperlink>
          </w:p>
        </w:tc>
        <w:tc>
          <w:tcPr>
            <w:tcW w:w="300" w:type="dxa"/>
            <w:vAlign w:val="bottom"/>
            <w:gridSpan w:val="2"/>
          </w:tcPr>
          <w:p>
            <w:pPr>
              <w:jc w:val="right"/>
              <w:ind w:right="20"/>
              <w:spacing w:after="0"/>
              <w:rPr>
                <w:sz w:val="20"/>
                <w:szCs w:val="20"/>
                <w:color w:val="auto"/>
              </w:rPr>
            </w:pPr>
            <w:r>
              <w:rPr>
                <w:rFonts w:ascii="Arial" w:cs="Arial" w:eastAsia="Arial" w:hAnsi="Arial"/>
                <w:sz w:val="18"/>
                <w:szCs w:val="18"/>
                <w:color w:val="auto"/>
              </w:rPr>
              <w:t>11</w:t>
            </w:r>
          </w:p>
        </w:tc>
        <w:tc>
          <w:tcPr>
            <w:tcW w:w="0" w:type="dxa"/>
            <w:vAlign w:val="bottom"/>
          </w:tcPr>
          <w:p>
            <w:pPr>
              <w:spacing w:after="0"/>
              <w:rPr>
                <w:sz w:val="1"/>
                <w:szCs w:val="1"/>
                <w:color w:val="auto"/>
              </w:rPr>
            </w:pPr>
          </w:p>
        </w:tc>
      </w:tr>
      <w:tr>
        <w:trPr>
          <w:trHeight w:val="20"/>
        </w:trPr>
        <w:tc>
          <w:tcPr>
            <w:tcW w:w="440" w:type="dxa"/>
            <w:vAlign w:val="bottom"/>
            <w:shd w:val="clear" w:color="auto" w:fill="0000EE"/>
          </w:tcPr>
          <w:p>
            <w:pPr>
              <w:spacing w:after="0" w:line="20" w:lineRule="exact"/>
              <w:rPr>
                <w:sz w:val="1"/>
                <w:szCs w:val="1"/>
                <w:color w:val="auto"/>
              </w:rPr>
            </w:pPr>
          </w:p>
        </w:tc>
        <w:tc>
          <w:tcPr>
            <w:tcW w:w="540" w:type="dxa"/>
            <w:vAlign w:val="bottom"/>
            <w:shd w:val="clear" w:color="auto" w:fill="0000EE"/>
          </w:tcPr>
          <w:p>
            <w:pPr>
              <w:spacing w:after="0" w:line="20" w:lineRule="exact"/>
              <w:rPr>
                <w:sz w:val="1"/>
                <w:szCs w:val="1"/>
                <w:color w:val="auto"/>
              </w:rPr>
            </w:pPr>
          </w:p>
        </w:tc>
        <w:tc>
          <w:tcPr>
            <w:tcW w:w="1560" w:type="dxa"/>
            <w:vAlign w:val="bottom"/>
          </w:tcPr>
          <w:p>
            <w:pPr>
              <w:spacing w:after="0" w:line="20" w:lineRule="exact"/>
              <w:rPr>
                <w:sz w:val="1"/>
                <w:szCs w:val="1"/>
                <w:color w:val="auto"/>
              </w:rPr>
            </w:pPr>
          </w:p>
        </w:tc>
        <w:tc>
          <w:tcPr>
            <w:tcW w:w="31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38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ectPr>
          <w:pgSz w:w="11900" w:h="16838" w:orient="portrait"/>
          <w:cols w:equalWidth="0" w:num="1">
            <w:col w:w="11420"/>
          </w:cols>
          <w:pgMar w:left="240" w:top="459" w:right="239" w:bottom="1440" w:gutter="0" w:footer="0" w:header="0"/>
        </w:sectPr>
      </w:pPr>
    </w:p>
    <w:bookmarkStart w:id="3" w:name="page4"/>
    <w:bookmarkEnd w:id="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REPORT OF INDEPENDENT REGISTERED PUBLIC ACCOUNTING FIRM</w:t>
      </w:r>
    </w:p>
    <w:p>
      <w:pPr>
        <w:spacing w:after="0" w:line="96" w:lineRule="exact"/>
        <w:rPr>
          <w:sz w:val="20"/>
          <w:szCs w:val="20"/>
          <w:color w:val="auto"/>
        </w:rPr>
      </w:pPr>
    </w:p>
    <w:p>
      <w:pPr>
        <w:spacing w:after="0"/>
        <w:rPr>
          <w:sz w:val="20"/>
          <w:szCs w:val="20"/>
          <w:color w:val="auto"/>
        </w:rPr>
      </w:pPr>
      <w:r>
        <w:rPr>
          <w:rFonts w:ascii="Arial" w:cs="Arial" w:eastAsia="Arial" w:hAnsi="Arial"/>
          <w:sz w:val="18"/>
          <w:szCs w:val="18"/>
          <w:color w:val="auto"/>
        </w:rPr>
        <w:t>Plan Administrator</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Comcast Corporation Retirement-Investment Plan</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Philadelphia, Pennsylvania</w:t>
      </w:r>
    </w:p>
    <w:p>
      <w:pPr>
        <w:spacing w:after="0" w:line="165" w:lineRule="exact"/>
        <w:rPr>
          <w:sz w:val="20"/>
          <w:szCs w:val="20"/>
          <w:color w:val="auto"/>
        </w:rPr>
      </w:pPr>
    </w:p>
    <w:p>
      <w:pPr>
        <w:jc w:val="both"/>
        <w:ind w:right="360"/>
        <w:spacing w:after="0" w:line="335" w:lineRule="auto"/>
        <w:rPr>
          <w:sz w:val="20"/>
          <w:szCs w:val="20"/>
          <w:color w:val="auto"/>
        </w:rPr>
      </w:pPr>
      <w:r>
        <w:rPr>
          <w:rFonts w:ascii="Arial" w:cs="Arial" w:eastAsia="Arial" w:hAnsi="Arial"/>
          <w:sz w:val="15"/>
          <w:szCs w:val="15"/>
          <w:color w:val="auto"/>
        </w:rPr>
        <w:t>We have audited the accompanying statements of net assets available for benefits of the Comcast Corporation Retirement-Investment Plan (the “Plan”) as of December 31, 2007 and 2006, and the related statement of changes in net assets available for benefits for the year ended December 31, 2007. These financial statements are the responsibility of the Plan’s management. Our responsibility is to express an opinion on these financial statements based on our audits.</w:t>
      </w:r>
    </w:p>
    <w:p>
      <w:pPr>
        <w:spacing w:after="0" w:line="88" w:lineRule="exact"/>
        <w:rPr>
          <w:sz w:val="20"/>
          <w:szCs w:val="20"/>
          <w:color w:val="auto"/>
        </w:rPr>
      </w:pPr>
    </w:p>
    <w:p>
      <w:pPr>
        <w:ind w:right="20"/>
        <w:spacing w:after="0" w:line="290" w:lineRule="auto"/>
        <w:rPr>
          <w:sz w:val="20"/>
          <w:szCs w:val="20"/>
          <w:color w:val="auto"/>
        </w:rPr>
      </w:pPr>
      <w:r>
        <w:rPr>
          <w:rFonts w:ascii="Arial" w:cs="Arial" w:eastAsia="Arial" w:hAnsi="Arial"/>
          <w:sz w:val="16"/>
          <w:szCs w:val="16"/>
          <w:color w:val="auto"/>
        </w:rPr>
        <w:t>We conducted our audits in accordance with the standards of the Public Company Accounting Oversight Board (United States). Those standards require that we plan and perform the audit to obtain reasonable assurance about whether the financial statements are free of material misstatement. We were not engaged to perform an audit of the Plan’s internal control over financial reporting. Our audits included consideration of internal control over financial reporting as a basis for designing audit procedures that are appropriate in the circumstances, but not for the purposes of expressing an opinion on the effectiveness of the Plan’s internal control over financial reporting. Accordingly, we express no such opinion. An audit also includes examining, on a test basis, evidence supporting the amounts and disclosures in the financial statements, assessing the accounting principles used and significant estimates made by management, and evaluating the overall financial statement presentation. We believe our audits provide a reasonable basis for our opinion.</w:t>
      </w:r>
    </w:p>
    <w:p>
      <w:pPr>
        <w:spacing w:after="0" w:line="118"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In our opinion, the financial statements referred to above present fairly, in all material respects, the net assets available for benefits of the Plan as of December 31, 2007 and 2006, and the changes in net assets available for benefits for the year ended December 31, 2007 in conformity with accounting principles generally accepted in the United States.</w:t>
      </w:r>
    </w:p>
    <w:p>
      <w:pPr>
        <w:spacing w:after="0" w:line="140" w:lineRule="exact"/>
        <w:rPr>
          <w:sz w:val="20"/>
          <w:szCs w:val="20"/>
          <w:color w:val="auto"/>
        </w:rPr>
      </w:pPr>
    </w:p>
    <w:p>
      <w:pPr>
        <w:ind w:right="40"/>
        <w:spacing w:after="0" w:line="291" w:lineRule="auto"/>
        <w:rPr>
          <w:sz w:val="20"/>
          <w:szCs w:val="20"/>
          <w:color w:val="auto"/>
        </w:rPr>
      </w:pPr>
      <w:r>
        <w:rPr>
          <w:rFonts w:ascii="Arial" w:cs="Arial" w:eastAsia="Arial" w:hAnsi="Arial"/>
          <w:sz w:val="16"/>
          <w:szCs w:val="16"/>
          <w:color w:val="auto"/>
        </w:rPr>
        <w:t>Our audits were conducted for the purpose of forming an opinion on the Plan’s financial statements taken as a whole. The accompanying supplemental schedule of assets (held at end of year) as of December 31, 2007 (Schedule H - Line 4i) is presented for the purpose of additional analysis and is not a required part of the financial statements but is supplementary information required by the Department of Labor’s Rules and Regulations for Reporting and Disclosure under the Employee Retirement Income Security Act of 1974. The supplemental schedule is the responsibility of the Plan’s management. The supplemental schedule has been subjected to the auditing procedures applied in the audits of the financial statements and, in our opinion, is fairly stated in all material respects, in relation to the financial statements taken as a whole.</w:t>
      </w:r>
    </w:p>
    <w:p>
      <w:pPr>
        <w:spacing w:after="0" w:line="120" w:lineRule="exact"/>
        <w:rPr>
          <w:sz w:val="20"/>
          <w:szCs w:val="20"/>
          <w:color w:val="auto"/>
        </w:rPr>
      </w:pPr>
    </w:p>
    <w:p>
      <w:pPr>
        <w:spacing w:after="0"/>
        <w:rPr>
          <w:sz w:val="20"/>
          <w:szCs w:val="20"/>
          <w:color w:val="auto"/>
        </w:rPr>
      </w:pPr>
      <w:r>
        <w:rPr>
          <w:rFonts w:ascii="Arial" w:cs="Arial" w:eastAsia="Arial" w:hAnsi="Arial"/>
          <w:sz w:val="18"/>
          <w:szCs w:val="18"/>
          <w:color w:val="auto"/>
        </w:rPr>
        <w:t>/s/ MITCHELL &amp; TITUS, LLP</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Philadelphia, PA</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June 17, 2008</w:t>
      </w:r>
    </w:p>
    <w:p>
      <w:pPr>
        <w:spacing w:after="0" w:line="151"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w:t>
      </w:r>
    </w:p>
    <w:p>
      <w:pPr>
        <w:sectPr>
          <w:pgSz w:w="11900" w:h="16838" w:orient="portrait"/>
          <w:cols w:equalWidth="0" w:num="1">
            <w:col w:w="11400"/>
          </w:cols>
          <w:pgMar w:left="240" w:top="459" w:right="259" w:bottom="1440" w:gutter="0" w:footer="0" w:header="0"/>
        </w:sectPr>
      </w:pPr>
    </w:p>
    <w:bookmarkStart w:id="4" w:name="page5"/>
    <w:bookmarkEnd w:id="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COMCAST CORPORATION RETIREMENT-INVESTMENT PLAN</w:t>
      </w:r>
    </w:p>
    <w:p>
      <w:pPr>
        <w:spacing w:after="0" w:line="9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STATEMENTS OF NET ASSETS AVAILABLE FOR BENEFITS</w:t>
      </w:r>
    </w:p>
    <w:p>
      <w:pPr>
        <w:spacing w:after="0" w:line="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DECEMBER 31, 2007 AND 2006</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(Thousands of Dollars)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33020</wp:posOffset>
            </wp:positionV>
            <wp:extent cx="7246620" cy="889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6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954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780" w:type="dxa"/>
            <w:vAlign w:val="bottom"/>
            <w:tcBorders>
              <w:bottom w:val="single" w:sz="8" w:color="auto"/>
            </w:tcBorders>
            <w:gridSpan w:val="4"/>
          </w:tcPr>
          <w:p>
            <w:pPr>
              <w:jc w:val="right"/>
              <w:ind w:right="455"/>
              <w:spacing w:after="0"/>
              <w:rPr>
                <w:sz w:val="20"/>
                <w:szCs w:val="20"/>
                <w:color w:val="auto"/>
              </w:rPr>
            </w:pPr>
            <w:r>
              <w:rPr>
                <w:rFonts w:ascii="Arial" w:cs="Arial" w:eastAsia="Arial" w:hAnsi="Arial"/>
                <w:sz w:val="14"/>
                <w:szCs w:val="14"/>
                <w:b w:val="1"/>
                <w:bCs w:val="1"/>
                <w:color w:val="auto"/>
              </w:rPr>
              <w:t>December 31,</w:t>
            </w:r>
          </w:p>
        </w:tc>
      </w:tr>
      <w:tr>
        <w:trPr>
          <w:trHeight w:val="142"/>
        </w:trPr>
        <w:tc>
          <w:tcPr>
            <w:tcW w:w="9540" w:type="dxa"/>
            <w:vAlign w:val="bottom"/>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700" w:type="dxa"/>
            <w:vAlign w:val="bottom"/>
            <w:tcBorders>
              <w:bottom w:val="single" w:sz="8" w:color="auto"/>
            </w:tcBorders>
          </w:tcPr>
          <w:p>
            <w:pPr>
              <w:jc w:val="right"/>
              <w:ind w:right="177"/>
              <w:spacing w:after="0" w:line="142" w:lineRule="exact"/>
              <w:rPr>
                <w:sz w:val="20"/>
                <w:szCs w:val="20"/>
                <w:color w:val="auto"/>
              </w:rPr>
            </w:pPr>
            <w:r>
              <w:rPr>
                <w:rFonts w:ascii="Arial" w:cs="Arial" w:eastAsia="Arial" w:hAnsi="Arial"/>
                <w:sz w:val="14"/>
                <w:szCs w:val="14"/>
                <w:b w:val="1"/>
                <w:bCs w:val="1"/>
                <w:color w:val="auto"/>
              </w:rPr>
              <w:t>2007</w:t>
            </w:r>
          </w:p>
        </w:tc>
        <w:tc>
          <w:tcPr>
            <w:tcW w:w="280" w:type="dxa"/>
            <w:vAlign w:val="bottom"/>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700" w:type="dxa"/>
            <w:vAlign w:val="bottom"/>
            <w:tcBorders>
              <w:bottom w:val="single" w:sz="8" w:color="auto"/>
            </w:tcBorders>
          </w:tcPr>
          <w:p>
            <w:pPr>
              <w:jc w:val="right"/>
              <w:ind w:right="175"/>
              <w:spacing w:after="0" w:line="142" w:lineRule="exact"/>
              <w:rPr>
                <w:sz w:val="20"/>
                <w:szCs w:val="20"/>
                <w:color w:val="auto"/>
              </w:rPr>
            </w:pPr>
            <w:r>
              <w:rPr>
                <w:rFonts w:ascii="Arial" w:cs="Arial" w:eastAsia="Arial" w:hAnsi="Arial"/>
                <w:sz w:val="14"/>
                <w:szCs w:val="14"/>
                <w:b w:val="1"/>
                <w:bCs w:val="1"/>
                <w:color w:val="auto"/>
              </w:rPr>
              <w:t>2006</w:t>
            </w:r>
          </w:p>
        </w:tc>
      </w:tr>
      <w:tr>
        <w:trPr>
          <w:trHeight w:val="210"/>
        </w:trPr>
        <w:tc>
          <w:tcPr>
            <w:tcW w:w="9540" w:type="dxa"/>
            <w:vAlign w:val="bottom"/>
            <w:shd w:val="clear" w:color="auto" w:fill="CCEEFF"/>
          </w:tcPr>
          <w:p>
            <w:pPr>
              <w:spacing w:after="0"/>
              <w:rPr>
                <w:sz w:val="20"/>
                <w:szCs w:val="20"/>
                <w:color w:val="auto"/>
              </w:rPr>
            </w:pPr>
            <w:r>
              <w:rPr>
                <w:rFonts w:ascii="Arial" w:cs="Arial" w:eastAsia="Arial" w:hAnsi="Arial"/>
                <w:sz w:val="18"/>
                <w:szCs w:val="18"/>
                <w:color w:val="auto"/>
              </w:rPr>
              <w:t>ASSETS:</w:t>
            </w: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r>
      <w:tr>
        <w:trPr>
          <w:trHeight w:val="216"/>
        </w:trPr>
        <w:tc>
          <w:tcPr>
            <w:tcW w:w="9540" w:type="dxa"/>
            <w:vAlign w:val="bottom"/>
          </w:tcPr>
          <w:p>
            <w:pPr>
              <w:ind w:left="440"/>
              <w:spacing w:after="0"/>
              <w:rPr>
                <w:sz w:val="20"/>
                <w:szCs w:val="20"/>
                <w:color w:val="auto"/>
              </w:rPr>
            </w:pPr>
            <w:r>
              <w:rPr>
                <w:rFonts w:ascii="Arial" w:cs="Arial" w:eastAsia="Arial" w:hAnsi="Arial"/>
                <w:sz w:val="18"/>
                <w:szCs w:val="18"/>
                <w:color w:val="auto"/>
              </w:rPr>
              <w:t>Cash</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700" w:type="dxa"/>
            <w:vAlign w:val="bottom"/>
          </w:tcPr>
          <w:p>
            <w:pPr>
              <w:jc w:val="right"/>
              <w:spacing w:after="0"/>
              <w:rPr>
                <w:sz w:val="20"/>
                <w:szCs w:val="20"/>
                <w:color w:val="auto"/>
              </w:rPr>
            </w:pPr>
            <w:r>
              <w:rPr>
                <w:rFonts w:ascii="Arial" w:cs="Arial" w:eastAsia="Arial" w:hAnsi="Arial"/>
                <w:sz w:val="18"/>
                <w:szCs w:val="18"/>
                <w:color w:val="auto"/>
              </w:rPr>
              <w:t>56</w:t>
            </w:r>
          </w:p>
        </w:tc>
        <w:tc>
          <w:tcPr>
            <w:tcW w:w="280" w:type="dxa"/>
            <w:vAlign w:val="bottom"/>
          </w:tcPr>
          <w:p>
            <w:pPr>
              <w:spacing w:after="0"/>
              <w:rPr>
                <w:sz w:val="18"/>
                <w:szCs w:val="18"/>
                <w:color w:val="auto"/>
              </w:rPr>
            </w:pP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700" w:type="dxa"/>
            <w:vAlign w:val="bottom"/>
          </w:tcPr>
          <w:p>
            <w:pPr>
              <w:jc w:val="right"/>
              <w:spacing w:after="0"/>
              <w:rPr>
                <w:sz w:val="20"/>
                <w:szCs w:val="20"/>
                <w:color w:val="auto"/>
              </w:rPr>
            </w:pPr>
            <w:r>
              <w:rPr>
                <w:rFonts w:ascii="Arial" w:cs="Arial" w:eastAsia="Arial" w:hAnsi="Arial"/>
                <w:sz w:val="18"/>
                <w:szCs w:val="18"/>
                <w:color w:val="auto"/>
              </w:rPr>
              <w:t>211</w:t>
            </w:r>
          </w:p>
        </w:tc>
      </w:tr>
      <w:tr>
        <w:trPr>
          <w:trHeight w:val="216"/>
        </w:trPr>
        <w:tc>
          <w:tcPr>
            <w:tcW w:w="9540" w:type="dxa"/>
            <w:vAlign w:val="bottom"/>
            <w:shd w:val="clear" w:color="auto" w:fill="CCEEFF"/>
          </w:tcPr>
          <w:p>
            <w:pPr>
              <w:ind w:left="440"/>
              <w:spacing w:after="0"/>
              <w:rPr>
                <w:sz w:val="20"/>
                <w:szCs w:val="20"/>
                <w:color w:val="auto"/>
              </w:rPr>
            </w:pPr>
            <w:r>
              <w:rPr>
                <w:rFonts w:ascii="Arial" w:cs="Arial" w:eastAsia="Arial" w:hAnsi="Arial"/>
                <w:sz w:val="18"/>
                <w:szCs w:val="18"/>
                <w:color w:val="auto"/>
              </w:rPr>
              <w:t>Contributions receivable</w:t>
            </w:r>
          </w:p>
        </w:tc>
        <w:tc>
          <w:tcPr>
            <w:tcW w:w="10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w:t>
            </w:r>
          </w:p>
        </w:tc>
      </w:tr>
      <w:tr>
        <w:trPr>
          <w:trHeight w:val="216"/>
        </w:trPr>
        <w:tc>
          <w:tcPr>
            <w:tcW w:w="9540" w:type="dxa"/>
            <w:vAlign w:val="bottom"/>
          </w:tcPr>
          <w:p>
            <w:pPr>
              <w:ind w:left="440"/>
              <w:spacing w:after="0"/>
              <w:rPr>
                <w:sz w:val="20"/>
                <w:szCs w:val="20"/>
                <w:color w:val="auto"/>
              </w:rPr>
            </w:pPr>
            <w:r>
              <w:rPr>
                <w:rFonts w:ascii="Arial" w:cs="Arial" w:eastAsia="Arial" w:hAnsi="Arial"/>
                <w:sz w:val="18"/>
                <w:szCs w:val="18"/>
                <w:color w:val="auto"/>
              </w:rPr>
              <w:t>Investments, at fair value</w:t>
            </w:r>
          </w:p>
        </w:tc>
        <w:tc>
          <w:tcPr>
            <w:tcW w:w="10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w w:val="84"/>
              </w:rPr>
              <w:t>2,413,551</w:t>
            </w: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w w:val="84"/>
              </w:rPr>
              <w:t>2,190,908</w:t>
            </w:r>
          </w:p>
        </w:tc>
      </w:tr>
      <w:tr>
        <w:trPr>
          <w:trHeight w:val="216"/>
        </w:trPr>
        <w:tc>
          <w:tcPr>
            <w:tcW w:w="9540" w:type="dxa"/>
            <w:vAlign w:val="bottom"/>
            <w:shd w:val="clear" w:color="auto" w:fill="CCEEFF"/>
          </w:tcPr>
          <w:p>
            <w:pPr>
              <w:ind w:left="440"/>
              <w:spacing w:after="0"/>
              <w:rPr>
                <w:sz w:val="20"/>
                <w:szCs w:val="20"/>
                <w:color w:val="auto"/>
              </w:rPr>
            </w:pPr>
            <w:r>
              <w:rPr>
                <w:rFonts w:ascii="Arial" w:cs="Arial" w:eastAsia="Arial" w:hAnsi="Arial"/>
                <w:sz w:val="18"/>
                <w:szCs w:val="18"/>
                <w:color w:val="auto"/>
              </w:rPr>
              <w:t>Loans receivable from participants</w:t>
            </w:r>
          </w:p>
        </w:tc>
        <w:tc>
          <w:tcPr>
            <w:tcW w:w="100" w:type="dxa"/>
            <w:vAlign w:val="bottom"/>
            <w:tcBorders>
              <w:bottom w:val="single" w:sz="8" w:color="auto"/>
            </w:tcBorders>
            <w:shd w:val="clear" w:color="auto" w:fill="CCEEFF"/>
          </w:tcPr>
          <w:p>
            <w:pPr>
              <w:spacing w:after="0"/>
              <w:rPr>
                <w:sz w:val="18"/>
                <w:szCs w:val="18"/>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78,461</w:t>
            </w:r>
          </w:p>
        </w:tc>
        <w:tc>
          <w:tcPr>
            <w:tcW w:w="28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67,495</w:t>
            </w:r>
          </w:p>
        </w:tc>
      </w:tr>
      <w:tr>
        <w:trPr>
          <w:trHeight w:val="221"/>
        </w:trPr>
        <w:tc>
          <w:tcPr>
            <w:tcW w:w="9540" w:type="dxa"/>
            <w:vAlign w:val="bottom"/>
          </w:tcPr>
          <w:p>
            <w:pPr>
              <w:spacing w:after="0"/>
              <w:rPr>
                <w:sz w:val="20"/>
                <w:szCs w:val="20"/>
                <w:color w:val="auto"/>
              </w:rPr>
            </w:pPr>
            <w:r>
              <w:rPr>
                <w:rFonts w:ascii="Arial" w:cs="Arial" w:eastAsia="Arial" w:hAnsi="Arial"/>
                <w:sz w:val="18"/>
                <w:szCs w:val="18"/>
                <w:color w:val="auto"/>
              </w:rPr>
              <w:t>NET ASSETS AVAILABLE FOR BENEFITS AT FAIR VALUE</w:t>
            </w:r>
          </w:p>
        </w:tc>
        <w:tc>
          <w:tcPr>
            <w:tcW w:w="10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w w:val="84"/>
              </w:rPr>
              <w:t>2,492,068</w:t>
            </w:r>
          </w:p>
        </w:tc>
        <w:tc>
          <w:tcPr>
            <w:tcW w:w="2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w w:val="84"/>
              </w:rPr>
              <w:t>2,258,618</w:t>
            </w:r>
          </w:p>
        </w:tc>
      </w:tr>
      <w:tr>
        <w:trPr>
          <w:trHeight w:val="218"/>
        </w:trPr>
        <w:tc>
          <w:tcPr>
            <w:tcW w:w="9540" w:type="dxa"/>
            <w:vAlign w:val="bottom"/>
            <w:shd w:val="clear" w:color="auto" w:fill="CCEEFF"/>
          </w:tcPr>
          <w:p>
            <w:pPr>
              <w:ind w:left="440"/>
              <w:spacing w:after="0"/>
              <w:rPr>
                <w:sz w:val="20"/>
                <w:szCs w:val="20"/>
                <w:color w:val="auto"/>
              </w:rPr>
            </w:pPr>
            <w:r>
              <w:rPr>
                <w:rFonts w:ascii="Arial" w:cs="Arial" w:eastAsia="Arial" w:hAnsi="Arial"/>
                <w:sz w:val="18"/>
                <w:szCs w:val="18"/>
                <w:color w:val="auto"/>
              </w:rPr>
              <w:t>Adjustment from fair value to contract value for fully benefit-responsive investment contracts</w:t>
            </w:r>
          </w:p>
        </w:tc>
        <w:tc>
          <w:tcPr>
            <w:tcW w:w="10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(978)</w:t>
            </w: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7,572</w:t>
            </w:r>
          </w:p>
        </w:tc>
      </w:tr>
      <w:tr>
        <w:trPr>
          <w:trHeight w:val="222"/>
        </w:trPr>
        <w:tc>
          <w:tcPr>
            <w:tcW w:w="9540" w:type="dxa"/>
            <w:vAlign w:val="bottom"/>
          </w:tcPr>
          <w:p>
            <w:pPr>
              <w:spacing w:after="0"/>
              <w:rPr>
                <w:sz w:val="20"/>
                <w:szCs w:val="20"/>
                <w:color w:val="auto"/>
              </w:rPr>
            </w:pPr>
            <w:r>
              <w:rPr>
                <w:rFonts w:ascii="Arial" w:cs="Arial" w:eastAsia="Arial" w:hAnsi="Arial"/>
                <w:sz w:val="18"/>
                <w:szCs w:val="18"/>
                <w:color w:val="auto"/>
              </w:rPr>
              <w:t>NET ASSETS AVAILABLE FOR BENEFITS</w:t>
            </w: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u w:val="single" w:color="auto"/>
                <w:color w:val="auto"/>
                <w:w w:val="79"/>
              </w:rPr>
              <w:t>$</w:t>
            </w:r>
          </w:p>
        </w:tc>
        <w:tc>
          <w:tcPr>
            <w:tcW w:w="7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4"/>
              </w:rPr>
              <w:t>2,491,090</w:t>
            </w:r>
          </w:p>
        </w:tc>
        <w:tc>
          <w:tcPr>
            <w:tcW w:w="28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u w:val="single" w:color="auto"/>
                <w:color w:val="auto"/>
                <w:w w:val="79"/>
              </w:rPr>
              <w:t>$</w:t>
            </w:r>
          </w:p>
        </w:tc>
        <w:tc>
          <w:tcPr>
            <w:tcW w:w="7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4"/>
              </w:rPr>
              <w:t>2,266,190</w:t>
            </w:r>
          </w:p>
        </w:tc>
      </w:tr>
      <w:tr>
        <w:trPr>
          <w:trHeight w:val="20"/>
        </w:trPr>
        <w:tc>
          <w:tcPr>
            <w:tcW w:w="95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r>
    </w:tbl>
    <w:p>
      <w:pPr>
        <w:spacing w:after="0" w:line="167" w:lineRule="exact"/>
        <w:rPr>
          <w:sz w:val="20"/>
          <w:szCs w:val="20"/>
          <w:color w:val="auto"/>
        </w:rPr>
      </w:pPr>
    </w:p>
    <w:p>
      <w:pPr>
        <w:spacing w:after="0"/>
        <w:rPr>
          <w:sz w:val="20"/>
          <w:szCs w:val="20"/>
          <w:color w:val="auto"/>
        </w:rPr>
      </w:pPr>
      <w:r>
        <w:rPr>
          <w:rFonts w:ascii="Arial" w:cs="Arial" w:eastAsia="Arial" w:hAnsi="Arial"/>
          <w:sz w:val="18"/>
          <w:szCs w:val="18"/>
          <w:color w:val="auto"/>
        </w:rPr>
        <w:t>See notes to financial statements.</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1420"/>
          </w:cols>
          <w:pgMar w:left="240" w:top="459" w:right="239" w:bottom="1440" w:gutter="0" w:footer="0" w:header="0"/>
        </w:sectPr>
      </w:pPr>
    </w:p>
    <w:bookmarkStart w:id="5" w:name="page6"/>
    <w:bookmarkEnd w:id="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COMCAST CORPORATION RETIREMENT-INVESTMENT PLAN</w:t>
      </w:r>
    </w:p>
    <w:p>
      <w:pPr>
        <w:spacing w:after="0" w:line="9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STATEMENT OF CHANGES IN NET ASSETS AVAILABLE FOR BENEFITS</w:t>
      </w:r>
    </w:p>
    <w:p>
      <w:pPr>
        <w:spacing w:after="0" w:line="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YEAR ENDED DECEMBER 31, 2007</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(Thousands of Dollars)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33020</wp:posOffset>
            </wp:positionV>
            <wp:extent cx="7246620" cy="889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5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10540" w:type="dxa"/>
            <w:vAlign w:val="bottom"/>
          </w:tcPr>
          <w:p>
            <w:pPr>
              <w:spacing w:after="0"/>
              <w:rPr>
                <w:sz w:val="14"/>
                <w:szCs w:val="14"/>
                <w:color w:val="auto"/>
              </w:rPr>
            </w:pPr>
          </w:p>
        </w:tc>
        <w:tc>
          <w:tcPr>
            <w:tcW w:w="860" w:type="dxa"/>
            <w:vAlign w:val="bottom"/>
            <w:gridSpan w:val="3"/>
          </w:tcPr>
          <w:p>
            <w:pPr>
              <w:ind w:left="60"/>
              <w:spacing w:after="0"/>
              <w:rPr>
                <w:sz w:val="20"/>
                <w:szCs w:val="20"/>
                <w:color w:val="auto"/>
              </w:rPr>
            </w:pPr>
            <w:r>
              <w:rPr>
                <w:rFonts w:ascii="Arial" w:cs="Arial" w:eastAsia="Arial" w:hAnsi="Arial"/>
                <w:sz w:val="14"/>
                <w:szCs w:val="14"/>
                <w:b w:val="1"/>
                <w:bCs w:val="1"/>
                <w:color w:val="auto"/>
              </w:rPr>
              <w:t>Year Ended</w:t>
            </w:r>
          </w:p>
        </w:tc>
      </w:tr>
      <w:tr>
        <w:trPr>
          <w:trHeight w:val="149"/>
        </w:trPr>
        <w:tc>
          <w:tcPr>
            <w:tcW w:w="20" w:type="dxa"/>
            <w:vAlign w:val="bottom"/>
          </w:tcPr>
          <w:p>
            <w:pPr>
              <w:spacing w:after="0"/>
              <w:rPr>
                <w:sz w:val="12"/>
                <w:szCs w:val="12"/>
                <w:color w:val="auto"/>
              </w:rPr>
            </w:pPr>
          </w:p>
        </w:tc>
        <w:tc>
          <w:tcPr>
            <w:tcW w:w="10540" w:type="dxa"/>
            <w:vAlign w:val="bottom"/>
          </w:tcPr>
          <w:p>
            <w:pPr>
              <w:spacing w:after="0"/>
              <w:rPr>
                <w:sz w:val="12"/>
                <w:szCs w:val="12"/>
                <w:color w:val="auto"/>
              </w:rPr>
            </w:pPr>
          </w:p>
        </w:tc>
        <w:tc>
          <w:tcPr>
            <w:tcW w:w="860" w:type="dxa"/>
            <w:vAlign w:val="bottom"/>
            <w:gridSpan w:val="3"/>
          </w:tcPr>
          <w:p>
            <w:pPr>
              <w:spacing w:after="0" w:line="149" w:lineRule="exact"/>
              <w:rPr>
                <w:sz w:val="20"/>
                <w:szCs w:val="20"/>
                <w:color w:val="auto"/>
              </w:rPr>
            </w:pPr>
            <w:r>
              <w:rPr>
                <w:rFonts w:ascii="Arial" w:cs="Arial" w:eastAsia="Arial" w:hAnsi="Arial"/>
                <w:sz w:val="14"/>
                <w:szCs w:val="14"/>
                <w:b w:val="1"/>
                <w:bCs w:val="1"/>
                <w:color w:val="auto"/>
                <w:w w:val="92"/>
              </w:rPr>
              <w:t>December 31,</w:t>
            </w:r>
          </w:p>
        </w:tc>
      </w:tr>
      <w:tr>
        <w:trPr>
          <w:trHeight w:val="161"/>
        </w:trPr>
        <w:tc>
          <w:tcPr>
            <w:tcW w:w="20" w:type="dxa"/>
            <w:vAlign w:val="bottom"/>
          </w:tcPr>
          <w:p>
            <w:pPr>
              <w:spacing w:after="0"/>
              <w:rPr>
                <w:sz w:val="14"/>
                <w:szCs w:val="14"/>
                <w:color w:val="auto"/>
              </w:rPr>
            </w:pPr>
          </w:p>
        </w:tc>
        <w:tc>
          <w:tcPr>
            <w:tcW w:w="10540" w:type="dxa"/>
            <w:vAlign w:val="bottom"/>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720" w:type="dxa"/>
            <w:vAlign w:val="bottom"/>
            <w:tcBorders>
              <w:bottom w:val="single" w:sz="8" w:color="auto"/>
            </w:tcBorders>
          </w:tcPr>
          <w:p>
            <w:pPr>
              <w:jc w:val="right"/>
              <w:ind w:right="194"/>
              <w:spacing w:after="0"/>
              <w:rPr>
                <w:sz w:val="20"/>
                <w:szCs w:val="20"/>
                <w:color w:val="auto"/>
              </w:rPr>
            </w:pPr>
            <w:r>
              <w:rPr>
                <w:rFonts w:ascii="Arial" w:cs="Arial" w:eastAsia="Arial" w:hAnsi="Arial"/>
                <w:sz w:val="14"/>
                <w:szCs w:val="14"/>
                <w:b w:val="1"/>
                <w:bCs w:val="1"/>
                <w:color w:val="auto"/>
              </w:rPr>
              <w:t>2007</w:t>
            </w:r>
          </w:p>
        </w:tc>
        <w:tc>
          <w:tcPr>
            <w:tcW w:w="60" w:type="dxa"/>
            <w:vAlign w:val="bottom"/>
          </w:tcPr>
          <w:p>
            <w:pPr>
              <w:spacing w:after="0"/>
              <w:rPr>
                <w:sz w:val="14"/>
                <w:szCs w:val="14"/>
                <w:color w:val="auto"/>
              </w:rPr>
            </w:pPr>
          </w:p>
        </w:tc>
      </w:tr>
      <w:tr>
        <w:trPr>
          <w:trHeight w:val="210"/>
        </w:trPr>
        <w:tc>
          <w:tcPr>
            <w:tcW w:w="20" w:type="dxa"/>
            <w:vAlign w:val="bottom"/>
          </w:tcPr>
          <w:p>
            <w:pPr>
              <w:spacing w:after="0"/>
              <w:rPr>
                <w:sz w:val="18"/>
                <w:szCs w:val="18"/>
                <w:color w:val="auto"/>
              </w:rPr>
            </w:pPr>
          </w:p>
        </w:tc>
        <w:tc>
          <w:tcPr>
            <w:tcW w:w="10540" w:type="dxa"/>
            <w:vAlign w:val="bottom"/>
            <w:shd w:val="clear" w:color="auto" w:fill="CCEEFF"/>
          </w:tcPr>
          <w:p>
            <w:pPr>
              <w:spacing w:after="0"/>
              <w:rPr>
                <w:sz w:val="20"/>
                <w:szCs w:val="20"/>
                <w:color w:val="auto"/>
              </w:rPr>
            </w:pPr>
            <w:r>
              <w:rPr>
                <w:rFonts w:ascii="Arial" w:cs="Arial" w:eastAsia="Arial" w:hAnsi="Arial"/>
                <w:sz w:val="18"/>
                <w:szCs w:val="18"/>
                <w:color w:val="auto"/>
              </w:rPr>
              <w:t>ADDITIONS TO NET ASSETS ATTRIBUTED TO:</w:t>
            </w:r>
          </w:p>
        </w:tc>
        <w:tc>
          <w:tcPr>
            <w:tcW w:w="8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10540" w:type="dxa"/>
            <w:vAlign w:val="bottom"/>
          </w:tcPr>
          <w:p>
            <w:pPr>
              <w:ind w:left="420"/>
              <w:spacing w:after="0"/>
              <w:rPr>
                <w:sz w:val="20"/>
                <w:szCs w:val="20"/>
                <w:color w:val="auto"/>
              </w:rPr>
            </w:pPr>
            <w:r>
              <w:rPr>
                <w:rFonts w:ascii="Arial" w:cs="Arial" w:eastAsia="Arial" w:hAnsi="Arial"/>
                <w:sz w:val="18"/>
                <w:szCs w:val="18"/>
                <w:color w:val="auto"/>
              </w:rPr>
              <w:t>Investments:</w:t>
            </w:r>
          </w:p>
        </w:tc>
        <w:tc>
          <w:tcPr>
            <w:tcW w:w="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6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10540" w:type="dxa"/>
            <w:vAlign w:val="bottom"/>
            <w:shd w:val="clear" w:color="auto" w:fill="CCEEFF"/>
          </w:tcPr>
          <w:p>
            <w:pPr>
              <w:ind w:left="860"/>
              <w:spacing w:after="0"/>
              <w:rPr>
                <w:sz w:val="20"/>
                <w:szCs w:val="20"/>
                <w:color w:val="auto"/>
              </w:rPr>
            </w:pPr>
            <w:r>
              <w:rPr>
                <w:rFonts w:ascii="Arial" w:cs="Arial" w:eastAsia="Arial" w:hAnsi="Arial"/>
                <w:sz w:val="18"/>
                <w:szCs w:val="18"/>
                <w:color w:val="auto"/>
              </w:rPr>
              <w:t>Net depreciation in fair value of investments</w:t>
            </w:r>
          </w:p>
        </w:tc>
        <w:tc>
          <w:tcPr>
            <w:tcW w:w="80" w:type="dxa"/>
            <w:vAlign w:val="bottom"/>
            <w:shd w:val="clear" w:color="auto" w:fill="CCEEFF"/>
          </w:tcPr>
          <w:p>
            <w:pPr>
              <w:spacing w:after="0"/>
              <w:rPr>
                <w:sz w:val="20"/>
                <w:szCs w:val="20"/>
                <w:color w:val="auto"/>
              </w:rPr>
            </w:pPr>
            <w:r>
              <w:rPr>
                <w:rFonts w:ascii="Arial" w:cs="Arial" w:eastAsia="Arial" w:hAnsi="Arial"/>
                <w:sz w:val="15"/>
                <w:szCs w:val="15"/>
                <w:color w:val="auto"/>
                <w:w w:val="71"/>
              </w:rPr>
              <w:t>$</w:t>
            </w:r>
          </w:p>
        </w:tc>
        <w:tc>
          <w:tcPr>
            <w:tcW w:w="7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98"/>
              </w:rPr>
              <w:t>(105,954)</w:t>
            </w:r>
          </w:p>
        </w:tc>
      </w:tr>
      <w:tr>
        <w:trPr>
          <w:trHeight w:val="223"/>
        </w:trPr>
        <w:tc>
          <w:tcPr>
            <w:tcW w:w="20" w:type="dxa"/>
            <w:vAlign w:val="bottom"/>
          </w:tcPr>
          <w:p>
            <w:pPr>
              <w:spacing w:after="0"/>
              <w:rPr>
                <w:sz w:val="19"/>
                <w:szCs w:val="19"/>
                <w:color w:val="auto"/>
              </w:rPr>
            </w:pPr>
          </w:p>
        </w:tc>
        <w:tc>
          <w:tcPr>
            <w:tcW w:w="10540" w:type="dxa"/>
            <w:vAlign w:val="bottom"/>
          </w:tcPr>
          <w:p>
            <w:pPr>
              <w:ind w:left="860"/>
              <w:spacing w:after="0"/>
              <w:rPr>
                <w:sz w:val="20"/>
                <w:szCs w:val="20"/>
                <w:color w:val="auto"/>
              </w:rPr>
            </w:pPr>
            <w:r>
              <w:rPr>
                <w:rFonts w:ascii="Arial" w:cs="Arial" w:eastAsia="Arial" w:hAnsi="Arial"/>
                <w:sz w:val="18"/>
                <w:szCs w:val="18"/>
                <w:color w:val="auto"/>
              </w:rPr>
              <w:t>Interest and dividends</w:t>
            </w:r>
          </w:p>
        </w:tc>
        <w:tc>
          <w:tcPr>
            <w:tcW w:w="80" w:type="dxa"/>
            <w:vAlign w:val="bottom"/>
            <w:tcBorders>
              <w:bottom w:val="single" w:sz="8" w:color="auto"/>
            </w:tcBorders>
          </w:tcPr>
          <w:p>
            <w:pPr>
              <w:spacing w:after="0"/>
              <w:rPr>
                <w:sz w:val="19"/>
                <w:szCs w:val="19"/>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132,876</w:t>
            </w:r>
          </w:p>
        </w:tc>
        <w:tc>
          <w:tcPr>
            <w:tcW w:w="60" w:type="dxa"/>
            <w:vAlign w:val="bottom"/>
          </w:tcPr>
          <w:p>
            <w:pPr>
              <w:spacing w:after="0"/>
              <w:rPr>
                <w:sz w:val="19"/>
                <w:szCs w:val="19"/>
                <w:color w:val="auto"/>
              </w:rPr>
            </w:pPr>
          </w:p>
        </w:tc>
      </w:tr>
      <w:tr>
        <w:trPr>
          <w:trHeight w:val="216"/>
        </w:trPr>
        <w:tc>
          <w:tcPr>
            <w:tcW w:w="20" w:type="dxa"/>
            <w:vAlign w:val="bottom"/>
          </w:tcPr>
          <w:p>
            <w:pPr>
              <w:spacing w:after="0"/>
              <w:rPr>
                <w:sz w:val="18"/>
                <w:szCs w:val="18"/>
                <w:color w:val="auto"/>
              </w:rPr>
            </w:pPr>
          </w:p>
        </w:tc>
        <w:tc>
          <w:tcPr>
            <w:tcW w:w="10540" w:type="dxa"/>
            <w:vAlign w:val="bottom"/>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26,922</w:t>
            </w:r>
          </w:p>
        </w:tc>
        <w:tc>
          <w:tcPr>
            <w:tcW w:w="60" w:type="dxa"/>
            <w:vAlign w:val="bottom"/>
            <w:shd w:val="clear" w:color="auto" w:fill="CCEEFF"/>
          </w:tcPr>
          <w:p>
            <w:pPr>
              <w:spacing w:after="0"/>
              <w:rPr>
                <w:sz w:val="18"/>
                <w:szCs w:val="18"/>
                <w:color w:val="auto"/>
              </w:rPr>
            </w:pPr>
          </w:p>
        </w:tc>
      </w:tr>
      <w:tr>
        <w:trPr>
          <w:trHeight w:val="222"/>
        </w:trPr>
        <w:tc>
          <w:tcPr>
            <w:tcW w:w="20" w:type="dxa"/>
            <w:vAlign w:val="bottom"/>
          </w:tcPr>
          <w:p>
            <w:pPr>
              <w:spacing w:after="0"/>
              <w:rPr>
                <w:sz w:val="19"/>
                <w:szCs w:val="19"/>
                <w:color w:val="auto"/>
              </w:rPr>
            </w:pPr>
          </w:p>
        </w:tc>
        <w:tc>
          <w:tcPr>
            <w:tcW w:w="10540" w:type="dxa"/>
            <w:vAlign w:val="bottom"/>
          </w:tcPr>
          <w:p>
            <w:pPr>
              <w:ind w:left="420"/>
              <w:spacing w:after="0"/>
              <w:rPr>
                <w:sz w:val="20"/>
                <w:szCs w:val="20"/>
                <w:color w:val="auto"/>
              </w:rPr>
            </w:pPr>
            <w:r>
              <w:rPr>
                <w:rFonts w:ascii="Arial" w:cs="Arial" w:eastAsia="Arial" w:hAnsi="Arial"/>
                <w:sz w:val="18"/>
                <w:szCs w:val="18"/>
                <w:color w:val="auto"/>
              </w:rPr>
              <w:t>Contributions:</w:t>
            </w:r>
          </w:p>
        </w:tc>
        <w:tc>
          <w:tcPr>
            <w:tcW w:w="8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60" w:type="dxa"/>
            <w:vAlign w:val="bottom"/>
          </w:tcPr>
          <w:p>
            <w:pPr>
              <w:spacing w:after="0"/>
              <w:rPr>
                <w:sz w:val="19"/>
                <w:szCs w:val="19"/>
                <w:color w:val="auto"/>
              </w:rPr>
            </w:pPr>
          </w:p>
        </w:tc>
      </w:tr>
      <w:tr>
        <w:trPr>
          <w:trHeight w:val="217"/>
        </w:trPr>
        <w:tc>
          <w:tcPr>
            <w:tcW w:w="20" w:type="dxa"/>
            <w:vAlign w:val="bottom"/>
          </w:tcPr>
          <w:p>
            <w:pPr>
              <w:spacing w:after="0"/>
              <w:rPr>
                <w:sz w:val="18"/>
                <w:szCs w:val="18"/>
                <w:color w:val="auto"/>
              </w:rPr>
            </w:pPr>
          </w:p>
        </w:tc>
        <w:tc>
          <w:tcPr>
            <w:tcW w:w="10540" w:type="dxa"/>
            <w:vAlign w:val="bottom"/>
            <w:shd w:val="clear" w:color="auto" w:fill="CCEEFF"/>
          </w:tcPr>
          <w:p>
            <w:pPr>
              <w:ind w:left="860"/>
              <w:spacing w:after="0"/>
              <w:rPr>
                <w:sz w:val="20"/>
                <w:szCs w:val="20"/>
                <w:color w:val="auto"/>
              </w:rPr>
            </w:pPr>
            <w:r>
              <w:rPr>
                <w:rFonts w:ascii="Arial" w:cs="Arial" w:eastAsia="Arial" w:hAnsi="Arial"/>
                <w:sz w:val="18"/>
                <w:szCs w:val="18"/>
                <w:color w:val="auto"/>
              </w:rPr>
              <w:t>Participant</w:t>
            </w:r>
          </w:p>
        </w:tc>
        <w:tc>
          <w:tcPr>
            <w:tcW w:w="8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195,676</w:t>
            </w:r>
          </w:p>
        </w:tc>
        <w:tc>
          <w:tcPr>
            <w:tcW w:w="6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10540" w:type="dxa"/>
            <w:vAlign w:val="bottom"/>
          </w:tcPr>
          <w:p>
            <w:pPr>
              <w:ind w:left="860"/>
              <w:spacing w:after="0"/>
              <w:rPr>
                <w:sz w:val="20"/>
                <w:szCs w:val="20"/>
                <w:color w:val="auto"/>
              </w:rPr>
            </w:pPr>
            <w:r>
              <w:rPr>
                <w:rFonts w:ascii="Arial" w:cs="Arial" w:eastAsia="Arial" w:hAnsi="Arial"/>
                <w:sz w:val="18"/>
                <w:szCs w:val="18"/>
                <w:color w:val="auto"/>
              </w:rPr>
              <w:t>Employer</w:t>
            </w:r>
          </w:p>
        </w:tc>
        <w:tc>
          <w:tcPr>
            <w:tcW w:w="8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147,330</w:t>
            </w:r>
          </w:p>
        </w:tc>
        <w:tc>
          <w:tcPr>
            <w:tcW w:w="6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10540" w:type="dxa"/>
            <w:vAlign w:val="bottom"/>
            <w:shd w:val="clear" w:color="auto" w:fill="CCEEFF"/>
          </w:tcPr>
          <w:p>
            <w:pPr>
              <w:ind w:left="860"/>
              <w:spacing w:after="0"/>
              <w:rPr>
                <w:sz w:val="20"/>
                <w:szCs w:val="20"/>
                <w:color w:val="auto"/>
              </w:rPr>
            </w:pPr>
            <w:r>
              <w:rPr>
                <w:rFonts w:ascii="Arial" w:cs="Arial" w:eastAsia="Arial" w:hAnsi="Arial"/>
                <w:sz w:val="18"/>
                <w:szCs w:val="18"/>
                <w:color w:val="auto"/>
              </w:rPr>
              <w:t>Rollover</w:t>
            </w:r>
          </w:p>
        </w:tc>
        <w:tc>
          <w:tcPr>
            <w:tcW w:w="8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24,926</w:t>
            </w:r>
          </w:p>
        </w:tc>
        <w:tc>
          <w:tcPr>
            <w:tcW w:w="60" w:type="dxa"/>
            <w:vAlign w:val="bottom"/>
            <w:shd w:val="clear" w:color="auto" w:fill="CCEEFF"/>
          </w:tcPr>
          <w:p>
            <w:pPr>
              <w:spacing w:after="0"/>
              <w:rPr>
                <w:sz w:val="18"/>
                <w:szCs w:val="18"/>
                <w:color w:val="auto"/>
              </w:rPr>
            </w:pPr>
          </w:p>
        </w:tc>
      </w:tr>
      <w:tr>
        <w:trPr>
          <w:trHeight w:val="223"/>
        </w:trPr>
        <w:tc>
          <w:tcPr>
            <w:tcW w:w="20" w:type="dxa"/>
            <w:vAlign w:val="bottom"/>
          </w:tcPr>
          <w:p>
            <w:pPr>
              <w:spacing w:after="0"/>
              <w:rPr>
                <w:sz w:val="19"/>
                <w:szCs w:val="19"/>
                <w:color w:val="auto"/>
              </w:rPr>
            </w:pPr>
          </w:p>
        </w:tc>
        <w:tc>
          <w:tcPr>
            <w:tcW w:w="10540" w:type="dxa"/>
            <w:vAlign w:val="bottom"/>
          </w:tcPr>
          <w:p>
            <w:pPr>
              <w:ind w:left="860"/>
              <w:spacing w:after="0"/>
              <w:rPr>
                <w:sz w:val="20"/>
                <w:szCs w:val="20"/>
                <w:color w:val="auto"/>
              </w:rPr>
            </w:pPr>
            <w:r>
              <w:rPr>
                <w:rFonts w:ascii="Arial" w:cs="Arial" w:eastAsia="Arial" w:hAnsi="Arial"/>
                <w:sz w:val="18"/>
                <w:szCs w:val="18"/>
                <w:color w:val="auto"/>
              </w:rPr>
              <w:t>Merged plans</w:t>
            </w:r>
          </w:p>
        </w:tc>
        <w:tc>
          <w:tcPr>
            <w:tcW w:w="80" w:type="dxa"/>
            <w:vAlign w:val="bottom"/>
            <w:tcBorders>
              <w:bottom w:val="single" w:sz="8" w:color="auto"/>
            </w:tcBorders>
          </w:tcPr>
          <w:p>
            <w:pPr>
              <w:spacing w:after="0"/>
              <w:rPr>
                <w:sz w:val="19"/>
                <w:szCs w:val="19"/>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18,815</w:t>
            </w:r>
          </w:p>
        </w:tc>
        <w:tc>
          <w:tcPr>
            <w:tcW w:w="60" w:type="dxa"/>
            <w:vAlign w:val="bottom"/>
          </w:tcPr>
          <w:p>
            <w:pPr>
              <w:spacing w:after="0"/>
              <w:rPr>
                <w:sz w:val="19"/>
                <w:szCs w:val="19"/>
                <w:color w:val="auto"/>
              </w:rPr>
            </w:pPr>
          </w:p>
        </w:tc>
      </w:tr>
      <w:tr>
        <w:trPr>
          <w:trHeight w:val="216"/>
        </w:trPr>
        <w:tc>
          <w:tcPr>
            <w:tcW w:w="20" w:type="dxa"/>
            <w:vAlign w:val="bottom"/>
          </w:tcPr>
          <w:p>
            <w:pPr>
              <w:spacing w:after="0"/>
              <w:rPr>
                <w:sz w:val="18"/>
                <w:szCs w:val="18"/>
                <w:color w:val="auto"/>
              </w:rPr>
            </w:pPr>
          </w:p>
        </w:tc>
        <w:tc>
          <w:tcPr>
            <w:tcW w:w="10540" w:type="dxa"/>
            <w:vAlign w:val="bottom"/>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386,747</w:t>
            </w:r>
          </w:p>
        </w:tc>
        <w:tc>
          <w:tcPr>
            <w:tcW w:w="60" w:type="dxa"/>
            <w:vAlign w:val="bottom"/>
            <w:shd w:val="clear" w:color="auto" w:fill="CCEEFF"/>
          </w:tcPr>
          <w:p>
            <w:pPr>
              <w:spacing w:after="0"/>
              <w:rPr>
                <w:sz w:val="18"/>
                <w:szCs w:val="18"/>
                <w:color w:val="auto"/>
              </w:rPr>
            </w:pPr>
          </w:p>
        </w:tc>
      </w:tr>
      <w:tr>
        <w:trPr>
          <w:trHeight w:val="230"/>
        </w:trPr>
        <w:tc>
          <w:tcPr>
            <w:tcW w:w="20" w:type="dxa"/>
            <w:vAlign w:val="bottom"/>
          </w:tcPr>
          <w:p>
            <w:pPr>
              <w:spacing w:after="0"/>
              <w:rPr>
                <w:sz w:val="20"/>
                <w:szCs w:val="20"/>
                <w:color w:val="auto"/>
              </w:rPr>
            </w:pPr>
          </w:p>
        </w:tc>
        <w:tc>
          <w:tcPr>
            <w:tcW w:w="10540" w:type="dxa"/>
            <w:vAlign w:val="bottom"/>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413,669</w:t>
            </w:r>
          </w:p>
        </w:tc>
        <w:tc>
          <w:tcPr>
            <w:tcW w:w="60" w:type="dxa"/>
            <w:vAlign w:val="bottom"/>
          </w:tcPr>
          <w:p>
            <w:pPr>
              <w:spacing w:after="0"/>
              <w:rPr>
                <w:sz w:val="20"/>
                <w:szCs w:val="20"/>
                <w:color w:val="auto"/>
              </w:rPr>
            </w:pPr>
          </w:p>
        </w:tc>
      </w:tr>
      <w:tr>
        <w:trPr>
          <w:trHeight w:val="216"/>
        </w:trPr>
        <w:tc>
          <w:tcPr>
            <w:tcW w:w="20" w:type="dxa"/>
            <w:vAlign w:val="bottom"/>
          </w:tcPr>
          <w:p>
            <w:pPr>
              <w:spacing w:after="0"/>
              <w:rPr>
                <w:sz w:val="18"/>
                <w:szCs w:val="18"/>
                <w:color w:val="auto"/>
              </w:rPr>
            </w:pPr>
          </w:p>
        </w:tc>
        <w:tc>
          <w:tcPr>
            <w:tcW w:w="10540" w:type="dxa"/>
            <w:vAlign w:val="bottom"/>
            <w:shd w:val="clear" w:color="auto" w:fill="CCEEFF"/>
          </w:tcPr>
          <w:p>
            <w:pPr>
              <w:spacing w:after="0"/>
              <w:rPr>
                <w:sz w:val="20"/>
                <w:szCs w:val="20"/>
                <w:color w:val="auto"/>
              </w:rPr>
            </w:pPr>
            <w:r>
              <w:rPr>
                <w:rFonts w:ascii="Arial" w:cs="Arial" w:eastAsia="Arial" w:hAnsi="Arial"/>
                <w:sz w:val="18"/>
                <w:szCs w:val="18"/>
                <w:color w:val="auto"/>
              </w:rPr>
              <w:t>DEDUCTIONS FROM NET ASSETS ATTRIBUTED TO:</w:t>
            </w:r>
          </w:p>
        </w:tc>
        <w:tc>
          <w:tcPr>
            <w:tcW w:w="8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r>
      <w:tr>
        <w:trPr>
          <w:trHeight w:val="223"/>
        </w:trPr>
        <w:tc>
          <w:tcPr>
            <w:tcW w:w="20" w:type="dxa"/>
            <w:vAlign w:val="bottom"/>
          </w:tcPr>
          <w:p>
            <w:pPr>
              <w:spacing w:after="0"/>
              <w:rPr>
                <w:sz w:val="19"/>
                <w:szCs w:val="19"/>
                <w:color w:val="auto"/>
              </w:rPr>
            </w:pPr>
          </w:p>
        </w:tc>
        <w:tc>
          <w:tcPr>
            <w:tcW w:w="10540" w:type="dxa"/>
            <w:vAlign w:val="bottom"/>
          </w:tcPr>
          <w:p>
            <w:pPr>
              <w:ind w:left="420"/>
              <w:spacing w:after="0"/>
              <w:rPr>
                <w:sz w:val="20"/>
                <w:szCs w:val="20"/>
                <w:color w:val="auto"/>
              </w:rPr>
            </w:pPr>
            <w:r>
              <w:rPr>
                <w:rFonts w:ascii="Arial" w:cs="Arial" w:eastAsia="Arial" w:hAnsi="Arial"/>
                <w:sz w:val="18"/>
                <w:szCs w:val="18"/>
                <w:color w:val="auto"/>
              </w:rPr>
              <w:t>Benefits paid to participants or beneficiaries</w:t>
            </w:r>
          </w:p>
        </w:tc>
        <w:tc>
          <w:tcPr>
            <w:tcW w:w="80" w:type="dxa"/>
            <w:vAlign w:val="bottom"/>
          </w:tcPr>
          <w:p>
            <w:pPr>
              <w:spacing w:after="0"/>
              <w:rPr>
                <w:sz w:val="19"/>
                <w:szCs w:val="19"/>
                <w:color w:val="auto"/>
              </w:rPr>
            </w:pPr>
          </w:p>
        </w:tc>
        <w:tc>
          <w:tcPr>
            <w:tcW w:w="780" w:type="dxa"/>
            <w:vAlign w:val="bottom"/>
            <w:gridSpan w:val="2"/>
          </w:tcPr>
          <w:p>
            <w:pPr>
              <w:jc w:val="right"/>
              <w:spacing w:after="0"/>
              <w:rPr>
                <w:sz w:val="20"/>
                <w:szCs w:val="20"/>
                <w:color w:val="auto"/>
              </w:rPr>
            </w:pPr>
            <w:r>
              <w:rPr>
                <w:rFonts w:ascii="Arial" w:cs="Arial" w:eastAsia="Arial" w:hAnsi="Arial"/>
                <w:sz w:val="18"/>
                <w:szCs w:val="18"/>
                <w:color w:val="auto"/>
                <w:w w:val="98"/>
              </w:rPr>
              <w:t>(188,769)</w:t>
            </w:r>
          </w:p>
        </w:tc>
      </w:tr>
      <w:tr>
        <w:trPr>
          <w:trHeight w:val="216"/>
        </w:trPr>
        <w:tc>
          <w:tcPr>
            <w:tcW w:w="20" w:type="dxa"/>
            <w:vAlign w:val="bottom"/>
          </w:tcPr>
          <w:p>
            <w:pPr>
              <w:spacing w:after="0"/>
              <w:rPr>
                <w:sz w:val="18"/>
                <w:szCs w:val="18"/>
                <w:color w:val="auto"/>
              </w:rPr>
            </w:pPr>
          </w:p>
        </w:tc>
        <w:tc>
          <w:tcPr>
            <w:tcW w:w="10540" w:type="dxa"/>
            <w:vAlign w:val="bottom"/>
            <w:shd w:val="clear" w:color="auto" w:fill="CCEEFF"/>
          </w:tcPr>
          <w:p>
            <w:pPr>
              <w:spacing w:after="0"/>
              <w:rPr>
                <w:sz w:val="20"/>
                <w:szCs w:val="20"/>
                <w:color w:val="auto"/>
              </w:rPr>
            </w:pPr>
            <w:r>
              <w:rPr>
                <w:rFonts w:ascii="Arial" w:cs="Arial" w:eastAsia="Arial" w:hAnsi="Arial"/>
                <w:sz w:val="18"/>
                <w:szCs w:val="18"/>
                <w:color w:val="auto"/>
              </w:rPr>
              <w:t>Net increase</w:t>
            </w:r>
          </w:p>
        </w:tc>
        <w:tc>
          <w:tcPr>
            <w:tcW w:w="80" w:type="dxa"/>
            <w:vAlign w:val="bottom"/>
            <w:tcBorders>
              <w:top w:val="single" w:sz="8" w:color="auto"/>
            </w:tcBorders>
            <w:shd w:val="clear" w:color="auto" w:fill="CCEEFF"/>
          </w:tcPr>
          <w:p>
            <w:pPr>
              <w:spacing w:after="0"/>
              <w:rPr>
                <w:sz w:val="18"/>
                <w:szCs w:val="18"/>
                <w:color w:val="auto"/>
              </w:rPr>
            </w:pPr>
          </w:p>
        </w:tc>
        <w:tc>
          <w:tcPr>
            <w:tcW w:w="7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224,900</w:t>
            </w:r>
          </w:p>
        </w:tc>
        <w:tc>
          <w:tcPr>
            <w:tcW w:w="60" w:type="dxa"/>
            <w:vAlign w:val="bottom"/>
            <w:shd w:val="clear" w:color="auto" w:fill="CCEEFF"/>
          </w:tcPr>
          <w:p>
            <w:pPr>
              <w:spacing w:after="0"/>
              <w:rPr>
                <w:sz w:val="18"/>
                <w:szCs w:val="18"/>
                <w:color w:val="auto"/>
              </w:rPr>
            </w:pPr>
          </w:p>
        </w:tc>
      </w:tr>
      <w:tr>
        <w:trPr>
          <w:trHeight w:val="323"/>
        </w:trPr>
        <w:tc>
          <w:tcPr>
            <w:tcW w:w="10560" w:type="dxa"/>
            <w:vAlign w:val="bottom"/>
            <w:gridSpan w:val="2"/>
          </w:tcPr>
          <w:p>
            <w:pPr>
              <w:spacing w:after="0"/>
              <w:rPr>
                <w:sz w:val="20"/>
                <w:szCs w:val="20"/>
                <w:color w:val="auto"/>
              </w:rPr>
            </w:pPr>
            <w:r>
              <w:rPr>
                <w:rFonts w:ascii="Arial" w:cs="Arial" w:eastAsia="Arial" w:hAnsi="Arial"/>
                <w:sz w:val="18"/>
                <w:szCs w:val="18"/>
                <w:color w:val="auto"/>
              </w:rPr>
              <w:t>NET ASSETS AVAILABLE FOR BENEFITS:</w:t>
            </w:r>
          </w:p>
        </w:tc>
        <w:tc>
          <w:tcPr>
            <w:tcW w:w="8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60" w:type="dxa"/>
            <w:vAlign w:val="bottom"/>
          </w:tcPr>
          <w:p>
            <w:pPr>
              <w:spacing w:after="0"/>
              <w:rPr>
                <w:sz w:val="24"/>
                <w:szCs w:val="24"/>
                <w:color w:val="auto"/>
              </w:rPr>
            </w:pPr>
          </w:p>
        </w:tc>
      </w:tr>
      <w:tr>
        <w:trPr>
          <w:trHeight w:val="217"/>
        </w:trPr>
        <w:tc>
          <w:tcPr>
            <w:tcW w:w="20" w:type="dxa"/>
            <w:vAlign w:val="bottom"/>
          </w:tcPr>
          <w:p>
            <w:pPr>
              <w:spacing w:after="0"/>
              <w:rPr>
                <w:sz w:val="18"/>
                <w:szCs w:val="18"/>
                <w:color w:val="auto"/>
              </w:rPr>
            </w:pPr>
          </w:p>
        </w:tc>
        <w:tc>
          <w:tcPr>
            <w:tcW w:w="10540" w:type="dxa"/>
            <w:vAlign w:val="bottom"/>
            <w:shd w:val="clear" w:color="auto" w:fill="CCEEFF"/>
          </w:tcPr>
          <w:p>
            <w:pPr>
              <w:ind w:left="420"/>
              <w:spacing w:after="0"/>
              <w:rPr>
                <w:sz w:val="20"/>
                <w:szCs w:val="20"/>
                <w:color w:val="auto"/>
              </w:rPr>
            </w:pPr>
            <w:r>
              <w:rPr>
                <w:rFonts w:ascii="Arial" w:cs="Arial" w:eastAsia="Arial" w:hAnsi="Arial"/>
                <w:sz w:val="18"/>
                <w:szCs w:val="18"/>
                <w:color w:val="auto"/>
              </w:rPr>
              <w:t>Beginning of year</w:t>
            </w:r>
          </w:p>
        </w:tc>
        <w:tc>
          <w:tcPr>
            <w:tcW w:w="80" w:type="dxa"/>
            <w:vAlign w:val="bottom"/>
            <w:tcBorders>
              <w:bottom w:val="single" w:sz="8" w:color="auto"/>
            </w:tcBorders>
            <w:shd w:val="clear" w:color="auto" w:fill="CCEEFF"/>
          </w:tcPr>
          <w:p>
            <w:pPr>
              <w:spacing w:after="0"/>
              <w:rPr>
                <w:sz w:val="18"/>
                <w:szCs w:val="18"/>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7"/>
              </w:rPr>
              <w:t>2,266,190</w:t>
            </w:r>
          </w:p>
        </w:tc>
        <w:tc>
          <w:tcPr>
            <w:tcW w:w="60" w:type="dxa"/>
            <w:vAlign w:val="bottom"/>
            <w:shd w:val="clear" w:color="auto" w:fill="CCEEFF"/>
          </w:tcPr>
          <w:p>
            <w:pPr>
              <w:spacing w:after="0"/>
              <w:rPr>
                <w:sz w:val="18"/>
                <w:szCs w:val="18"/>
                <w:color w:val="auto"/>
              </w:rPr>
            </w:pPr>
          </w:p>
        </w:tc>
      </w:tr>
      <w:tr>
        <w:trPr>
          <w:trHeight w:val="222"/>
        </w:trPr>
        <w:tc>
          <w:tcPr>
            <w:tcW w:w="20" w:type="dxa"/>
            <w:vAlign w:val="bottom"/>
          </w:tcPr>
          <w:p>
            <w:pPr>
              <w:spacing w:after="0"/>
              <w:rPr>
                <w:sz w:val="19"/>
                <w:szCs w:val="19"/>
                <w:color w:val="auto"/>
              </w:rPr>
            </w:pPr>
          </w:p>
        </w:tc>
        <w:tc>
          <w:tcPr>
            <w:tcW w:w="10540" w:type="dxa"/>
            <w:vAlign w:val="bottom"/>
          </w:tcPr>
          <w:p>
            <w:pPr>
              <w:ind w:left="420"/>
              <w:spacing w:after="0"/>
              <w:rPr>
                <w:sz w:val="20"/>
                <w:szCs w:val="20"/>
                <w:color w:val="auto"/>
              </w:rPr>
            </w:pPr>
            <w:r>
              <w:rPr>
                <w:rFonts w:ascii="Arial" w:cs="Arial" w:eastAsia="Arial" w:hAnsi="Arial"/>
                <w:sz w:val="18"/>
                <w:szCs w:val="18"/>
                <w:color w:val="auto"/>
              </w:rPr>
              <w:t>End of year</w:t>
            </w:r>
          </w:p>
        </w:tc>
        <w:tc>
          <w:tcPr>
            <w:tcW w:w="80" w:type="dxa"/>
            <w:vAlign w:val="bottom"/>
            <w:tcBorders>
              <w:bottom w:val="single" w:sz="8" w:color="auto"/>
            </w:tcBorders>
          </w:tcPr>
          <w:p>
            <w:pPr>
              <w:spacing w:after="0"/>
              <w:rPr>
                <w:sz w:val="20"/>
                <w:szCs w:val="20"/>
                <w:color w:val="auto"/>
              </w:rPr>
            </w:pPr>
            <w:r>
              <w:rPr>
                <w:rFonts w:ascii="Arial" w:cs="Arial" w:eastAsia="Arial" w:hAnsi="Arial"/>
                <w:sz w:val="15"/>
                <w:szCs w:val="15"/>
                <w:u w:val="single" w:color="auto"/>
                <w:color w:val="auto"/>
                <w:w w:val="71"/>
              </w:rPr>
              <w:t>$</w:t>
            </w: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87"/>
              </w:rPr>
              <w:t>2,491,090</w:t>
            </w:r>
          </w:p>
        </w:tc>
        <w:tc>
          <w:tcPr>
            <w:tcW w:w="60" w:type="dxa"/>
            <w:vAlign w:val="bottom"/>
          </w:tcPr>
          <w:p>
            <w:pPr>
              <w:spacing w:after="0"/>
              <w:rPr>
                <w:sz w:val="19"/>
                <w:szCs w:val="19"/>
                <w:color w:val="auto"/>
              </w:rPr>
            </w:pPr>
          </w:p>
        </w:tc>
      </w:tr>
      <w:tr>
        <w:trPr>
          <w:trHeight w:val="20"/>
        </w:trPr>
        <w:tc>
          <w:tcPr>
            <w:tcW w:w="20" w:type="dxa"/>
            <w:vAlign w:val="bottom"/>
          </w:tcPr>
          <w:p>
            <w:pPr>
              <w:spacing w:after="0" w:line="20" w:lineRule="exact"/>
              <w:rPr>
                <w:sz w:val="1"/>
                <w:szCs w:val="1"/>
                <w:color w:val="auto"/>
              </w:rPr>
            </w:pPr>
          </w:p>
        </w:tc>
        <w:tc>
          <w:tcPr>
            <w:tcW w:w="1054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167" w:lineRule="exact"/>
        <w:rPr>
          <w:sz w:val="20"/>
          <w:szCs w:val="20"/>
          <w:color w:val="auto"/>
        </w:rPr>
      </w:pPr>
    </w:p>
    <w:p>
      <w:pPr>
        <w:spacing w:after="0"/>
        <w:rPr>
          <w:sz w:val="20"/>
          <w:szCs w:val="20"/>
          <w:color w:val="auto"/>
        </w:rPr>
      </w:pPr>
      <w:r>
        <w:rPr>
          <w:rFonts w:ascii="Arial" w:cs="Arial" w:eastAsia="Arial" w:hAnsi="Arial"/>
          <w:sz w:val="18"/>
          <w:szCs w:val="18"/>
          <w:color w:val="auto"/>
        </w:rPr>
        <w:t>See notes to financial statements.</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1420"/>
          </w:cols>
          <w:pgMar w:left="240" w:top="459" w:right="239" w:bottom="1440" w:gutter="0" w:footer="0" w:header="0"/>
        </w:sectPr>
      </w:pPr>
    </w:p>
    <w:bookmarkStart w:id="6" w:name="page7"/>
    <w:bookmarkEnd w:id="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COMCAST CORPORATION RETIREMENT-INVESTMENT PLAN</w:t>
      </w:r>
    </w:p>
    <w:p>
      <w:pPr>
        <w:spacing w:after="0" w:line="9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NOTES TO FINANCIAL STATEMENTS</w:t>
      </w:r>
    </w:p>
    <w:p>
      <w:pPr>
        <w:spacing w:after="0" w:line="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YEARS ENDED DECEMBER 31, 2007 and 2006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33020</wp:posOffset>
            </wp:positionV>
            <wp:extent cx="7246620" cy="889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60" w:lineRule="exact"/>
        <w:rPr>
          <w:sz w:val="20"/>
          <w:szCs w:val="20"/>
          <w:color w:val="auto"/>
        </w:rPr>
      </w:pPr>
    </w:p>
    <w:p>
      <w:pPr>
        <w:ind w:left="460" w:right="9220" w:hanging="452"/>
        <w:spacing w:after="0" w:line="391" w:lineRule="auto"/>
        <w:tabs>
          <w:tab w:leader="none" w:pos="449" w:val="left"/>
        </w:tabs>
        <w:numPr>
          <w:ilvl w:val="0"/>
          <w:numId w:val="3"/>
        </w:numPr>
        <w:rPr>
          <w:rFonts w:ascii="Arial" w:cs="Arial" w:eastAsia="Arial" w:hAnsi="Arial"/>
          <w:sz w:val="16"/>
          <w:szCs w:val="16"/>
          <w:b w:val="1"/>
          <w:bCs w:val="1"/>
          <w:color w:val="auto"/>
        </w:rPr>
      </w:pPr>
      <w:r>
        <w:rPr>
          <w:rFonts w:ascii="Arial" w:cs="Arial" w:eastAsia="Arial" w:hAnsi="Arial"/>
          <w:sz w:val="16"/>
          <w:szCs w:val="16"/>
          <w:b w:val="1"/>
          <w:bCs w:val="1"/>
          <w:color w:val="auto"/>
        </w:rPr>
        <w:t xml:space="preserve">PLAN DESCRIPTION </w:t>
      </w:r>
      <w:r>
        <w:rPr>
          <w:rFonts w:ascii="Arial" w:cs="Arial" w:eastAsia="Arial" w:hAnsi="Arial"/>
          <w:sz w:val="16"/>
          <w:szCs w:val="16"/>
          <w:u w:val="single" w:color="auto"/>
          <w:color w:val="auto"/>
        </w:rPr>
        <w:t>General</w:t>
      </w:r>
    </w:p>
    <w:p>
      <w:pPr>
        <w:ind w:left="460" w:right="20"/>
        <w:spacing w:after="0" w:line="256" w:lineRule="auto"/>
        <w:rPr>
          <w:rFonts w:ascii="Arial" w:cs="Arial" w:eastAsia="Arial" w:hAnsi="Arial"/>
          <w:sz w:val="16"/>
          <w:szCs w:val="16"/>
          <w:b w:val="1"/>
          <w:bCs w:val="1"/>
          <w:color w:val="auto"/>
        </w:rPr>
      </w:pPr>
      <w:r>
        <w:rPr>
          <w:rFonts w:ascii="Arial" w:cs="Arial" w:eastAsia="Arial" w:hAnsi="Arial"/>
          <w:sz w:val="18"/>
          <w:szCs w:val="18"/>
          <w:color w:val="auto"/>
        </w:rPr>
        <w:t>The following description of the Comcast Corporation Retirement-Investment Plan (the “Plan”) provides only general information. Plan participants should refer to the Plan document and applicable amendments for a more complete description of the Plan’s provisions. Copies of these documents are available from the Plan Administrator, Comcast Corporation (“Comcast”, the “Company” or the “Plan Administrator”). Generally, all costs associated with administering the Plan are paid by the Plan Administrator.</w:t>
      </w:r>
    </w:p>
    <w:p>
      <w:pPr>
        <w:spacing w:after="0" w:line="62" w:lineRule="exact"/>
        <w:rPr>
          <w:rFonts w:ascii="Arial" w:cs="Arial" w:eastAsia="Arial" w:hAnsi="Arial"/>
          <w:sz w:val="16"/>
          <w:szCs w:val="16"/>
          <w:b w:val="1"/>
          <w:bCs w:val="1"/>
          <w:color w:val="auto"/>
        </w:rPr>
      </w:pPr>
    </w:p>
    <w:p>
      <w:pPr>
        <w:ind w:left="460" w:right="20"/>
        <w:spacing w:after="0" w:line="306" w:lineRule="auto"/>
        <w:rPr>
          <w:rFonts w:ascii="Arial" w:cs="Arial" w:eastAsia="Arial" w:hAnsi="Arial"/>
          <w:sz w:val="16"/>
          <w:szCs w:val="16"/>
          <w:b w:val="1"/>
          <w:bCs w:val="1"/>
          <w:color w:val="auto"/>
        </w:rPr>
      </w:pPr>
      <w:r>
        <w:rPr>
          <w:rFonts w:ascii="Arial" w:cs="Arial" w:eastAsia="Arial" w:hAnsi="Arial"/>
          <w:sz w:val="16"/>
          <w:szCs w:val="16"/>
          <w:color w:val="auto"/>
        </w:rPr>
        <w:t>The Plan is a defined contribution plan qualified under Internal Revenue Code (the “Code”) Sections 401(a), 401(k) and 401(m). The original Plan has been amended and restated to reflect mergers of other plans with and into the Plan and to make certain other technical, compliance and design changes. The Plan is subject to the provisions of the Employee Retirement Income Security Act of 1974 (“ERISA”).</w:t>
      </w:r>
    </w:p>
    <w:p>
      <w:pPr>
        <w:spacing w:after="0" w:line="25" w:lineRule="exact"/>
        <w:rPr>
          <w:rFonts w:ascii="Arial" w:cs="Arial" w:eastAsia="Arial" w:hAnsi="Arial"/>
          <w:sz w:val="16"/>
          <w:szCs w:val="16"/>
          <w:b w:val="1"/>
          <w:bCs w:val="1"/>
          <w:color w:val="auto"/>
        </w:rPr>
      </w:pPr>
    </w:p>
    <w:p>
      <w:pPr>
        <w:ind w:left="460" w:right="60"/>
        <w:spacing w:after="0" w:line="294" w:lineRule="auto"/>
        <w:rPr>
          <w:rFonts w:ascii="Arial" w:cs="Arial" w:eastAsia="Arial" w:hAnsi="Arial"/>
          <w:sz w:val="16"/>
          <w:szCs w:val="16"/>
          <w:b w:val="1"/>
          <w:bCs w:val="1"/>
          <w:color w:val="auto"/>
        </w:rPr>
      </w:pPr>
      <w:r>
        <w:rPr>
          <w:rFonts w:ascii="Arial" w:cs="Arial" w:eastAsia="Arial" w:hAnsi="Arial"/>
          <w:sz w:val="16"/>
          <w:szCs w:val="16"/>
          <w:color w:val="auto"/>
        </w:rPr>
        <w:t>Employees become eligible to participate in the Plan after completion of three months of service (See Note 7). The maximum amount of eligible compensation that may be deferred is 50%, subject to certain limits imposed by the Code. The Company matches 100% of the participant’s contribution up to 6% of the participant’s eligible compensation for such payroll period except for certain collectively bargained employees. Rollover contributions represent participant assets transferred to the Plan from other qualified retirement plans. Contributions from merged plans represent assets from other qualified retirement plans that have been transferred to the Plan in their entirety.</w:t>
      </w:r>
    </w:p>
    <w:p>
      <w:pPr>
        <w:spacing w:after="0" w:line="34" w:lineRule="exact"/>
        <w:rPr>
          <w:rFonts w:ascii="Arial" w:cs="Arial" w:eastAsia="Arial" w:hAnsi="Arial"/>
          <w:sz w:val="16"/>
          <w:szCs w:val="16"/>
          <w:b w:val="1"/>
          <w:bCs w:val="1"/>
          <w:color w:val="auto"/>
        </w:rPr>
      </w:pPr>
    </w:p>
    <w:p>
      <w:pPr>
        <w:ind w:left="460" w:right="200"/>
        <w:spacing w:after="0" w:line="259" w:lineRule="auto"/>
        <w:rPr>
          <w:rFonts w:ascii="Arial" w:cs="Arial" w:eastAsia="Arial" w:hAnsi="Arial"/>
          <w:sz w:val="16"/>
          <w:szCs w:val="16"/>
          <w:b w:val="1"/>
          <w:bCs w:val="1"/>
          <w:color w:val="auto"/>
        </w:rPr>
      </w:pPr>
      <w:r>
        <w:rPr>
          <w:rFonts w:ascii="Arial" w:cs="Arial" w:eastAsia="Arial" w:hAnsi="Arial"/>
          <w:sz w:val="18"/>
          <w:szCs w:val="18"/>
          <w:color w:val="auto"/>
        </w:rPr>
        <w:t>Each participant has at all times a 100% nonforfeitable interest in the participant’s contributions and earnings attributable thereto. Company matching contributions for Plan years beginning after December 31, 2000 are fully and immediately vested. Company matching contributions for Plan years ended on or prior to December 31, 2000 vested according to years of service.</w:t>
      </w:r>
    </w:p>
    <w:p>
      <w:pPr>
        <w:spacing w:after="0" w:line="59" w:lineRule="exact"/>
        <w:rPr>
          <w:rFonts w:ascii="Arial" w:cs="Arial" w:eastAsia="Arial" w:hAnsi="Arial"/>
          <w:sz w:val="16"/>
          <w:szCs w:val="16"/>
          <w:b w:val="1"/>
          <w:bCs w:val="1"/>
          <w:color w:val="auto"/>
        </w:rPr>
      </w:pPr>
    </w:p>
    <w:p>
      <w:pPr>
        <w:ind w:left="460"/>
        <w:spacing w:after="0" w:line="259" w:lineRule="auto"/>
        <w:rPr>
          <w:rFonts w:ascii="Arial" w:cs="Arial" w:eastAsia="Arial" w:hAnsi="Arial"/>
          <w:sz w:val="16"/>
          <w:szCs w:val="16"/>
          <w:b w:val="1"/>
          <w:bCs w:val="1"/>
          <w:color w:val="auto"/>
        </w:rPr>
      </w:pPr>
      <w:r>
        <w:rPr>
          <w:rFonts w:ascii="Arial" w:cs="Arial" w:eastAsia="Arial" w:hAnsi="Arial"/>
          <w:sz w:val="18"/>
          <w:szCs w:val="18"/>
          <w:color w:val="auto"/>
        </w:rPr>
        <w:t>Each participant has the right, in accordance with the provisions of the Plan, to direct the investment by the Trustee of the Plan of all amounts allocated to the separate accounts of the participant under the Plan among any one or more of the investment fund options. The Trustee pays benefits and expenses upon the written direction of the Plan Administrator.</w:t>
      </w:r>
    </w:p>
    <w:p>
      <w:pPr>
        <w:spacing w:after="0" w:line="59" w:lineRule="exact"/>
        <w:rPr>
          <w:rFonts w:ascii="Arial" w:cs="Arial" w:eastAsia="Arial" w:hAnsi="Arial"/>
          <w:sz w:val="16"/>
          <w:szCs w:val="16"/>
          <w:b w:val="1"/>
          <w:bCs w:val="1"/>
          <w:color w:val="auto"/>
        </w:rPr>
      </w:pPr>
    </w:p>
    <w:p>
      <w:pPr>
        <w:ind w:left="460" w:right="20"/>
        <w:spacing w:after="0" w:line="253" w:lineRule="auto"/>
        <w:rPr>
          <w:rFonts w:ascii="Arial" w:cs="Arial" w:eastAsia="Arial" w:hAnsi="Arial"/>
          <w:sz w:val="16"/>
          <w:szCs w:val="16"/>
          <w:b w:val="1"/>
          <w:bCs w:val="1"/>
          <w:color w:val="auto"/>
        </w:rPr>
      </w:pPr>
      <w:r>
        <w:rPr>
          <w:rFonts w:ascii="Arial" w:cs="Arial" w:eastAsia="Arial" w:hAnsi="Arial"/>
          <w:sz w:val="18"/>
          <w:szCs w:val="18"/>
          <w:color w:val="auto"/>
        </w:rPr>
        <w:t>Amounts contributed by the Company which are forfeited by participants as a result of the participants’ separation from service prior to becoming 100% vested shall be used to reduce the Company’s required contributions. Pending application of the forfeitures, the Company may direct the Trustee to hold the forfeitures in cash or under investment in a suspense account. If the Plan should terminate with any forfeitures not applied against Company contributions, they will be allocated to then current participants in the proportion that each participant’s eligible compensation for that Plan year bears to the eligible compensation for all such participants for the Plan year. Forfeitures used for the years ended December 31, 2007 and 2006 amounted to $73,554 and $136,500, respectively. Outstanding forfeitures not yet applied against Company contributions at December 31, 2007 and 2006 were $101,100 and $28,275, respectively.</w:t>
      </w:r>
    </w:p>
    <w:p>
      <w:pPr>
        <w:spacing w:after="0" w:line="66" w:lineRule="exact"/>
        <w:rPr>
          <w:rFonts w:ascii="Arial" w:cs="Arial" w:eastAsia="Arial" w:hAnsi="Arial"/>
          <w:sz w:val="16"/>
          <w:szCs w:val="16"/>
          <w:b w:val="1"/>
          <w:bCs w:val="1"/>
          <w:color w:val="auto"/>
        </w:rPr>
      </w:pPr>
    </w:p>
    <w:p>
      <w:pPr>
        <w:ind w:left="460" w:right="40"/>
        <w:spacing w:after="0" w:line="255" w:lineRule="auto"/>
        <w:rPr>
          <w:rFonts w:ascii="Arial" w:cs="Arial" w:eastAsia="Arial" w:hAnsi="Arial"/>
          <w:sz w:val="16"/>
          <w:szCs w:val="16"/>
          <w:b w:val="1"/>
          <w:bCs w:val="1"/>
          <w:color w:val="auto"/>
        </w:rPr>
      </w:pPr>
      <w:r>
        <w:rPr>
          <w:rFonts w:ascii="Arial" w:cs="Arial" w:eastAsia="Arial" w:hAnsi="Arial"/>
          <w:sz w:val="18"/>
          <w:szCs w:val="18"/>
          <w:color w:val="auto"/>
        </w:rPr>
        <w:t>Any participant who has a separation from service for any reason shall be entitled to receive his/her vested account balance. Upon death, disability or attainment of age 65, a participant’s account becomes fully vested in all Company contributions regardless of the participant’s years of service. Generally, distribution will start no later than 60 days after the close of the Plan year in which the participant’s separation from service occurs, subject to certain deferral rights under the Plan. The distribution alternatives permitted are a lump sum payment, a rollover into another qualified plan, or any combination of the foregoing.</w:t>
      </w:r>
    </w:p>
    <w:p>
      <w:pPr>
        <w:spacing w:after="0" w:line="61" w:lineRule="exact"/>
        <w:rPr>
          <w:rFonts w:ascii="Arial" w:cs="Arial" w:eastAsia="Arial" w:hAnsi="Arial"/>
          <w:sz w:val="16"/>
          <w:szCs w:val="16"/>
          <w:b w:val="1"/>
          <w:bCs w:val="1"/>
          <w:color w:val="auto"/>
        </w:rPr>
      </w:pPr>
    </w:p>
    <w:p>
      <w:pPr>
        <w:ind w:left="460" w:right="40"/>
        <w:spacing w:after="0" w:line="332" w:lineRule="auto"/>
        <w:rPr>
          <w:rFonts w:ascii="Arial" w:cs="Arial" w:eastAsia="Arial" w:hAnsi="Arial"/>
          <w:sz w:val="16"/>
          <w:szCs w:val="16"/>
          <w:b w:val="1"/>
          <w:bCs w:val="1"/>
          <w:color w:val="auto"/>
        </w:rPr>
      </w:pPr>
      <w:r>
        <w:rPr>
          <w:rFonts w:ascii="Arial" w:cs="Arial" w:eastAsia="Arial" w:hAnsi="Arial"/>
          <w:sz w:val="16"/>
          <w:szCs w:val="16"/>
          <w:color w:val="auto"/>
        </w:rPr>
        <w:t>Although it has not expressed any intent to do so, the Company has the right under the Plan to discontinue its contributions at any time and to terminate the Plan subject to the provisions of ERISA. In the event of Plan termination, each affected participant’s account balance will become fully vested.</w:t>
      </w:r>
    </w:p>
    <w:p>
      <w:pPr>
        <w:spacing w:after="0" w:line="4" w:lineRule="exact"/>
        <w:rPr>
          <w:rFonts w:ascii="Arial" w:cs="Arial" w:eastAsia="Arial" w:hAnsi="Arial"/>
          <w:sz w:val="16"/>
          <w:szCs w:val="16"/>
          <w:b w:val="1"/>
          <w:bCs w:val="1"/>
          <w:color w:val="auto"/>
        </w:rPr>
      </w:pPr>
    </w:p>
    <w:p>
      <w:pPr>
        <w:jc w:val="both"/>
        <w:ind w:left="460" w:right="300"/>
        <w:spacing w:after="0" w:line="259" w:lineRule="auto"/>
        <w:rPr>
          <w:rFonts w:ascii="Arial" w:cs="Arial" w:eastAsia="Arial" w:hAnsi="Arial"/>
          <w:sz w:val="16"/>
          <w:szCs w:val="16"/>
          <w:b w:val="1"/>
          <w:bCs w:val="1"/>
          <w:color w:val="auto"/>
        </w:rPr>
      </w:pPr>
      <w:r>
        <w:rPr>
          <w:rFonts w:ascii="Arial" w:cs="Arial" w:eastAsia="Arial" w:hAnsi="Arial"/>
          <w:sz w:val="18"/>
          <w:szCs w:val="18"/>
          <w:color w:val="auto"/>
        </w:rPr>
        <w:t>Effective on June 1, 2005, the Plan was amended to adopt the IRS Mandatory Cash Out Regulations. On December 13, 2005, the Plan was amended to provide that employee compensation shall not be deemed eligible Plan compensation when paid more than 75 days after an employee’s separation from service. This amendment became effective January 1, 2006.</w:t>
      </w:r>
    </w:p>
    <w:p>
      <w:pPr>
        <w:spacing w:after="0" w:line="221" w:lineRule="exact"/>
        <w:rPr>
          <w:sz w:val="20"/>
          <w:szCs w:val="20"/>
          <w:color w:val="auto"/>
        </w:rPr>
      </w:pPr>
    </w:p>
    <w:p>
      <w:pPr>
        <w:ind w:left="460"/>
        <w:spacing w:after="0"/>
        <w:rPr>
          <w:sz w:val="20"/>
          <w:szCs w:val="20"/>
          <w:color w:val="auto"/>
        </w:rPr>
      </w:pPr>
      <w:r>
        <w:rPr>
          <w:rFonts w:ascii="Arial" w:cs="Arial" w:eastAsia="Arial" w:hAnsi="Arial"/>
          <w:sz w:val="18"/>
          <w:szCs w:val="18"/>
          <w:u w:val="single" w:color="auto"/>
          <w:color w:val="auto"/>
        </w:rPr>
        <w:t>Trustee</w:t>
      </w:r>
    </w:p>
    <w:p>
      <w:pPr>
        <w:spacing w:after="0" w:line="9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Fidelity Management Trust Company is the appointed Trustee of the Plan.</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1420"/>
          </w:cols>
          <w:pgMar w:left="240" w:top="459" w:right="239" w:bottom="1440" w:gutter="0" w:footer="0" w:header="0"/>
        </w:sectPr>
      </w:pPr>
    </w:p>
    <w:bookmarkStart w:id="7" w:name="page8"/>
    <w:bookmarkEnd w:id="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460" w:hanging="452"/>
        <w:spacing w:after="0"/>
        <w:tabs>
          <w:tab w:leader="none" w:pos="460" w:val="left"/>
        </w:tabs>
        <w:numPr>
          <w:ilvl w:val="0"/>
          <w:numId w:val="4"/>
        </w:numPr>
        <w:rPr>
          <w:rFonts w:ascii="Arial" w:cs="Arial" w:eastAsia="Arial" w:hAnsi="Arial"/>
          <w:sz w:val="18"/>
          <w:szCs w:val="18"/>
          <w:b w:val="1"/>
          <w:bCs w:val="1"/>
          <w:color w:val="auto"/>
        </w:rPr>
      </w:pPr>
      <w:r>
        <w:rPr>
          <w:rFonts w:ascii="Arial" w:cs="Arial" w:eastAsia="Arial" w:hAnsi="Arial"/>
          <w:sz w:val="18"/>
          <w:szCs w:val="18"/>
          <w:b w:val="1"/>
          <w:bCs w:val="1"/>
          <w:color w:val="auto"/>
        </w:rPr>
        <w:t>SUMMARY OF SIGNIFICANT ACCOUNTING POLICIES</w:t>
      </w:r>
    </w:p>
    <w:p>
      <w:pPr>
        <w:spacing w:after="0" w:line="96" w:lineRule="exact"/>
        <w:rPr>
          <w:rFonts w:ascii="Arial" w:cs="Arial" w:eastAsia="Arial" w:hAnsi="Arial"/>
          <w:sz w:val="18"/>
          <w:szCs w:val="18"/>
          <w:b w:val="1"/>
          <w:bCs w:val="1"/>
          <w:color w:val="auto"/>
        </w:rPr>
      </w:pPr>
    </w:p>
    <w:p>
      <w:pPr>
        <w:ind w:left="460" w:right="140"/>
        <w:spacing w:after="0" w:line="256" w:lineRule="auto"/>
        <w:rPr>
          <w:rFonts w:ascii="Arial" w:cs="Arial" w:eastAsia="Arial" w:hAnsi="Arial"/>
          <w:sz w:val="18"/>
          <w:szCs w:val="18"/>
          <w:b w:val="1"/>
          <w:bCs w:val="1"/>
          <w:color w:val="auto"/>
        </w:rPr>
      </w:pPr>
      <w:r>
        <w:rPr>
          <w:rFonts w:ascii="Arial" w:cs="Arial" w:eastAsia="Arial" w:hAnsi="Arial"/>
          <w:sz w:val="18"/>
          <w:szCs w:val="18"/>
          <w:color w:val="auto"/>
        </w:rPr>
        <w:t>The financial statements of the Plan are presented using the accrual basis of accounting. Investments in mutual funds and the Comcast Corporation Stock Fund are carried at fair value. Fair value is determined by the last sale or closing price as of the last trading day of the Plan year for investments in securities traded on a securities exchange or the Nasdaq National Market. Investment contracts, which are included in the Comcast Stable Value Fund, are fully benefit-responsive and are carried at contract value.</w:t>
      </w:r>
    </w:p>
    <w:p>
      <w:pPr>
        <w:spacing w:after="0" w:line="62" w:lineRule="exact"/>
        <w:rPr>
          <w:rFonts w:ascii="Arial" w:cs="Arial" w:eastAsia="Arial" w:hAnsi="Arial"/>
          <w:sz w:val="18"/>
          <w:szCs w:val="18"/>
          <w:b w:val="1"/>
          <w:bCs w:val="1"/>
          <w:color w:val="auto"/>
        </w:rPr>
      </w:pPr>
    </w:p>
    <w:p>
      <w:pPr>
        <w:ind w:left="460" w:right="120"/>
        <w:spacing w:after="0" w:line="312" w:lineRule="auto"/>
        <w:rPr>
          <w:rFonts w:ascii="Arial" w:cs="Arial" w:eastAsia="Arial" w:hAnsi="Arial"/>
          <w:sz w:val="18"/>
          <w:szCs w:val="18"/>
          <w:b w:val="1"/>
          <w:bCs w:val="1"/>
          <w:color w:val="auto"/>
        </w:rPr>
      </w:pPr>
      <w:r>
        <w:rPr>
          <w:rFonts w:ascii="Arial" w:cs="Arial" w:eastAsia="Arial" w:hAnsi="Arial"/>
          <w:sz w:val="15"/>
          <w:szCs w:val="15"/>
          <w:color w:val="auto"/>
        </w:rPr>
        <w:t xml:space="preserve">As described in Financial Accounting Standards Board (“FASB”) Staff Position FSP AAG INV-1 and SOP 94-4-1, </w:t>
      </w:r>
      <w:r>
        <w:rPr>
          <w:rFonts w:ascii="Arial" w:cs="Arial" w:eastAsia="Arial" w:hAnsi="Arial"/>
          <w:sz w:val="15"/>
          <w:szCs w:val="15"/>
          <w:i w:val="1"/>
          <w:iCs w:val="1"/>
          <w:color w:val="auto"/>
        </w:rPr>
        <w:t>Reporting of Fully Benefit-Responsive</w:t>
      </w:r>
      <w:r>
        <w:rPr>
          <w:rFonts w:ascii="Arial" w:cs="Arial" w:eastAsia="Arial" w:hAnsi="Arial"/>
          <w:sz w:val="15"/>
          <w:szCs w:val="15"/>
          <w:color w:val="auto"/>
        </w:rPr>
        <w:t xml:space="preserve"> </w:t>
      </w:r>
      <w:r>
        <w:rPr>
          <w:rFonts w:ascii="Arial" w:cs="Arial" w:eastAsia="Arial" w:hAnsi="Arial"/>
          <w:sz w:val="15"/>
          <w:szCs w:val="15"/>
          <w:i w:val="1"/>
          <w:iCs w:val="1"/>
          <w:color w:val="auto"/>
        </w:rPr>
        <w:t xml:space="preserve">Investment Contracts Held by Certain Investment Companies Subject to the AICPA Investment Company Guide and Defined-Contribution Health and Welfare and Pension Plans </w:t>
      </w:r>
      <w:r>
        <w:rPr>
          <w:rFonts w:ascii="Arial" w:cs="Arial" w:eastAsia="Arial" w:hAnsi="Arial"/>
          <w:sz w:val="15"/>
          <w:szCs w:val="15"/>
          <w:color w:val="auto"/>
        </w:rPr>
        <w:t>(the “FSP”), investment contracts, such as those included in the Comcast Stable Value Fund, are required to be reported at fair</w:t>
      </w:r>
      <w:r>
        <w:rPr>
          <w:rFonts w:ascii="Arial" w:cs="Arial" w:eastAsia="Arial" w:hAnsi="Arial"/>
          <w:sz w:val="15"/>
          <w:szCs w:val="15"/>
          <w:i w:val="1"/>
          <w:iCs w:val="1"/>
          <w:color w:val="auto"/>
        </w:rPr>
        <w:t xml:space="preserve"> </w:t>
      </w:r>
      <w:r>
        <w:rPr>
          <w:rFonts w:ascii="Arial" w:cs="Arial" w:eastAsia="Arial" w:hAnsi="Arial"/>
          <w:sz w:val="15"/>
          <w:szCs w:val="15"/>
          <w:color w:val="auto"/>
        </w:rPr>
        <w:t>value. However, contract value is the relevant measure of fully benefit-responsive investment contracts since that is the amount participants would receive if they were to initiate permitted transactions under the terms of the Plan. As required by the FSP, the Statements of Net Assets Available for Benefits present investments at fair value as well as an additional line item showing the adjustment of fully benefit-responsive investment contracts from fair value to contract value. The Statement of Changes in Net Assets Available for Benefits is presented on a contract value basis and is not affected by the FSP.</w:t>
      </w:r>
    </w:p>
    <w:p>
      <w:pPr>
        <w:spacing w:after="0" w:line="24" w:lineRule="exact"/>
        <w:rPr>
          <w:rFonts w:ascii="Arial" w:cs="Arial" w:eastAsia="Arial" w:hAnsi="Arial"/>
          <w:sz w:val="18"/>
          <w:szCs w:val="18"/>
          <w:b w:val="1"/>
          <w:bCs w:val="1"/>
          <w:color w:val="auto"/>
        </w:rPr>
      </w:pPr>
    </w:p>
    <w:p>
      <w:pPr>
        <w:ind w:left="460" w:right="120"/>
        <w:spacing w:after="0" w:line="256" w:lineRule="auto"/>
        <w:rPr>
          <w:rFonts w:ascii="Arial" w:cs="Arial" w:eastAsia="Arial" w:hAnsi="Arial"/>
          <w:sz w:val="18"/>
          <w:szCs w:val="18"/>
          <w:b w:val="1"/>
          <w:bCs w:val="1"/>
          <w:color w:val="auto"/>
        </w:rPr>
      </w:pPr>
      <w:r>
        <w:rPr>
          <w:rFonts w:ascii="Arial" w:cs="Arial" w:eastAsia="Arial" w:hAnsi="Arial"/>
          <w:sz w:val="18"/>
          <w:szCs w:val="18"/>
          <w:color w:val="auto"/>
        </w:rPr>
        <w:t>In September 2006, the FASB issued Statement No. 157, “Fair Value Measurements” (“SFAS No. 157”). SFAS No. 157 defines fair value, establishes a framework for measuring fair value and expands disclosure about fair value measurements. SFAS No. 157 is effective for financial assets and liabilities in fiscal years beginning after November 15, 2007. The Plan’s management is currently evaluating the pending adoption of SFAS No. 157 on the Plan’s financial statements.</w:t>
      </w:r>
    </w:p>
    <w:p>
      <w:pPr>
        <w:spacing w:after="0" w:line="62" w:lineRule="exact"/>
        <w:rPr>
          <w:rFonts w:ascii="Arial" w:cs="Arial" w:eastAsia="Arial" w:hAnsi="Arial"/>
          <w:sz w:val="18"/>
          <w:szCs w:val="18"/>
          <w:b w:val="1"/>
          <w:bCs w:val="1"/>
          <w:color w:val="auto"/>
        </w:rPr>
      </w:pPr>
    </w:p>
    <w:p>
      <w:pPr>
        <w:jc w:val="both"/>
        <w:ind w:left="460"/>
        <w:spacing w:after="0" w:line="306" w:lineRule="auto"/>
        <w:rPr>
          <w:rFonts w:ascii="Arial" w:cs="Arial" w:eastAsia="Arial" w:hAnsi="Arial"/>
          <w:sz w:val="18"/>
          <w:szCs w:val="18"/>
          <w:b w:val="1"/>
          <w:bCs w:val="1"/>
          <w:color w:val="auto"/>
        </w:rPr>
      </w:pPr>
      <w:r>
        <w:rPr>
          <w:rFonts w:ascii="Arial" w:cs="Arial" w:eastAsia="Arial" w:hAnsi="Arial"/>
          <w:sz w:val="16"/>
          <w:szCs w:val="16"/>
          <w:color w:val="auto"/>
        </w:rPr>
        <w:t>Loans receivable from participants are valued at cost which approximates fair value. Net unrealized appreciation or depreciation in the financial statements reflects changes in fair value of investments held at year end, while net realized gains and losses associated with the disposition of investments are recorded as of the trade date and calculated based on fair value as of such date. Benefits are recorded when paid.</w:t>
      </w:r>
    </w:p>
    <w:p>
      <w:pPr>
        <w:spacing w:after="0" w:line="25" w:lineRule="exact"/>
        <w:rPr>
          <w:rFonts w:ascii="Arial" w:cs="Arial" w:eastAsia="Arial" w:hAnsi="Arial"/>
          <w:sz w:val="18"/>
          <w:szCs w:val="18"/>
          <w:b w:val="1"/>
          <w:bCs w:val="1"/>
          <w:color w:val="auto"/>
        </w:rPr>
      </w:pPr>
    </w:p>
    <w:p>
      <w:pPr>
        <w:ind w:left="460" w:right="160"/>
        <w:spacing w:after="0" w:line="259" w:lineRule="auto"/>
        <w:rPr>
          <w:rFonts w:ascii="Arial" w:cs="Arial" w:eastAsia="Arial" w:hAnsi="Arial"/>
          <w:sz w:val="18"/>
          <w:szCs w:val="18"/>
          <w:b w:val="1"/>
          <w:bCs w:val="1"/>
          <w:color w:val="auto"/>
        </w:rPr>
      </w:pPr>
      <w:r>
        <w:rPr>
          <w:rFonts w:ascii="Arial" w:cs="Arial" w:eastAsia="Arial" w:hAnsi="Arial"/>
          <w:sz w:val="18"/>
          <w:szCs w:val="18"/>
          <w:color w:val="auto"/>
        </w:rPr>
        <w:t>Investment securities are exposed to various risks, such as interest rate, market and credit risks. Due to the level of risk associated with certain investment securities, it is at least reasonably possible that changes in the values of investment securities will occur in the near term and that such changes could materially affect the amounts reported in the Statement of Net Assets Available for Benefits.</w:t>
      </w:r>
    </w:p>
    <w:p>
      <w:pPr>
        <w:spacing w:after="0" w:line="59" w:lineRule="exact"/>
        <w:rPr>
          <w:rFonts w:ascii="Arial" w:cs="Arial" w:eastAsia="Arial" w:hAnsi="Arial"/>
          <w:sz w:val="18"/>
          <w:szCs w:val="18"/>
          <w:b w:val="1"/>
          <w:bCs w:val="1"/>
          <w:color w:val="auto"/>
        </w:rPr>
      </w:pPr>
    </w:p>
    <w:p>
      <w:pPr>
        <w:ind w:left="460" w:right="120"/>
        <w:spacing w:after="0" w:line="259" w:lineRule="auto"/>
        <w:rPr>
          <w:rFonts w:ascii="Arial" w:cs="Arial" w:eastAsia="Arial" w:hAnsi="Arial"/>
          <w:sz w:val="18"/>
          <w:szCs w:val="18"/>
          <w:b w:val="1"/>
          <w:bCs w:val="1"/>
          <w:color w:val="auto"/>
        </w:rPr>
      </w:pPr>
      <w:r>
        <w:rPr>
          <w:rFonts w:ascii="Arial" w:cs="Arial" w:eastAsia="Arial" w:hAnsi="Arial"/>
          <w:sz w:val="18"/>
          <w:szCs w:val="18"/>
          <w:color w:val="auto"/>
        </w:rPr>
        <w:t>The preparation of financial statements in conformity with accounting principles generally accepted in the United States of America requires management to make estimates and assumptions that affect the reported amounts of assets, liabilities, and changes therein, and disclosure of contingent assets and liabilities. Actual results could differ from those estimates.</w:t>
      </w:r>
    </w:p>
    <w:p>
      <w:pPr>
        <w:spacing w:after="0" w:line="255" w:lineRule="exact"/>
        <w:rPr>
          <w:rFonts w:ascii="Arial" w:cs="Arial" w:eastAsia="Arial" w:hAnsi="Arial"/>
          <w:sz w:val="18"/>
          <w:szCs w:val="18"/>
          <w:b w:val="1"/>
          <w:bCs w:val="1"/>
          <w:color w:val="auto"/>
        </w:rPr>
      </w:pPr>
    </w:p>
    <w:p>
      <w:pPr>
        <w:ind w:left="460" w:hanging="452"/>
        <w:spacing w:after="0"/>
        <w:tabs>
          <w:tab w:leader="none" w:pos="460" w:val="left"/>
        </w:tabs>
        <w:numPr>
          <w:ilvl w:val="0"/>
          <w:numId w:val="4"/>
        </w:numPr>
        <w:rPr>
          <w:rFonts w:ascii="Arial" w:cs="Arial" w:eastAsia="Arial" w:hAnsi="Arial"/>
          <w:sz w:val="18"/>
          <w:szCs w:val="18"/>
          <w:b w:val="1"/>
          <w:bCs w:val="1"/>
          <w:color w:val="auto"/>
        </w:rPr>
      </w:pPr>
      <w:r>
        <w:rPr>
          <w:rFonts w:ascii="Arial" w:cs="Arial" w:eastAsia="Arial" w:hAnsi="Arial"/>
          <w:sz w:val="18"/>
          <w:szCs w:val="18"/>
          <w:b w:val="1"/>
          <w:bCs w:val="1"/>
          <w:color w:val="auto"/>
        </w:rPr>
        <w:t>INVESTMENTS</w:t>
      </w:r>
    </w:p>
    <w:p>
      <w:pPr>
        <w:spacing w:after="0" w:line="96" w:lineRule="exact"/>
        <w:rPr>
          <w:rFonts w:ascii="Arial" w:cs="Arial" w:eastAsia="Arial" w:hAnsi="Arial"/>
          <w:sz w:val="18"/>
          <w:szCs w:val="18"/>
          <w:b w:val="1"/>
          <w:bCs w:val="1"/>
          <w:color w:val="auto"/>
        </w:rPr>
      </w:pPr>
    </w:p>
    <w:p>
      <w:pPr>
        <w:ind w:left="460"/>
        <w:spacing w:after="0"/>
        <w:rPr>
          <w:rFonts w:ascii="Arial" w:cs="Arial" w:eastAsia="Arial" w:hAnsi="Arial"/>
          <w:sz w:val="18"/>
          <w:szCs w:val="18"/>
          <w:b w:val="1"/>
          <w:bCs w:val="1"/>
          <w:color w:val="auto"/>
        </w:rPr>
      </w:pPr>
      <w:r>
        <w:rPr>
          <w:rFonts w:ascii="Arial" w:cs="Arial" w:eastAsia="Arial" w:hAnsi="Arial"/>
          <w:sz w:val="18"/>
          <w:szCs w:val="18"/>
          <w:color w:val="auto"/>
        </w:rPr>
        <w:t>The fair market value of investments held by the Plan representing 5% or more of the Plan’s assets are identified below (in thousands).</w:t>
      </w: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4400" w:type="dxa"/>
            <w:vAlign w:val="bottom"/>
          </w:tcPr>
          <w:p>
            <w:pPr>
              <w:spacing w:after="0"/>
              <w:rPr>
                <w:sz w:val="14"/>
                <w:szCs w:val="14"/>
                <w:color w:val="auto"/>
              </w:rPr>
            </w:pPr>
          </w:p>
        </w:tc>
        <w:tc>
          <w:tcPr>
            <w:tcW w:w="5380" w:type="dxa"/>
            <w:vAlign w:val="bottom"/>
          </w:tcPr>
          <w:p>
            <w:pPr>
              <w:spacing w:after="0"/>
              <w:rPr>
                <w:sz w:val="14"/>
                <w:szCs w:val="14"/>
                <w:color w:val="auto"/>
              </w:rPr>
            </w:pPr>
          </w:p>
        </w:tc>
        <w:tc>
          <w:tcPr>
            <w:tcW w:w="1620" w:type="dxa"/>
            <w:vAlign w:val="bottom"/>
            <w:tcBorders>
              <w:bottom w:val="single" w:sz="8" w:color="auto"/>
            </w:tcBorders>
            <w:gridSpan w:val="3"/>
          </w:tcPr>
          <w:p>
            <w:pPr>
              <w:jc w:val="right"/>
              <w:ind w:right="335"/>
              <w:spacing w:after="0"/>
              <w:rPr>
                <w:sz w:val="20"/>
                <w:szCs w:val="20"/>
                <w:color w:val="auto"/>
              </w:rPr>
            </w:pPr>
            <w:r>
              <w:rPr>
                <w:rFonts w:ascii="Arial" w:cs="Arial" w:eastAsia="Arial" w:hAnsi="Arial"/>
                <w:sz w:val="14"/>
                <w:szCs w:val="14"/>
                <w:b w:val="1"/>
                <w:bCs w:val="1"/>
                <w:color w:val="auto"/>
              </w:rPr>
              <w:t>December 31,</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4400" w:type="dxa"/>
            <w:vAlign w:val="bottom"/>
          </w:tcPr>
          <w:p>
            <w:pPr>
              <w:spacing w:after="0"/>
              <w:rPr>
                <w:sz w:val="12"/>
                <w:szCs w:val="12"/>
                <w:color w:val="auto"/>
              </w:rPr>
            </w:pPr>
          </w:p>
        </w:tc>
        <w:tc>
          <w:tcPr>
            <w:tcW w:w="5380" w:type="dxa"/>
            <w:vAlign w:val="bottom"/>
          </w:tcPr>
          <w:p>
            <w:pPr>
              <w:spacing w:after="0"/>
              <w:rPr>
                <w:sz w:val="12"/>
                <w:szCs w:val="12"/>
                <w:color w:val="auto"/>
              </w:rPr>
            </w:pPr>
          </w:p>
        </w:tc>
        <w:tc>
          <w:tcPr>
            <w:tcW w:w="680" w:type="dxa"/>
            <w:vAlign w:val="bottom"/>
            <w:tcBorders>
              <w:bottom w:val="single" w:sz="8" w:color="auto"/>
            </w:tcBorders>
          </w:tcPr>
          <w:p>
            <w:pPr>
              <w:jc w:val="right"/>
              <w:ind w:right="132"/>
              <w:spacing w:after="0" w:line="142" w:lineRule="exact"/>
              <w:rPr>
                <w:sz w:val="20"/>
                <w:szCs w:val="20"/>
                <w:color w:val="auto"/>
              </w:rPr>
            </w:pPr>
            <w:r>
              <w:rPr>
                <w:rFonts w:ascii="Arial" w:cs="Arial" w:eastAsia="Arial" w:hAnsi="Arial"/>
                <w:sz w:val="14"/>
                <w:szCs w:val="14"/>
                <w:b w:val="1"/>
                <w:bCs w:val="1"/>
                <w:color w:val="auto"/>
              </w:rPr>
              <w:t>2007</w:t>
            </w:r>
          </w:p>
        </w:tc>
        <w:tc>
          <w:tcPr>
            <w:tcW w:w="220" w:type="dxa"/>
            <w:vAlign w:val="bottom"/>
          </w:tcPr>
          <w:p>
            <w:pPr>
              <w:spacing w:after="0"/>
              <w:rPr>
                <w:sz w:val="12"/>
                <w:szCs w:val="12"/>
                <w:color w:val="auto"/>
              </w:rPr>
            </w:pPr>
          </w:p>
        </w:tc>
        <w:tc>
          <w:tcPr>
            <w:tcW w:w="720" w:type="dxa"/>
            <w:vAlign w:val="bottom"/>
            <w:tcBorders>
              <w:bottom w:val="single" w:sz="8" w:color="auto"/>
            </w:tcBorders>
          </w:tcPr>
          <w:p>
            <w:pPr>
              <w:jc w:val="right"/>
              <w:ind w:right="135"/>
              <w:spacing w:after="0" w:line="142" w:lineRule="exact"/>
              <w:rPr>
                <w:sz w:val="20"/>
                <w:szCs w:val="20"/>
                <w:color w:val="auto"/>
              </w:rPr>
            </w:pPr>
            <w:r>
              <w:rPr>
                <w:rFonts w:ascii="Arial" w:cs="Arial" w:eastAsia="Arial" w:hAnsi="Arial"/>
                <w:sz w:val="14"/>
                <w:szCs w:val="14"/>
                <w:b w:val="1"/>
                <w:bCs w:val="1"/>
                <w:color w:val="auto"/>
              </w:rPr>
              <w:t>2006</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400" w:type="dxa"/>
            <w:vAlign w:val="bottom"/>
            <w:shd w:val="clear" w:color="auto" w:fill="CCEEFF"/>
          </w:tcPr>
          <w:p>
            <w:pPr>
              <w:spacing w:after="0"/>
              <w:rPr>
                <w:sz w:val="20"/>
                <w:szCs w:val="20"/>
                <w:color w:val="auto"/>
              </w:rPr>
            </w:pPr>
            <w:r>
              <w:rPr>
                <w:rFonts w:ascii="Arial" w:cs="Arial" w:eastAsia="Arial" w:hAnsi="Arial"/>
                <w:sz w:val="18"/>
                <w:szCs w:val="18"/>
                <w:color w:val="auto"/>
              </w:rPr>
              <w:t>Mutual Funds</w:t>
            </w:r>
          </w:p>
        </w:tc>
        <w:tc>
          <w:tcPr>
            <w:tcW w:w="538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00" w:type="dxa"/>
            <w:vAlign w:val="bottom"/>
          </w:tcPr>
          <w:p>
            <w:pPr>
              <w:ind w:left="420"/>
              <w:spacing w:after="0"/>
              <w:rPr>
                <w:sz w:val="20"/>
                <w:szCs w:val="20"/>
                <w:color w:val="auto"/>
              </w:rPr>
            </w:pPr>
            <w:r>
              <w:rPr>
                <w:rFonts w:ascii="Arial" w:cs="Arial" w:eastAsia="Arial" w:hAnsi="Arial"/>
                <w:sz w:val="18"/>
                <w:szCs w:val="18"/>
                <w:color w:val="auto"/>
              </w:rPr>
              <w:t>Dodge and Cox Balanced Fund</w:t>
            </w:r>
          </w:p>
        </w:tc>
        <w:tc>
          <w:tcPr>
            <w:tcW w:w="6060" w:type="dxa"/>
            <w:vAlign w:val="bottom"/>
            <w:gridSpan w:val="2"/>
          </w:tcPr>
          <w:p>
            <w:pPr>
              <w:jc w:val="right"/>
              <w:spacing w:after="0"/>
              <w:rPr>
                <w:sz w:val="20"/>
                <w:szCs w:val="20"/>
                <w:color w:val="auto"/>
              </w:rPr>
            </w:pPr>
            <w:r>
              <w:rPr>
                <w:rFonts w:ascii="Arial" w:cs="Arial" w:eastAsia="Arial" w:hAnsi="Arial"/>
                <w:sz w:val="18"/>
                <w:szCs w:val="18"/>
                <w:color w:val="auto"/>
              </w:rPr>
              <w:t>$ 189,914</w:t>
            </w:r>
          </w:p>
        </w:tc>
        <w:tc>
          <w:tcPr>
            <w:tcW w:w="22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w w:val="87"/>
              </w:rPr>
              <w:t>$ 166,391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00" w:type="dxa"/>
            <w:vAlign w:val="bottom"/>
            <w:shd w:val="clear" w:color="auto" w:fill="CCEEFF"/>
          </w:tcPr>
          <w:p>
            <w:pPr>
              <w:ind w:left="420"/>
              <w:spacing w:after="0"/>
              <w:rPr>
                <w:sz w:val="20"/>
                <w:szCs w:val="20"/>
                <w:color w:val="auto"/>
              </w:rPr>
            </w:pPr>
            <w:r>
              <w:rPr>
                <w:rFonts w:ascii="Arial" w:cs="Arial" w:eastAsia="Arial" w:hAnsi="Arial"/>
                <w:sz w:val="18"/>
                <w:szCs w:val="18"/>
                <w:color w:val="auto"/>
              </w:rPr>
              <w:t>Fidelity Diversified International Fund</w:t>
            </w:r>
          </w:p>
        </w:tc>
        <w:tc>
          <w:tcPr>
            <w:tcW w:w="60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227,040</w:t>
            </w:r>
          </w:p>
        </w:tc>
        <w:tc>
          <w:tcPr>
            <w:tcW w:w="22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172,999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00" w:type="dxa"/>
            <w:vAlign w:val="bottom"/>
          </w:tcPr>
          <w:p>
            <w:pPr>
              <w:ind w:left="420"/>
              <w:spacing w:after="0"/>
              <w:rPr>
                <w:sz w:val="20"/>
                <w:szCs w:val="20"/>
                <w:color w:val="auto"/>
              </w:rPr>
            </w:pPr>
            <w:r>
              <w:rPr>
                <w:rFonts w:ascii="Arial" w:cs="Arial" w:eastAsia="Arial" w:hAnsi="Arial"/>
                <w:sz w:val="18"/>
                <w:szCs w:val="18"/>
                <w:color w:val="auto"/>
              </w:rPr>
              <w:t>Fidelity Blue Chip Growth Fund</w:t>
            </w:r>
          </w:p>
        </w:tc>
        <w:tc>
          <w:tcPr>
            <w:tcW w:w="538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184,911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00" w:type="dxa"/>
            <w:vAlign w:val="bottom"/>
            <w:shd w:val="clear" w:color="auto" w:fill="CCEEFF"/>
          </w:tcPr>
          <w:p>
            <w:pPr>
              <w:ind w:left="420"/>
              <w:spacing w:after="0"/>
              <w:rPr>
                <w:sz w:val="20"/>
                <w:szCs w:val="20"/>
                <w:color w:val="auto"/>
              </w:rPr>
            </w:pPr>
            <w:r>
              <w:rPr>
                <w:rFonts w:ascii="Arial" w:cs="Arial" w:eastAsia="Arial" w:hAnsi="Arial"/>
                <w:sz w:val="18"/>
                <w:szCs w:val="18"/>
                <w:color w:val="auto"/>
              </w:rPr>
              <w:t>Spartan US Equity Index Fund</w:t>
            </w:r>
          </w:p>
        </w:tc>
        <w:tc>
          <w:tcPr>
            <w:tcW w:w="60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181,235</w:t>
            </w:r>
          </w:p>
        </w:tc>
        <w:tc>
          <w:tcPr>
            <w:tcW w:w="22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168,296</w:t>
            </w: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4400" w:type="dxa"/>
            <w:vAlign w:val="bottom"/>
          </w:tcPr>
          <w:p>
            <w:pPr>
              <w:ind w:left="420"/>
              <w:spacing w:after="0"/>
              <w:rPr>
                <w:sz w:val="20"/>
                <w:szCs w:val="20"/>
                <w:color w:val="auto"/>
              </w:rPr>
            </w:pPr>
            <w:r>
              <w:rPr>
                <w:rFonts w:ascii="Arial" w:cs="Arial" w:eastAsia="Arial" w:hAnsi="Arial"/>
                <w:sz w:val="18"/>
                <w:szCs w:val="18"/>
                <w:color w:val="auto"/>
              </w:rPr>
              <w:t>TRP Blue Chip Growth Fund</w:t>
            </w:r>
          </w:p>
        </w:tc>
        <w:tc>
          <w:tcPr>
            <w:tcW w:w="6280" w:type="dxa"/>
            <w:vAlign w:val="bottom"/>
            <w:gridSpan w:val="3"/>
          </w:tcPr>
          <w:p>
            <w:pPr>
              <w:jc w:val="right"/>
              <w:ind w:right="220"/>
              <w:spacing w:after="0"/>
              <w:rPr>
                <w:sz w:val="20"/>
                <w:szCs w:val="20"/>
                <w:color w:val="auto"/>
              </w:rPr>
            </w:pPr>
            <w:r>
              <w:rPr>
                <w:rFonts w:ascii="Arial" w:cs="Arial" w:eastAsia="Arial" w:hAnsi="Arial"/>
                <w:sz w:val="18"/>
                <w:szCs w:val="18"/>
                <w:color w:val="auto"/>
              </w:rPr>
              <w:t>211,328</w:t>
            </w:r>
          </w:p>
        </w:tc>
        <w:tc>
          <w:tcPr>
            <w:tcW w:w="7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4400" w:type="dxa"/>
            <w:vAlign w:val="bottom"/>
          </w:tcPr>
          <w:p>
            <w:pPr>
              <w:spacing w:after="0"/>
              <w:rPr>
                <w:sz w:val="8"/>
                <w:szCs w:val="8"/>
                <w:color w:val="auto"/>
              </w:rPr>
            </w:pPr>
          </w:p>
        </w:tc>
        <w:tc>
          <w:tcPr>
            <w:tcW w:w="5380" w:type="dxa"/>
            <w:vAlign w:val="bottom"/>
          </w:tcPr>
          <w:p>
            <w:pPr>
              <w:spacing w:after="0"/>
              <w:rPr>
                <w:sz w:val="8"/>
                <w:szCs w:val="8"/>
                <w:color w:val="auto"/>
              </w:rPr>
            </w:pPr>
          </w:p>
        </w:tc>
        <w:tc>
          <w:tcPr>
            <w:tcW w:w="680" w:type="dxa"/>
            <w:vAlign w:val="bottom"/>
          </w:tcPr>
          <w:p>
            <w:pPr>
              <w:spacing w:after="0"/>
              <w:rPr>
                <w:sz w:val="8"/>
                <w:szCs w:val="8"/>
                <w:color w:val="auto"/>
              </w:rPr>
            </w:pPr>
          </w:p>
        </w:tc>
        <w:tc>
          <w:tcPr>
            <w:tcW w:w="220" w:type="dxa"/>
            <w:vAlign w:val="bottom"/>
          </w:tcPr>
          <w:p>
            <w:pPr>
              <w:spacing w:after="0"/>
              <w:rPr>
                <w:sz w:val="8"/>
                <w:szCs w:val="8"/>
                <w:color w:val="auto"/>
              </w:rPr>
            </w:pPr>
          </w:p>
        </w:tc>
        <w:tc>
          <w:tcPr>
            <w:tcW w:w="7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400" w:type="dxa"/>
            <w:vAlign w:val="bottom"/>
            <w:shd w:val="clear" w:color="auto" w:fill="CCEEFF"/>
          </w:tcPr>
          <w:p>
            <w:pPr>
              <w:spacing w:after="0"/>
              <w:rPr>
                <w:sz w:val="20"/>
                <w:szCs w:val="20"/>
                <w:color w:val="auto"/>
              </w:rPr>
            </w:pPr>
            <w:r>
              <w:rPr>
                <w:rFonts w:ascii="Arial" w:cs="Arial" w:eastAsia="Arial" w:hAnsi="Arial"/>
                <w:sz w:val="18"/>
                <w:szCs w:val="18"/>
                <w:color w:val="auto"/>
              </w:rPr>
              <w:t>Comcast Corporation Stock Fund</w:t>
            </w:r>
          </w:p>
        </w:tc>
        <w:tc>
          <w:tcPr>
            <w:tcW w:w="538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4400" w:type="dxa"/>
            <w:vAlign w:val="bottom"/>
          </w:tcPr>
          <w:p>
            <w:pPr>
              <w:ind w:left="420"/>
              <w:spacing w:after="0"/>
              <w:rPr>
                <w:sz w:val="20"/>
                <w:szCs w:val="20"/>
                <w:color w:val="auto"/>
              </w:rPr>
            </w:pPr>
            <w:r>
              <w:rPr>
                <w:rFonts w:ascii="Arial" w:cs="Arial" w:eastAsia="Arial" w:hAnsi="Arial"/>
                <w:sz w:val="18"/>
                <w:szCs w:val="18"/>
                <w:color w:val="auto"/>
              </w:rPr>
              <w:t>Class A Common Stock</w:t>
            </w:r>
          </w:p>
        </w:tc>
        <w:tc>
          <w:tcPr>
            <w:tcW w:w="6060" w:type="dxa"/>
            <w:vAlign w:val="bottom"/>
            <w:gridSpan w:val="2"/>
          </w:tcPr>
          <w:p>
            <w:pPr>
              <w:jc w:val="right"/>
              <w:spacing w:after="0"/>
              <w:rPr>
                <w:sz w:val="20"/>
                <w:szCs w:val="20"/>
                <w:color w:val="auto"/>
              </w:rPr>
            </w:pPr>
            <w:r>
              <w:rPr>
                <w:rFonts w:ascii="Arial" w:cs="Arial" w:eastAsia="Arial" w:hAnsi="Arial"/>
                <w:sz w:val="18"/>
                <w:szCs w:val="18"/>
                <w:color w:val="auto"/>
              </w:rPr>
              <w:t>149,700</w:t>
            </w:r>
          </w:p>
        </w:tc>
        <w:tc>
          <w:tcPr>
            <w:tcW w:w="22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218,311</w:t>
            </w: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4400" w:type="dxa"/>
            <w:vAlign w:val="bottom"/>
          </w:tcPr>
          <w:p>
            <w:pPr>
              <w:spacing w:after="0"/>
              <w:rPr>
                <w:sz w:val="8"/>
                <w:szCs w:val="8"/>
                <w:color w:val="auto"/>
              </w:rPr>
            </w:pPr>
          </w:p>
        </w:tc>
        <w:tc>
          <w:tcPr>
            <w:tcW w:w="5380" w:type="dxa"/>
            <w:vAlign w:val="bottom"/>
          </w:tcPr>
          <w:p>
            <w:pPr>
              <w:spacing w:after="0"/>
              <w:rPr>
                <w:sz w:val="8"/>
                <w:szCs w:val="8"/>
                <w:color w:val="auto"/>
              </w:rPr>
            </w:pPr>
          </w:p>
        </w:tc>
        <w:tc>
          <w:tcPr>
            <w:tcW w:w="680" w:type="dxa"/>
            <w:vAlign w:val="bottom"/>
          </w:tcPr>
          <w:p>
            <w:pPr>
              <w:spacing w:after="0"/>
              <w:rPr>
                <w:sz w:val="8"/>
                <w:szCs w:val="8"/>
                <w:color w:val="auto"/>
              </w:rPr>
            </w:pPr>
          </w:p>
        </w:tc>
        <w:tc>
          <w:tcPr>
            <w:tcW w:w="220" w:type="dxa"/>
            <w:vAlign w:val="bottom"/>
          </w:tcPr>
          <w:p>
            <w:pPr>
              <w:spacing w:after="0"/>
              <w:rPr>
                <w:sz w:val="8"/>
                <w:szCs w:val="8"/>
                <w:color w:val="auto"/>
              </w:rPr>
            </w:pPr>
          </w:p>
        </w:tc>
        <w:tc>
          <w:tcPr>
            <w:tcW w:w="7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400" w:type="dxa"/>
            <w:vAlign w:val="bottom"/>
            <w:shd w:val="clear" w:color="auto" w:fill="CCEEFF"/>
          </w:tcPr>
          <w:p>
            <w:pPr>
              <w:spacing w:after="0"/>
              <w:rPr>
                <w:sz w:val="20"/>
                <w:szCs w:val="20"/>
                <w:color w:val="auto"/>
              </w:rPr>
            </w:pPr>
            <w:r>
              <w:rPr>
                <w:rFonts w:ascii="Arial" w:cs="Arial" w:eastAsia="Arial" w:hAnsi="Arial"/>
                <w:sz w:val="18"/>
                <w:szCs w:val="18"/>
                <w:color w:val="auto"/>
              </w:rPr>
              <w:t>Comcast Stable Value Fund</w:t>
            </w:r>
          </w:p>
        </w:tc>
        <w:tc>
          <w:tcPr>
            <w:tcW w:w="538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4400" w:type="dxa"/>
            <w:vAlign w:val="bottom"/>
          </w:tcPr>
          <w:p>
            <w:pPr>
              <w:ind w:left="420"/>
              <w:spacing w:after="0"/>
              <w:rPr>
                <w:sz w:val="20"/>
                <w:szCs w:val="20"/>
                <w:color w:val="auto"/>
              </w:rPr>
            </w:pPr>
            <w:r>
              <w:rPr>
                <w:rFonts w:ascii="Arial" w:cs="Arial" w:eastAsia="Arial" w:hAnsi="Arial"/>
                <w:sz w:val="18"/>
                <w:szCs w:val="18"/>
                <w:color w:val="auto"/>
              </w:rPr>
              <w:t>Bank of America, N.A.</w:t>
            </w:r>
          </w:p>
        </w:tc>
        <w:tc>
          <w:tcPr>
            <w:tcW w:w="538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117,145</w:t>
            </w:r>
          </w:p>
        </w:tc>
        <w:tc>
          <w:tcPr>
            <w:tcW w:w="0" w:type="dxa"/>
            <w:vAlign w:val="bottom"/>
          </w:tcPr>
          <w:p>
            <w:pPr>
              <w:spacing w:after="0"/>
              <w:rPr>
                <w:sz w:val="1"/>
                <w:szCs w:val="1"/>
                <w:color w:val="auto"/>
              </w:rPr>
            </w:pPr>
          </w:p>
        </w:tc>
      </w:tr>
      <w:tr>
        <w:trPr>
          <w:trHeight w:val="356"/>
        </w:trPr>
        <w:tc>
          <w:tcPr>
            <w:tcW w:w="20" w:type="dxa"/>
            <w:vAlign w:val="bottom"/>
          </w:tcPr>
          <w:p>
            <w:pPr>
              <w:spacing w:after="0"/>
              <w:rPr>
                <w:sz w:val="24"/>
                <w:szCs w:val="24"/>
                <w:color w:val="auto"/>
              </w:rPr>
            </w:pPr>
          </w:p>
        </w:tc>
        <w:tc>
          <w:tcPr>
            <w:tcW w:w="4400" w:type="dxa"/>
            <w:vAlign w:val="bottom"/>
          </w:tcPr>
          <w:p>
            <w:pPr>
              <w:spacing w:after="0"/>
              <w:rPr>
                <w:sz w:val="24"/>
                <w:szCs w:val="24"/>
                <w:color w:val="auto"/>
              </w:rPr>
            </w:pPr>
          </w:p>
        </w:tc>
        <w:tc>
          <w:tcPr>
            <w:tcW w:w="5380" w:type="dxa"/>
            <w:vAlign w:val="bottom"/>
          </w:tcPr>
          <w:p>
            <w:pPr>
              <w:jc w:val="right"/>
              <w:ind w:right="3952"/>
              <w:spacing w:after="0"/>
              <w:rPr>
                <w:sz w:val="20"/>
                <w:szCs w:val="20"/>
                <w:color w:val="auto"/>
              </w:rPr>
            </w:pPr>
            <w:r>
              <w:rPr>
                <w:rFonts w:ascii="Arial" w:cs="Arial" w:eastAsia="Arial" w:hAnsi="Arial"/>
                <w:sz w:val="18"/>
                <w:szCs w:val="18"/>
                <w:color w:val="auto"/>
              </w:rPr>
              <w:t>5</w:t>
            </w:r>
          </w:p>
        </w:tc>
        <w:tc>
          <w:tcPr>
            <w:tcW w:w="6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459" w:right="239" w:bottom="1440" w:gutter="0" w:footer="0" w:header="0"/>
        </w:sectPr>
      </w:pPr>
    </w:p>
    <w:bookmarkStart w:id="8" w:name="page9"/>
    <w:bookmarkEnd w:id="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1" w:lineRule="exact"/>
        <w:rPr>
          <w:sz w:val="20"/>
          <w:szCs w:val="20"/>
          <w:color w:val="auto"/>
        </w:rPr>
      </w:pPr>
    </w:p>
    <w:p>
      <w:pPr>
        <w:ind w:left="10500"/>
        <w:spacing w:after="0"/>
        <w:rPr>
          <w:sz w:val="20"/>
          <w:szCs w:val="20"/>
          <w:color w:val="auto"/>
        </w:rPr>
      </w:pPr>
      <w:r>
        <w:rPr>
          <w:rFonts w:ascii="Arial" w:cs="Arial" w:eastAsia="Arial" w:hAnsi="Arial"/>
          <w:sz w:val="14"/>
          <w:szCs w:val="14"/>
          <w:b w:val="1"/>
          <w:bCs w:val="1"/>
          <w:color w:val="auto"/>
        </w:rPr>
        <w:t>December 31,</w:t>
      </w:r>
    </w:p>
    <w:tbl>
      <w:tblPr>
        <w:tblLayout w:type="fixed"/>
        <w:tblInd w:w="0" w:type="dxa"/>
        <w:tblCellMar>
          <w:top w:w="0" w:type="dxa"/>
          <w:left w:w="0" w:type="dxa"/>
          <w:bottom w:w="0" w:type="dxa"/>
          <w:right w:w="0" w:type="dxa"/>
        </w:tblCellMar>
      </w:tblPr>
      <w:tr>
        <w:trPr>
          <w:trHeight w:val="142"/>
        </w:trPr>
        <w:tc>
          <w:tcPr>
            <w:tcW w:w="10380" w:type="dxa"/>
            <w:vAlign w:val="bottom"/>
          </w:tcPr>
          <w:p>
            <w:pPr>
              <w:spacing w:after="0"/>
              <w:rPr>
                <w:sz w:val="12"/>
                <w:szCs w:val="12"/>
                <w:color w:val="auto"/>
              </w:rPr>
            </w:pPr>
          </w:p>
        </w:tc>
        <w:tc>
          <w:tcPr>
            <w:tcW w:w="30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w w:val="83"/>
              </w:rPr>
              <w:t>2007</w:t>
            </w:r>
          </w:p>
        </w:tc>
        <w:tc>
          <w:tcPr>
            <w:tcW w:w="100" w:type="dxa"/>
            <w:vAlign w:val="bottom"/>
            <w:tcBorders>
              <w:top w:val="single" w:sz="8" w:color="auto"/>
            </w:tcBorders>
          </w:tcPr>
          <w:p>
            <w:pPr>
              <w:spacing w:after="0"/>
              <w:rPr>
                <w:sz w:val="12"/>
                <w:szCs w:val="12"/>
                <w:color w:val="auto"/>
              </w:rPr>
            </w:pPr>
          </w:p>
        </w:tc>
        <w:tc>
          <w:tcPr>
            <w:tcW w:w="640" w:type="dxa"/>
            <w:vAlign w:val="bottom"/>
            <w:tcBorders>
              <w:top w:val="single" w:sz="8" w:color="auto"/>
              <w:bottom w:val="single" w:sz="8" w:color="auto"/>
            </w:tcBorders>
          </w:tcPr>
          <w:p>
            <w:pPr>
              <w:jc w:val="right"/>
              <w:ind w:right="112"/>
              <w:spacing w:after="0" w:line="142" w:lineRule="exact"/>
              <w:rPr>
                <w:sz w:val="20"/>
                <w:szCs w:val="20"/>
                <w:color w:val="auto"/>
              </w:rPr>
            </w:pPr>
            <w:r>
              <w:rPr>
                <w:rFonts w:ascii="Arial" w:cs="Arial" w:eastAsia="Arial" w:hAnsi="Arial"/>
                <w:sz w:val="14"/>
                <w:szCs w:val="14"/>
                <w:b w:val="1"/>
                <w:bCs w:val="1"/>
                <w:color w:val="auto"/>
              </w:rPr>
              <w:t>2006</w:t>
            </w:r>
          </w:p>
        </w:tc>
        <w:tc>
          <w:tcPr>
            <w:tcW w:w="20" w:type="dxa"/>
            <w:vAlign w:val="bottom"/>
          </w:tcPr>
          <w:p>
            <w:pPr>
              <w:spacing w:after="0"/>
              <w:rPr>
                <w:sz w:val="12"/>
                <w:szCs w:val="12"/>
                <w:color w:val="auto"/>
              </w:rPr>
            </w:pPr>
          </w:p>
        </w:tc>
      </w:tr>
      <w:tr>
        <w:trPr>
          <w:trHeight w:val="210"/>
        </w:trPr>
        <w:tc>
          <w:tcPr>
            <w:tcW w:w="10680" w:type="dxa"/>
            <w:vAlign w:val="bottom"/>
            <w:gridSpan w:val="2"/>
            <w:shd w:val="clear" w:color="auto" w:fill="CCEEFF"/>
          </w:tcPr>
          <w:p>
            <w:pPr>
              <w:ind w:left="440"/>
              <w:spacing w:after="0"/>
              <w:rPr>
                <w:sz w:val="20"/>
                <w:szCs w:val="20"/>
                <w:color w:val="auto"/>
              </w:rPr>
            </w:pPr>
            <w:r>
              <w:rPr>
                <w:rFonts w:ascii="Arial" w:cs="Arial" w:eastAsia="Arial" w:hAnsi="Arial"/>
                <w:sz w:val="18"/>
                <w:szCs w:val="18"/>
                <w:color w:val="auto"/>
              </w:rPr>
              <w:t>State Street Bank and Trust Company Boston</w:t>
            </w:r>
          </w:p>
        </w:tc>
        <w:tc>
          <w:tcPr>
            <w:tcW w:w="7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117,145</w:t>
            </w:r>
          </w:p>
        </w:tc>
        <w:tc>
          <w:tcPr>
            <w:tcW w:w="20" w:type="dxa"/>
            <w:vAlign w:val="bottom"/>
          </w:tcPr>
          <w:p>
            <w:pPr>
              <w:spacing w:after="0"/>
              <w:rPr>
                <w:sz w:val="18"/>
                <w:szCs w:val="18"/>
                <w:color w:val="auto"/>
              </w:rPr>
            </w:pPr>
          </w:p>
        </w:tc>
      </w:tr>
      <w:tr>
        <w:trPr>
          <w:trHeight w:val="216"/>
        </w:trPr>
        <w:tc>
          <w:tcPr>
            <w:tcW w:w="10680" w:type="dxa"/>
            <w:vAlign w:val="bottom"/>
            <w:gridSpan w:val="2"/>
          </w:tcPr>
          <w:p>
            <w:pPr>
              <w:ind w:left="440"/>
              <w:spacing w:after="0"/>
              <w:rPr>
                <w:sz w:val="20"/>
                <w:szCs w:val="20"/>
                <w:color w:val="auto"/>
              </w:rPr>
            </w:pPr>
            <w:r>
              <w:rPr>
                <w:rFonts w:ascii="Arial" w:cs="Arial" w:eastAsia="Arial" w:hAnsi="Arial"/>
                <w:sz w:val="18"/>
                <w:szCs w:val="18"/>
                <w:color w:val="auto"/>
              </w:rPr>
              <w:t>Morgan Guaranty</w:t>
            </w:r>
          </w:p>
        </w:tc>
        <w:tc>
          <w:tcPr>
            <w:tcW w:w="740" w:type="dxa"/>
            <w:vAlign w:val="bottom"/>
            <w:gridSpan w:val="2"/>
          </w:tcPr>
          <w:p>
            <w:pPr>
              <w:jc w:val="right"/>
              <w:spacing w:after="0"/>
              <w:rPr>
                <w:sz w:val="20"/>
                <w:szCs w:val="20"/>
                <w:color w:val="auto"/>
              </w:rPr>
            </w:pPr>
            <w:r>
              <w:rPr>
                <w:rFonts w:ascii="Arial" w:cs="Arial" w:eastAsia="Arial" w:hAnsi="Arial"/>
                <w:sz w:val="18"/>
                <w:szCs w:val="18"/>
                <w:color w:val="auto"/>
              </w:rPr>
              <w:t>117,145</w:t>
            </w:r>
          </w:p>
        </w:tc>
        <w:tc>
          <w:tcPr>
            <w:tcW w:w="20" w:type="dxa"/>
            <w:vAlign w:val="bottom"/>
          </w:tcPr>
          <w:p>
            <w:pPr>
              <w:spacing w:after="0"/>
              <w:rPr>
                <w:sz w:val="18"/>
                <w:szCs w:val="18"/>
                <w:color w:val="auto"/>
              </w:rPr>
            </w:pPr>
          </w:p>
        </w:tc>
      </w:tr>
      <w:tr>
        <w:trPr>
          <w:trHeight w:val="216"/>
        </w:trPr>
        <w:tc>
          <w:tcPr>
            <w:tcW w:w="10680" w:type="dxa"/>
            <w:vAlign w:val="bottom"/>
            <w:gridSpan w:val="2"/>
            <w:shd w:val="clear" w:color="auto" w:fill="CCEEFF"/>
          </w:tcPr>
          <w:p>
            <w:pPr>
              <w:ind w:left="440"/>
              <w:spacing w:after="0"/>
              <w:rPr>
                <w:sz w:val="20"/>
                <w:szCs w:val="20"/>
                <w:color w:val="auto"/>
              </w:rPr>
            </w:pPr>
            <w:r>
              <w:rPr>
                <w:rFonts w:ascii="Arial" w:cs="Arial" w:eastAsia="Arial" w:hAnsi="Arial"/>
                <w:sz w:val="18"/>
                <w:szCs w:val="18"/>
                <w:color w:val="auto"/>
              </w:rPr>
              <w:t>Rabobank Nederland</w:t>
            </w:r>
          </w:p>
        </w:tc>
        <w:tc>
          <w:tcPr>
            <w:tcW w:w="7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117,145</w:t>
            </w:r>
          </w:p>
        </w:tc>
        <w:tc>
          <w:tcPr>
            <w:tcW w:w="20" w:type="dxa"/>
            <w:vAlign w:val="bottom"/>
          </w:tcPr>
          <w:p>
            <w:pPr>
              <w:spacing w:after="0"/>
              <w:rPr>
                <w:sz w:val="18"/>
                <w:szCs w:val="18"/>
                <w:color w:val="auto"/>
              </w:rPr>
            </w:pPr>
          </w:p>
        </w:tc>
      </w:tr>
    </w:tbl>
    <w:p>
      <w:pPr>
        <w:spacing w:after="0" w:line="154" w:lineRule="exact"/>
        <w:rPr>
          <w:sz w:val="20"/>
          <w:szCs w:val="20"/>
          <w:color w:val="auto"/>
        </w:rPr>
      </w:pPr>
    </w:p>
    <w:p>
      <w:pPr>
        <w:ind w:left="460" w:right="220"/>
        <w:spacing w:after="0" w:line="268" w:lineRule="auto"/>
        <w:rPr>
          <w:sz w:val="20"/>
          <w:szCs w:val="20"/>
          <w:color w:val="auto"/>
        </w:rPr>
      </w:pPr>
      <w:r>
        <w:rPr>
          <w:rFonts w:ascii="Arial" w:cs="Arial" w:eastAsia="Arial" w:hAnsi="Arial"/>
          <w:sz w:val="18"/>
          <w:szCs w:val="18"/>
          <w:color w:val="auto"/>
        </w:rPr>
        <w:t>During 2007, the Plan’s investments, including investments purchased and sold, as well as held during the year, appreciated (depreciated) in fair value as follows (in thousands):</w:t>
      </w:r>
    </w:p>
    <w:p>
      <w:pPr>
        <w:spacing w:after="0" w:line="156" w:lineRule="exact"/>
        <w:rPr>
          <w:sz w:val="20"/>
          <w:szCs w:val="20"/>
          <w:color w:val="auto"/>
        </w:rPr>
      </w:pPr>
    </w:p>
    <w:tbl>
      <w:tblPr>
        <w:tblLayout w:type="fixed"/>
        <w:tblInd w:w="460" w:type="dxa"/>
        <w:tblCellMar>
          <w:top w:w="0" w:type="dxa"/>
          <w:left w:w="0" w:type="dxa"/>
          <w:bottom w:w="0" w:type="dxa"/>
          <w:right w:w="0" w:type="dxa"/>
        </w:tblCellMar>
      </w:tblPr>
      <w:tr>
        <w:trPr>
          <w:trHeight w:val="161"/>
        </w:trPr>
        <w:tc>
          <w:tcPr>
            <w:tcW w:w="5300" w:type="dxa"/>
            <w:vAlign w:val="bottom"/>
          </w:tcPr>
          <w:p>
            <w:pPr>
              <w:spacing w:after="0"/>
              <w:rPr>
                <w:sz w:val="14"/>
                <w:szCs w:val="14"/>
                <w:color w:val="auto"/>
              </w:rPr>
            </w:pPr>
          </w:p>
        </w:tc>
        <w:tc>
          <w:tcPr>
            <w:tcW w:w="42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900" w:type="dxa"/>
            <w:vAlign w:val="bottom"/>
            <w:gridSpan w:val="2"/>
          </w:tcPr>
          <w:p>
            <w:pPr>
              <w:jc w:val="center"/>
              <w:ind w:right="160"/>
              <w:spacing w:after="0"/>
              <w:rPr>
                <w:sz w:val="20"/>
                <w:szCs w:val="20"/>
                <w:color w:val="auto"/>
              </w:rPr>
            </w:pPr>
            <w:r>
              <w:rPr>
                <w:rFonts w:ascii="Arial" w:cs="Arial" w:eastAsia="Arial" w:hAnsi="Arial"/>
                <w:sz w:val="14"/>
                <w:szCs w:val="14"/>
                <w:b w:val="1"/>
                <w:bCs w:val="1"/>
                <w:color w:val="auto"/>
                <w:w w:val="88"/>
              </w:rPr>
              <w:t>Net Realized</w:t>
            </w:r>
          </w:p>
        </w:tc>
      </w:tr>
      <w:tr>
        <w:trPr>
          <w:trHeight w:val="149"/>
        </w:trPr>
        <w:tc>
          <w:tcPr>
            <w:tcW w:w="5300" w:type="dxa"/>
            <w:vAlign w:val="bottom"/>
          </w:tcPr>
          <w:p>
            <w:pPr>
              <w:spacing w:after="0"/>
              <w:rPr>
                <w:sz w:val="12"/>
                <w:szCs w:val="12"/>
                <w:color w:val="auto"/>
              </w:rPr>
            </w:pPr>
          </w:p>
        </w:tc>
        <w:tc>
          <w:tcPr>
            <w:tcW w:w="4220" w:type="dxa"/>
            <w:vAlign w:val="bottom"/>
          </w:tcPr>
          <w:p>
            <w:pPr>
              <w:spacing w:after="0"/>
              <w:rPr>
                <w:sz w:val="12"/>
                <w:szCs w:val="12"/>
                <w:color w:val="auto"/>
              </w:rPr>
            </w:pPr>
          </w:p>
        </w:tc>
        <w:tc>
          <w:tcPr>
            <w:tcW w:w="980" w:type="dxa"/>
            <w:vAlign w:val="bottom"/>
            <w:gridSpan w:val="3"/>
          </w:tcPr>
          <w:p>
            <w:pPr>
              <w:jc w:val="center"/>
              <w:ind w:right="80"/>
              <w:spacing w:after="0" w:line="149" w:lineRule="exact"/>
              <w:rPr>
                <w:sz w:val="20"/>
                <w:szCs w:val="20"/>
                <w:color w:val="auto"/>
              </w:rPr>
            </w:pPr>
            <w:r>
              <w:rPr>
                <w:rFonts w:ascii="Arial" w:cs="Arial" w:eastAsia="Arial" w:hAnsi="Arial"/>
                <w:sz w:val="14"/>
                <w:szCs w:val="14"/>
                <w:b w:val="1"/>
                <w:bCs w:val="1"/>
                <w:color w:val="auto"/>
                <w:w w:val="88"/>
              </w:rPr>
              <w:t>And Unrealized</w:t>
            </w:r>
          </w:p>
        </w:tc>
      </w:tr>
      <w:tr>
        <w:trPr>
          <w:trHeight w:val="149"/>
        </w:trPr>
        <w:tc>
          <w:tcPr>
            <w:tcW w:w="5300" w:type="dxa"/>
            <w:vAlign w:val="bottom"/>
          </w:tcPr>
          <w:p>
            <w:pPr>
              <w:spacing w:after="0"/>
              <w:rPr>
                <w:sz w:val="12"/>
                <w:szCs w:val="12"/>
                <w:color w:val="auto"/>
              </w:rPr>
            </w:pPr>
          </w:p>
        </w:tc>
        <w:tc>
          <w:tcPr>
            <w:tcW w:w="4220" w:type="dxa"/>
            <w:vAlign w:val="bottom"/>
          </w:tcPr>
          <w:p>
            <w:pPr>
              <w:spacing w:after="0"/>
              <w:rPr>
                <w:sz w:val="12"/>
                <w:szCs w:val="12"/>
                <w:color w:val="auto"/>
              </w:rPr>
            </w:pPr>
          </w:p>
        </w:tc>
        <w:tc>
          <w:tcPr>
            <w:tcW w:w="980" w:type="dxa"/>
            <w:vAlign w:val="bottom"/>
            <w:gridSpan w:val="3"/>
          </w:tcPr>
          <w:p>
            <w:pPr>
              <w:jc w:val="center"/>
              <w:ind w:right="60"/>
              <w:spacing w:after="0" w:line="149" w:lineRule="exact"/>
              <w:rPr>
                <w:sz w:val="20"/>
                <w:szCs w:val="20"/>
                <w:color w:val="auto"/>
              </w:rPr>
            </w:pPr>
            <w:r>
              <w:rPr>
                <w:rFonts w:ascii="Arial" w:cs="Arial" w:eastAsia="Arial" w:hAnsi="Arial"/>
                <w:sz w:val="14"/>
                <w:szCs w:val="14"/>
                <w:b w:val="1"/>
                <w:bCs w:val="1"/>
                <w:color w:val="auto"/>
                <w:w w:val="86"/>
              </w:rPr>
              <w:t>Depreciation in</w:t>
            </w:r>
          </w:p>
        </w:tc>
      </w:tr>
      <w:tr>
        <w:trPr>
          <w:trHeight w:val="149"/>
        </w:trPr>
        <w:tc>
          <w:tcPr>
            <w:tcW w:w="5300" w:type="dxa"/>
            <w:vAlign w:val="bottom"/>
          </w:tcPr>
          <w:p>
            <w:pPr>
              <w:spacing w:after="0"/>
              <w:rPr>
                <w:sz w:val="12"/>
                <w:szCs w:val="12"/>
                <w:color w:val="auto"/>
              </w:rPr>
            </w:pPr>
          </w:p>
        </w:tc>
        <w:tc>
          <w:tcPr>
            <w:tcW w:w="4220" w:type="dxa"/>
            <w:vAlign w:val="bottom"/>
          </w:tcPr>
          <w:p>
            <w:pPr>
              <w:spacing w:after="0"/>
              <w:rPr>
                <w:sz w:val="12"/>
                <w:szCs w:val="12"/>
                <w:color w:val="auto"/>
              </w:rPr>
            </w:pPr>
          </w:p>
        </w:tc>
        <w:tc>
          <w:tcPr>
            <w:tcW w:w="980" w:type="dxa"/>
            <w:vAlign w:val="bottom"/>
            <w:gridSpan w:val="3"/>
          </w:tcPr>
          <w:p>
            <w:pPr>
              <w:jc w:val="center"/>
              <w:ind w:right="60"/>
              <w:spacing w:after="0" w:line="149" w:lineRule="exact"/>
              <w:rPr>
                <w:sz w:val="20"/>
                <w:szCs w:val="20"/>
                <w:color w:val="auto"/>
              </w:rPr>
            </w:pPr>
            <w:r>
              <w:rPr>
                <w:rFonts w:ascii="Arial" w:cs="Arial" w:eastAsia="Arial" w:hAnsi="Arial"/>
                <w:sz w:val="14"/>
                <w:szCs w:val="14"/>
                <w:b w:val="1"/>
                <w:bCs w:val="1"/>
                <w:color w:val="auto"/>
                <w:w w:val="90"/>
              </w:rPr>
              <w:t>Fair Value of</w:t>
            </w:r>
          </w:p>
        </w:tc>
      </w:tr>
      <w:tr>
        <w:trPr>
          <w:trHeight w:val="161"/>
        </w:trPr>
        <w:tc>
          <w:tcPr>
            <w:tcW w:w="5300" w:type="dxa"/>
            <w:vAlign w:val="bottom"/>
          </w:tcPr>
          <w:p>
            <w:pPr>
              <w:spacing w:after="0"/>
              <w:rPr>
                <w:sz w:val="14"/>
                <w:szCs w:val="14"/>
                <w:color w:val="auto"/>
              </w:rPr>
            </w:pPr>
          </w:p>
        </w:tc>
        <w:tc>
          <w:tcPr>
            <w:tcW w:w="4220" w:type="dxa"/>
            <w:vAlign w:val="bottom"/>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840" w:type="dxa"/>
            <w:vAlign w:val="bottom"/>
            <w:tcBorders>
              <w:bottom w:val="single" w:sz="8" w:color="auto"/>
            </w:tcBorders>
          </w:tcPr>
          <w:p>
            <w:pPr>
              <w:jc w:val="center"/>
              <w:ind w:right="20"/>
              <w:spacing w:after="0"/>
              <w:rPr>
                <w:sz w:val="20"/>
                <w:szCs w:val="20"/>
                <w:color w:val="auto"/>
              </w:rPr>
            </w:pPr>
            <w:r>
              <w:rPr>
                <w:rFonts w:ascii="Arial" w:cs="Arial" w:eastAsia="Arial" w:hAnsi="Arial"/>
                <w:sz w:val="14"/>
                <w:szCs w:val="14"/>
                <w:b w:val="1"/>
                <w:bCs w:val="1"/>
                <w:color w:val="auto"/>
                <w:w w:val="85"/>
              </w:rPr>
              <w:t>Investments</w:t>
            </w:r>
          </w:p>
        </w:tc>
        <w:tc>
          <w:tcPr>
            <w:tcW w:w="60" w:type="dxa"/>
            <w:vAlign w:val="bottom"/>
          </w:tcPr>
          <w:p>
            <w:pPr>
              <w:spacing w:after="0"/>
              <w:rPr>
                <w:sz w:val="14"/>
                <w:szCs w:val="14"/>
                <w:color w:val="auto"/>
              </w:rPr>
            </w:pPr>
          </w:p>
        </w:tc>
      </w:tr>
      <w:tr>
        <w:trPr>
          <w:trHeight w:val="210"/>
        </w:trPr>
        <w:tc>
          <w:tcPr>
            <w:tcW w:w="5300" w:type="dxa"/>
            <w:vAlign w:val="bottom"/>
            <w:shd w:val="clear" w:color="auto" w:fill="CCEEFF"/>
          </w:tcPr>
          <w:p>
            <w:pPr>
              <w:spacing w:after="0"/>
              <w:rPr>
                <w:sz w:val="20"/>
                <w:szCs w:val="20"/>
                <w:color w:val="auto"/>
              </w:rPr>
            </w:pPr>
            <w:r>
              <w:rPr>
                <w:rFonts w:ascii="Arial" w:cs="Arial" w:eastAsia="Arial" w:hAnsi="Arial"/>
                <w:sz w:val="18"/>
                <w:szCs w:val="18"/>
                <w:color w:val="auto"/>
              </w:rPr>
              <w:t>Mutual Funds</w:t>
            </w:r>
          </w:p>
        </w:tc>
        <w:tc>
          <w:tcPr>
            <w:tcW w:w="43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(3,815)</w:t>
            </w:r>
          </w:p>
        </w:tc>
      </w:tr>
      <w:tr>
        <w:trPr>
          <w:trHeight w:val="216"/>
        </w:trPr>
        <w:tc>
          <w:tcPr>
            <w:tcW w:w="5300" w:type="dxa"/>
            <w:vAlign w:val="bottom"/>
          </w:tcPr>
          <w:p>
            <w:pPr>
              <w:spacing w:after="0"/>
              <w:rPr>
                <w:sz w:val="20"/>
                <w:szCs w:val="20"/>
                <w:color w:val="auto"/>
              </w:rPr>
            </w:pPr>
            <w:r>
              <w:rPr>
                <w:rFonts w:ascii="Arial" w:cs="Arial" w:eastAsia="Arial" w:hAnsi="Arial"/>
                <w:sz w:val="18"/>
                <w:szCs w:val="18"/>
                <w:color w:val="auto"/>
              </w:rPr>
              <w:t>Common Stock</w:t>
            </w:r>
          </w:p>
        </w:tc>
        <w:tc>
          <w:tcPr>
            <w:tcW w:w="4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00" w:type="dxa"/>
            <w:vAlign w:val="bottom"/>
            <w:gridSpan w:val="2"/>
          </w:tcPr>
          <w:p>
            <w:pPr>
              <w:jc w:val="right"/>
              <w:spacing w:after="0"/>
              <w:rPr>
                <w:sz w:val="20"/>
                <w:szCs w:val="20"/>
                <w:color w:val="auto"/>
              </w:rPr>
            </w:pPr>
            <w:r>
              <w:rPr>
                <w:rFonts w:ascii="Arial" w:cs="Arial" w:eastAsia="Arial" w:hAnsi="Arial"/>
                <w:sz w:val="18"/>
                <w:szCs w:val="18"/>
                <w:color w:val="auto"/>
              </w:rPr>
              <w:t>(102,139)</w:t>
            </w:r>
          </w:p>
        </w:tc>
      </w:tr>
      <w:tr>
        <w:trPr>
          <w:trHeight w:val="27"/>
        </w:trPr>
        <w:tc>
          <w:tcPr>
            <w:tcW w:w="5300" w:type="dxa"/>
            <w:vAlign w:val="bottom"/>
          </w:tcPr>
          <w:p>
            <w:pPr>
              <w:spacing w:after="0"/>
              <w:rPr>
                <w:sz w:val="2"/>
                <w:szCs w:val="2"/>
                <w:color w:val="auto"/>
              </w:rPr>
            </w:pPr>
          </w:p>
        </w:tc>
        <w:tc>
          <w:tcPr>
            <w:tcW w:w="422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84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r>
      <w:tr>
        <w:trPr>
          <w:trHeight w:val="216"/>
        </w:trPr>
        <w:tc>
          <w:tcPr>
            <w:tcW w:w="5300" w:type="dxa"/>
            <w:vAlign w:val="bottom"/>
            <w:shd w:val="clear" w:color="auto" w:fill="CCEEFF"/>
          </w:tcPr>
          <w:p>
            <w:pPr>
              <w:spacing w:after="0"/>
              <w:rPr>
                <w:sz w:val="18"/>
                <w:szCs w:val="18"/>
                <w:color w:val="auto"/>
              </w:rPr>
            </w:pPr>
          </w:p>
        </w:tc>
        <w:tc>
          <w:tcPr>
            <w:tcW w:w="43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(105,954)</w:t>
            </w:r>
          </w:p>
        </w:tc>
      </w:tr>
      <w:tr>
        <w:trPr>
          <w:trHeight w:val="20"/>
        </w:trPr>
        <w:tc>
          <w:tcPr>
            <w:tcW w:w="5300" w:type="dxa"/>
            <w:vAlign w:val="bottom"/>
          </w:tcPr>
          <w:p>
            <w:pPr>
              <w:spacing w:after="0" w:line="20" w:lineRule="exact"/>
              <w:rPr>
                <w:sz w:val="1"/>
                <w:szCs w:val="1"/>
                <w:color w:val="auto"/>
              </w:rPr>
            </w:pPr>
          </w:p>
        </w:tc>
        <w:tc>
          <w:tcPr>
            <w:tcW w:w="42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167" w:lineRule="exact"/>
        <w:rPr>
          <w:sz w:val="20"/>
          <w:szCs w:val="20"/>
          <w:color w:val="auto"/>
        </w:rPr>
      </w:pPr>
    </w:p>
    <w:p>
      <w:pPr>
        <w:ind w:left="460" w:right="220"/>
        <w:spacing w:after="0" w:line="256" w:lineRule="auto"/>
        <w:rPr>
          <w:sz w:val="20"/>
          <w:szCs w:val="20"/>
          <w:color w:val="auto"/>
        </w:rPr>
      </w:pPr>
      <w:r>
        <w:rPr>
          <w:rFonts w:ascii="Arial" w:cs="Arial" w:eastAsia="Arial" w:hAnsi="Arial"/>
          <w:sz w:val="18"/>
          <w:szCs w:val="18"/>
          <w:color w:val="auto"/>
        </w:rPr>
        <w:t>As described in the Summary of Significant Accounting Policies, included in the Comcast Stable Value Fund are fully benefit-responsive investment contracts, which are carried at contract value. The rate at which interest is credited to the Plan is that determined under the contract, consistent with reflecting participant balances at contract value as opposed to the market value of the underlying assets. Interest rates are reset quarterly by the issuers of the investment contracts.</w:t>
      </w:r>
    </w:p>
    <w:p>
      <w:pPr>
        <w:spacing w:after="0" w:line="62" w:lineRule="exact"/>
        <w:rPr>
          <w:sz w:val="20"/>
          <w:szCs w:val="20"/>
          <w:color w:val="auto"/>
        </w:rPr>
      </w:pPr>
    </w:p>
    <w:p>
      <w:pPr>
        <w:ind w:left="460" w:right="100"/>
        <w:spacing w:after="0" w:line="357" w:lineRule="auto"/>
        <w:rPr>
          <w:sz w:val="20"/>
          <w:szCs w:val="20"/>
          <w:color w:val="auto"/>
        </w:rPr>
      </w:pPr>
      <w:r>
        <w:rPr>
          <w:rFonts w:ascii="Arial" w:cs="Arial" w:eastAsia="Arial" w:hAnsi="Arial"/>
          <w:sz w:val="15"/>
          <w:szCs w:val="15"/>
          <w:color w:val="auto"/>
        </w:rPr>
        <w:t>The average yield of investment contracts held as of December 31, 2007 and 2006 was 4.50% and 4.09%, respectively. When adjusted to reflect the actual interest credited to the Plan, the average yield of investment contracts held as of December 31, 2007 and 2006 was 4.57% and 4.15%, respectively.</w:t>
      </w:r>
    </w:p>
    <w:p>
      <w:pPr>
        <w:ind w:left="460" w:right="240"/>
        <w:spacing w:after="0" w:line="268" w:lineRule="auto"/>
        <w:rPr>
          <w:sz w:val="20"/>
          <w:szCs w:val="20"/>
          <w:color w:val="auto"/>
        </w:rPr>
      </w:pPr>
      <w:r>
        <w:rPr>
          <w:rFonts w:ascii="Arial" w:cs="Arial" w:eastAsia="Arial" w:hAnsi="Arial"/>
          <w:sz w:val="18"/>
          <w:szCs w:val="18"/>
          <w:color w:val="auto"/>
        </w:rPr>
        <w:t>The following table summarizes the adjustments from fair value to contract value related to the fully benefit-responsive investment contracts included in the Comcast Stable Value Fund:</w:t>
      </w:r>
    </w:p>
    <w:p>
      <w:pPr>
        <w:spacing w:after="0" w:line="156" w:lineRule="exact"/>
        <w:rPr>
          <w:sz w:val="20"/>
          <w:szCs w:val="20"/>
          <w:color w:val="auto"/>
        </w:rPr>
      </w:pPr>
    </w:p>
    <w:tbl>
      <w:tblPr>
        <w:tblLayout w:type="fixed"/>
        <w:tblInd w:w="460" w:type="dxa"/>
        <w:tblCellMar>
          <w:top w:w="0" w:type="dxa"/>
          <w:left w:w="0" w:type="dxa"/>
          <w:bottom w:w="0" w:type="dxa"/>
          <w:right w:w="0" w:type="dxa"/>
        </w:tblCellMar>
      </w:tblPr>
      <w:tr>
        <w:trPr>
          <w:trHeight w:val="161"/>
        </w:trPr>
        <w:tc>
          <w:tcPr>
            <w:tcW w:w="7780" w:type="dxa"/>
            <w:vAlign w:val="bottom"/>
          </w:tcPr>
          <w:p>
            <w:pPr>
              <w:spacing w:after="0"/>
              <w:rPr>
                <w:sz w:val="13"/>
                <w:szCs w:val="13"/>
                <w:color w:val="auto"/>
              </w:rPr>
            </w:pPr>
          </w:p>
        </w:tc>
        <w:tc>
          <w:tcPr>
            <w:tcW w:w="780" w:type="dxa"/>
            <w:vAlign w:val="bottom"/>
          </w:tcPr>
          <w:p>
            <w:pPr>
              <w:jc w:val="right"/>
              <w:ind w:right="179"/>
              <w:spacing w:after="0"/>
              <w:rPr>
                <w:sz w:val="20"/>
                <w:szCs w:val="20"/>
                <w:color w:val="auto"/>
              </w:rPr>
            </w:pPr>
            <w:r>
              <w:rPr>
                <w:rFonts w:ascii="Arial" w:cs="Arial" w:eastAsia="Arial" w:hAnsi="Arial"/>
                <w:sz w:val="14"/>
                <w:szCs w:val="14"/>
                <w:b w:val="1"/>
                <w:bCs w:val="1"/>
                <w:color w:val="auto"/>
              </w:rPr>
              <w:t>2007</w:t>
            </w:r>
          </w:p>
        </w:tc>
        <w:tc>
          <w:tcPr>
            <w:tcW w:w="48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20" w:type="dxa"/>
            <w:vAlign w:val="bottom"/>
          </w:tcPr>
          <w:p>
            <w:pPr>
              <w:spacing w:after="0"/>
              <w:rPr>
                <w:sz w:val="13"/>
                <w:szCs w:val="13"/>
                <w:color w:val="auto"/>
              </w:rPr>
            </w:pPr>
          </w:p>
        </w:tc>
      </w:tr>
      <w:tr>
        <w:trPr>
          <w:trHeight w:val="161"/>
        </w:trPr>
        <w:tc>
          <w:tcPr>
            <w:tcW w:w="7780" w:type="dxa"/>
            <w:vAlign w:val="bottom"/>
          </w:tcPr>
          <w:p>
            <w:pPr>
              <w:spacing w:after="0"/>
              <w:rPr>
                <w:sz w:val="14"/>
                <w:szCs w:val="14"/>
                <w:color w:val="auto"/>
              </w:rPr>
            </w:pPr>
          </w:p>
        </w:tc>
        <w:tc>
          <w:tcPr>
            <w:tcW w:w="1260" w:type="dxa"/>
            <w:vAlign w:val="bottom"/>
            <w:gridSpan w:val="2"/>
          </w:tcPr>
          <w:p>
            <w:pPr>
              <w:jc w:val="right"/>
              <w:ind w:right="480"/>
              <w:spacing w:after="0"/>
              <w:rPr>
                <w:sz w:val="20"/>
                <w:szCs w:val="20"/>
                <w:color w:val="auto"/>
              </w:rPr>
            </w:pPr>
            <w:r>
              <w:rPr>
                <w:rFonts w:ascii="Arial" w:cs="Arial" w:eastAsia="Arial" w:hAnsi="Arial"/>
                <w:sz w:val="14"/>
                <w:szCs w:val="14"/>
                <w:b w:val="1"/>
                <w:bCs w:val="1"/>
                <w:color w:val="auto"/>
                <w:w w:val="86"/>
              </w:rPr>
              <w:t>Credit Rating</w:t>
            </w:r>
          </w:p>
        </w:tc>
        <w:tc>
          <w:tcPr>
            <w:tcW w:w="420" w:type="dxa"/>
            <w:vAlign w:val="bottom"/>
          </w:tcPr>
          <w:p>
            <w:pPr>
              <w:jc w:val="right"/>
              <w:spacing w:after="0"/>
              <w:rPr>
                <w:sz w:val="20"/>
                <w:szCs w:val="20"/>
                <w:color w:val="auto"/>
              </w:rPr>
            </w:pPr>
            <w:r>
              <w:rPr>
                <w:rFonts w:ascii="Arial" w:cs="Arial" w:eastAsia="Arial" w:hAnsi="Arial"/>
                <w:sz w:val="14"/>
                <w:szCs w:val="14"/>
                <w:b w:val="1"/>
                <w:bCs w:val="1"/>
                <w:color w:val="auto"/>
              </w:rPr>
              <w:t>2007</w:t>
            </w:r>
          </w:p>
        </w:tc>
        <w:tc>
          <w:tcPr>
            <w:tcW w:w="3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00" w:type="dxa"/>
            <w:vAlign w:val="bottom"/>
          </w:tcPr>
          <w:p>
            <w:pPr>
              <w:jc w:val="right"/>
              <w:ind w:right="34"/>
              <w:spacing w:after="0"/>
              <w:rPr>
                <w:sz w:val="20"/>
                <w:szCs w:val="20"/>
                <w:color w:val="auto"/>
              </w:rPr>
            </w:pPr>
            <w:r>
              <w:rPr>
                <w:rFonts w:ascii="Arial" w:cs="Arial" w:eastAsia="Arial" w:hAnsi="Arial"/>
                <w:sz w:val="14"/>
                <w:szCs w:val="14"/>
                <w:b w:val="1"/>
                <w:bCs w:val="1"/>
                <w:color w:val="auto"/>
                <w:w w:val="83"/>
              </w:rPr>
              <w:t>2006</w:t>
            </w:r>
          </w:p>
        </w:tc>
        <w:tc>
          <w:tcPr>
            <w:tcW w:w="20" w:type="dxa"/>
            <w:vAlign w:val="bottom"/>
          </w:tcPr>
          <w:p>
            <w:pPr>
              <w:spacing w:after="0"/>
              <w:rPr>
                <w:sz w:val="14"/>
                <w:szCs w:val="14"/>
                <w:color w:val="auto"/>
              </w:rPr>
            </w:pPr>
          </w:p>
        </w:tc>
      </w:tr>
      <w:tr>
        <w:trPr>
          <w:trHeight w:val="210"/>
        </w:trPr>
        <w:tc>
          <w:tcPr>
            <w:tcW w:w="7780" w:type="dxa"/>
            <w:vAlign w:val="bottom"/>
            <w:shd w:val="clear" w:color="auto" w:fill="CCEEFF"/>
          </w:tcPr>
          <w:p>
            <w:pPr>
              <w:spacing w:after="0"/>
              <w:rPr>
                <w:sz w:val="20"/>
                <w:szCs w:val="20"/>
                <w:color w:val="auto"/>
              </w:rPr>
            </w:pPr>
            <w:r>
              <w:rPr>
                <w:rFonts w:ascii="Arial" w:cs="Arial" w:eastAsia="Arial" w:hAnsi="Arial"/>
                <w:sz w:val="18"/>
                <w:szCs w:val="18"/>
                <w:color w:val="auto"/>
              </w:rPr>
              <w:t>Canada Life Insurance</w:t>
            </w:r>
          </w:p>
        </w:tc>
        <w:tc>
          <w:tcPr>
            <w:tcW w:w="780" w:type="dxa"/>
            <w:vAlign w:val="bottom"/>
            <w:tcBorders>
              <w:top w:val="single" w:sz="8" w:color="auto"/>
            </w:tcBorders>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4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6"/>
              </w:rPr>
              <w:t>$ —</w:t>
            </w:r>
          </w:p>
        </w:tc>
        <w:tc>
          <w:tcPr>
            <w:tcW w:w="3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4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w:t>
            </w:r>
          </w:p>
        </w:tc>
        <w:tc>
          <w:tcPr>
            <w:tcW w:w="20" w:type="dxa"/>
            <w:vAlign w:val="bottom"/>
          </w:tcPr>
          <w:p>
            <w:pPr>
              <w:spacing w:after="0"/>
              <w:rPr>
                <w:sz w:val="18"/>
                <w:szCs w:val="18"/>
                <w:color w:val="auto"/>
              </w:rPr>
            </w:pPr>
          </w:p>
        </w:tc>
      </w:tr>
      <w:tr>
        <w:trPr>
          <w:trHeight w:val="216"/>
        </w:trPr>
        <w:tc>
          <w:tcPr>
            <w:tcW w:w="7780" w:type="dxa"/>
            <w:vAlign w:val="bottom"/>
          </w:tcPr>
          <w:p>
            <w:pPr>
              <w:spacing w:after="0"/>
              <w:rPr>
                <w:sz w:val="20"/>
                <w:szCs w:val="20"/>
                <w:color w:val="auto"/>
              </w:rPr>
            </w:pPr>
            <w:r>
              <w:rPr>
                <w:rFonts w:ascii="Arial" w:cs="Arial" w:eastAsia="Arial" w:hAnsi="Arial"/>
                <w:sz w:val="18"/>
                <w:szCs w:val="18"/>
                <w:color w:val="auto"/>
              </w:rPr>
              <w:t>Prudential Insurance Company of America</w:t>
            </w:r>
          </w:p>
        </w:tc>
        <w:tc>
          <w:tcPr>
            <w:tcW w:w="78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720" w:type="dxa"/>
            <w:vAlign w:val="bottom"/>
            <w:gridSpan w:val="2"/>
          </w:tcPr>
          <w:p>
            <w:pPr>
              <w:jc w:val="right"/>
              <w:ind w:right="38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0" w:type="dxa"/>
            <w:vAlign w:val="bottom"/>
          </w:tcPr>
          <w:p>
            <w:pPr>
              <w:jc w:val="right"/>
              <w:spacing w:after="0"/>
              <w:rPr>
                <w:sz w:val="20"/>
                <w:szCs w:val="20"/>
                <w:color w:val="auto"/>
              </w:rPr>
            </w:pPr>
            <w:r>
              <w:rPr>
                <w:rFonts w:ascii="Arial" w:cs="Arial" w:eastAsia="Arial" w:hAnsi="Arial"/>
                <w:sz w:val="18"/>
                <w:szCs w:val="18"/>
                <w:color w:val="auto"/>
              </w:rPr>
              <w:t>10</w:t>
            </w:r>
          </w:p>
        </w:tc>
        <w:tc>
          <w:tcPr>
            <w:tcW w:w="20" w:type="dxa"/>
            <w:vAlign w:val="bottom"/>
          </w:tcPr>
          <w:p>
            <w:pPr>
              <w:spacing w:after="0"/>
              <w:rPr>
                <w:sz w:val="18"/>
                <w:szCs w:val="18"/>
                <w:color w:val="auto"/>
              </w:rPr>
            </w:pPr>
          </w:p>
        </w:tc>
      </w:tr>
      <w:tr>
        <w:trPr>
          <w:trHeight w:val="216"/>
        </w:trPr>
        <w:tc>
          <w:tcPr>
            <w:tcW w:w="7780" w:type="dxa"/>
            <w:vAlign w:val="bottom"/>
            <w:shd w:val="clear" w:color="auto" w:fill="CCEEFF"/>
          </w:tcPr>
          <w:p>
            <w:pPr>
              <w:spacing w:after="0"/>
              <w:rPr>
                <w:sz w:val="20"/>
                <w:szCs w:val="20"/>
                <w:color w:val="auto"/>
              </w:rPr>
            </w:pPr>
            <w:r>
              <w:rPr>
                <w:rFonts w:ascii="Arial" w:cs="Arial" w:eastAsia="Arial" w:hAnsi="Arial"/>
                <w:sz w:val="18"/>
                <w:szCs w:val="18"/>
                <w:color w:val="auto"/>
              </w:rPr>
              <w:t>Travelers Insurance Company</w:t>
            </w:r>
          </w:p>
        </w:tc>
        <w:tc>
          <w:tcPr>
            <w:tcW w:w="78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w:t>
            </w:r>
          </w:p>
        </w:tc>
        <w:tc>
          <w:tcPr>
            <w:tcW w:w="20" w:type="dxa"/>
            <w:vAlign w:val="bottom"/>
          </w:tcPr>
          <w:p>
            <w:pPr>
              <w:spacing w:after="0"/>
              <w:rPr>
                <w:sz w:val="18"/>
                <w:szCs w:val="18"/>
                <w:color w:val="auto"/>
              </w:rPr>
            </w:pPr>
          </w:p>
        </w:tc>
      </w:tr>
      <w:tr>
        <w:trPr>
          <w:trHeight w:val="216"/>
        </w:trPr>
        <w:tc>
          <w:tcPr>
            <w:tcW w:w="7780" w:type="dxa"/>
            <w:vAlign w:val="bottom"/>
          </w:tcPr>
          <w:p>
            <w:pPr>
              <w:spacing w:after="0"/>
              <w:rPr>
                <w:sz w:val="20"/>
                <w:szCs w:val="20"/>
                <w:color w:val="auto"/>
              </w:rPr>
            </w:pPr>
            <w:r>
              <w:rPr>
                <w:rFonts w:ascii="Arial" w:cs="Arial" w:eastAsia="Arial" w:hAnsi="Arial"/>
                <w:sz w:val="18"/>
                <w:szCs w:val="18"/>
                <w:color w:val="auto"/>
              </w:rPr>
              <w:t>Bank of America, N.A.</w:t>
            </w:r>
          </w:p>
        </w:tc>
        <w:tc>
          <w:tcPr>
            <w:tcW w:w="78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720" w:type="dxa"/>
            <w:vAlign w:val="bottom"/>
            <w:gridSpan w:val="2"/>
          </w:tcPr>
          <w:p>
            <w:pPr>
              <w:jc w:val="right"/>
              <w:ind w:right="38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0" w:type="dxa"/>
            <w:vAlign w:val="bottom"/>
          </w:tcPr>
          <w:p>
            <w:pPr>
              <w:jc w:val="right"/>
              <w:spacing w:after="0"/>
              <w:rPr>
                <w:sz w:val="20"/>
                <w:szCs w:val="20"/>
                <w:color w:val="auto"/>
              </w:rPr>
            </w:pPr>
            <w:r>
              <w:rPr>
                <w:rFonts w:ascii="Arial" w:cs="Arial" w:eastAsia="Arial" w:hAnsi="Arial"/>
                <w:sz w:val="18"/>
                <w:szCs w:val="18"/>
                <w:color w:val="auto"/>
                <w:w w:val="84"/>
              </w:rPr>
              <w:t>1,890</w:t>
            </w:r>
          </w:p>
        </w:tc>
        <w:tc>
          <w:tcPr>
            <w:tcW w:w="20" w:type="dxa"/>
            <w:vAlign w:val="bottom"/>
          </w:tcPr>
          <w:p>
            <w:pPr>
              <w:spacing w:after="0"/>
              <w:rPr>
                <w:sz w:val="18"/>
                <w:szCs w:val="18"/>
                <w:color w:val="auto"/>
              </w:rPr>
            </w:pPr>
          </w:p>
        </w:tc>
      </w:tr>
      <w:tr>
        <w:trPr>
          <w:trHeight w:val="216"/>
        </w:trPr>
        <w:tc>
          <w:tcPr>
            <w:tcW w:w="7780" w:type="dxa"/>
            <w:vAlign w:val="bottom"/>
            <w:shd w:val="clear" w:color="auto" w:fill="CCEEFF"/>
          </w:tcPr>
          <w:p>
            <w:pPr>
              <w:spacing w:after="0"/>
              <w:rPr>
                <w:sz w:val="20"/>
                <w:szCs w:val="20"/>
                <w:color w:val="auto"/>
              </w:rPr>
            </w:pPr>
            <w:r>
              <w:rPr>
                <w:rFonts w:ascii="Arial" w:cs="Arial" w:eastAsia="Arial" w:hAnsi="Arial"/>
                <w:sz w:val="18"/>
                <w:szCs w:val="18"/>
                <w:color w:val="auto"/>
              </w:rPr>
              <w:t>State Street Bank and Trust Company Boston</w:t>
            </w:r>
          </w:p>
        </w:tc>
        <w:tc>
          <w:tcPr>
            <w:tcW w:w="1260" w:type="dxa"/>
            <w:vAlign w:val="bottom"/>
            <w:gridSpan w:val="2"/>
            <w:shd w:val="clear" w:color="auto" w:fill="CCEEFF"/>
          </w:tcPr>
          <w:p>
            <w:pPr>
              <w:jc w:val="right"/>
              <w:ind w:right="480"/>
              <w:spacing w:after="0"/>
              <w:rPr>
                <w:sz w:val="20"/>
                <w:szCs w:val="20"/>
                <w:color w:val="auto"/>
              </w:rPr>
            </w:pPr>
            <w:r>
              <w:rPr>
                <w:rFonts w:ascii="Arial" w:cs="Arial" w:eastAsia="Arial" w:hAnsi="Arial"/>
                <w:sz w:val="18"/>
                <w:szCs w:val="18"/>
                <w:color w:val="auto"/>
              </w:rPr>
              <w:t>AA</w:t>
            </w:r>
          </w:p>
        </w:tc>
        <w:tc>
          <w:tcPr>
            <w:tcW w:w="72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(244)</w:t>
            </w: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4"/>
              </w:rPr>
              <w:t>1,890</w:t>
            </w:r>
          </w:p>
        </w:tc>
        <w:tc>
          <w:tcPr>
            <w:tcW w:w="20" w:type="dxa"/>
            <w:vAlign w:val="bottom"/>
          </w:tcPr>
          <w:p>
            <w:pPr>
              <w:spacing w:after="0"/>
              <w:rPr>
                <w:sz w:val="18"/>
                <w:szCs w:val="18"/>
                <w:color w:val="auto"/>
              </w:rPr>
            </w:pPr>
          </w:p>
        </w:tc>
      </w:tr>
      <w:tr>
        <w:trPr>
          <w:trHeight w:val="216"/>
        </w:trPr>
        <w:tc>
          <w:tcPr>
            <w:tcW w:w="7780" w:type="dxa"/>
            <w:vAlign w:val="bottom"/>
          </w:tcPr>
          <w:p>
            <w:pPr>
              <w:spacing w:after="0"/>
              <w:rPr>
                <w:sz w:val="20"/>
                <w:szCs w:val="20"/>
                <w:color w:val="auto"/>
              </w:rPr>
            </w:pPr>
            <w:r>
              <w:rPr>
                <w:rFonts w:ascii="Arial" w:cs="Arial" w:eastAsia="Arial" w:hAnsi="Arial"/>
                <w:sz w:val="18"/>
                <w:szCs w:val="18"/>
                <w:color w:val="auto"/>
              </w:rPr>
              <w:t>Morgan Guaranty</w:t>
            </w:r>
          </w:p>
        </w:tc>
        <w:tc>
          <w:tcPr>
            <w:tcW w:w="1260" w:type="dxa"/>
            <w:vAlign w:val="bottom"/>
            <w:gridSpan w:val="2"/>
          </w:tcPr>
          <w:p>
            <w:pPr>
              <w:jc w:val="right"/>
              <w:ind w:right="480"/>
              <w:spacing w:after="0"/>
              <w:rPr>
                <w:sz w:val="20"/>
                <w:szCs w:val="20"/>
                <w:color w:val="auto"/>
              </w:rPr>
            </w:pPr>
            <w:r>
              <w:rPr>
                <w:rFonts w:ascii="Arial" w:cs="Arial" w:eastAsia="Arial" w:hAnsi="Arial"/>
                <w:sz w:val="18"/>
                <w:szCs w:val="18"/>
                <w:color w:val="auto"/>
              </w:rPr>
              <w:t>AA</w:t>
            </w:r>
          </w:p>
        </w:tc>
        <w:tc>
          <w:tcPr>
            <w:tcW w:w="720" w:type="dxa"/>
            <w:vAlign w:val="bottom"/>
            <w:gridSpan w:val="2"/>
          </w:tcPr>
          <w:p>
            <w:pPr>
              <w:jc w:val="right"/>
              <w:ind w:right="240"/>
              <w:spacing w:after="0"/>
              <w:rPr>
                <w:sz w:val="20"/>
                <w:szCs w:val="20"/>
                <w:color w:val="auto"/>
              </w:rPr>
            </w:pPr>
            <w:r>
              <w:rPr>
                <w:rFonts w:ascii="Arial" w:cs="Arial" w:eastAsia="Arial" w:hAnsi="Arial"/>
                <w:sz w:val="18"/>
                <w:szCs w:val="18"/>
                <w:color w:val="auto"/>
              </w:rPr>
              <w:t>(245)</w:t>
            </w: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0" w:type="dxa"/>
            <w:vAlign w:val="bottom"/>
          </w:tcPr>
          <w:p>
            <w:pPr>
              <w:jc w:val="right"/>
              <w:spacing w:after="0"/>
              <w:rPr>
                <w:sz w:val="20"/>
                <w:szCs w:val="20"/>
                <w:color w:val="auto"/>
              </w:rPr>
            </w:pPr>
            <w:r>
              <w:rPr>
                <w:rFonts w:ascii="Arial" w:cs="Arial" w:eastAsia="Arial" w:hAnsi="Arial"/>
                <w:sz w:val="18"/>
                <w:szCs w:val="18"/>
                <w:color w:val="auto"/>
                <w:w w:val="84"/>
              </w:rPr>
              <w:t>1,889</w:t>
            </w:r>
          </w:p>
        </w:tc>
        <w:tc>
          <w:tcPr>
            <w:tcW w:w="20" w:type="dxa"/>
            <w:vAlign w:val="bottom"/>
          </w:tcPr>
          <w:p>
            <w:pPr>
              <w:spacing w:after="0"/>
              <w:rPr>
                <w:sz w:val="18"/>
                <w:szCs w:val="18"/>
                <w:color w:val="auto"/>
              </w:rPr>
            </w:pPr>
          </w:p>
        </w:tc>
      </w:tr>
      <w:tr>
        <w:trPr>
          <w:trHeight w:val="216"/>
        </w:trPr>
        <w:tc>
          <w:tcPr>
            <w:tcW w:w="7780" w:type="dxa"/>
            <w:vAlign w:val="bottom"/>
            <w:shd w:val="clear" w:color="auto" w:fill="CCEEFF"/>
          </w:tcPr>
          <w:p>
            <w:pPr>
              <w:spacing w:after="0"/>
              <w:rPr>
                <w:sz w:val="20"/>
                <w:szCs w:val="20"/>
                <w:color w:val="auto"/>
              </w:rPr>
            </w:pPr>
            <w:r>
              <w:rPr>
                <w:rFonts w:ascii="Arial" w:cs="Arial" w:eastAsia="Arial" w:hAnsi="Arial"/>
                <w:sz w:val="18"/>
                <w:szCs w:val="18"/>
                <w:color w:val="auto"/>
              </w:rPr>
              <w:t>Rabobank Nederland</w:t>
            </w:r>
          </w:p>
        </w:tc>
        <w:tc>
          <w:tcPr>
            <w:tcW w:w="78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4"/>
              </w:rPr>
              <w:t>1,885</w:t>
            </w:r>
          </w:p>
        </w:tc>
        <w:tc>
          <w:tcPr>
            <w:tcW w:w="20" w:type="dxa"/>
            <w:vAlign w:val="bottom"/>
          </w:tcPr>
          <w:p>
            <w:pPr>
              <w:spacing w:after="0"/>
              <w:rPr>
                <w:sz w:val="18"/>
                <w:szCs w:val="18"/>
                <w:color w:val="auto"/>
              </w:rPr>
            </w:pPr>
          </w:p>
        </w:tc>
      </w:tr>
      <w:tr>
        <w:trPr>
          <w:trHeight w:val="216"/>
        </w:trPr>
        <w:tc>
          <w:tcPr>
            <w:tcW w:w="7780" w:type="dxa"/>
            <w:vAlign w:val="bottom"/>
          </w:tcPr>
          <w:p>
            <w:pPr>
              <w:spacing w:after="0"/>
              <w:rPr>
                <w:sz w:val="20"/>
                <w:szCs w:val="20"/>
                <w:color w:val="auto"/>
              </w:rPr>
            </w:pPr>
            <w:r>
              <w:rPr>
                <w:rFonts w:ascii="Arial" w:cs="Arial" w:eastAsia="Arial" w:hAnsi="Arial"/>
                <w:sz w:val="18"/>
                <w:szCs w:val="18"/>
                <w:color w:val="auto"/>
              </w:rPr>
              <w:t>CDC Financial Products</w:t>
            </w:r>
          </w:p>
        </w:tc>
        <w:tc>
          <w:tcPr>
            <w:tcW w:w="1260" w:type="dxa"/>
            <w:vAlign w:val="bottom"/>
            <w:gridSpan w:val="2"/>
          </w:tcPr>
          <w:p>
            <w:pPr>
              <w:jc w:val="right"/>
              <w:ind w:right="480"/>
              <w:spacing w:after="0"/>
              <w:rPr>
                <w:sz w:val="20"/>
                <w:szCs w:val="20"/>
                <w:color w:val="auto"/>
              </w:rPr>
            </w:pPr>
            <w:r>
              <w:rPr>
                <w:rFonts w:ascii="Arial" w:cs="Arial" w:eastAsia="Arial" w:hAnsi="Arial"/>
                <w:sz w:val="18"/>
                <w:szCs w:val="18"/>
                <w:color w:val="auto"/>
              </w:rPr>
              <w:t>AA</w:t>
            </w:r>
          </w:p>
        </w:tc>
        <w:tc>
          <w:tcPr>
            <w:tcW w:w="720" w:type="dxa"/>
            <w:vAlign w:val="bottom"/>
            <w:gridSpan w:val="2"/>
          </w:tcPr>
          <w:p>
            <w:pPr>
              <w:jc w:val="right"/>
              <w:ind w:right="240"/>
              <w:spacing w:after="0"/>
              <w:rPr>
                <w:sz w:val="20"/>
                <w:szCs w:val="20"/>
                <w:color w:val="auto"/>
              </w:rPr>
            </w:pPr>
            <w:r>
              <w:rPr>
                <w:rFonts w:ascii="Arial" w:cs="Arial" w:eastAsia="Arial" w:hAnsi="Arial"/>
                <w:sz w:val="18"/>
                <w:szCs w:val="18"/>
                <w:color w:val="auto"/>
              </w:rPr>
              <w:t>(245)</w:t>
            </w: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0" w:type="dxa"/>
            <w:vAlign w:val="bottom"/>
          </w:tcPr>
          <w:p>
            <w:pPr>
              <w:jc w:val="right"/>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8"/>
                <w:szCs w:val="18"/>
                <w:color w:val="auto"/>
              </w:rPr>
            </w:pPr>
          </w:p>
        </w:tc>
      </w:tr>
      <w:tr>
        <w:trPr>
          <w:trHeight w:val="216"/>
        </w:trPr>
        <w:tc>
          <w:tcPr>
            <w:tcW w:w="7780" w:type="dxa"/>
            <w:vAlign w:val="bottom"/>
            <w:shd w:val="clear" w:color="auto" w:fill="CCEEFF"/>
          </w:tcPr>
          <w:p>
            <w:pPr>
              <w:spacing w:after="0"/>
              <w:rPr>
                <w:sz w:val="20"/>
                <w:szCs w:val="20"/>
                <w:color w:val="auto"/>
              </w:rPr>
            </w:pPr>
            <w:r>
              <w:rPr>
                <w:rFonts w:ascii="Arial" w:cs="Arial" w:eastAsia="Arial" w:hAnsi="Arial"/>
                <w:sz w:val="18"/>
                <w:szCs w:val="18"/>
                <w:color w:val="auto"/>
              </w:rPr>
              <w:t>AIG Financial Products Corp</w:t>
            </w:r>
          </w:p>
        </w:tc>
        <w:tc>
          <w:tcPr>
            <w:tcW w:w="1260" w:type="dxa"/>
            <w:vAlign w:val="bottom"/>
            <w:gridSpan w:val="2"/>
            <w:shd w:val="clear" w:color="auto" w:fill="CCEEFF"/>
          </w:tcPr>
          <w:p>
            <w:pPr>
              <w:jc w:val="right"/>
              <w:ind w:right="480"/>
              <w:spacing w:after="0"/>
              <w:rPr>
                <w:sz w:val="20"/>
                <w:szCs w:val="20"/>
                <w:color w:val="auto"/>
              </w:rPr>
            </w:pPr>
            <w:r>
              <w:rPr>
                <w:rFonts w:ascii="Arial" w:cs="Arial" w:eastAsia="Arial" w:hAnsi="Arial"/>
                <w:sz w:val="18"/>
                <w:szCs w:val="18"/>
                <w:color w:val="auto"/>
              </w:rPr>
              <w:t>AA</w:t>
            </w:r>
          </w:p>
        </w:tc>
        <w:tc>
          <w:tcPr>
            <w:tcW w:w="72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(244)</w:t>
            </w: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8"/>
                <w:szCs w:val="18"/>
                <w:color w:val="auto"/>
              </w:rPr>
            </w:pPr>
          </w:p>
        </w:tc>
      </w:tr>
      <w:tr>
        <w:trPr>
          <w:trHeight w:val="20"/>
        </w:trPr>
        <w:tc>
          <w:tcPr>
            <w:tcW w:w="778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22"/>
        </w:trPr>
        <w:tc>
          <w:tcPr>
            <w:tcW w:w="778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720" w:type="dxa"/>
            <w:vAlign w:val="bottom"/>
            <w:gridSpan w:val="2"/>
          </w:tcPr>
          <w:p>
            <w:pPr>
              <w:jc w:val="right"/>
              <w:ind w:right="240"/>
              <w:spacing w:after="0"/>
              <w:rPr>
                <w:sz w:val="20"/>
                <w:szCs w:val="20"/>
                <w:color w:val="auto"/>
              </w:rPr>
            </w:pPr>
            <w:r>
              <w:rPr>
                <w:rFonts w:ascii="Arial" w:cs="Arial" w:eastAsia="Arial" w:hAnsi="Arial"/>
                <w:sz w:val="18"/>
                <w:szCs w:val="18"/>
                <w:u w:val="single" w:color="auto"/>
                <w:color w:val="auto"/>
                <w:w w:val="88"/>
              </w:rPr>
              <w:t>$</w:t>
            </w:r>
            <w:r>
              <w:rPr>
                <w:rFonts w:ascii="Arial" w:cs="Arial" w:eastAsia="Arial" w:hAnsi="Arial"/>
                <w:sz w:val="18"/>
                <w:szCs w:val="18"/>
                <w:color w:val="auto"/>
                <w:w w:val="88"/>
              </w:rPr>
              <w:t>(978)</w:t>
            </w:r>
          </w:p>
        </w:tc>
        <w:tc>
          <w:tcPr>
            <w:tcW w:w="340" w:type="dxa"/>
            <w:vAlign w:val="bottom"/>
            <w:gridSpan w:val="2"/>
          </w:tcPr>
          <w:p>
            <w:pPr>
              <w:jc w:val="right"/>
              <w:spacing w:after="0"/>
              <w:rPr>
                <w:sz w:val="20"/>
                <w:szCs w:val="20"/>
                <w:color w:val="auto"/>
              </w:rPr>
            </w:pPr>
            <w:r>
              <w:rPr>
                <w:rFonts w:ascii="Arial" w:cs="Arial" w:eastAsia="Arial" w:hAnsi="Arial"/>
                <w:sz w:val="18"/>
                <w:szCs w:val="18"/>
                <w:u w:val="single" w:color="auto"/>
                <w:color w:val="auto"/>
              </w:rPr>
              <w:t>$</w:t>
            </w:r>
          </w:p>
        </w:tc>
        <w:tc>
          <w:tcPr>
            <w:tcW w:w="420" w:type="dxa"/>
            <w:vAlign w:val="bottom"/>
            <w:gridSpan w:val="2"/>
          </w:tcPr>
          <w:p>
            <w:pPr>
              <w:jc w:val="right"/>
              <w:ind w:right="20"/>
              <w:spacing w:after="0"/>
              <w:rPr>
                <w:sz w:val="20"/>
                <w:szCs w:val="20"/>
                <w:color w:val="auto"/>
              </w:rPr>
            </w:pPr>
            <w:r>
              <w:rPr>
                <w:rFonts w:ascii="Arial" w:cs="Arial" w:eastAsia="Arial" w:hAnsi="Arial"/>
                <w:sz w:val="18"/>
                <w:szCs w:val="18"/>
                <w:color w:val="auto"/>
                <w:w w:val="84"/>
              </w:rPr>
              <w:t>7,572</w:t>
            </w:r>
          </w:p>
        </w:tc>
      </w:tr>
      <w:tr>
        <w:trPr>
          <w:trHeight w:val="20"/>
        </w:trPr>
        <w:tc>
          <w:tcPr>
            <w:tcW w:w="778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bl>
    <w:p>
      <w:pPr>
        <w:spacing w:after="0" w:line="167" w:lineRule="exact"/>
        <w:rPr>
          <w:sz w:val="20"/>
          <w:szCs w:val="20"/>
          <w:color w:val="auto"/>
        </w:rPr>
      </w:pPr>
    </w:p>
    <w:p>
      <w:pPr>
        <w:ind w:left="460" w:right="200"/>
        <w:spacing w:after="0" w:line="268" w:lineRule="auto"/>
        <w:rPr>
          <w:sz w:val="20"/>
          <w:szCs w:val="20"/>
          <w:color w:val="auto"/>
        </w:rPr>
      </w:pPr>
      <w:r>
        <w:rPr>
          <w:rFonts w:ascii="Arial" w:cs="Arial" w:eastAsia="Arial" w:hAnsi="Arial"/>
          <w:sz w:val="18"/>
          <w:szCs w:val="18"/>
          <w:color w:val="auto"/>
        </w:rPr>
        <w:t>There are certain events, such as the Plan’s failure to qualify under Section 401 (a) or 401 (k) of the Code, which can limit the fund’s ability to transact at contract value. At this time, the occurrence of any such limiting event is not probable.</w:t>
      </w:r>
    </w:p>
    <w:p>
      <w:pPr>
        <w:spacing w:after="0" w:line="51" w:lineRule="exact"/>
        <w:rPr>
          <w:sz w:val="20"/>
          <w:szCs w:val="20"/>
          <w:color w:val="auto"/>
        </w:rPr>
      </w:pPr>
    </w:p>
    <w:p>
      <w:pPr>
        <w:ind w:left="460" w:right="140"/>
        <w:spacing w:after="0" w:line="268" w:lineRule="auto"/>
        <w:rPr>
          <w:sz w:val="20"/>
          <w:szCs w:val="20"/>
          <w:color w:val="auto"/>
        </w:rPr>
      </w:pPr>
      <w:r>
        <w:rPr>
          <w:rFonts w:ascii="Arial" w:cs="Arial" w:eastAsia="Arial" w:hAnsi="Arial"/>
          <w:sz w:val="18"/>
          <w:szCs w:val="18"/>
          <w:color w:val="auto"/>
        </w:rPr>
        <w:t>A contract issuer may terminate a contract at any time. Settlement upon termination will be at contract value unless the terms of the contract were not met or the Trustee’s authority over the Plan is limited or terminated.</w:t>
      </w:r>
    </w:p>
    <w:p>
      <w:pPr>
        <w:spacing w:after="0" w:line="11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w:t>
      </w:r>
    </w:p>
    <w:p>
      <w:pPr>
        <w:sectPr>
          <w:pgSz w:w="11900" w:h="16838" w:orient="portrait"/>
          <w:cols w:equalWidth="0" w:num="1">
            <w:col w:w="11420"/>
          </w:cols>
          <w:pgMar w:left="240" w:top="459" w:right="239" w:bottom="1440" w:gutter="0" w:footer="0" w:header="0"/>
        </w:sectPr>
      </w:pPr>
    </w:p>
    <w:bookmarkStart w:id="9" w:name="page10"/>
    <w:bookmarkEnd w:id="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460" w:hanging="452"/>
        <w:spacing w:after="0"/>
        <w:tabs>
          <w:tab w:leader="none" w:pos="460" w:val="left"/>
        </w:tabs>
        <w:numPr>
          <w:ilvl w:val="0"/>
          <w:numId w:val="5"/>
        </w:numPr>
        <w:rPr>
          <w:rFonts w:ascii="Arial" w:cs="Arial" w:eastAsia="Arial" w:hAnsi="Arial"/>
          <w:sz w:val="18"/>
          <w:szCs w:val="18"/>
          <w:b w:val="1"/>
          <w:bCs w:val="1"/>
          <w:color w:val="auto"/>
        </w:rPr>
      </w:pPr>
      <w:r>
        <w:rPr>
          <w:rFonts w:ascii="Arial" w:cs="Arial" w:eastAsia="Arial" w:hAnsi="Arial"/>
          <w:sz w:val="18"/>
          <w:szCs w:val="18"/>
          <w:b w:val="1"/>
          <w:bCs w:val="1"/>
          <w:color w:val="auto"/>
        </w:rPr>
        <w:t>PARTICIPANT LOANS AND HARDSHIP WITHDRAWALS</w:t>
      </w:r>
    </w:p>
    <w:p>
      <w:pPr>
        <w:spacing w:after="0" w:line="96" w:lineRule="exact"/>
        <w:rPr>
          <w:rFonts w:ascii="Arial" w:cs="Arial" w:eastAsia="Arial" w:hAnsi="Arial"/>
          <w:sz w:val="18"/>
          <w:szCs w:val="18"/>
          <w:b w:val="1"/>
          <w:bCs w:val="1"/>
          <w:color w:val="auto"/>
        </w:rPr>
      </w:pPr>
    </w:p>
    <w:p>
      <w:pPr>
        <w:ind w:left="460"/>
        <w:spacing w:after="0" w:line="289" w:lineRule="auto"/>
        <w:rPr>
          <w:rFonts w:ascii="Arial" w:cs="Arial" w:eastAsia="Arial" w:hAnsi="Arial"/>
          <w:sz w:val="18"/>
          <w:szCs w:val="18"/>
          <w:b w:val="1"/>
          <w:bCs w:val="1"/>
          <w:color w:val="auto"/>
        </w:rPr>
      </w:pPr>
      <w:r>
        <w:rPr>
          <w:rFonts w:ascii="Arial" w:cs="Arial" w:eastAsia="Arial" w:hAnsi="Arial"/>
          <w:sz w:val="16"/>
          <w:szCs w:val="16"/>
          <w:color w:val="auto"/>
        </w:rPr>
        <w:t>A participant may borrow from his/her Plan account subject to the approval of the Plan Administrator in accordance with applicable regulations issued by the Internal Revenue Service (“IRS”) and the Department of Labor. In general, a participant may borrow a minimum of $500 up to a maximum of the lesser of $50,000 or 50% of the participant’s nonforfeitable accrued benefit on the valuation date (as defined by the Plan) last preceding the date on which the loan request is processed by the Plan Administrator. The maximum term of a loan made pursuant to the Plan is five years (loans with terms of greater than five years exist under the Plan as a result of rollovers from merged plans). Interest accrues at the prime rate plus 1% of the month the loan application is approved. Principal and interest are paid through payroll deductions or participant initiated payments. Interest rates ranged from 4.25% to 13.0% for the years ended December 31, 2007 and 2006, respectively. Maturities on active outstanding loans ranged from 2004 to 2018 for the years ended December 31, 2007 and 2006. Loan transactions are treated as a transfer from (to) the investment fund to (from) the participant loan fund.</w:t>
      </w:r>
    </w:p>
    <w:p>
      <w:pPr>
        <w:spacing w:after="0" w:line="37" w:lineRule="exact"/>
        <w:rPr>
          <w:rFonts w:ascii="Arial" w:cs="Arial" w:eastAsia="Arial" w:hAnsi="Arial"/>
          <w:sz w:val="18"/>
          <w:szCs w:val="18"/>
          <w:b w:val="1"/>
          <w:bCs w:val="1"/>
          <w:color w:val="auto"/>
        </w:rPr>
      </w:pPr>
    </w:p>
    <w:p>
      <w:pPr>
        <w:ind w:left="460" w:right="220"/>
        <w:spacing w:after="0" w:line="268" w:lineRule="auto"/>
        <w:rPr>
          <w:rFonts w:ascii="Arial" w:cs="Arial" w:eastAsia="Arial" w:hAnsi="Arial"/>
          <w:sz w:val="18"/>
          <w:szCs w:val="18"/>
          <w:b w:val="1"/>
          <w:bCs w:val="1"/>
          <w:color w:val="auto"/>
        </w:rPr>
      </w:pPr>
      <w:r>
        <w:rPr>
          <w:rFonts w:ascii="Arial" w:cs="Arial" w:eastAsia="Arial" w:hAnsi="Arial"/>
          <w:sz w:val="18"/>
          <w:szCs w:val="18"/>
          <w:color w:val="auto"/>
        </w:rPr>
        <w:t>Effective after a calendar quarter of non-repayment, a loan is considered to be in default. Defaulted loans are treated as distributions for tax purposes and become taxable income to the participant for the year in which the default occurs.</w:t>
      </w:r>
    </w:p>
    <w:p>
      <w:pPr>
        <w:spacing w:after="0" w:line="50" w:lineRule="exact"/>
        <w:rPr>
          <w:rFonts w:ascii="Arial" w:cs="Arial" w:eastAsia="Arial" w:hAnsi="Arial"/>
          <w:sz w:val="18"/>
          <w:szCs w:val="18"/>
          <w:b w:val="1"/>
          <w:bCs w:val="1"/>
          <w:color w:val="auto"/>
        </w:rPr>
      </w:pPr>
    </w:p>
    <w:p>
      <w:pPr>
        <w:ind w:left="460" w:right="40"/>
        <w:spacing w:after="0" w:line="256" w:lineRule="auto"/>
        <w:rPr>
          <w:rFonts w:ascii="Arial" w:cs="Arial" w:eastAsia="Arial" w:hAnsi="Arial"/>
          <w:sz w:val="18"/>
          <w:szCs w:val="18"/>
          <w:b w:val="1"/>
          <w:bCs w:val="1"/>
          <w:color w:val="auto"/>
        </w:rPr>
      </w:pPr>
      <w:r>
        <w:rPr>
          <w:rFonts w:ascii="Arial" w:cs="Arial" w:eastAsia="Arial" w:hAnsi="Arial"/>
          <w:sz w:val="18"/>
          <w:szCs w:val="18"/>
          <w:color w:val="auto"/>
        </w:rPr>
        <w:t>A participant may withdraw all or a portion of his/her benefits derived from salary reduction, rollovers or the vested portion of employer contributions, and earnings thereon, on account of hardship, as defined by the Plan and applicable IRS regulations. Under these rules, the participant must exhaust the possibilities of all other distributions, loans, etc. available under the Plan and meet certain other requirements. Upon receiving a hardship withdrawal, the participant’s elective contributions are suspended for six calendar months.</w:t>
      </w:r>
    </w:p>
    <w:p>
      <w:pPr>
        <w:spacing w:after="0" w:line="258" w:lineRule="exact"/>
        <w:rPr>
          <w:rFonts w:ascii="Arial" w:cs="Arial" w:eastAsia="Arial" w:hAnsi="Arial"/>
          <w:sz w:val="18"/>
          <w:szCs w:val="18"/>
          <w:b w:val="1"/>
          <w:bCs w:val="1"/>
          <w:color w:val="auto"/>
        </w:rPr>
      </w:pPr>
    </w:p>
    <w:p>
      <w:pPr>
        <w:ind w:left="460" w:hanging="452"/>
        <w:spacing w:after="0"/>
        <w:tabs>
          <w:tab w:leader="none" w:pos="460" w:val="left"/>
        </w:tabs>
        <w:numPr>
          <w:ilvl w:val="0"/>
          <w:numId w:val="5"/>
        </w:numPr>
        <w:rPr>
          <w:rFonts w:ascii="Arial" w:cs="Arial" w:eastAsia="Arial" w:hAnsi="Arial"/>
          <w:sz w:val="18"/>
          <w:szCs w:val="18"/>
          <w:b w:val="1"/>
          <w:bCs w:val="1"/>
          <w:color w:val="auto"/>
        </w:rPr>
      </w:pPr>
      <w:r>
        <w:rPr>
          <w:rFonts w:ascii="Arial" w:cs="Arial" w:eastAsia="Arial" w:hAnsi="Arial"/>
          <w:sz w:val="18"/>
          <w:szCs w:val="18"/>
          <w:b w:val="1"/>
          <w:bCs w:val="1"/>
          <w:color w:val="auto"/>
        </w:rPr>
        <w:t>ADMINISTRATION OF THE PLAN</w:t>
      </w:r>
    </w:p>
    <w:p>
      <w:pPr>
        <w:spacing w:after="0" w:line="96" w:lineRule="exact"/>
        <w:rPr>
          <w:rFonts w:ascii="Arial" w:cs="Arial" w:eastAsia="Arial" w:hAnsi="Arial"/>
          <w:sz w:val="18"/>
          <w:szCs w:val="18"/>
          <w:b w:val="1"/>
          <w:bCs w:val="1"/>
          <w:color w:val="auto"/>
        </w:rPr>
      </w:pPr>
    </w:p>
    <w:p>
      <w:pPr>
        <w:ind w:left="460" w:right="20"/>
        <w:spacing w:after="0" w:line="332" w:lineRule="auto"/>
        <w:rPr>
          <w:rFonts w:ascii="Arial" w:cs="Arial" w:eastAsia="Arial" w:hAnsi="Arial"/>
          <w:sz w:val="18"/>
          <w:szCs w:val="18"/>
          <w:b w:val="1"/>
          <w:bCs w:val="1"/>
          <w:color w:val="auto"/>
        </w:rPr>
      </w:pPr>
      <w:r>
        <w:rPr>
          <w:rFonts w:ascii="Arial" w:cs="Arial" w:eastAsia="Arial" w:hAnsi="Arial"/>
          <w:sz w:val="16"/>
          <w:szCs w:val="16"/>
          <w:color w:val="auto"/>
        </w:rPr>
        <w:t>The Company, as Plan Administrator, has the authority to control and manage the operation and administration of the Plan and may delegate all or a portion of the responsibilities of controlling and managing the operation and administration of the Plan to one or more persons.</w:t>
      </w:r>
    </w:p>
    <w:p>
      <w:pPr>
        <w:spacing w:after="0" w:line="200" w:lineRule="exact"/>
        <w:rPr>
          <w:rFonts w:ascii="Arial" w:cs="Arial" w:eastAsia="Arial" w:hAnsi="Arial"/>
          <w:sz w:val="18"/>
          <w:szCs w:val="18"/>
          <w:b w:val="1"/>
          <w:bCs w:val="1"/>
          <w:color w:val="auto"/>
        </w:rPr>
      </w:pPr>
    </w:p>
    <w:p>
      <w:pPr>
        <w:ind w:left="460" w:hanging="452"/>
        <w:spacing w:after="0"/>
        <w:tabs>
          <w:tab w:leader="none" w:pos="460" w:val="left"/>
        </w:tabs>
        <w:numPr>
          <w:ilvl w:val="0"/>
          <w:numId w:val="5"/>
        </w:numPr>
        <w:rPr>
          <w:rFonts w:ascii="Arial" w:cs="Arial" w:eastAsia="Arial" w:hAnsi="Arial"/>
          <w:sz w:val="18"/>
          <w:szCs w:val="18"/>
          <w:b w:val="1"/>
          <w:bCs w:val="1"/>
          <w:color w:val="auto"/>
        </w:rPr>
      </w:pPr>
      <w:r>
        <w:rPr>
          <w:rFonts w:ascii="Arial" w:cs="Arial" w:eastAsia="Arial" w:hAnsi="Arial"/>
          <w:sz w:val="18"/>
          <w:szCs w:val="18"/>
          <w:b w:val="1"/>
          <w:bCs w:val="1"/>
          <w:color w:val="auto"/>
        </w:rPr>
        <w:t>FEDERAL TAX CONSIDERATIONS</w:t>
      </w:r>
    </w:p>
    <w:p>
      <w:pPr>
        <w:spacing w:after="0" w:line="96" w:lineRule="exact"/>
        <w:rPr>
          <w:rFonts w:ascii="Arial" w:cs="Arial" w:eastAsia="Arial" w:hAnsi="Arial"/>
          <w:sz w:val="18"/>
          <w:szCs w:val="18"/>
          <w:b w:val="1"/>
          <w:bCs w:val="1"/>
          <w:color w:val="auto"/>
        </w:rPr>
      </w:pPr>
    </w:p>
    <w:p>
      <w:pPr>
        <w:ind w:left="1480" w:right="160" w:hanging="567"/>
        <w:spacing w:after="0" w:line="294" w:lineRule="auto"/>
        <w:tabs>
          <w:tab w:leader="none" w:pos="1480" w:val="left"/>
        </w:tabs>
        <w:numPr>
          <w:ilvl w:val="1"/>
          <w:numId w:val="5"/>
        </w:numPr>
        <w:rPr>
          <w:rFonts w:ascii="Arial" w:cs="Arial" w:eastAsia="Arial" w:hAnsi="Arial"/>
          <w:sz w:val="16"/>
          <w:szCs w:val="16"/>
          <w:color w:val="auto"/>
        </w:rPr>
      </w:pPr>
      <w:r>
        <w:rPr>
          <w:rFonts w:ascii="Arial" w:cs="Arial" w:eastAsia="Arial" w:hAnsi="Arial"/>
          <w:sz w:val="16"/>
          <w:szCs w:val="16"/>
          <w:b w:val="1"/>
          <w:bCs w:val="1"/>
          <w:i w:val="1"/>
          <w:iCs w:val="1"/>
          <w:color w:val="auto"/>
        </w:rPr>
        <w:t>Income Tax Status of the Plan</w:t>
      </w:r>
      <w:r>
        <w:rPr>
          <w:rFonts w:ascii="Arial" w:cs="Arial" w:eastAsia="Arial" w:hAnsi="Arial"/>
          <w:sz w:val="16"/>
          <w:szCs w:val="16"/>
          <w:color w:val="auto"/>
        </w:rPr>
        <w:t>—On July 26, 2006, the Plan received an updated determination letter in which the IRS stated that the Plan,</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as amended and restated July 1, 2003, is qualified and that the trust established under the Plan is tax-exempt. The Plan has been amended since receiving the determination letter. The Company believes that the Plan continues to comply in form and operation with the applicable requirements of the Code. Therefore, no provision for income taxes has been included in the Plan’s financial statements. On January 31, 2008, the Company filed a request for an updated determination letter in accordance with IRS regulations.</w:t>
      </w:r>
    </w:p>
    <w:p>
      <w:pPr>
        <w:spacing w:after="0" w:line="34" w:lineRule="exact"/>
        <w:rPr>
          <w:rFonts w:ascii="Arial" w:cs="Arial" w:eastAsia="Arial" w:hAnsi="Arial"/>
          <w:sz w:val="16"/>
          <w:szCs w:val="16"/>
          <w:color w:val="auto"/>
        </w:rPr>
      </w:pPr>
    </w:p>
    <w:p>
      <w:pPr>
        <w:ind w:left="1480" w:right="40" w:hanging="567"/>
        <w:spacing w:after="0" w:line="259" w:lineRule="auto"/>
        <w:tabs>
          <w:tab w:leader="none" w:pos="1480" w:val="left"/>
        </w:tabs>
        <w:numPr>
          <w:ilvl w:val="1"/>
          <w:numId w:val="5"/>
        </w:numPr>
        <w:rPr>
          <w:rFonts w:ascii="Arial" w:cs="Arial" w:eastAsia="Arial" w:hAnsi="Arial"/>
          <w:sz w:val="18"/>
          <w:szCs w:val="18"/>
          <w:color w:val="auto"/>
        </w:rPr>
      </w:pPr>
      <w:r>
        <w:rPr>
          <w:rFonts w:ascii="Arial" w:cs="Arial" w:eastAsia="Arial" w:hAnsi="Arial"/>
          <w:sz w:val="18"/>
          <w:szCs w:val="18"/>
          <w:b w:val="1"/>
          <w:bCs w:val="1"/>
          <w:i w:val="1"/>
          <w:iCs w:val="1"/>
          <w:color w:val="auto"/>
        </w:rPr>
        <w:t>Impact on Plan Participants</w:t>
      </w:r>
      <w:r>
        <w:rPr>
          <w:rFonts w:ascii="Arial" w:cs="Arial" w:eastAsia="Arial" w:hAnsi="Arial"/>
          <w:sz w:val="18"/>
          <w:szCs w:val="18"/>
          <w:color w:val="auto"/>
        </w:rPr>
        <w:t>—Matching contributions and salary reduction contributions, as well as earnings on Plan assets, are generally</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not subject to federal income tax until distributed from a qualified plan that meets the requirements of Sections 401(a), 401(k) and 401(m) of the Code.</w:t>
      </w:r>
    </w:p>
    <w:p>
      <w:pPr>
        <w:spacing w:after="0" w:line="255" w:lineRule="exact"/>
        <w:rPr>
          <w:rFonts w:ascii="Arial" w:cs="Arial" w:eastAsia="Arial" w:hAnsi="Arial"/>
          <w:sz w:val="18"/>
          <w:szCs w:val="18"/>
          <w:color w:val="auto"/>
        </w:rPr>
      </w:pPr>
    </w:p>
    <w:p>
      <w:pPr>
        <w:ind w:left="460" w:hanging="452"/>
        <w:spacing w:after="0"/>
        <w:tabs>
          <w:tab w:leader="none" w:pos="460" w:val="left"/>
        </w:tabs>
        <w:numPr>
          <w:ilvl w:val="0"/>
          <w:numId w:val="5"/>
        </w:numPr>
        <w:rPr>
          <w:rFonts w:ascii="Arial" w:cs="Arial" w:eastAsia="Arial" w:hAnsi="Arial"/>
          <w:sz w:val="18"/>
          <w:szCs w:val="18"/>
          <w:b w:val="1"/>
          <w:bCs w:val="1"/>
          <w:color w:val="auto"/>
        </w:rPr>
      </w:pPr>
      <w:r>
        <w:rPr>
          <w:rFonts w:ascii="Arial" w:cs="Arial" w:eastAsia="Arial" w:hAnsi="Arial"/>
          <w:sz w:val="18"/>
          <w:szCs w:val="18"/>
          <w:b w:val="1"/>
          <w:bCs w:val="1"/>
          <w:color w:val="auto"/>
        </w:rPr>
        <w:t>PLAN AMENDMENTS</w:t>
      </w:r>
    </w:p>
    <w:p>
      <w:pPr>
        <w:spacing w:after="0" w:line="96" w:lineRule="exact"/>
        <w:rPr>
          <w:rFonts w:ascii="Arial" w:cs="Arial" w:eastAsia="Arial" w:hAnsi="Arial"/>
          <w:sz w:val="18"/>
          <w:szCs w:val="18"/>
          <w:b w:val="1"/>
          <w:bCs w:val="1"/>
          <w:color w:val="auto"/>
        </w:rPr>
      </w:pPr>
    </w:p>
    <w:p>
      <w:pPr>
        <w:ind w:left="460" w:right="380"/>
        <w:spacing w:after="0" w:line="255" w:lineRule="auto"/>
        <w:rPr>
          <w:rFonts w:ascii="Arial" w:cs="Arial" w:eastAsia="Arial" w:hAnsi="Arial"/>
          <w:sz w:val="18"/>
          <w:szCs w:val="18"/>
          <w:b w:val="1"/>
          <w:bCs w:val="1"/>
          <w:color w:val="auto"/>
        </w:rPr>
      </w:pPr>
      <w:r>
        <w:rPr>
          <w:rFonts w:ascii="Arial" w:cs="Arial" w:eastAsia="Arial" w:hAnsi="Arial"/>
          <w:sz w:val="18"/>
          <w:szCs w:val="18"/>
          <w:color w:val="auto"/>
        </w:rPr>
        <w:t>Effective July 1, 2007, the Plan was amended to reduce the eligibility waiting period for new hires (full-time and part-time) from the first of the month following six months of service to the first of the month following three months of service. On May 22, 2007, the Plan was amended, effective July 1, 2007, to provide that all employees who are hired on or after June 30, 2007 shall be automatically enrolled in the Plan so that they will automatically contribute two percent of eligible compensation to the Plan on a pre-tax basis. Automatically-enrolled participants may increase or decrease their contributions or opt out of Plan participation at any time.</w:t>
      </w:r>
    </w:p>
    <w:p>
      <w:pPr>
        <w:spacing w:after="0" w:line="12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w:t>
      </w:r>
    </w:p>
    <w:p>
      <w:pPr>
        <w:sectPr>
          <w:pgSz w:w="11900" w:h="16838" w:orient="portrait"/>
          <w:cols w:equalWidth="0" w:num="1">
            <w:col w:w="11420"/>
          </w:cols>
          <w:pgMar w:left="240" w:top="459" w:right="239" w:bottom="1440" w:gutter="0" w:footer="0" w:header="0"/>
        </w:sectPr>
      </w:pPr>
    </w:p>
    <w:bookmarkStart w:id="10" w:name="page11"/>
    <w:bookmarkEnd w:id="1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COMCAST CORPORATION RETIREMENT-INVESTMENT PLAN</w:t>
      </w:r>
    </w:p>
    <w:p>
      <w:pPr>
        <w:spacing w:after="0" w:line="9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SCHEDULE H - LINE 4i - SCHEDULE OF ASSETS (HELD AT END OF YEAR)</w:t>
      </w:r>
    </w:p>
    <w:p>
      <w:pPr>
        <w:spacing w:after="0" w:line="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DECEMBER 31, 2007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33020</wp:posOffset>
            </wp:positionV>
            <wp:extent cx="7246620" cy="889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193" w:lineRule="exact"/>
        <w:rPr>
          <w:sz w:val="20"/>
          <w:szCs w:val="20"/>
          <w:color w:val="auto"/>
        </w:rPr>
      </w:pPr>
    </w:p>
    <w:p>
      <w:pPr>
        <w:jc w:val="right"/>
        <w:spacing w:after="0"/>
        <w:rPr>
          <w:sz w:val="20"/>
          <w:szCs w:val="20"/>
          <w:color w:val="auto"/>
        </w:rPr>
      </w:pPr>
      <w:r>
        <w:rPr>
          <w:rFonts w:ascii="Arial" w:cs="Arial" w:eastAsia="Arial" w:hAnsi="Arial"/>
          <w:sz w:val="18"/>
          <w:szCs w:val="18"/>
          <w:b w:val="1"/>
          <w:bCs w:val="1"/>
          <w:color w:val="auto"/>
        </w:rPr>
        <w:t>FEIN #27-0000798</w:t>
      </w:r>
    </w:p>
    <w:p>
      <w:pPr>
        <w:spacing w:after="0" w:line="21" w:lineRule="exact"/>
        <w:rPr>
          <w:sz w:val="20"/>
          <w:szCs w:val="20"/>
          <w:color w:val="auto"/>
        </w:rPr>
      </w:pPr>
    </w:p>
    <w:p>
      <w:pPr>
        <w:jc w:val="right"/>
        <w:spacing w:after="0"/>
        <w:rPr>
          <w:sz w:val="20"/>
          <w:szCs w:val="20"/>
          <w:color w:val="auto"/>
        </w:rPr>
      </w:pPr>
      <w:r>
        <w:rPr>
          <w:rFonts w:ascii="Arial" w:cs="Arial" w:eastAsia="Arial" w:hAnsi="Arial"/>
          <w:sz w:val="18"/>
          <w:szCs w:val="18"/>
          <w:b w:val="1"/>
          <w:bCs w:val="1"/>
          <w:color w:val="auto"/>
        </w:rPr>
        <w:t>PLAN #001</w:t>
      </w:r>
    </w:p>
    <w:p>
      <w:pPr>
        <w:spacing w:after="0" w:line="18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8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746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2000" w:type="dxa"/>
            <w:vAlign w:val="bottom"/>
            <w:gridSpan w:val="2"/>
          </w:tcPr>
          <w:p>
            <w:pPr>
              <w:jc w:val="center"/>
              <w:ind w:right="440"/>
              <w:spacing w:after="0"/>
              <w:rPr>
                <w:sz w:val="20"/>
                <w:szCs w:val="20"/>
                <w:color w:val="auto"/>
              </w:rPr>
            </w:pPr>
            <w:r>
              <w:rPr>
                <w:rFonts w:ascii="Arial" w:cs="Arial" w:eastAsia="Arial" w:hAnsi="Arial"/>
                <w:sz w:val="14"/>
                <w:szCs w:val="14"/>
                <w:b w:val="1"/>
                <w:bCs w:val="1"/>
                <w:color w:val="auto"/>
                <w:w w:val="86"/>
              </w:rPr>
              <w:t>(c) Description of</w:t>
            </w:r>
          </w:p>
        </w:tc>
        <w:tc>
          <w:tcPr>
            <w:tcW w:w="9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18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746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2000" w:type="dxa"/>
            <w:vAlign w:val="bottom"/>
            <w:gridSpan w:val="2"/>
          </w:tcPr>
          <w:p>
            <w:pPr>
              <w:jc w:val="center"/>
              <w:ind w:right="440"/>
              <w:spacing w:after="0" w:line="149" w:lineRule="exact"/>
              <w:rPr>
                <w:sz w:val="20"/>
                <w:szCs w:val="20"/>
                <w:color w:val="auto"/>
              </w:rPr>
            </w:pPr>
            <w:r>
              <w:rPr>
                <w:rFonts w:ascii="Arial" w:cs="Arial" w:eastAsia="Arial" w:hAnsi="Arial"/>
                <w:sz w:val="14"/>
                <w:szCs w:val="14"/>
                <w:b w:val="1"/>
                <w:bCs w:val="1"/>
                <w:color w:val="auto"/>
                <w:w w:val="87"/>
              </w:rPr>
              <w:t>Investment,</w:t>
            </w:r>
          </w:p>
        </w:tc>
        <w:tc>
          <w:tcPr>
            <w:tcW w:w="9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18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746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2000" w:type="dxa"/>
            <w:vAlign w:val="bottom"/>
            <w:gridSpan w:val="2"/>
          </w:tcPr>
          <w:p>
            <w:pPr>
              <w:jc w:val="center"/>
              <w:ind w:right="420"/>
              <w:spacing w:after="0" w:line="149" w:lineRule="exact"/>
              <w:rPr>
                <w:sz w:val="20"/>
                <w:szCs w:val="20"/>
                <w:color w:val="auto"/>
              </w:rPr>
            </w:pPr>
            <w:r>
              <w:rPr>
                <w:rFonts w:ascii="Arial" w:cs="Arial" w:eastAsia="Arial" w:hAnsi="Arial"/>
                <w:sz w:val="14"/>
                <w:szCs w:val="14"/>
                <w:b w:val="1"/>
                <w:bCs w:val="1"/>
                <w:color w:val="auto"/>
                <w:w w:val="91"/>
              </w:rPr>
              <w:t>Including Maturity Date,</w:t>
            </w:r>
          </w:p>
        </w:tc>
        <w:tc>
          <w:tcPr>
            <w:tcW w:w="9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18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7460" w:type="dxa"/>
            <w:vAlign w:val="bottom"/>
            <w:vMerge w:val="restart"/>
          </w:tcPr>
          <w:p>
            <w:pPr>
              <w:ind w:left="2140"/>
              <w:spacing w:after="0"/>
              <w:rPr>
                <w:sz w:val="20"/>
                <w:szCs w:val="20"/>
                <w:color w:val="auto"/>
              </w:rPr>
            </w:pPr>
            <w:r>
              <w:rPr>
                <w:rFonts w:ascii="Arial" w:cs="Arial" w:eastAsia="Arial" w:hAnsi="Arial"/>
                <w:sz w:val="14"/>
                <w:szCs w:val="14"/>
                <w:b w:val="1"/>
                <w:bCs w:val="1"/>
                <w:color w:val="auto"/>
              </w:rPr>
              <w:t>(b) Identity of Issue, Borrower, Lessor, or Similar Party</w:t>
            </w:r>
          </w:p>
        </w:tc>
        <w:tc>
          <w:tcPr>
            <w:tcW w:w="440" w:type="dxa"/>
            <w:vAlign w:val="bottom"/>
          </w:tcPr>
          <w:p>
            <w:pPr>
              <w:spacing w:after="0"/>
              <w:rPr>
                <w:sz w:val="12"/>
                <w:szCs w:val="12"/>
                <w:color w:val="auto"/>
              </w:rPr>
            </w:pPr>
          </w:p>
        </w:tc>
        <w:tc>
          <w:tcPr>
            <w:tcW w:w="2000" w:type="dxa"/>
            <w:vAlign w:val="bottom"/>
            <w:gridSpan w:val="2"/>
          </w:tcPr>
          <w:p>
            <w:pPr>
              <w:jc w:val="right"/>
              <w:ind w:right="420"/>
              <w:spacing w:after="0" w:line="149" w:lineRule="exact"/>
              <w:rPr>
                <w:sz w:val="20"/>
                <w:szCs w:val="20"/>
                <w:color w:val="auto"/>
              </w:rPr>
            </w:pPr>
            <w:r>
              <w:rPr>
                <w:rFonts w:ascii="Arial" w:cs="Arial" w:eastAsia="Arial" w:hAnsi="Arial"/>
                <w:sz w:val="14"/>
                <w:szCs w:val="14"/>
                <w:b w:val="1"/>
                <w:bCs w:val="1"/>
                <w:color w:val="auto"/>
                <w:w w:val="87"/>
              </w:rPr>
              <w:t>Rate of Interest, Collateral,</w:t>
            </w:r>
          </w:p>
        </w:tc>
        <w:tc>
          <w:tcPr>
            <w:tcW w:w="960" w:type="dxa"/>
            <w:vAlign w:val="bottom"/>
            <w:gridSpan w:val="2"/>
          </w:tcPr>
          <w:p>
            <w:pPr>
              <w:jc w:val="center"/>
              <w:ind w:right="20"/>
              <w:spacing w:after="0" w:line="149" w:lineRule="exact"/>
              <w:rPr>
                <w:sz w:val="20"/>
                <w:szCs w:val="20"/>
                <w:color w:val="auto"/>
              </w:rPr>
            </w:pPr>
            <w:r>
              <w:rPr>
                <w:rFonts w:ascii="Arial" w:cs="Arial" w:eastAsia="Arial" w:hAnsi="Arial"/>
                <w:sz w:val="14"/>
                <w:szCs w:val="14"/>
                <w:b w:val="1"/>
                <w:bCs w:val="1"/>
                <w:color w:val="auto"/>
                <w:w w:val="92"/>
              </w:rPr>
              <w:t>(e) Current</w:t>
            </w:r>
          </w:p>
        </w:tc>
        <w:tc>
          <w:tcPr>
            <w:tcW w:w="0" w:type="dxa"/>
            <w:vAlign w:val="bottom"/>
          </w:tcPr>
          <w:p>
            <w:pPr>
              <w:spacing w:after="0"/>
              <w:rPr>
                <w:sz w:val="1"/>
                <w:szCs w:val="1"/>
                <w:color w:val="auto"/>
              </w:rPr>
            </w:pPr>
          </w:p>
        </w:tc>
      </w:tr>
      <w:tr>
        <w:trPr>
          <w:trHeight w:val="161"/>
        </w:trPr>
        <w:tc>
          <w:tcPr>
            <w:tcW w:w="180" w:type="dxa"/>
            <w:vAlign w:val="bottom"/>
          </w:tcPr>
          <w:p>
            <w:pPr>
              <w:spacing w:after="0"/>
              <w:rPr>
                <w:sz w:val="20"/>
                <w:szCs w:val="20"/>
                <w:color w:val="auto"/>
              </w:rPr>
            </w:pPr>
            <w:r>
              <w:rPr>
                <w:rFonts w:ascii="Arial" w:cs="Arial" w:eastAsia="Arial" w:hAnsi="Arial"/>
                <w:sz w:val="14"/>
                <w:szCs w:val="14"/>
                <w:b w:val="1"/>
                <w:bCs w:val="1"/>
                <w:color w:val="auto"/>
                <w:w w:val="93"/>
              </w:rPr>
              <w:t>(a)</w:t>
            </w:r>
          </w:p>
        </w:tc>
        <w:tc>
          <w:tcPr>
            <w:tcW w:w="400" w:type="dxa"/>
            <w:vAlign w:val="bottom"/>
          </w:tcPr>
          <w:p>
            <w:pPr>
              <w:spacing w:after="0"/>
              <w:rPr>
                <w:sz w:val="14"/>
                <w:szCs w:val="14"/>
                <w:color w:val="auto"/>
              </w:rPr>
            </w:pPr>
          </w:p>
        </w:tc>
        <w:tc>
          <w:tcPr>
            <w:tcW w:w="7460" w:type="dxa"/>
            <w:vAlign w:val="bottom"/>
            <w:vMerge w:val="continue"/>
          </w:tcPr>
          <w:p>
            <w:pPr>
              <w:spacing w:after="0"/>
              <w:rPr>
                <w:sz w:val="14"/>
                <w:szCs w:val="14"/>
                <w:color w:val="auto"/>
              </w:rPr>
            </w:pPr>
          </w:p>
        </w:tc>
        <w:tc>
          <w:tcPr>
            <w:tcW w:w="440" w:type="dxa"/>
            <w:vAlign w:val="bottom"/>
          </w:tcPr>
          <w:p>
            <w:pPr>
              <w:spacing w:after="0"/>
              <w:rPr>
                <w:sz w:val="14"/>
                <w:szCs w:val="14"/>
                <w:color w:val="auto"/>
              </w:rPr>
            </w:pPr>
          </w:p>
        </w:tc>
        <w:tc>
          <w:tcPr>
            <w:tcW w:w="2000" w:type="dxa"/>
            <w:vAlign w:val="bottom"/>
            <w:gridSpan w:val="2"/>
          </w:tcPr>
          <w:p>
            <w:pPr>
              <w:jc w:val="center"/>
              <w:ind w:right="420"/>
              <w:spacing w:after="0"/>
              <w:rPr>
                <w:sz w:val="20"/>
                <w:szCs w:val="20"/>
                <w:color w:val="auto"/>
              </w:rPr>
            </w:pPr>
            <w:r>
              <w:rPr>
                <w:rFonts w:ascii="Arial" w:cs="Arial" w:eastAsia="Arial" w:hAnsi="Arial"/>
                <w:sz w:val="14"/>
                <w:szCs w:val="14"/>
                <w:b w:val="1"/>
                <w:bCs w:val="1"/>
                <w:color w:val="auto"/>
                <w:w w:val="90"/>
              </w:rPr>
              <w:t>Par, or Maturity Value</w:t>
            </w:r>
          </w:p>
        </w:tc>
        <w:tc>
          <w:tcPr>
            <w:tcW w:w="960" w:type="dxa"/>
            <w:vAlign w:val="bottom"/>
            <w:gridSpan w:val="2"/>
          </w:tcPr>
          <w:p>
            <w:pPr>
              <w:jc w:val="center"/>
              <w:spacing w:after="0"/>
              <w:rPr>
                <w:sz w:val="20"/>
                <w:szCs w:val="20"/>
                <w:color w:val="auto"/>
              </w:rPr>
            </w:pPr>
            <w:r>
              <w:rPr>
                <w:rFonts w:ascii="Arial" w:cs="Arial" w:eastAsia="Arial" w:hAnsi="Arial"/>
                <w:sz w:val="14"/>
                <w:szCs w:val="14"/>
                <w:b w:val="1"/>
                <w:bCs w:val="1"/>
                <w:color w:val="auto"/>
                <w:w w:val="85"/>
              </w:rPr>
              <w:t>Value</w:t>
            </w:r>
          </w:p>
        </w:tc>
        <w:tc>
          <w:tcPr>
            <w:tcW w:w="0" w:type="dxa"/>
            <w:vAlign w:val="bottom"/>
          </w:tcPr>
          <w:p>
            <w:pPr>
              <w:spacing w:after="0"/>
              <w:rPr>
                <w:sz w:val="1"/>
                <w:szCs w:val="1"/>
                <w:color w:val="auto"/>
              </w:rPr>
            </w:pPr>
          </w:p>
        </w:tc>
      </w:tr>
      <w:tr>
        <w:trPr>
          <w:trHeight w:val="142"/>
        </w:trPr>
        <w:tc>
          <w:tcPr>
            <w:tcW w:w="180" w:type="dxa"/>
            <w:vAlign w:val="bottom"/>
            <w:tcBorders>
              <w:top w:val="single" w:sz="8" w:color="auto"/>
            </w:tcBorders>
          </w:tcPr>
          <w:p>
            <w:pPr>
              <w:spacing w:after="0"/>
              <w:rPr>
                <w:sz w:val="12"/>
                <w:szCs w:val="12"/>
                <w:color w:val="auto"/>
              </w:rPr>
            </w:pPr>
          </w:p>
        </w:tc>
        <w:tc>
          <w:tcPr>
            <w:tcW w:w="400" w:type="dxa"/>
            <w:vAlign w:val="bottom"/>
          </w:tcPr>
          <w:p>
            <w:pPr>
              <w:spacing w:after="0"/>
              <w:rPr>
                <w:sz w:val="12"/>
                <w:szCs w:val="12"/>
                <w:color w:val="auto"/>
              </w:rPr>
            </w:pPr>
          </w:p>
        </w:tc>
        <w:tc>
          <w:tcPr>
            <w:tcW w:w="7460" w:type="dxa"/>
            <w:vAlign w:val="bottom"/>
            <w:tcBorders>
              <w:top w:val="single" w:sz="8" w:color="auto"/>
            </w:tcBorders>
          </w:tcPr>
          <w:p>
            <w:pPr>
              <w:spacing w:after="0"/>
              <w:rPr>
                <w:sz w:val="12"/>
                <w:szCs w:val="12"/>
                <w:color w:val="auto"/>
              </w:rPr>
            </w:pPr>
          </w:p>
        </w:tc>
        <w:tc>
          <w:tcPr>
            <w:tcW w:w="440" w:type="dxa"/>
            <w:vAlign w:val="bottom"/>
          </w:tcPr>
          <w:p>
            <w:pPr>
              <w:spacing w:after="0"/>
              <w:rPr>
                <w:sz w:val="12"/>
                <w:szCs w:val="12"/>
                <w:color w:val="auto"/>
              </w:rPr>
            </w:pPr>
          </w:p>
        </w:tc>
        <w:tc>
          <w:tcPr>
            <w:tcW w:w="1580" w:type="dxa"/>
            <w:vAlign w:val="bottom"/>
            <w:tcBorders>
              <w:top w:val="single" w:sz="8" w:color="auto"/>
            </w:tcBorders>
          </w:tcPr>
          <w:p>
            <w:pPr>
              <w:spacing w:after="0"/>
              <w:rPr>
                <w:sz w:val="12"/>
                <w:szCs w:val="12"/>
                <w:color w:val="auto"/>
              </w:rPr>
            </w:pPr>
          </w:p>
        </w:tc>
        <w:tc>
          <w:tcPr>
            <w:tcW w:w="420" w:type="dxa"/>
            <w:vAlign w:val="bottom"/>
          </w:tcPr>
          <w:p>
            <w:pPr>
              <w:spacing w:after="0"/>
              <w:rPr>
                <w:sz w:val="12"/>
                <w:szCs w:val="12"/>
                <w:color w:val="auto"/>
              </w:rPr>
            </w:pPr>
          </w:p>
        </w:tc>
        <w:tc>
          <w:tcPr>
            <w:tcW w:w="940" w:type="dxa"/>
            <w:vAlign w:val="bottom"/>
            <w:tcBorders>
              <w:top w:val="single" w:sz="8" w:color="auto"/>
            </w:tcBorders>
          </w:tcPr>
          <w:p>
            <w:pPr>
              <w:jc w:val="center"/>
              <w:spacing w:after="0" w:line="142" w:lineRule="exact"/>
              <w:rPr>
                <w:sz w:val="20"/>
                <w:szCs w:val="20"/>
                <w:color w:val="auto"/>
              </w:rPr>
            </w:pPr>
            <w:r>
              <w:rPr>
                <w:rFonts w:ascii="Arial" w:cs="Arial" w:eastAsia="Arial" w:hAnsi="Arial"/>
                <w:sz w:val="14"/>
                <w:szCs w:val="14"/>
                <w:b w:val="1"/>
                <w:bCs w:val="1"/>
                <w:color w:val="auto"/>
                <w:w w:val="85"/>
              </w:rPr>
              <w:t>($ in thousands)</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18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7460" w:type="dxa"/>
            <w:vAlign w:val="bottom"/>
            <w:shd w:val="clear" w:color="auto" w:fill="CCEEFF"/>
          </w:tcPr>
          <w:p>
            <w:pPr>
              <w:spacing w:after="0"/>
              <w:rPr>
                <w:sz w:val="20"/>
                <w:szCs w:val="20"/>
                <w:color w:val="auto"/>
              </w:rPr>
            </w:pPr>
            <w:r>
              <w:rPr>
                <w:rFonts w:ascii="Arial" w:cs="Arial" w:eastAsia="Arial" w:hAnsi="Arial"/>
                <w:sz w:val="18"/>
                <w:szCs w:val="18"/>
                <w:color w:val="auto"/>
              </w:rPr>
              <w:t>Mutual Funds (at fair value)</w:t>
            </w:r>
          </w:p>
        </w:tc>
        <w:tc>
          <w:tcPr>
            <w:tcW w:w="440" w:type="dxa"/>
            <w:vAlign w:val="bottom"/>
            <w:shd w:val="clear" w:color="auto" w:fill="CCEEFF"/>
          </w:tcPr>
          <w:p>
            <w:pPr>
              <w:spacing w:after="0"/>
              <w:rPr>
                <w:sz w:val="18"/>
                <w:szCs w:val="18"/>
                <w:color w:val="auto"/>
              </w:rPr>
            </w:pPr>
          </w:p>
        </w:tc>
        <w:tc>
          <w:tcPr>
            <w:tcW w:w="158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7460" w:type="dxa"/>
            <w:vAlign w:val="bottom"/>
          </w:tcPr>
          <w:p>
            <w:pPr>
              <w:ind w:left="440"/>
              <w:spacing w:after="0"/>
              <w:rPr>
                <w:sz w:val="20"/>
                <w:szCs w:val="20"/>
                <w:color w:val="auto"/>
              </w:rPr>
            </w:pPr>
            <w:r>
              <w:rPr>
                <w:rFonts w:ascii="Arial" w:cs="Arial" w:eastAsia="Arial" w:hAnsi="Arial"/>
                <w:sz w:val="18"/>
                <w:szCs w:val="18"/>
                <w:color w:val="auto"/>
              </w:rPr>
              <w:t>Dodge and Cox Balanced Fund</w:t>
            </w:r>
          </w:p>
        </w:tc>
        <w:tc>
          <w:tcPr>
            <w:tcW w:w="440" w:type="dxa"/>
            <w:vAlign w:val="bottom"/>
          </w:tcPr>
          <w:p>
            <w:pPr>
              <w:spacing w:after="0"/>
              <w:rPr>
                <w:sz w:val="18"/>
                <w:szCs w:val="18"/>
                <w:color w:val="auto"/>
              </w:rPr>
            </w:pPr>
          </w:p>
        </w:tc>
        <w:tc>
          <w:tcPr>
            <w:tcW w:w="2000" w:type="dxa"/>
            <w:vAlign w:val="bottom"/>
            <w:gridSpan w:val="2"/>
          </w:tcPr>
          <w:p>
            <w:pPr>
              <w:jc w:val="right"/>
              <w:ind w:right="420"/>
              <w:spacing w:after="0"/>
              <w:rPr>
                <w:sz w:val="20"/>
                <w:szCs w:val="20"/>
                <w:color w:val="auto"/>
              </w:rPr>
            </w:pPr>
            <w:r>
              <w:rPr>
                <w:rFonts w:ascii="Arial" w:cs="Arial" w:eastAsia="Arial" w:hAnsi="Arial"/>
                <w:sz w:val="18"/>
                <w:szCs w:val="18"/>
                <w:color w:val="auto"/>
              </w:rPr>
              <w:t>2,344,618 units</w:t>
            </w:r>
          </w:p>
        </w:tc>
        <w:tc>
          <w:tcPr>
            <w:tcW w:w="940" w:type="dxa"/>
            <w:vAlign w:val="bottom"/>
          </w:tcPr>
          <w:p>
            <w:pPr>
              <w:jc w:val="right"/>
              <w:spacing w:after="0"/>
              <w:rPr>
                <w:sz w:val="20"/>
                <w:szCs w:val="20"/>
                <w:color w:val="auto"/>
              </w:rPr>
            </w:pPr>
            <w:r>
              <w:rPr>
                <w:rFonts w:ascii="Arial" w:cs="Arial" w:eastAsia="Arial" w:hAnsi="Arial"/>
                <w:sz w:val="18"/>
                <w:szCs w:val="18"/>
                <w:color w:val="auto"/>
              </w:rPr>
              <w:t>189,914</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8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7460" w:type="dxa"/>
            <w:vAlign w:val="bottom"/>
            <w:shd w:val="clear" w:color="auto" w:fill="CCEEFF"/>
          </w:tcPr>
          <w:p>
            <w:pPr>
              <w:ind w:left="440"/>
              <w:spacing w:after="0"/>
              <w:rPr>
                <w:sz w:val="20"/>
                <w:szCs w:val="20"/>
                <w:color w:val="auto"/>
              </w:rPr>
            </w:pPr>
            <w:r>
              <w:rPr>
                <w:rFonts w:ascii="Arial" w:cs="Arial" w:eastAsia="Arial" w:hAnsi="Arial"/>
                <w:sz w:val="18"/>
                <w:szCs w:val="18"/>
                <w:color w:val="auto"/>
              </w:rPr>
              <w:t>Fidelity Diversified International Fund</w:t>
            </w:r>
          </w:p>
        </w:tc>
        <w:tc>
          <w:tcPr>
            <w:tcW w:w="440" w:type="dxa"/>
            <w:vAlign w:val="bottom"/>
            <w:shd w:val="clear" w:color="auto" w:fill="CCEEFF"/>
          </w:tcPr>
          <w:p>
            <w:pPr>
              <w:spacing w:after="0"/>
              <w:rPr>
                <w:sz w:val="18"/>
                <w:szCs w:val="18"/>
                <w:color w:val="auto"/>
              </w:rPr>
            </w:pPr>
          </w:p>
        </w:tc>
        <w:tc>
          <w:tcPr>
            <w:tcW w:w="200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5,690,216 units</w:t>
            </w: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227,040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7460" w:type="dxa"/>
            <w:vAlign w:val="bottom"/>
          </w:tcPr>
          <w:p>
            <w:pPr>
              <w:ind w:left="440"/>
              <w:spacing w:after="0"/>
              <w:rPr>
                <w:sz w:val="20"/>
                <w:szCs w:val="20"/>
                <w:color w:val="auto"/>
              </w:rPr>
            </w:pPr>
            <w:r>
              <w:rPr>
                <w:rFonts w:ascii="Arial" w:cs="Arial" w:eastAsia="Arial" w:hAnsi="Arial"/>
                <w:sz w:val="18"/>
                <w:szCs w:val="18"/>
                <w:color w:val="auto"/>
              </w:rPr>
              <w:t>Fidelity Freedom 2010 Fund</w:t>
            </w:r>
          </w:p>
        </w:tc>
        <w:tc>
          <w:tcPr>
            <w:tcW w:w="440" w:type="dxa"/>
            <w:vAlign w:val="bottom"/>
          </w:tcPr>
          <w:p>
            <w:pPr>
              <w:spacing w:after="0"/>
              <w:rPr>
                <w:sz w:val="18"/>
                <w:szCs w:val="18"/>
                <w:color w:val="auto"/>
              </w:rPr>
            </w:pPr>
          </w:p>
        </w:tc>
        <w:tc>
          <w:tcPr>
            <w:tcW w:w="2000" w:type="dxa"/>
            <w:vAlign w:val="bottom"/>
            <w:gridSpan w:val="2"/>
          </w:tcPr>
          <w:p>
            <w:pPr>
              <w:jc w:val="right"/>
              <w:ind w:right="420"/>
              <w:spacing w:after="0"/>
              <w:rPr>
                <w:sz w:val="20"/>
                <w:szCs w:val="20"/>
                <w:color w:val="auto"/>
              </w:rPr>
            </w:pPr>
            <w:r>
              <w:rPr>
                <w:rFonts w:ascii="Arial" w:cs="Arial" w:eastAsia="Arial" w:hAnsi="Arial"/>
                <w:sz w:val="18"/>
                <w:szCs w:val="18"/>
                <w:color w:val="auto"/>
              </w:rPr>
              <w:t>2,590,272 units</w:t>
            </w:r>
          </w:p>
        </w:tc>
        <w:tc>
          <w:tcPr>
            <w:tcW w:w="940" w:type="dxa"/>
            <w:vAlign w:val="bottom"/>
          </w:tcPr>
          <w:p>
            <w:pPr>
              <w:jc w:val="right"/>
              <w:spacing w:after="0"/>
              <w:rPr>
                <w:sz w:val="20"/>
                <w:szCs w:val="20"/>
                <w:color w:val="auto"/>
              </w:rPr>
            </w:pPr>
            <w:r>
              <w:rPr>
                <w:rFonts w:ascii="Arial" w:cs="Arial" w:eastAsia="Arial" w:hAnsi="Arial"/>
                <w:sz w:val="18"/>
                <w:szCs w:val="18"/>
                <w:color w:val="auto"/>
              </w:rPr>
              <w:t>38,388</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8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7460" w:type="dxa"/>
            <w:vAlign w:val="bottom"/>
            <w:shd w:val="clear" w:color="auto" w:fill="CCEEFF"/>
          </w:tcPr>
          <w:p>
            <w:pPr>
              <w:ind w:left="440"/>
              <w:spacing w:after="0"/>
              <w:rPr>
                <w:sz w:val="20"/>
                <w:szCs w:val="20"/>
                <w:color w:val="auto"/>
              </w:rPr>
            </w:pPr>
            <w:r>
              <w:rPr>
                <w:rFonts w:ascii="Arial" w:cs="Arial" w:eastAsia="Arial" w:hAnsi="Arial"/>
                <w:sz w:val="18"/>
                <w:szCs w:val="18"/>
                <w:color w:val="auto"/>
              </w:rPr>
              <w:t>Fidelity Freedom 2020 Fund</w:t>
            </w:r>
          </w:p>
        </w:tc>
        <w:tc>
          <w:tcPr>
            <w:tcW w:w="440" w:type="dxa"/>
            <w:vAlign w:val="bottom"/>
            <w:shd w:val="clear" w:color="auto" w:fill="CCEEFF"/>
          </w:tcPr>
          <w:p>
            <w:pPr>
              <w:spacing w:after="0"/>
              <w:rPr>
                <w:sz w:val="18"/>
                <w:szCs w:val="18"/>
                <w:color w:val="auto"/>
              </w:rPr>
            </w:pPr>
          </w:p>
        </w:tc>
        <w:tc>
          <w:tcPr>
            <w:tcW w:w="200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6,243,416 units</w:t>
            </w: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98,708</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7460" w:type="dxa"/>
            <w:vAlign w:val="bottom"/>
          </w:tcPr>
          <w:p>
            <w:pPr>
              <w:ind w:left="440"/>
              <w:spacing w:after="0"/>
              <w:rPr>
                <w:sz w:val="20"/>
                <w:szCs w:val="20"/>
                <w:color w:val="auto"/>
              </w:rPr>
            </w:pPr>
            <w:r>
              <w:rPr>
                <w:rFonts w:ascii="Arial" w:cs="Arial" w:eastAsia="Arial" w:hAnsi="Arial"/>
                <w:sz w:val="18"/>
                <w:szCs w:val="18"/>
                <w:color w:val="auto"/>
              </w:rPr>
              <w:t>Fidelity Freedom 2030 Fund</w:t>
            </w:r>
          </w:p>
        </w:tc>
        <w:tc>
          <w:tcPr>
            <w:tcW w:w="440" w:type="dxa"/>
            <w:vAlign w:val="bottom"/>
          </w:tcPr>
          <w:p>
            <w:pPr>
              <w:spacing w:after="0"/>
              <w:rPr>
                <w:sz w:val="18"/>
                <w:szCs w:val="18"/>
                <w:color w:val="auto"/>
              </w:rPr>
            </w:pPr>
          </w:p>
        </w:tc>
        <w:tc>
          <w:tcPr>
            <w:tcW w:w="2000" w:type="dxa"/>
            <w:vAlign w:val="bottom"/>
            <w:gridSpan w:val="2"/>
          </w:tcPr>
          <w:p>
            <w:pPr>
              <w:jc w:val="right"/>
              <w:ind w:right="420"/>
              <w:spacing w:after="0"/>
              <w:rPr>
                <w:sz w:val="20"/>
                <w:szCs w:val="20"/>
                <w:color w:val="auto"/>
              </w:rPr>
            </w:pPr>
            <w:r>
              <w:rPr>
                <w:rFonts w:ascii="Arial" w:cs="Arial" w:eastAsia="Arial" w:hAnsi="Arial"/>
                <w:sz w:val="18"/>
                <w:szCs w:val="18"/>
                <w:color w:val="auto"/>
              </w:rPr>
              <w:t>5,999,247 units</w:t>
            </w:r>
          </w:p>
        </w:tc>
        <w:tc>
          <w:tcPr>
            <w:tcW w:w="940" w:type="dxa"/>
            <w:vAlign w:val="bottom"/>
          </w:tcPr>
          <w:p>
            <w:pPr>
              <w:jc w:val="right"/>
              <w:spacing w:after="0"/>
              <w:rPr>
                <w:sz w:val="20"/>
                <w:szCs w:val="20"/>
                <w:color w:val="auto"/>
              </w:rPr>
            </w:pPr>
            <w:r>
              <w:rPr>
                <w:rFonts w:ascii="Arial" w:cs="Arial" w:eastAsia="Arial" w:hAnsi="Arial"/>
                <w:sz w:val="18"/>
                <w:szCs w:val="18"/>
                <w:color w:val="auto"/>
              </w:rPr>
              <w:t>99,108</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8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7460" w:type="dxa"/>
            <w:vAlign w:val="bottom"/>
            <w:shd w:val="clear" w:color="auto" w:fill="CCEEFF"/>
          </w:tcPr>
          <w:p>
            <w:pPr>
              <w:ind w:left="440"/>
              <w:spacing w:after="0"/>
              <w:rPr>
                <w:sz w:val="20"/>
                <w:szCs w:val="20"/>
                <w:color w:val="auto"/>
              </w:rPr>
            </w:pPr>
            <w:r>
              <w:rPr>
                <w:rFonts w:ascii="Arial" w:cs="Arial" w:eastAsia="Arial" w:hAnsi="Arial"/>
                <w:sz w:val="18"/>
                <w:szCs w:val="18"/>
                <w:color w:val="auto"/>
              </w:rPr>
              <w:t>Fidelity Freedom 2040 Fund</w:t>
            </w:r>
          </w:p>
        </w:tc>
        <w:tc>
          <w:tcPr>
            <w:tcW w:w="440" w:type="dxa"/>
            <w:vAlign w:val="bottom"/>
            <w:shd w:val="clear" w:color="auto" w:fill="CCEEFF"/>
          </w:tcPr>
          <w:p>
            <w:pPr>
              <w:spacing w:after="0"/>
              <w:rPr>
                <w:sz w:val="18"/>
                <w:szCs w:val="18"/>
                <w:color w:val="auto"/>
              </w:rPr>
            </w:pPr>
          </w:p>
        </w:tc>
        <w:tc>
          <w:tcPr>
            <w:tcW w:w="200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5,121,889 units</w:t>
            </w: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49,836</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7460" w:type="dxa"/>
            <w:vAlign w:val="bottom"/>
          </w:tcPr>
          <w:p>
            <w:pPr>
              <w:ind w:left="440"/>
              <w:spacing w:after="0"/>
              <w:rPr>
                <w:sz w:val="20"/>
                <w:szCs w:val="20"/>
                <w:color w:val="auto"/>
              </w:rPr>
            </w:pPr>
            <w:r>
              <w:rPr>
                <w:rFonts w:ascii="Arial" w:cs="Arial" w:eastAsia="Arial" w:hAnsi="Arial"/>
                <w:sz w:val="18"/>
                <w:szCs w:val="18"/>
                <w:color w:val="auto"/>
              </w:rPr>
              <w:t>Fidelity Freedom 2050 Fund</w:t>
            </w:r>
          </w:p>
        </w:tc>
        <w:tc>
          <w:tcPr>
            <w:tcW w:w="440" w:type="dxa"/>
            <w:vAlign w:val="bottom"/>
          </w:tcPr>
          <w:p>
            <w:pPr>
              <w:spacing w:after="0"/>
              <w:rPr>
                <w:sz w:val="18"/>
                <w:szCs w:val="18"/>
                <w:color w:val="auto"/>
              </w:rPr>
            </w:pPr>
          </w:p>
        </w:tc>
        <w:tc>
          <w:tcPr>
            <w:tcW w:w="2000" w:type="dxa"/>
            <w:vAlign w:val="bottom"/>
            <w:gridSpan w:val="2"/>
          </w:tcPr>
          <w:p>
            <w:pPr>
              <w:jc w:val="right"/>
              <w:ind w:right="420"/>
              <w:spacing w:after="0"/>
              <w:rPr>
                <w:sz w:val="20"/>
                <w:szCs w:val="20"/>
                <w:color w:val="auto"/>
              </w:rPr>
            </w:pPr>
            <w:r>
              <w:rPr>
                <w:rFonts w:ascii="Arial" w:cs="Arial" w:eastAsia="Arial" w:hAnsi="Arial"/>
                <w:sz w:val="18"/>
                <w:szCs w:val="18"/>
                <w:color w:val="auto"/>
              </w:rPr>
              <w:t>583,670 units</w:t>
            </w:r>
          </w:p>
        </w:tc>
        <w:tc>
          <w:tcPr>
            <w:tcW w:w="940" w:type="dxa"/>
            <w:vAlign w:val="bottom"/>
          </w:tcPr>
          <w:p>
            <w:pPr>
              <w:jc w:val="right"/>
              <w:spacing w:after="0"/>
              <w:rPr>
                <w:sz w:val="20"/>
                <w:szCs w:val="20"/>
                <w:color w:val="auto"/>
              </w:rPr>
            </w:pPr>
            <w:r>
              <w:rPr>
                <w:rFonts w:ascii="Arial" w:cs="Arial" w:eastAsia="Arial" w:hAnsi="Arial"/>
                <w:sz w:val="18"/>
                <w:szCs w:val="18"/>
                <w:color w:val="auto"/>
              </w:rPr>
              <w:t>6,671</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8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7460" w:type="dxa"/>
            <w:vAlign w:val="bottom"/>
            <w:shd w:val="clear" w:color="auto" w:fill="CCEEFF"/>
          </w:tcPr>
          <w:p>
            <w:pPr>
              <w:ind w:left="440"/>
              <w:spacing w:after="0"/>
              <w:rPr>
                <w:sz w:val="20"/>
                <w:szCs w:val="20"/>
                <w:color w:val="auto"/>
              </w:rPr>
            </w:pPr>
            <w:r>
              <w:rPr>
                <w:rFonts w:ascii="Arial" w:cs="Arial" w:eastAsia="Arial" w:hAnsi="Arial"/>
                <w:sz w:val="18"/>
                <w:szCs w:val="18"/>
                <w:color w:val="auto"/>
              </w:rPr>
              <w:t>Fidelity Freedom Income Fund</w:t>
            </w:r>
          </w:p>
        </w:tc>
        <w:tc>
          <w:tcPr>
            <w:tcW w:w="440" w:type="dxa"/>
            <w:vAlign w:val="bottom"/>
            <w:shd w:val="clear" w:color="auto" w:fill="CCEEFF"/>
          </w:tcPr>
          <w:p>
            <w:pPr>
              <w:spacing w:after="0"/>
              <w:rPr>
                <w:sz w:val="18"/>
                <w:szCs w:val="18"/>
                <w:color w:val="auto"/>
              </w:rPr>
            </w:pPr>
          </w:p>
        </w:tc>
        <w:tc>
          <w:tcPr>
            <w:tcW w:w="200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717,185 units</w:t>
            </w: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8,212</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7460" w:type="dxa"/>
            <w:vAlign w:val="bottom"/>
          </w:tcPr>
          <w:p>
            <w:pPr>
              <w:ind w:left="440"/>
              <w:spacing w:after="0"/>
              <w:rPr>
                <w:sz w:val="20"/>
                <w:szCs w:val="20"/>
                <w:color w:val="auto"/>
              </w:rPr>
            </w:pPr>
            <w:r>
              <w:rPr>
                <w:rFonts w:ascii="Arial" w:cs="Arial" w:eastAsia="Arial" w:hAnsi="Arial"/>
                <w:sz w:val="18"/>
                <w:szCs w:val="18"/>
                <w:color w:val="auto"/>
              </w:rPr>
              <w:t>Fidelity Growth Company</w:t>
            </w:r>
          </w:p>
        </w:tc>
        <w:tc>
          <w:tcPr>
            <w:tcW w:w="440" w:type="dxa"/>
            <w:vAlign w:val="bottom"/>
          </w:tcPr>
          <w:p>
            <w:pPr>
              <w:spacing w:after="0"/>
              <w:rPr>
                <w:sz w:val="18"/>
                <w:szCs w:val="18"/>
                <w:color w:val="auto"/>
              </w:rPr>
            </w:pPr>
          </w:p>
        </w:tc>
        <w:tc>
          <w:tcPr>
            <w:tcW w:w="2000" w:type="dxa"/>
            <w:vAlign w:val="bottom"/>
            <w:gridSpan w:val="2"/>
          </w:tcPr>
          <w:p>
            <w:pPr>
              <w:jc w:val="right"/>
              <w:ind w:right="420"/>
              <w:spacing w:after="0"/>
              <w:rPr>
                <w:sz w:val="20"/>
                <w:szCs w:val="20"/>
                <w:color w:val="auto"/>
              </w:rPr>
            </w:pPr>
            <w:r>
              <w:rPr>
                <w:rFonts w:ascii="Arial" w:cs="Arial" w:eastAsia="Arial" w:hAnsi="Arial"/>
                <w:sz w:val="18"/>
                <w:szCs w:val="18"/>
                <w:color w:val="auto"/>
              </w:rPr>
              <w:t>553,852 units</w:t>
            </w:r>
          </w:p>
        </w:tc>
        <w:tc>
          <w:tcPr>
            <w:tcW w:w="940" w:type="dxa"/>
            <w:vAlign w:val="bottom"/>
          </w:tcPr>
          <w:p>
            <w:pPr>
              <w:jc w:val="right"/>
              <w:spacing w:after="0"/>
              <w:rPr>
                <w:sz w:val="20"/>
                <w:szCs w:val="20"/>
                <w:color w:val="auto"/>
              </w:rPr>
            </w:pPr>
            <w:r>
              <w:rPr>
                <w:rFonts w:ascii="Arial" w:cs="Arial" w:eastAsia="Arial" w:hAnsi="Arial"/>
                <w:sz w:val="18"/>
                <w:szCs w:val="18"/>
                <w:color w:val="auto"/>
              </w:rPr>
              <w:t>45,959</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8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7460" w:type="dxa"/>
            <w:vAlign w:val="bottom"/>
            <w:shd w:val="clear" w:color="auto" w:fill="CCEEFF"/>
          </w:tcPr>
          <w:p>
            <w:pPr>
              <w:ind w:left="440"/>
              <w:spacing w:after="0"/>
              <w:rPr>
                <w:sz w:val="20"/>
                <w:szCs w:val="20"/>
                <w:color w:val="auto"/>
              </w:rPr>
            </w:pPr>
            <w:r>
              <w:rPr>
                <w:rFonts w:ascii="Arial" w:cs="Arial" w:eastAsia="Arial" w:hAnsi="Arial"/>
                <w:sz w:val="18"/>
                <w:szCs w:val="18"/>
                <w:color w:val="auto"/>
              </w:rPr>
              <w:t>Fidelity Ret Govt MM</w:t>
            </w:r>
          </w:p>
        </w:tc>
        <w:tc>
          <w:tcPr>
            <w:tcW w:w="440" w:type="dxa"/>
            <w:vAlign w:val="bottom"/>
            <w:shd w:val="clear" w:color="auto" w:fill="CCEEFF"/>
          </w:tcPr>
          <w:p>
            <w:pPr>
              <w:spacing w:after="0"/>
              <w:rPr>
                <w:sz w:val="18"/>
                <w:szCs w:val="18"/>
                <w:color w:val="auto"/>
              </w:rPr>
            </w:pPr>
          </w:p>
        </w:tc>
        <w:tc>
          <w:tcPr>
            <w:tcW w:w="200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24,050 units</w:t>
            </w: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7460" w:type="dxa"/>
            <w:vAlign w:val="bottom"/>
          </w:tcPr>
          <w:p>
            <w:pPr>
              <w:ind w:left="440"/>
              <w:spacing w:after="0"/>
              <w:rPr>
                <w:sz w:val="20"/>
                <w:szCs w:val="20"/>
                <w:color w:val="auto"/>
              </w:rPr>
            </w:pPr>
            <w:r>
              <w:rPr>
                <w:rFonts w:ascii="Arial" w:cs="Arial" w:eastAsia="Arial" w:hAnsi="Arial"/>
                <w:sz w:val="18"/>
                <w:szCs w:val="18"/>
                <w:color w:val="auto"/>
              </w:rPr>
              <w:t>Fidelity Small Cap Stock Fund</w:t>
            </w:r>
          </w:p>
        </w:tc>
        <w:tc>
          <w:tcPr>
            <w:tcW w:w="440" w:type="dxa"/>
            <w:vAlign w:val="bottom"/>
          </w:tcPr>
          <w:p>
            <w:pPr>
              <w:spacing w:after="0"/>
              <w:rPr>
                <w:sz w:val="18"/>
                <w:szCs w:val="18"/>
                <w:color w:val="auto"/>
              </w:rPr>
            </w:pPr>
          </w:p>
        </w:tc>
        <w:tc>
          <w:tcPr>
            <w:tcW w:w="2000" w:type="dxa"/>
            <w:vAlign w:val="bottom"/>
            <w:gridSpan w:val="2"/>
          </w:tcPr>
          <w:p>
            <w:pPr>
              <w:jc w:val="right"/>
              <w:ind w:right="420"/>
              <w:spacing w:after="0"/>
              <w:rPr>
                <w:sz w:val="20"/>
                <w:szCs w:val="20"/>
                <w:color w:val="auto"/>
              </w:rPr>
            </w:pPr>
            <w:r>
              <w:rPr>
                <w:rFonts w:ascii="Arial" w:cs="Arial" w:eastAsia="Arial" w:hAnsi="Arial"/>
                <w:sz w:val="18"/>
                <w:szCs w:val="18"/>
                <w:color w:val="auto"/>
              </w:rPr>
              <w:t>6,103,611 units</w:t>
            </w:r>
          </w:p>
        </w:tc>
        <w:tc>
          <w:tcPr>
            <w:tcW w:w="940" w:type="dxa"/>
            <w:vAlign w:val="bottom"/>
          </w:tcPr>
          <w:p>
            <w:pPr>
              <w:jc w:val="right"/>
              <w:spacing w:after="0"/>
              <w:rPr>
                <w:sz w:val="20"/>
                <w:szCs w:val="20"/>
                <w:color w:val="auto"/>
              </w:rPr>
            </w:pPr>
            <w:r>
              <w:rPr>
                <w:rFonts w:ascii="Arial" w:cs="Arial" w:eastAsia="Arial" w:hAnsi="Arial"/>
                <w:sz w:val="18"/>
                <w:szCs w:val="18"/>
                <w:color w:val="auto"/>
              </w:rPr>
              <w:t>106,386</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8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7460" w:type="dxa"/>
            <w:vAlign w:val="bottom"/>
            <w:shd w:val="clear" w:color="auto" w:fill="CCEEFF"/>
          </w:tcPr>
          <w:p>
            <w:pPr>
              <w:ind w:left="440"/>
              <w:spacing w:after="0"/>
              <w:rPr>
                <w:sz w:val="20"/>
                <w:szCs w:val="20"/>
                <w:color w:val="auto"/>
              </w:rPr>
            </w:pPr>
            <w:r>
              <w:rPr>
                <w:rFonts w:ascii="Arial" w:cs="Arial" w:eastAsia="Arial" w:hAnsi="Arial"/>
                <w:sz w:val="18"/>
                <w:szCs w:val="18"/>
                <w:color w:val="auto"/>
              </w:rPr>
              <w:t>Fidelity US Bond Index Fund</w:t>
            </w:r>
          </w:p>
        </w:tc>
        <w:tc>
          <w:tcPr>
            <w:tcW w:w="440" w:type="dxa"/>
            <w:vAlign w:val="bottom"/>
            <w:shd w:val="clear" w:color="auto" w:fill="CCEEFF"/>
          </w:tcPr>
          <w:p>
            <w:pPr>
              <w:spacing w:after="0"/>
              <w:rPr>
                <w:sz w:val="18"/>
                <w:szCs w:val="18"/>
                <w:color w:val="auto"/>
              </w:rPr>
            </w:pPr>
          </w:p>
        </w:tc>
        <w:tc>
          <w:tcPr>
            <w:tcW w:w="200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3,141,107 units</w:t>
            </w: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34,207</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7460" w:type="dxa"/>
            <w:vAlign w:val="bottom"/>
          </w:tcPr>
          <w:p>
            <w:pPr>
              <w:ind w:left="440"/>
              <w:spacing w:after="0"/>
              <w:rPr>
                <w:sz w:val="20"/>
                <w:szCs w:val="20"/>
                <w:color w:val="auto"/>
              </w:rPr>
            </w:pPr>
            <w:r>
              <w:rPr>
                <w:rFonts w:ascii="Arial" w:cs="Arial" w:eastAsia="Arial" w:hAnsi="Arial"/>
                <w:sz w:val="18"/>
                <w:szCs w:val="18"/>
                <w:color w:val="auto"/>
              </w:rPr>
              <w:t>Pimco Total Return Institutional Fund</w:t>
            </w:r>
          </w:p>
        </w:tc>
        <w:tc>
          <w:tcPr>
            <w:tcW w:w="440" w:type="dxa"/>
            <w:vAlign w:val="bottom"/>
          </w:tcPr>
          <w:p>
            <w:pPr>
              <w:spacing w:after="0"/>
              <w:rPr>
                <w:sz w:val="18"/>
                <w:szCs w:val="18"/>
                <w:color w:val="auto"/>
              </w:rPr>
            </w:pPr>
          </w:p>
        </w:tc>
        <w:tc>
          <w:tcPr>
            <w:tcW w:w="2000" w:type="dxa"/>
            <w:vAlign w:val="bottom"/>
            <w:gridSpan w:val="2"/>
          </w:tcPr>
          <w:p>
            <w:pPr>
              <w:jc w:val="right"/>
              <w:ind w:right="420"/>
              <w:spacing w:after="0"/>
              <w:rPr>
                <w:sz w:val="20"/>
                <w:szCs w:val="20"/>
                <w:color w:val="auto"/>
              </w:rPr>
            </w:pPr>
            <w:r>
              <w:rPr>
                <w:rFonts w:ascii="Arial" w:cs="Arial" w:eastAsia="Arial" w:hAnsi="Arial"/>
                <w:sz w:val="18"/>
                <w:szCs w:val="18"/>
                <w:color w:val="auto"/>
              </w:rPr>
              <w:t>5,446,847 units</w:t>
            </w:r>
          </w:p>
        </w:tc>
        <w:tc>
          <w:tcPr>
            <w:tcW w:w="940" w:type="dxa"/>
            <w:vAlign w:val="bottom"/>
          </w:tcPr>
          <w:p>
            <w:pPr>
              <w:jc w:val="right"/>
              <w:spacing w:after="0"/>
              <w:rPr>
                <w:sz w:val="20"/>
                <w:szCs w:val="20"/>
                <w:color w:val="auto"/>
              </w:rPr>
            </w:pPr>
            <w:r>
              <w:rPr>
                <w:rFonts w:ascii="Arial" w:cs="Arial" w:eastAsia="Arial" w:hAnsi="Arial"/>
                <w:sz w:val="18"/>
                <w:szCs w:val="18"/>
                <w:color w:val="auto"/>
              </w:rPr>
              <w:t>58,227</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8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7460" w:type="dxa"/>
            <w:vAlign w:val="bottom"/>
            <w:shd w:val="clear" w:color="auto" w:fill="CCEEFF"/>
          </w:tcPr>
          <w:p>
            <w:pPr>
              <w:ind w:left="440"/>
              <w:spacing w:after="0"/>
              <w:rPr>
                <w:sz w:val="20"/>
                <w:szCs w:val="20"/>
                <w:color w:val="auto"/>
              </w:rPr>
            </w:pPr>
            <w:r>
              <w:rPr>
                <w:rFonts w:ascii="Arial" w:cs="Arial" w:eastAsia="Arial" w:hAnsi="Arial"/>
                <w:sz w:val="18"/>
                <w:szCs w:val="18"/>
                <w:color w:val="auto"/>
              </w:rPr>
              <w:t>Spartan International Index Fund</w:t>
            </w:r>
          </w:p>
        </w:tc>
        <w:tc>
          <w:tcPr>
            <w:tcW w:w="440" w:type="dxa"/>
            <w:vAlign w:val="bottom"/>
            <w:shd w:val="clear" w:color="auto" w:fill="CCEEFF"/>
          </w:tcPr>
          <w:p>
            <w:pPr>
              <w:spacing w:after="0"/>
              <w:rPr>
                <w:sz w:val="18"/>
                <w:szCs w:val="18"/>
                <w:color w:val="auto"/>
              </w:rPr>
            </w:pPr>
          </w:p>
        </w:tc>
        <w:tc>
          <w:tcPr>
            <w:tcW w:w="200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931,975 units</w:t>
            </w: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44,082</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7460" w:type="dxa"/>
            <w:vAlign w:val="bottom"/>
          </w:tcPr>
          <w:p>
            <w:pPr>
              <w:ind w:left="440"/>
              <w:spacing w:after="0"/>
              <w:rPr>
                <w:sz w:val="20"/>
                <w:szCs w:val="20"/>
                <w:color w:val="auto"/>
              </w:rPr>
            </w:pPr>
            <w:r>
              <w:rPr>
                <w:rFonts w:ascii="Arial" w:cs="Arial" w:eastAsia="Arial" w:hAnsi="Arial"/>
                <w:sz w:val="18"/>
                <w:szCs w:val="18"/>
                <w:color w:val="auto"/>
              </w:rPr>
              <w:t>Spartan US Equity Index Fund</w:t>
            </w:r>
          </w:p>
        </w:tc>
        <w:tc>
          <w:tcPr>
            <w:tcW w:w="440" w:type="dxa"/>
            <w:vAlign w:val="bottom"/>
          </w:tcPr>
          <w:p>
            <w:pPr>
              <w:spacing w:after="0"/>
              <w:rPr>
                <w:sz w:val="18"/>
                <w:szCs w:val="18"/>
                <w:color w:val="auto"/>
              </w:rPr>
            </w:pPr>
          </w:p>
        </w:tc>
        <w:tc>
          <w:tcPr>
            <w:tcW w:w="2000" w:type="dxa"/>
            <w:vAlign w:val="bottom"/>
            <w:gridSpan w:val="2"/>
          </w:tcPr>
          <w:p>
            <w:pPr>
              <w:jc w:val="right"/>
              <w:ind w:right="420"/>
              <w:spacing w:after="0"/>
              <w:rPr>
                <w:sz w:val="20"/>
                <w:szCs w:val="20"/>
                <w:color w:val="auto"/>
              </w:rPr>
            </w:pPr>
            <w:r>
              <w:rPr>
                <w:rFonts w:ascii="Arial" w:cs="Arial" w:eastAsia="Arial" w:hAnsi="Arial"/>
                <w:sz w:val="18"/>
                <w:szCs w:val="18"/>
                <w:color w:val="auto"/>
              </w:rPr>
              <w:t>3,492,008 units</w:t>
            </w:r>
          </w:p>
        </w:tc>
        <w:tc>
          <w:tcPr>
            <w:tcW w:w="940" w:type="dxa"/>
            <w:vAlign w:val="bottom"/>
          </w:tcPr>
          <w:p>
            <w:pPr>
              <w:jc w:val="right"/>
              <w:spacing w:after="0"/>
              <w:rPr>
                <w:sz w:val="20"/>
                <w:szCs w:val="20"/>
                <w:color w:val="auto"/>
              </w:rPr>
            </w:pPr>
            <w:r>
              <w:rPr>
                <w:rFonts w:ascii="Arial" w:cs="Arial" w:eastAsia="Arial" w:hAnsi="Arial"/>
                <w:sz w:val="18"/>
                <w:szCs w:val="18"/>
                <w:color w:val="auto"/>
              </w:rPr>
              <w:t>181,235</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8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7460" w:type="dxa"/>
            <w:vAlign w:val="bottom"/>
            <w:shd w:val="clear" w:color="auto" w:fill="CCEEFF"/>
          </w:tcPr>
          <w:p>
            <w:pPr>
              <w:ind w:left="440"/>
              <w:spacing w:after="0"/>
              <w:rPr>
                <w:sz w:val="20"/>
                <w:szCs w:val="20"/>
                <w:color w:val="auto"/>
              </w:rPr>
            </w:pPr>
            <w:r>
              <w:rPr>
                <w:rFonts w:ascii="Arial" w:cs="Arial" w:eastAsia="Arial" w:hAnsi="Arial"/>
                <w:sz w:val="18"/>
                <w:szCs w:val="18"/>
                <w:color w:val="auto"/>
              </w:rPr>
              <w:t>Templeton World Fund, Class A</w:t>
            </w:r>
          </w:p>
        </w:tc>
        <w:tc>
          <w:tcPr>
            <w:tcW w:w="440" w:type="dxa"/>
            <w:vAlign w:val="bottom"/>
            <w:shd w:val="clear" w:color="auto" w:fill="CCEEFF"/>
          </w:tcPr>
          <w:p>
            <w:pPr>
              <w:spacing w:after="0"/>
              <w:rPr>
                <w:sz w:val="18"/>
                <w:szCs w:val="18"/>
                <w:color w:val="auto"/>
              </w:rPr>
            </w:pPr>
          </w:p>
        </w:tc>
        <w:tc>
          <w:tcPr>
            <w:tcW w:w="200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3,044,757 units</w:t>
            </w: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57,241</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7460" w:type="dxa"/>
            <w:vAlign w:val="bottom"/>
          </w:tcPr>
          <w:p>
            <w:pPr>
              <w:ind w:left="440"/>
              <w:spacing w:after="0"/>
              <w:rPr>
                <w:sz w:val="20"/>
                <w:szCs w:val="20"/>
                <w:color w:val="auto"/>
              </w:rPr>
            </w:pPr>
            <w:r>
              <w:rPr>
                <w:rFonts w:ascii="Arial" w:cs="Arial" w:eastAsia="Arial" w:hAnsi="Arial"/>
                <w:sz w:val="18"/>
                <w:szCs w:val="18"/>
                <w:color w:val="auto"/>
              </w:rPr>
              <w:t>TRP Blue Chip Growth Fund</w:t>
            </w:r>
          </w:p>
        </w:tc>
        <w:tc>
          <w:tcPr>
            <w:tcW w:w="440" w:type="dxa"/>
            <w:vAlign w:val="bottom"/>
          </w:tcPr>
          <w:p>
            <w:pPr>
              <w:spacing w:after="0"/>
              <w:rPr>
                <w:sz w:val="18"/>
                <w:szCs w:val="18"/>
                <w:color w:val="auto"/>
              </w:rPr>
            </w:pPr>
          </w:p>
        </w:tc>
        <w:tc>
          <w:tcPr>
            <w:tcW w:w="2000" w:type="dxa"/>
            <w:vAlign w:val="bottom"/>
            <w:gridSpan w:val="2"/>
          </w:tcPr>
          <w:p>
            <w:pPr>
              <w:jc w:val="right"/>
              <w:ind w:right="420"/>
              <w:spacing w:after="0"/>
              <w:rPr>
                <w:sz w:val="20"/>
                <w:szCs w:val="20"/>
                <w:color w:val="auto"/>
              </w:rPr>
            </w:pPr>
            <w:r>
              <w:rPr>
                <w:rFonts w:ascii="Arial" w:cs="Arial" w:eastAsia="Arial" w:hAnsi="Arial"/>
                <w:sz w:val="18"/>
                <w:szCs w:val="18"/>
                <w:color w:val="auto"/>
              </w:rPr>
              <w:t>5,252,993 units</w:t>
            </w:r>
          </w:p>
        </w:tc>
        <w:tc>
          <w:tcPr>
            <w:tcW w:w="940" w:type="dxa"/>
            <w:vAlign w:val="bottom"/>
          </w:tcPr>
          <w:p>
            <w:pPr>
              <w:jc w:val="right"/>
              <w:spacing w:after="0"/>
              <w:rPr>
                <w:sz w:val="20"/>
                <w:szCs w:val="20"/>
                <w:color w:val="auto"/>
              </w:rPr>
            </w:pPr>
            <w:r>
              <w:rPr>
                <w:rFonts w:ascii="Arial" w:cs="Arial" w:eastAsia="Arial" w:hAnsi="Arial"/>
                <w:sz w:val="18"/>
                <w:szCs w:val="18"/>
                <w:color w:val="auto"/>
              </w:rPr>
              <w:t>211,328</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8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7460" w:type="dxa"/>
            <w:vAlign w:val="bottom"/>
            <w:shd w:val="clear" w:color="auto" w:fill="CCEEFF"/>
          </w:tcPr>
          <w:p>
            <w:pPr>
              <w:ind w:left="440"/>
              <w:spacing w:after="0"/>
              <w:rPr>
                <w:sz w:val="20"/>
                <w:szCs w:val="20"/>
                <w:color w:val="auto"/>
              </w:rPr>
            </w:pPr>
            <w:r>
              <w:rPr>
                <w:rFonts w:ascii="Arial" w:cs="Arial" w:eastAsia="Arial" w:hAnsi="Arial"/>
                <w:sz w:val="18"/>
                <w:szCs w:val="18"/>
                <w:color w:val="auto"/>
              </w:rPr>
              <w:t>Vanguard SM Cap Index Fund</w:t>
            </w:r>
          </w:p>
        </w:tc>
        <w:tc>
          <w:tcPr>
            <w:tcW w:w="440" w:type="dxa"/>
            <w:vAlign w:val="bottom"/>
            <w:shd w:val="clear" w:color="auto" w:fill="CCEEFF"/>
          </w:tcPr>
          <w:p>
            <w:pPr>
              <w:spacing w:after="0"/>
              <w:rPr>
                <w:sz w:val="18"/>
                <w:szCs w:val="18"/>
                <w:color w:val="auto"/>
              </w:rPr>
            </w:pPr>
          </w:p>
        </w:tc>
        <w:tc>
          <w:tcPr>
            <w:tcW w:w="200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1,200,030 units</w:t>
            </w: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39,121</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7460" w:type="dxa"/>
            <w:vAlign w:val="bottom"/>
          </w:tcPr>
          <w:p>
            <w:pPr>
              <w:ind w:left="440"/>
              <w:spacing w:after="0"/>
              <w:rPr>
                <w:sz w:val="20"/>
                <w:szCs w:val="20"/>
                <w:color w:val="auto"/>
              </w:rPr>
            </w:pPr>
            <w:r>
              <w:rPr>
                <w:rFonts w:ascii="Arial" w:cs="Arial" w:eastAsia="Arial" w:hAnsi="Arial"/>
                <w:sz w:val="18"/>
                <w:szCs w:val="18"/>
                <w:color w:val="auto"/>
              </w:rPr>
              <w:t>Vanguard Total Stock Market Index Fund</w:t>
            </w:r>
          </w:p>
        </w:tc>
        <w:tc>
          <w:tcPr>
            <w:tcW w:w="440" w:type="dxa"/>
            <w:vAlign w:val="bottom"/>
          </w:tcPr>
          <w:p>
            <w:pPr>
              <w:spacing w:after="0"/>
              <w:rPr>
                <w:sz w:val="18"/>
                <w:szCs w:val="18"/>
                <w:color w:val="auto"/>
              </w:rPr>
            </w:pPr>
          </w:p>
        </w:tc>
        <w:tc>
          <w:tcPr>
            <w:tcW w:w="2000" w:type="dxa"/>
            <w:vAlign w:val="bottom"/>
            <w:gridSpan w:val="2"/>
          </w:tcPr>
          <w:p>
            <w:pPr>
              <w:jc w:val="right"/>
              <w:ind w:right="420"/>
              <w:spacing w:after="0"/>
              <w:rPr>
                <w:sz w:val="20"/>
                <w:szCs w:val="20"/>
                <w:color w:val="auto"/>
              </w:rPr>
            </w:pPr>
            <w:r>
              <w:rPr>
                <w:rFonts w:ascii="Arial" w:cs="Arial" w:eastAsia="Arial" w:hAnsi="Arial"/>
                <w:sz w:val="18"/>
                <w:szCs w:val="18"/>
                <w:color w:val="auto"/>
              </w:rPr>
              <w:t>836,021 units</w:t>
            </w:r>
          </w:p>
        </w:tc>
        <w:tc>
          <w:tcPr>
            <w:tcW w:w="940" w:type="dxa"/>
            <w:vAlign w:val="bottom"/>
          </w:tcPr>
          <w:p>
            <w:pPr>
              <w:jc w:val="right"/>
              <w:spacing w:after="0"/>
              <w:rPr>
                <w:sz w:val="20"/>
                <w:szCs w:val="20"/>
                <w:color w:val="auto"/>
              </w:rPr>
            </w:pPr>
            <w:r>
              <w:rPr>
                <w:rFonts w:ascii="Arial" w:cs="Arial" w:eastAsia="Arial" w:hAnsi="Arial"/>
                <w:sz w:val="18"/>
                <w:szCs w:val="18"/>
                <w:color w:val="auto"/>
              </w:rPr>
              <w:t>29,562</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8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7460" w:type="dxa"/>
            <w:vAlign w:val="bottom"/>
            <w:shd w:val="clear" w:color="auto" w:fill="CCEEFF"/>
          </w:tcPr>
          <w:p>
            <w:pPr>
              <w:ind w:left="440"/>
              <w:spacing w:after="0"/>
              <w:rPr>
                <w:sz w:val="20"/>
                <w:szCs w:val="20"/>
                <w:color w:val="auto"/>
              </w:rPr>
            </w:pPr>
            <w:r>
              <w:rPr>
                <w:rFonts w:ascii="Arial" w:cs="Arial" w:eastAsia="Arial" w:hAnsi="Arial"/>
                <w:sz w:val="18"/>
                <w:szCs w:val="18"/>
                <w:color w:val="auto"/>
              </w:rPr>
              <w:t>Vanguard Windsor II Fund</w:t>
            </w:r>
          </w:p>
        </w:tc>
        <w:tc>
          <w:tcPr>
            <w:tcW w:w="440" w:type="dxa"/>
            <w:vAlign w:val="bottom"/>
            <w:shd w:val="clear" w:color="auto" w:fill="CCEEFF"/>
          </w:tcPr>
          <w:p>
            <w:pPr>
              <w:spacing w:after="0"/>
              <w:rPr>
                <w:sz w:val="18"/>
                <w:szCs w:val="18"/>
                <w:color w:val="auto"/>
              </w:rPr>
            </w:pPr>
          </w:p>
        </w:tc>
        <w:tc>
          <w:tcPr>
            <w:tcW w:w="200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2,202,192 units</w:t>
            </w: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122,200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18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7460" w:type="dxa"/>
            <w:vAlign w:val="bottom"/>
          </w:tcPr>
          <w:p>
            <w:pPr>
              <w:ind w:left="440"/>
              <w:spacing w:after="0"/>
              <w:rPr>
                <w:sz w:val="20"/>
                <w:szCs w:val="20"/>
                <w:color w:val="auto"/>
              </w:rPr>
            </w:pPr>
            <w:r>
              <w:rPr>
                <w:rFonts w:ascii="Arial" w:cs="Arial" w:eastAsia="Arial" w:hAnsi="Arial"/>
                <w:sz w:val="18"/>
                <w:szCs w:val="18"/>
                <w:color w:val="auto"/>
              </w:rPr>
              <w:t>Wells Fargo Advantage Small Company Value Fund</w:t>
            </w:r>
          </w:p>
        </w:tc>
        <w:tc>
          <w:tcPr>
            <w:tcW w:w="440" w:type="dxa"/>
            <w:vAlign w:val="bottom"/>
          </w:tcPr>
          <w:p>
            <w:pPr>
              <w:spacing w:after="0"/>
              <w:rPr>
                <w:sz w:val="19"/>
                <w:szCs w:val="19"/>
                <w:color w:val="auto"/>
              </w:rPr>
            </w:pPr>
          </w:p>
        </w:tc>
        <w:tc>
          <w:tcPr>
            <w:tcW w:w="2000" w:type="dxa"/>
            <w:vAlign w:val="bottom"/>
            <w:gridSpan w:val="2"/>
          </w:tcPr>
          <w:p>
            <w:pPr>
              <w:jc w:val="right"/>
              <w:ind w:right="420"/>
              <w:spacing w:after="0"/>
              <w:rPr>
                <w:sz w:val="20"/>
                <w:szCs w:val="20"/>
                <w:color w:val="auto"/>
              </w:rPr>
            </w:pPr>
            <w:r>
              <w:rPr>
                <w:rFonts w:ascii="Arial" w:cs="Arial" w:eastAsia="Arial" w:hAnsi="Arial"/>
                <w:sz w:val="18"/>
                <w:szCs w:val="18"/>
                <w:color w:val="auto"/>
              </w:rPr>
              <w:t>5,589,879 units</w:t>
            </w: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67,469</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18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746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58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1,714,918</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1"/>
        </w:trPr>
        <w:tc>
          <w:tcPr>
            <w:tcW w:w="180" w:type="dxa"/>
            <w:vAlign w:val="bottom"/>
          </w:tcPr>
          <w:p>
            <w:pPr>
              <w:spacing w:after="0"/>
              <w:rPr>
                <w:sz w:val="20"/>
                <w:szCs w:val="20"/>
                <w:color w:val="auto"/>
              </w:rPr>
            </w:pPr>
            <w:r>
              <w:rPr>
                <w:rFonts w:ascii="Arial" w:cs="Arial" w:eastAsia="Arial" w:hAnsi="Arial"/>
                <w:sz w:val="18"/>
                <w:szCs w:val="18"/>
                <w:color w:val="auto"/>
              </w:rPr>
              <w:t>*</w:t>
            </w:r>
          </w:p>
        </w:tc>
        <w:tc>
          <w:tcPr>
            <w:tcW w:w="400" w:type="dxa"/>
            <w:vAlign w:val="bottom"/>
          </w:tcPr>
          <w:p>
            <w:pPr>
              <w:spacing w:after="0"/>
              <w:rPr>
                <w:sz w:val="19"/>
                <w:szCs w:val="19"/>
                <w:color w:val="auto"/>
              </w:rPr>
            </w:pPr>
          </w:p>
        </w:tc>
        <w:tc>
          <w:tcPr>
            <w:tcW w:w="7460" w:type="dxa"/>
            <w:vAlign w:val="bottom"/>
          </w:tcPr>
          <w:p>
            <w:pPr>
              <w:spacing w:after="0"/>
              <w:rPr>
                <w:sz w:val="20"/>
                <w:szCs w:val="20"/>
                <w:color w:val="auto"/>
              </w:rPr>
            </w:pPr>
            <w:r>
              <w:rPr>
                <w:rFonts w:ascii="Arial" w:cs="Arial" w:eastAsia="Arial" w:hAnsi="Arial"/>
                <w:sz w:val="18"/>
                <w:szCs w:val="18"/>
                <w:color w:val="auto"/>
              </w:rPr>
              <w:t>Comcast Corporation Stock Fund (at fair value)</w:t>
            </w:r>
          </w:p>
        </w:tc>
        <w:tc>
          <w:tcPr>
            <w:tcW w:w="440" w:type="dxa"/>
            <w:vAlign w:val="bottom"/>
          </w:tcPr>
          <w:p>
            <w:pPr>
              <w:spacing w:after="0"/>
              <w:rPr>
                <w:sz w:val="19"/>
                <w:szCs w:val="19"/>
                <w:color w:val="auto"/>
              </w:rPr>
            </w:pPr>
          </w:p>
        </w:tc>
        <w:tc>
          <w:tcPr>
            <w:tcW w:w="158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8"/>
        </w:trPr>
        <w:tc>
          <w:tcPr>
            <w:tcW w:w="18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7460" w:type="dxa"/>
            <w:vAlign w:val="bottom"/>
            <w:shd w:val="clear" w:color="auto" w:fill="CCEEFF"/>
          </w:tcPr>
          <w:p>
            <w:pPr>
              <w:ind w:left="440"/>
              <w:spacing w:after="0"/>
              <w:rPr>
                <w:sz w:val="20"/>
                <w:szCs w:val="20"/>
                <w:color w:val="auto"/>
              </w:rPr>
            </w:pPr>
            <w:r>
              <w:rPr>
                <w:rFonts w:ascii="Arial" w:cs="Arial" w:eastAsia="Arial" w:hAnsi="Arial"/>
                <w:sz w:val="18"/>
                <w:szCs w:val="18"/>
                <w:color w:val="auto"/>
              </w:rPr>
              <w:t>Class A Common Stock</w:t>
            </w:r>
          </w:p>
        </w:tc>
        <w:tc>
          <w:tcPr>
            <w:tcW w:w="440" w:type="dxa"/>
            <w:vAlign w:val="bottom"/>
            <w:shd w:val="clear" w:color="auto" w:fill="CCEEFF"/>
          </w:tcPr>
          <w:p>
            <w:pPr>
              <w:spacing w:after="0"/>
              <w:rPr>
                <w:sz w:val="18"/>
                <w:szCs w:val="18"/>
                <w:color w:val="auto"/>
              </w:rPr>
            </w:pPr>
          </w:p>
        </w:tc>
        <w:tc>
          <w:tcPr>
            <w:tcW w:w="200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8,198,245 shares</w:t>
            </w: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149,700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18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7460" w:type="dxa"/>
            <w:vAlign w:val="bottom"/>
          </w:tcPr>
          <w:p>
            <w:pPr>
              <w:ind w:left="440"/>
              <w:spacing w:after="0"/>
              <w:rPr>
                <w:sz w:val="20"/>
                <w:szCs w:val="20"/>
                <w:color w:val="auto"/>
              </w:rPr>
            </w:pPr>
            <w:r>
              <w:rPr>
                <w:rFonts w:ascii="Arial" w:cs="Arial" w:eastAsia="Arial" w:hAnsi="Arial"/>
                <w:sz w:val="18"/>
                <w:szCs w:val="18"/>
                <w:color w:val="auto"/>
              </w:rPr>
              <w:t>Class A Special Common Stock</w:t>
            </w:r>
          </w:p>
        </w:tc>
        <w:tc>
          <w:tcPr>
            <w:tcW w:w="440" w:type="dxa"/>
            <w:vAlign w:val="bottom"/>
          </w:tcPr>
          <w:p>
            <w:pPr>
              <w:spacing w:after="0"/>
              <w:rPr>
                <w:sz w:val="19"/>
                <w:szCs w:val="19"/>
                <w:color w:val="auto"/>
              </w:rPr>
            </w:pPr>
          </w:p>
        </w:tc>
        <w:tc>
          <w:tcPr>
            <w:tcW w:w="2000" w:type="dxa"/>
            <w:vAlign w:val="bottom"/>
            <w:gridSpan w:val="2"/>
          </w:tcPr>
          <w:p>
            <w:pPr>
              <w:jc w:val="right"/>
              <w:ind w:right="420"/>
              <w:spacing w:after="0"/>
              <w:rPr>
                <w:sz w:val="20"/>
                <w:szCs w:val="20"/>
                <w:color w:val="auto"/>
              </w:rPr>
            </w:pPr>
            <w:r>
              <w:rPr>
                <w:rFonts w:ascii="Arial" w:cs="Arial" w:eastAsia="Arial" w:hAnsi="Arial"/>
                <w:sz w:val="18"/>
                <w:szCs w:val="18"/>
                <w:color w:val="auto"/>
              </w:rPr>
              <w:t>2,260,666 shares</w:t>
            </w: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40,963</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18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746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58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190,663</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1"/>
        </w:trPr>
        <w:tc>
          <w:tcPr>
            <w:tcW w:w="18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7460" w:type="dxa"/>
            <w:vAlign w:val="bottom"/>
          </w:tcPr>
          <w:p>
            <w:pPr>
              <w:spacing w:after="0"/>
              <w:rPr>
                <w:sz w:val="20"/>
                <w:szCs w:val="20"/>
                <w:color w:val="auto"/>
              </w:rPr>
            </w:pPr>
            <w:r>
              <w:rPr>
                <w:rFonts w:ascii="Arial" w:cs="Arial" w:eastAsia="Arial" w:hAnsi="Arial"/>
                <w:sz w:val="18"/>
                <w:szCs w:val="18"/>
                <w:color w:val="auto"/>
              </w:rPr>
              <w:t>Comcast Stable Value Fund (at contract value)</w:t>
            </w:r>
          </w:p>
        </w:tc>
        <w:tc>
          <w:tcPr>
            <w:tcW w:w="440" w:type="dxa"/>
            <w:vAlign w:val="bottom"/>
          </w:tcPr>
          <w:p>
            <w:pPr>
              <w:spacing w:after="0"/>
              <w:rPr>
                <w:sz w:val="19"/>
                <w:szCs w:val="19"/>
                <w:color w:val="auto"/>
              </w:rPr>
            </w:pPr>
          </w:p>
        </w:tc>
        <w:tc>
          <w:tcPr>
            <w:tcW w:w="158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8"/>
        </w:trPr>
        <w:tc>
          <w:tcPr>
            <w:tcW w:w="18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7460" w:type="dxa"/>
            <w:vAlign w:val="bottom"/>
            <w:shd w:val="clear" w:color="auto" w:fill="CCEEFF"/>
          </w:tcPr>
          <w:p>
            <w:pPr>
              <w:ind w:left="440"/>
              <w:spacing w:after="0"/>
              <w:rPr>
                <w:sz w:val="20"/>
                <w:szCs w:val="20"/>
                <w:color w:val="auto"/>
              </w:rPr>
            </w:pPr>
            <w:r>
              <w:rPr>
                <w:rFonts w:ascii="Arial" w:cs="Arial" w:eastAsia="Arial" w:hAnsi="Arial"/>
                <w:sz w:val="18"/>
                <w:szCs w:val="18"/>
                <w:color w:val="auto"/>
              </w:rPr>
              <w:t>Fidelity Short Term Investment Fund; 4.97%</w:t>
            </w:r>
          </w:p>
        </w:tc>
        <w:tc>
          <w:tcPr>
            <w:tcW w:w="440" w:type="dxa"/>
            <w:vAlign w:val="bottom"/>
            <w:shd w:val="clear" w:color="auto" w:fill="CCEEFF"/>
          </w:tcPr>
          <w:p>
            <w:pPr>
              <w:spacing w:after="0"/>
              <w:rPr>
                <w:sz w:val="18"/>
                <w:szCs w:val="18"/>
                <w:color w:val="auto"/>
              </w:rPr>
            </w:pPr>
          </w:p>
        </w:tc>
        <w:tc>
          <w:tcPr>
            <w:tcW w:w="200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10,156,956 units</w:t>
            </w: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10,157</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70"/>
        </w:trPr>
        <w:tc>
          <w:tcPr>
            <w:tcW w:w="180" w:type="dxa"/>
            <w:vAlign w:val="bottom"/>
          </w:tcPr>
          <w:p>
            <w:pPr>
              <w:spacing w:after="0"/>
              <w:rPr>
                <w:sz w:val="24"/>
                <w:szCs w:val="24"/>
                <w:color w:val="auto"/>
              </w:rPr>
            </w:pPr>
          </w:p>
        </w:tc>
        <w:tc>
          <w:tcPr>
            <w:tcW w:w="7860" w:type="dxa"/>
            <w:vAlign w:val="bottom"/>
            <w:gridSpan w:val="2"/>
          </w:tcPr>
          <w:p>
            <w:pPr>
              <w:jc w:val="right"/>
              <w:ind w:right="2193"/>
              <w:spacing w:after="0"/>
              <w:rPr>
                <w:sz w:val="20"/>
                <w:szCs w:val="20"/>
                <w:color w:val="auto"/>
              </w:rPr>
            </w:pPr>
            <w:r>
              <w:rPr>
                <w:rFonts w:ascii="Arial" w:cs="Arial" w:eastAsia="Arial" w:hAnsi="Arial"/>
                <w:sz w:val="18"/>
                <w:szCs w:val="18"/>
                <w:color w:val="auto"/>
              </w:rPr>
              <w:t>8</w:t>
            </w:r>
          </w:p>
        </w:tc>
        <w:tc>
          <w:tcPr>
            <w:tcW w:w="44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459" w:right="239" w:bottom="1440" w:gutter="0" w:footer="0" w:header="0"/>
        </w:sectPr>
      </w:pPr>
    </w:p>
    <w:bookmarkStart w:id="11" w:name="page12"/>
    <w:bookmarkEnd w:id="1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29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8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688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2120" w:type="dxa"/>
            <w:vAlign w:val="bottom"/>
            <w:gridSpan w:val="3"/>
          </w:tcPr>
          <w:p>
            <w:pPr>
              <w:jc w:val="center"/>
              <w:ind w:right="492"/>
              <w:spacing w:after="0"/>
              <w:rPr>
                <w:sz w:val="20"/>
                <w:szCs w:val="20"/>
                <w:color w:val="auto"/>
              </w:rPr>
            </w:pPr>
            <w:r>
              <w:rPr>
                <w:rFonts w:ascii="Arial" w:cs="Arial" w:eastAsia="Arial" w:hAnsi="Arial"/>
                <w:sz w:val="14"/>
                <w:szCs w:val="14"/>
                <w:b w:val="1"/>
                <w:bCs w:val="1"/>
                <w:color w:val="auto"/>
                <w:w w:val="86"/>
              </w:rPr>
              <w:t>(c) Description of</w:t>
            </w:r>
          </w:p>
        </w:tc>
        <w:tc>
          <w:tcPr>
            <w:tcW w:w="8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18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688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2120" w:type="dxa"/>
            <w:vAlign w:val="bottom"/>
            <w:gridSpan w:val="3"/>
          </w:tcPr>
          <w:p>
            <w:pPr>
              <w:jc w:val="center"/>
              <w:ind w:right="492"/>
              <w:spacing w:after="0" w:line="149" w:lineRule="exact"/>
              <w:rPr>
                <w:sz w:val="20"/>
                <w:szCs w:val="20"/>
                <w:color w:val="auto"/>
              </w:rPr>
            </w:pPr>
            <w:r>
              <w:rPr>
                <w:rFonts w:ascii="Arial" w:cs="Arial" w:eastAsia="Arial" w:hAnsi="Arial"/>
                <w:sz w:val="14"/>
                <w:szCs w:val="14"/>
                <w:b w:val="1"/>
                <w:bCs w:val="1"/>
                <w:color w:val="auto"/>
                <w:w w:val="87"/>
              </w:rPr>
              <w:t>Investment,</w:t>
            </w:r>
          </w:p>
        </w:tc>
        <w:tc>
          <w:tcPr>
            <w:tcW w:w="8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18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688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2120" w:type="dxa"/>
            <w:vAlign w:val="bottom"/>
            <w:gridSpan w:val="3"/>
          </w:tcPr>
          <w:p>
            <w:pPr>
              <w:jc w:val="center"/>
              <w:ind w:right="472"/>
              <w:spacing w:after="0" w:line="149" w:lineRule="exact"/>
              <w:rPr>
                <w:sz w:val="20"/>
                <w:szCs w:val="20"/>
                <w:color w:val="auto"/>
              </w:rPr>
            </w:pPr>
            <w:r>
              <w:rPr>
                <w:rFonts w:ascii="Arial" w:cs="Arial" w:eastAsia="Arial" w:hAnsi="Arial"/>
                <w:sz w:val="14"/>
                <w:szCs w:val="14"/>
                <w:b w:val="1"/>
                <w:bCs w:val="1"/>
                <w:color w:val="auto"/>
                <w:w w:val="91"/>
              </w:rPr>
              <w:t>Including Maturity Date,</w:t>
            </w:r>
          </w:p>
        </w:tc>
        <w:tc>
          <w:tcPr>
            <w:tcW w:w="8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18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6880" w:type="dxa"/>
            <w:vAlign w:val="bottom"/>
            <w:vMerge w:val="restart"/>
          </w:tcPr>
          <w:p>
            <w:pPr>
              <w:ind w:left="1560"/>
              <w:spacing w:after="0"/>
              <w:rPr>
                <w:sz w:val="20"/>
                <w:szCs w:val="20"/>
                <w:color w:val="auto"/>
              </w:rPr>
            </w:pPr>
            <w:r>
              <w:rPr>
                <w:rFonts w:ascii="Arial" w:cs="Arial" w:eastAsia="Arial" w:hAnsi="Arial"/>
                <w:sz w:val="14"/>
                <w:szCs w:val="14"/>
                <w:b w:val="1"/>
                <w:bCs w:val="1"/>
                <w:color w:val="auto"/>
              </w:rPr>
              <w:t>(b) Identity of Issue, Borrower, Lessor, or Similar Party</w:t>
            </w:r>
          </w:p>
        </w:tc>
        <w:tc>
          <w:tcPr>
            <w:tcW w:w="440" w:type="dxa"/>
            <w:vAlign w:val="bottom"/>
          </w:tcPr>
          <w:p>
            <w:pPr>
              <w:spacing w:after="0"/>
              <w:rPr>
                <w:sz w:val="12"/>
                <w:szCs w:val="12"/>
                <w:color w:val="auto"/>
              </w:rPr>
            </w:pPr>
          </w:p>
        </w:tc>
        <w:tc>
          <w:tcPr>
            <w:tcW w:w="2120" w:type="dxa"/>
            <w:vAlign w:val="bottom"/>
            <w:gridSpan w:val="3"/>
          </w:tcPr>
          <w:p>
            <w:pPr>
              <w:jc w:val="right"/>
              <w:ind w:right="472"/>
              <w:spacing w:after="0" w:line="149" w:lineRule="exact"/>
              <w:rPr>
                <w:sz w:val="20"/>
                <w:szCs w:val="20"/>
                <w:color w:val="auto"/>
              </w:rPr>
            </w:pPr>
            <w:r>
              <w:rPr>
                <w:rFonts w:ascii="Arial" w:cs="Arial" w:eastAsia="Arial" w:hAnsi="Arial"/>
                <w:sz w:val="14"/>
                <w:szCs w:val="14"/>
                <w:b w:val="1"/>
                <w:bCs w:val="1"/>
                <w:color w:val="auto"/>
                <w:w w:val="87"/>
              </w:rPr>
              <w:t>Rate of Interest, Collateral,</w:t>
            </w:r>
          </w:p>
        </w:tc>
        <w:tc>
          <w:tcPr>
            <w:tcW w:w="840" w:type="dxa"/>
            <w:vAlign w:val="bottom"/>
            <w:gridSpan w:val="2"/>
          </w:tcPr>
          <w:p>
            <w:pPr>
              <w:jc w:val="center"/>
              <w:ind w:right="140"/>
              <w:spacing w:after="0" w:line="149" w:lineRule="exact"/>
              <w:rPr>
                <w:sz w:val="20"/>
                <w:szCs w:val="20"/>
                <w:color w:val="auto"/>
              </w:rPr>
            </w:pPr>
            <w:r>
              <w:rPr>
                <w:rFonts w:ascii="Arial" w:cs="Arial" w:eastAsia="Arial" w:hAnsi="Arial"/>
                <w:sz w:val="14"/>
                <w:szCs w:val="14"/>
                <w:b w:val="1"/>
                <w:bCs w:val="1"/>
                <w:color w:val="auto"/>
                <w:w w:val="92"/>
              </w:rPr>
              <w:t>(e) Current</w:t>
            </w:r>
          </w:p>
        </w:tc>
        <w:tc>
          <w:tcPr>
            <w:tcW w:w="0" w:type="dxa"/>
            <w:vAlign w:val="bottom"/>
          </w:tcPr>
          <w:p>
            <w:pPr>
              <w:spacing w:after="0"/>
              <w:rPr>
                <w:sz w:val="1"/>
                <w:szCs w:val="1"/>
                <w:color w:val="auto"/>
              </w:rPr>
            </w:pPr>
          </w:p>
        </w:tc>
      </w:tr>
      <w:tr>
        <w:trPr>
          <w:trHeight w:val="161"/>
        </w:trPr>
        <w:tc>
          <w:tcPr>
            <w:tcW w:w="180" w:type="dxa"/>
            <w:vAlign w:val="bottom"/>
          </w:tcPr>
          <w:p>
            <w:pPr>
              <w:spacing w:after="0"/>
              <w:rPr>
                <w:sz w:val="20"/>
                <w:szCs w:val="20"/>
                <w:color w:val="auto"/>
              </w:rPr>
            </w:pPr>
            <w:r>
              <w:rPr>
                <w:rFonts w:ascii="Arial" w:cs="Arial" w:eastAsia="Arial" w:hAnsi="Arial"/>
                <w:sz w:val="14"/>
                <w:szCs w:val="14"/>
                <w:b w:val="1"/>
                <w:bCs w:val="1"/>
                <w:color w:val="auto"/>
                <w:w w:val="93"/>
              </w:rPr>
              <w:t>(a)</w:t>
            </w:r>
          </w:p>
        </w:tc>
        <w:tc>
          <w:tcPr>
            <w:tcW w:w="40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6880" w:type="dxa"/>
            <w:vAlign w:val="bottom"/>
            <w:vMerge w:val="continue"/>
          </w:tcPr>
          <w:p>
            <w:pPr>
              <w:spacing w:after="0"/>
              <w:rPr>
                <w:sz w:val="14"/>
                <w:szCs w:val="14"/>
                <w:color w:val="auto"/>
              </w:rPr>
            </w:pPr>
          </w:p>
        </w:tc>
        <w:tc>
          <w:tcPr>
            <w:tcW w:w="440" w:type="dxa"/>
            <w:vAlign w:val="bottom"/>
          </w:tcPr>
          <w:p>
            <w:pPr>
              <w:spacing w:after="0"/>
              <w:rPr>
                <w:sz w:val="14"/>
                <w:szCs w:val="14"/>
                <w:color w:val="auto"/>
              </w:rPr>
            </w:pPr>
          </w:p>
        </w:tc>
        <w:tc>
          <w:tcPr>
            <w:tcW w:w="2120" w:type="dxa"/>
            <w:vAlign w:val="bottom"/>
            <w:gridSpan w:val="3"/>
          </w:tcPr>
          <w:p>
            <w:pPr>
              <w:jc w:val="center"/>
              <w:ind w:right="472"/>
              <w:spacing w:after="0"/>
              <w:rPr>
                <w:sz w:val="20"/>
                <w:szCs w:val="20"/>
                <w:color w:val="auto"/>
              </w:rPr>
            </w:pPr>
            <w:r>
              <w:rPr>
                <w:rFonts w:ascii="Arial" w:cs="Arial" w:eastAsia="Arial" w:hAnsi="Arial"/>
                <w:sz w:val="14"/>
                <w:szCs w:val="14"/>
                <w:b w:val="1"/>
                <w:bCs w:val="1"/>
                <w:color w:val="auto"/>
                <w:w w:val="90"/>
              </w:rPr>
              <w:t>Par, or Maturity Value</w:t>
            </w:r>
          </w:p>
        </w:tc>
        <w:tc>
          <w:tcPr>
            <w:tcW w:w="84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w w:val="85"/>
              </w:rPr>
              <w:t>Value</w:t>
            </w:r>
          </w:p>
        </w:tc>
        <w:tc>
          <w:tcPr>
            <w:tcW w:w="0" w:type="dxa"/>
            <w:vAlign w:val="bottom"/>
          </w:tcPr>
          <w:p>
            <w:pPr>
              <w:spacing w:after="0"/>
              <w:rPr>
                <w:sz w:val="1"/>
                <w:szCs w:val="1"/>
                <w:color w:val="auto"/>
              </w:rPr>
            </w:pPr>
          </w:p>
        </w:tc>
      </w:tr>
      <w:tr>
        <w:trPr>
          <w:trHeight w:val="142"/>
        </w:trPr>
        <w:tc>
          <w:tcPr>
            <w:tcW w:w="180" w:type="dxa"/>
            <w:vAlign w:val="bottom"/>
            <w:tcBorders>
              <w:top w:val="single" w:sz="8" w:color="auto"/>
            </w:tcBorders>
          </w:tcPr>
          <w:p>
            <w:pPr>
              <w:spacing w:after="0"/>
              <w:rPr>
                <w:sz w:val="12"/>
                <w:szCs w:val="12"/>
                <w:color w:val="auto"/>
              </w:rPr>
            </w:pPr>
          </w:p>
        </w:tc>
        <w:tc>
          <w:tcPr>
            <w:tcW w:w="400" w:type="dxa"/>
            <w:vAlign w:val="bottom"/>
          </w:tcPr>
          <w:p>
            <w:pPr>
              <w:spacing w:after="0"/>
              <w:rPr>
                <w:sz w:val="12"/>
                <w:szCs w:val="12"/>
                <w:color w:val="auto"/>
              </w:rPr>
            </w:pPr>
          </w:p>
        </w:tc>
        <w:tc>
          <w:tcPr>
            <w:tcW w:w="580" w:type="dxa"/>
            <w:vAlign w:val="bottom"/>
            <w:tcBorders>
              <w:top w:val="single" w:sz="8" w:color="auto"/>
            </w:tcBorders>
          </w:tcPr>
          <w:p>
            <w:pPr>
              <w:spacing w:after="0"/>
              <w:rPr>
                <w:sz w:val="12"/>
                <w:szCs w:val="12"/>
                <w:color w:val="auto"/>
              </w:rPr>
            </w:pPr>
          </w:p>
        </w:tc>
        <w:tc>
          <w:tcPr>
            <w:tcW w:w="6880" w:type="dxa"/>
            <w:vAlign w:val="bottom"/>
            <w:tcBorders>
              <w:top w:val="single" w:sz="8" w:color="auto"/>
            </w:tcBorders>
          </w:tcPr>
          <w:p>
            <w:pPr>
              <w:spacing w:after="0"/>
              <w:rPr>
                <w:sz w:val="12"/>
                <w:szCs w:val="12"/>
                <w:color w:val="auto"/>
              </w:rPr>
            </w:pPr>
          </w:p>
        </w:tc>
        <w:tc>
          <w:tcPr>
            <w:tcW w:w="440" w:type="dxa"/>
            <w:vAlign w:val="bottom"/>
          </w:tcPr>
          <w:p>
            <w:pPr>
              <w:spacing w:after="0"/>
              <w:rPr>
                <w:sz w:val="12"/>
                <w:szCs w:val="12"/>
                <w:color w:val="auto"/>
              </w:rPr>
            </w:pPr>
          </w:p>
        </w:tc>
        <w:tc>
          <w:tcPr>
            <w:tcW w:w="1580" w:type="dxa"/>
            <w:vAlign w:val="bottom"/>
            <w:tcBorders>
              <w:top w:val="single" w:sz="8" w:color="auto"/>
            </w:tcBorders>
          </w:tcPr>
          <w:p>
            <w:pPr>
              <w:spacing w:after="0"/>
              <w:rPr>
                <w:sz w:val="12"/>
                <w:szCs w:val="12"/>
                <w:color w:val="auto"/>
              </w:rPr>
            </w:pPr>
          </w:p>
        </w:tc>
        <w:tc>
          <w:tcPr>
            <w:tcW w:w="420" w:type="dxa"/>
            <w:vAlign w:val="bottom"/>
          </w:tcPr>
          <w:p>
            <w:pPr>
              <w:spacing w:after="0"/>
              <w:rPr>
                <w:sz w:val="12"/>
                <w:szCs w:val="12"/>
                <w:color w:val="auto"/>
              </w:rPr>
            </w:pPr>
          </w:p>
        </w:tc>
        <w:tc>
          <w:tcPr>
            <w:tcW w:w="940" w:type="dxa"/>
            <w:vAlign w:val="bottom"/>
            <w:tcBorders>
              <w:top w:val="single" w:sz="8" w:color="auto"/>
            </w:tcBorders>
            <w:gridSpan w:val="2"/>
          </w:tcPr>
          <w:p>
            <w:pPr>
              <w:jc w:val="center"/>
              <w:spacing w:after="0" w:line="142" w:lineRule="exact"/>
              <w:rPr>
                <w:sz w:val="20"/>
                <w:szCs w:val="20"/>
                <w:color w:val="auto"/>
              </w:rPr>
            </w:pPr>
            <w:r>
              <w:rPr>
                <w:rFonts w:ascii="Arial" w:cs="Arial" w:eastAsia="Arial" w:hAnsi="Arial"/>
                <w:sz w:val="14"/>
                <w:szCs w:val="14"/>
                <w:b w:val="1"/>
                <w:bCs w:val="1"/>
                <w:color w:val="auto"/>
                <w:w w:val="85"/>
              </w:rPr>
              <w:t>($ in thousands)</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18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7460" w:type="dxa"/>
            <w:vAlign w:val="bottom"/>
            <w:gridSpan w:val="2"/>
            <w:shd w:val="clear" w:color="auto" w:fill="CCEEFF"/>
          </w:tcPr>
          <w:p>
            <w:pPr>
              <w:ind w:left="440"/>
              <w:spacing w:after="0"/>
              <w:rPr>
                <w:sz w:val="20"/>
                <w:szCs w:val="20"/>
                <w:color w:val="auto"/>
              </w:rPr>
            </w:pPr>
            <w:r>
              <w:rPr>
                <w:rFonts w:ascii="Arial" w:cs="Arial" w:eastAsia="Arial" w:hAnsi="Arial"/>
                <w:sz w:val="18"/>
                <w:szCs w:val="18"/>
                <w:color w:val="auto"/>
              </w:rPr>
              <w:t>Security-Backed Investment Contracts:</w:t>
            </w:r>
          </w:p>
        </w:tc>
        <w:tc>
          <w:tcPr>
            <w:tcW w:w="440" w:type="dxa"/>
            <w:vAlign w:val="bottom"/>
            <w:shd w:val="clear" w:color="auto" w:fill="CCEEFF"/>
          </w:tcPr>
          <w:p>
            <w:pPr>
              <w:spacing w:after="0"/>
              <w:rPr>
                <w:sz w:val="18"/>
                <w:szCs w:val="18"/>
                <w:color w:val="auto"/>
              </w:rPr>
            </w:pPr>
          </w:p>
        </w:tc>
        <w:tc>
          <w:tcPr>
            <w:tcW w:w="158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7460" w:type="dxa"/>
            <w:vAlign w:val="bottom"/>
            <w:gridSpan w:val="2"/>
          </w:tcPr>
          <w:p>
            <w:pPr>
              <w:ind w:left="440"/>
              <w:spacing w:after="0"/>
              <w:rPr>
                <w:sz w:val="20"/>
                <w:szCs w:val="20"/>
                <w:color w:val="auto"/>
              </w:rPr>
            </w:pPr>
            <w:r>
              <w:rPr>
                <w:rFonts w:ascii="Arial" w:cs="Arial" w:eastAsia="Arial" w:hAnsi="Arial"/>
                <w:sz w:val="18"/>
                <w:szCs w:val="18"/>
                <w:color w:val="auto"/>
              </w:rPr>
              <w:t>CDC Financial Products; 4.80%</w:t>
            </w:r>
          </w:p>
        </w:tc>
        <w:tc>
          <w:tcPr>
            <w:tcW w:w="440" w:type="dxa"/>
            <w:vAlign w:val="bottom"/>
          </w:tcPr>
          <w:p>
            <w:pPr>
              <w:spacing w:after="0"/>
              <w:rPr>
                <w:sz w:val="18"/>
                <w:szCs w:val="18"/>
                <w:color w:val="auto"/>
              </w:rPr>
            </w:pPr>
          </w:p>
        </w:tc>
        <w:tc>
          <w:tcPr>
            <w:tcW w:w="2120" w:type="dxa"/>
            <w:vAlign w:val="bottom"/>
            <w:gridSpan w:val="3"/>
          </w:tcPr>
          <w:p>
            <w:pPr>
              <w:jc w:val="right"/>
              <w:ind w:right="472"/>
              <w:spacing w:after="0"/>
              <w:rPr>
                <w:sz w:val="20"/>
                <w:szCs w:val="20"/>
                <w:color w:val="auto"/>
              </w:rPr>
            </w:pPr>
            <w:r>
              <w:rPr>
                <w:rFonts w:ascii="Arial" w:cs="Arial" w:eastAsia="Arial" w:hAnsi="Arial"/>
                <w:sz w:val="18"/>
                <w:szCs w:val="18"/>
                <w:color w:val="auto"/>
              </w:rPr>
              <w:t>124,208,098 units</w:t>
            </w:r>
          </w:p>
        </w:tc>
        <w:tc>
          <w:tcPr>
            <w:tcW w:w="820" w:type="dxa"/>
            <w:vAlign w:val="bottom"/>
          </w:tcPr>
          <w:p>
            <w:pPr>
              <w:jc w:val="right"/>
              <w:spacing w:after="0"/>
              <w:rPr>
                <w:sz w:val="20"/>
                <w:szCs w:val="20"/>
                <w:color w:val="auto"/>
              </w:rPr>
            </w:pPr>
            <w:r>
              <w:rPr>
                <w:rFonts w:ascii="Arial" w:cs="Arial" w:eastAsia="Arial" w:hAnsi="Arial"/>
                <w:sz w:val="18"/>
                <w:szCs w:val="18"/>
                <w:color w:val="auto"/>
              </w:rPr>
              <w:t>124,208</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8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7460" w:type="dxa"/>
            <w:vAlign w:val="bottom"/>
            <w:gridSpan w:val="2"/>
            <w:shd w:val="clear" w:color="auto" w:fill="CCEEFF"/>
          </w:tcPr>
          <w:p>
            <w:pPr>
              <w:ind w:left="440"/>
              <w:spacing w:after="0"/>
              <w:rPr>
                <w:sz w:val="20"/>
                <w:szCs w:val="20"/>
                <w:color w:val="auto"/>
              </w:rPr>
            </w:pPr>
            <w:r>
              <w:rPr>
                <w:rFonts w:ascii="Arial" w:cs="Arial" w:eastAsia="Arial" w:hAnsi="Arial"/>
                <w:sz w:val="18"/>
                <w:szCs w:val="18"/>
                <w:color w:val="auto"/>
              </w:rPr>
              <w:t>Morgan Guaranty; 4.80%</w:t>
            </w:r>
          </w:p>
        </w:tc>
        <w:tc>
          <w:tcPr>
            <w:tcW w:w="440" w:type="dxa"/>
            <w:vAlign w:val="bottom"/>
            <w:shd w:val="clear" w:color="auto" w:fill="CCEEFF"/>
          </w:tcPr>
          <w:p>
            <w:pPr>
              <w:spacing w:after="0"/>
              <w:rPr>
                <w:sz w:val="18"/>
                <w:szCs w:val="18"/>
                <w:color w:val="auto"/>
              </w:rPr>
            </w:pPr>
          </w:p>
        </w:tc>
        <w:tc>
          <w:tcPr>
            <w:tcW w:w="2120" w:type="dxa"/>
            <w:vAlign w:val="bottom"/>
            <w:gridSpan w:val="3"/>
            <w:shd w:val="clear" w:color="auto" w:fill="CCEEFF"/>
          </w:tcPr>
          <w:p>
            <w:pPr>
              <w:jc w:val="right"/>
              <w:ind w:right="472"/>
              <w:spacing w:after="0"/>
              <w:rPr>
                <w:sz w:val="20"/>
                <w:szCs w:val="20"/>
                <w:color w:val="auto"/>
              </w:rPr>
            </w:pPr>
            <w:r>
              <w:rPr>
                <w:rFonts w:ascii="Arial" w:cs="Arial" w:eastAsia="Arial" w:hAnsi="Arial"/>
                <w:sz w:val="18"/>
                <w:szCs w:val="18"/>
                <w:color w:val="auto"/>
              </w:rPr>
              <w:t>124,208,985 units</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124,209</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7460" w:type="dxa"/>
            <w:vAlign w:val="bottom"/>
            <w:gridSpan w:val="2"/>
          </w:tcPr>
          <w:p>
            <w:pPr>
              <w:ind w:left="440"/>
              <w:spacing w:after="0"/>
              <w:rPr>
                <w:sz w:val="20"/>
                <w:szCs w:val="20"/>
                <w:color w:val="auto"/>
              </w:rPr>
            </w:pPr>
            <w:r>
              <w:rPr>
                <w:rFonts w:ascii="Arial" w:cs="Arial" w:eastAsia="Arial" w:hAnsi="Arial"/>
                <w:sz w:val="18"/>
                <w:szCs w:val="18"/>
                <w:color w:val="auto"/>
              </w:rPr>
              <w:t>AIG Financial Products Corp; 4.80%</w:t>
            </w:r>
          </w:p>
        </w:tc>
        <w:tc>
          <w:tcPr>
            <w:tcW w:w="440" w:type="dxa"/>
            <w:vAlign w:val="bottom"/>
          </w:tcPr>
          <w:p>
            <w:pPr>
              <w:spacing w:after="0"/>
              <w:rPr>
                <w:sz w:val="18"/>
                <w:szCs w:val="18"/>
                <w:color w:val="auto"/>
              </w:rPr>
            </w:pPr>
          </w:p>
        </w:tc>
        <w:tc>
          <w:tcPr>
            <w:tcW w:w="2120" w:type="dxa"/>
            <w:vAlign w:val="bottom"/>
            <w:gridSpan w:val="3"/>
          </w:tcPr>
          <w:p>
            <w:pPr>
              <w:jc w:val="right"/>
              <w:ind w:right="472"/>
              <w:spacing w:after="0"/>
              <w:rPr>
                <w:sz w:val="20"/>
                <w:szCs w:val="20"/>
                <w:color w:val="auto"/>
              </w:rPr>
            </w:pPr>
            <w:r>
              <w:rPr>
                <w:rFonts w:ascii="Arial" w:cs="Arial" w:eastAsia="Arial" w:hAnsi="Arial"/>
                <w:sz w:val="18"/>
                <w:szCs w:val="18"/>
                <w:color w:val="auto"/>
              </w:rPr>
              <w:t>124,208,917 units</w:t>
            </w:r>
          </w:p>
        </w:tc>
        <w:tc>
          <w:tcPr>
            <w:tcW w:w="820" w:type="dxa"/>
            <w:vAlign w:val="bottom"/>
          </w:tcPr>
          <w:p>
            <w:pPr>
              <w:jc w:val="right"/>
              <w:spacing w:after="0"/>
              <w:rPr>
                <w:sz w:val="20"/>
                <w:szCs w:val="20"/>
                <w:color w:val="auto"/>
              </w:rPr>
            </w:pPr>
            <w:r>
              <w:rPr>
                <w:rFonts w:ascii="Arial" w:cs="Arial" w:eastAsia="Arial" w:hAnsi="Arial"/>
                <w:sz w:val="18"/>
                <w:szCs w:val="18"/>
                <w:color w:val="auto"/>
              </w:rPr>
              <w:t>124,209</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8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7460" w:type="dxa"/>
            <w:vAlign w:val="bottom"/>
            <w:gridSpan w:val="2"/>
            <w:shd w:val="clear" w:color="auto" w:fill="CCEEFF"/>
          </w:tcPr>
          <w:p>
            <w:pPr>
              <w:ind w:left="440"/>
              <w:spacing w:after="0"/>
              <w:rPr>
                <w:sz w:val="20"/>
                <w:szCs w:val="20"/>
                <w:color w:val="auto"/>
              </w:rPr>
            </w:pPr>
            <w:r>
              <w:rPr>
                <w:rFonts w:ascii="Arial" w:cs="Arial" w:eastAsia="Arial" w:hAnsi="Arial"/>
                <w:sz w:val="18"/>
                <w:szCs w:val="18"/>
                <w:color w:val="auto"/>
              </w:rPr>
              <w:t>State Street Bank and Trust Company Boston; 4.81%</w:t>
            </w:r>
          </w:p>
        </w:tc>
        <w:tc>
          <w:tcPr>
            <w:tcW w:w="440" w:type="dxa"/>
            <w:vAlign w:val="bottom"/>
            <w:shd w:val="clear" w:color="auto" w:fill="CCEEFF"/>
          </w:tcPr>
          <w:p>
            <w:pPr>
              <w:spacing w:after="0"/>
              <w:rPr>
                <w:sz w:val="18"/>
                <w:szCs w:val="18"/>
                <w:color w:val="auto"/>
              </w:rPr>
            </w:pPr>
          </w:p>
        </w:tc>
        <w:tc>
          <w:tcPr>
            <w:tcW w:w="200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124,208,975 units</w:t>
            </w:r>
          </w:p>
        </w:tc>
        <w:tc>
          <w:tcPr>
            <w:tcW w:w="120" w:type="dxa"/>
            <w:vAlign w:val="bottom"/>
            <w:tcBorders>
              <w:bottom w:val="single" w:sz="8" w:color="auto"/>
            </w:tcBorders>
            <w:shd w:val="clear" w:color="auto" w:fill="CCEEFF"/>
          </w:tcPr>
          <w:p>
            <w:pPr>
              <w:spacing w:after="0"/>
              <w:rPr>
                <w:sz w:val="18"/>
                <w:szCs w:val="18"/>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124,209</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18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688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158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40" w:type="dxa"/>
            <w:vAlign w:val="bottom"/>
            <w:gridSpan w:val="2"/>
          </w:tcPr>
          <w:p>
            <w:pPr>
              <w:jc w:val="right"/>
              <w:ind w:right="20"/>
              <w:spacing w:after="0"/>
              <w:rPr>
                <w:sz w:val="20"/>
                <w:szCs w:val="20"/>
                <w:color w:val="auto"/>
              </w:rPr>
            </w:pPr>
            <w:r>
              <w:rPr>
                <w:rFonts w:ascii="Arial" w:cs="Arial" w:eastAsia="Arial" w:hAnsi="Arial"/>
                <w:sz w:val="18"/>
                <w:szCs w:val="18"/>
                <w:color w:val="auto"/>
              </w:rPr>
              <w:t>496,835</w:t>
            </w:r>
          </w:p>
        </w:tc>
        <w:tc>
          <w:tcPr>
            <w:tcW w:w="0" w:type="dxa"/>
            <w:vAlign w:val="bottom"/>
          </w:tcPr>
          <w:p>
            <w:pPr>
              <w:spacing w:after="0"/>
              <w:rPr>
                <w:sz w:val="1"/>
                <w:szCs w:val="1"/>
                <w:color w:val="auto"/>
              </w:rPr>
            </w:pPr>
          </w:p>
        </w:tc>
      </w:tr>
      <w:tr>
        <w:trPr>
          <w:trHeight w:val="216"/>
        </w:trPr>
        <w:tc>
          <w:tcPr>
            <w:tcW w:w="18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688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58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20" w:type="dxa"/>
            <w:vAlign w:val="bottom"/>
            <w:tcBorders>
              <w:top w:val="single" w:sz="8" w:color="auto"/>
              <w:bottom w:val="single" w:sz="8" w:color="auto"/>
            </w:tcBorders>
            <w:shd w:val="clear" w:color="auto" w:fill="CCEEFF"/>
          </w:tcPr>
          <w:p>
            <w:pPr>
              <w:spacing w:after="0"/>
              <w:rPr>
                <w:sz w:val="18"/>
                <w:szCs w:val="18"/>
                <w:color w:val="auto"/>
              </w:rPr>
            </w:pPr>
          </w:p>
        </w:tc>
        <w:tc>
          <w:tcPr>
            <w:tcW w:w="8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506,992</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1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7460" w:type="dxa"/>
            <w:vAlign w:val="bottom"/>
            <w:gridSpan w:val="2"/>
          </w:tcPr>
          <w:p>
            <w:pPr>
              <w:spacing w:after="0"/>
              <w:rPr>
                <w:sz w:val="20"/>
                <w:szCs w:val="20"/>
                <w:color w:val="auto"/>
              </w:rPr>
            </w:pPr>
            <w:r>
              <w:rPr>
                <w:rFonts w:ascii="Arial" w:cs="Arial" w:eastAsia="Arial" w:hAnsi="Arial"/>
                <w:sz w:val="18"/>
                <w:szCs w:val="18"/>
                <w:color w:val="auto"/>
                <w:w w:val="94"/>
              </w:rPr>
              <w:t>Participant Loan Fund (at cost, which approximates fair value) (interest rates from 4.25% to 10.5%;</w:t>
            </w:r>
          </w:p>
        </w:tc>
        <w:tc>
          <w:tcPr>
            <w:tcW w:w="440" w:type="dxa"/>
            <w:vAlign w:val="bottom"/>
          </w:tcPr>
          <w:p>
            <w:pPr>
              <w:spacing w:after="0"/>
              <w:rPr>
                <w:sz w:val="18"/>
                <w:szCs w:val="18"/>
                <w:color w:val="auto"/>
              </w:rPr>
            </w:pPr>
          </w:p>
        </w:tc>
        <w:tc>
          <w:tcPr>
            <w:tcW w:w="15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1"/>
        </w:trPr>
        <w:tc>
          <w:tcPr>
            <w:tcW w:w="18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7460" w:type="dxa"/>
            <w:vAlign w:val="bottom"/>
            <w:gridSpan w:val="2"/>
          </w:tcPr>
          <w:p>
            <w:pPr>
              <w:ind w:left="220"/>
              <w:spacing w:after="0"/>
              <w:rPr>
                <w:sz w:val="20"/>
                <w:szCs w:val="20"/>
                <w:color w:val="auto"/>
              </w:rPr>
            </w:pPr>
            <w:r>
              <w:rPr>
                <w:rFonts w:ascii="Arial" w:cs="Arial" w:eastAsia="Arial" w:hAnsi="Arial"/>
                <w:sz w:val="18"/>
                <w:szCs w:val="18"/>
                <w:color w:val="auto"/>
              </w:rPr>
              <w:t>maturities from 2004 to 2018)</w:t>
            </w:r>
          </w:p>
        </w:tc>
        <w:tc>
          <w:tcPr>
            <w:tcW w:w="440" w:type="dxa"/>
            <w:vAlign w:val="bottom"/>
          </w:tcPr>
          <w:p>
            <w:pPr>
              <w:spacing w:after="0"/>
              <w:rPr>
                <w:sz w:val="20"/>
                <w:szCs w:val="20"/>
                <w:color w:val="auto"/>
              </w:rPr>
            </w:pPr>
          </w:p>
        </w:tc>
        <w:tc>
          <w:tcPr>
            <w:tcW w:w="158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78,461</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18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6880" w:type="dxa"/>
            <w:vAlign w:val="bottom"/>
            <w:shd w:val="clear" w:color="auto" w:fill="CCEEFF"/>
          </w:tcPr>
          <w:p>
            <w:pPr>
              <w:spacing w:after="0"/>
              <w:rPr>
                <w:sz w:val="18"/>
                <w:szCs w:val="18"/>
                <w:color w:val="auto"/>
              </w:rPr>
            </w:pPr>
          </w:p>
        </w:tc>
        <w:tc>
          <w:tcPr>
            <w:tcW w:w="2560" w:type="dxa"/>
            <w:vAlign w:val="bottom"/>
            <w:gridSpan w:val="4"/>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2,491,034</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18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688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58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02"/>
        </w:trPr>
        <w:tc>
          <w:tcPr>
            <w:tcW w:w="180" w:type="dxa"/>
            <w:vAlign w:val="bottom"/>
            <w:tcBorders>
              <w:bottom w:val="single" w:sz="8" w:color="auto"/>
            </w:tcBorders>
          </w:tcPr>
          <w:p>
            <w:pPr>
              <w:spacing w:after="0"/>
              <w:rPr>
                <w:sz w:val="8"/>
                <w:szCs w:val="8"/>
                <w:color w:val="auto"/>
              </w:rPr>
            </w:pPr>
          </w:p>
        </w:tc>
        <w:tc>
          <w:tcPr>
            <w:tcW w:w="400" w:type="dxa"/>
            <w:vAlign w:val="bottom"/>
            <w:tcBorders>
              <w:bottom w:val="single" w:sz="8" w:color="auto"/>
            </w:tcBorders>
          </w:tcPr>
          <w:p>
            <w:pPr>
              <w:spacing w:after="0"/>
              <w:rPr>
                <w:sz w:val="8"/>
                <w:szCs w:val="8"/>
                <w:color w:val="auto"/>
              </w:rPr>
            </w:pPr>
          </w:p>
        </w:tc>
        <w:tc>
          <w:tcPr>
            <w:tcW w:w="580" w:type="dxa"/>
            <w:vAlign w:val="bottom"/>
            <w:tcBorders>
              <w:bottom w:val="single" w:sz="8" w:color="auto"/>
            </w:tcBorders>
          </w:tcPr>
          <w:p>
            <w:pPr>
              <w:spacing w:after="0"/>
              <w:rPr>
                <w:sz w:val="8"/>
                <w:szCs w:val="8"/>
                <w:color w:val="auto"/>
              </w:rPr>
            </w:pPr>
          </w:p>
        </w:tc>
        <w:tc>
          <w:tcPr>
            <w:tcW w:w="6880" w:type="dxa"/>
            <w:vAlign w:val="bottom"/>
          </w:tcPr>
          <w:p>
            <w:pPr>
              <w:spacing w:after="0"/>
              <w:rPr>
                <w:sz w:val="8"/>
                <w:szCs w:val="8"/>
                <w:color w:val="auto"/>
              </w:rPr>
            </w:pPr>
          </w:p>
        </w:tc>
        <w:tc>
          <w:tcPr>
            <w:tcW w:w="440" w:type="dxa"/>
            <w:vAlign w:val="bottom"/>
          </w:tcPr>
          <w:p>
            <w:pPr>
              <w:spacing w:after="0"/>
              <w:rPr>
                <w:sz w:val="8"/>
                <w:szCs w:val="8"/>
                <w:color w:val="auto"/>
              </w:rPr>
            </w:pPr>
          </w:p>
        </w:tc>
        <w:tc>
          <w:tcPr>
            <w:tcW w:w="1580" w:type="dxa"/>
            <w:vAlign w:val="bottom"/>
          </w:tcPr>
          <w:p>
            <w:pPr>
              <w:spacing w:after="0"/>
              <w:rPr>
                <w:sz w:val="8"/>
                <w:szCs w:val="8"/>
                <w:color w:val="auto"/>
              </w:rPr>
            </w:pPr>
          </w:p>
        </w:tc>
        <w:tc>
          <w:tcPr>
            <w:tcW w:w="420" w:type="dxa"/>
            <w:vAlign w:val="bottom"/>
          </w:tcPr>
          <w:p>
            <w:pPr>
              <w:spacing w:after="0"/>
              <w:rPr>
                <w:sz w:val="8"/>
                <w:szCs w:val="8"/>
                <w:color w:val="auto"/>
              </w:rPr>
            </w:pPr>
          </w:p>
        </w:tc>
        <w:tc>
          <w:tcPr>
            <w:tcW w:w="120" w:type="dxa"/>
            <w:vAlign w:val="bottom"/>
          </w:tcPr>
          <w:p>
            <w:pPr>
              <w:spacing w:after="0"/>
              <w:rPr>
                <w:sz w:val="8"/>
                <w:szCs w:val="8"/>
                <w:color w:val="auto"/>
              </w:rPr>
            </w:pPr>
          </w:p>
        </w:tc>
        <w:tc>
          <w:tcPr>
            <w:tcW w:w="82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bl>
    <w:p>
      <w:pPr>
        <w:spacing w:after="0" w:line="19" w:lineRule="exact"/>
        <w:rPr>
          <w:sz w:val="20"/>
          <w:szCs w:val="20"/>
          <w:color w:val="auto"/>
        </w:rPr>
      </w:pPr>
    </w:p>
    <w:p>
      <w:pPr>
        <w:spacing w:after="0"/>
        <w:rPr>
          <w:sz w:val="20"/>
          <w:szCs w:val="20"/>
          <w:color w:val="auto"/>
        </w:rPr>
      </w:pPr>
      <w:r>
        <w:rPr>
          <w:rFonts w:ascii="Arial" w:cs="Arial" w:eastAsia="Arial" w:hAnsi="Arial"/>
          <w:sz w:val="18"/>
          <w:szCs w:val="18"/>
          <w:color w:val="auto"/>
        </w:rPr>
        <w:t>*  Represents a party-in-interest to the Plan.</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w:t>
      </w:r>
    </w:p>
    <w:p>
      <w:pPr>
        <w:sectPr>
          <w:pgSz w:w="11900" w:h="16838" w:orient="portrait"/>
          <w:cols w:equalWidth="0" w:num="1">
            <w:col w:w="11420"/>
          </w:cols>
          <w:pgMar w:left="240" w:top="459" w:right="239" w:bottom="1440" w:gutter="0" w:footer="0" w:header="0"/>
        </w:sectPr>
      </w:pPr>
    </w:p>
    <w:bookmarkStart w:id="12" w:name="page13"/>
    <w:bookmarkEnd w:id="1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139"/>
        <w:spacing w:after="0"/>
        <w:rPr>
          <w:sz w:val="20"/>
          <w:szCs w:val="20"/>
          <w:color w:val="auto"/>
        </w:rPr>
      </w:pPr>
      <w:r>
        <w:rPr>
          <w:rFonts w:ascii="Arial" w:cs="Arial" w:eastAsia="Arial" w:hAnsi="Arial"/>
          <w:sz w:val="18"/>
          <w:szCs w:val="18"/>
          <w:b w:val="1"/>
          <w:bCs w:val="1"/>
          <w:color w:val="auto"/>
        </w:rPr>
        <w:t>CONSENT OF INDEPENDENT REGISTERED PUBLIC ACCOUNTING FIRM</w:t>
      </w:r>
    </w:p>
    <w:p>
      <w:pPr>
        <w:spacing w:after="0" w:line="177" w:lineRule="exact"/>
        <w:rPr>
          <w:sz w:val="20"/>
          <w:szCs w:val="20"/>
          <w:color w:val="auto"/>
        </w:rPr>
      </w:pPr>
    </w:p>
    <w:p>
      <w:pPr>
        <w:spacing w:after="0" w:line="323" w:lineRule="auto"/>
        <w:rPr>
          <w:sz w:val="20"/>
          <w:szCs w:val="20"/>
          <w:color w:val="auto"/>
        </w:rPr>
      </w:pPr>
      <w:r>
        <w:rPr>
          <w:rFonts w:ascii="Arial" w:cs="Arial" w:eastAsia="Arial" w:hAnsi="Arial"/>
          <w:sz w:val="15"/>
          <w:szCs w:val="15"/>
          <w:color w:val="auto"/>
        </w:rPr>
        <w:t>We consent to the incorporation by reference in the Registration Statement No. 333-101295 of Comcast Corporation on Form S-8 of our report dated June 17, 2008, relating to the statements of net assets available for benefits as of December 31, 2007 and 2006, the related statement of changes in net assets available for benefits for the year ended December 31, 2007 and the related supplemental information of Schedule H - Line 4i - schedule of assets (held at end of year) as of December 31, 2007, which report appears in the December 31, 2007 Annual Report on Form 11-K of the Comcast Corporation Retirement-Investment Plan.</w:t>
      </w:r>
    </w:p>
    <w:p>
      <w:pPr>
        <w:spacing w:after="0" w:line="98" w:lineRule="exact"/>
        <w:rPr>
          <w:sz w:val="20"/>
          <w:szCs w:val="20"/>
          <w:color w:val="auto"/>
        </w:rPr>
      </w:pPr>
    </w:p>
    <w:p>
      <w:pPr>
        <w:spacing w:after="0"/>
        <w:rPr>
          <w:sz w:val="20"/>
          <w:szCs w:val="20"/>
          <w:color w:val="auto"/>
        </w:rPr>
      </w:pPr>
      <w:r>
        <w:rPr>
          <w:rFonts w:ascii="Arial" w:cs="Arial" w:eastAsia="Arial" w:hAnsi="Arial"/>
          <w:sz w:val="18"/>
          <w:szCs w:val="18"/>
          <w:color w:val="auto"/>
        </w:rPr>
        <w:t>/s/ Mitchell &amp; Titus, LLP</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Philadelphia, PA</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June 17, 2008</w:t>
      </w:r>
    </w:p>
    <w:p>
      <w:pPr>
        <w:spacing w:after="0" w:line="151"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10</w:t>
      </w:r>
    </w:p>
    <w:p>
      <w:pPr>
        <w:sectPr>
          <w:pgSz w:w="11900" w:h="16838" w:orient="portrait"/>
          <w:cols w:equalWidth="0" w:num="1">
            <w:col w:w="11300"/>
          </w:cols>
          <w:pgMar w:left="240" w:top="459" w:right="359" w:bottom="1440" w:gutter="0" w:footer="0" w:header="0"/>
        </w:sectPr>
      </w:pPr>
    </w:p>
    <w:bookmarkStart w:id="13" w:name="page14"/>
    <w:bookmarkEnd w:id="1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179"/>
        <w:spacing w:after="0"/>
        <w:rPr>
          <w:sz w:val="20"/>
          <w:szCs w:val="20"/>
          <w:color w:val="auto"/>
        </w:rPr>
      </w:pPr>
      <w:r>
        <w:rPr>
          <w:rFonts w:ascii="Arial" w:cs="Arial" w:eastAsia="Arial" w:hAnsi="Arial"/>
          <w:sz w:val="18"/>
          <w:szCs w:val="18"/>
          <w:b w:val="1"/>
          <w:bCs w:val="1"/>
          <w:color w:val="auto"/>
        </w:rPr>
        <w:t>SIGNATURE</w:t>
      </w:r>
    </w:p>
    <w:p>
      <w:pPr>
        <w:spacing w:after="0" w:line="177" w:lineRule="exact"/>
        <w:rPr>
          <w:sz w:val="20"/>
          <w:szCs w:val="20"/>
          <w:color w:val="auto"/>
        </w:rPr>
      </w:pPr>
    </w:p>
    <w:p>
      <w:pPr>
        <w:spacing w:after="0" w:line="268" w:lineRule="auto"/>
        <w:rPr>
          <w:sz w:val="20"/>
          <w:szCs w:val="20"/>
          <w:color w:val="auto"/>
        </w:rPr>
      </w:pPr>
      <w:r>
        <w:rPr>
          <w:rFonts w:ascii="Arial" w:cs="Arial" w:eastAsia="Arial" w:hAnsi="Arial"/>
          <w:sz w:val="18"/>
          <w:szCs w:val="18"/>
          <w:color w:val="auto"/>
        </w:rPr>
        <w:t>Pursuant to the requirements of the Securities Exchange Act of 1934, the trustees (or other persons who administer the employee benefit plan) have duly caused this annual report to be signed on its behalf by the undersigned hereunto duly authorized.</w:t>
      </w:r>
    </w:p>
    <w:p>
      <w:pPr>
        <w:spacing w:after="0" w:line="166" w:lineRule="exact"/>
        <w:rPr>
          <w:sz w:val="20"/>
          <w:szCs w:val="20"/>
          <w:color w:val="auto"/>
        </w:rPr>
      </w:pPr>
    </w:p>
    <w:p>
      <w:pPr>
        <w:ind w:left="5580"/>
        <w:spacing w:after="0"/>
        <w:rPr>
          <w:sz w:val="20"/>
          <w:szCs w:val="20"/>
          <w:color w:val="auto"/>
        </w:rPr>
      </w:pPr>
      <w:r>
        <w:rPr>
          <w:rFonts w:ascii="Arial" w:cs="Arial" w:eastAsia="Arial" w:hAnsi="Arial"/>
          <w:sz w:val="18"/>
          <w:szCs w:val="18"/>
          <w:b w:val="1"/>
          <w:bCs w:val="1"/>
          <w:color w:val="auto"/>
        </w:rPr>
        <w:t>COMCAST CORPORATION RETIREMENT-INVESTMENT PLAN</w:t>
      </w:r>
    </w:p>
    <w:p>
      <w:pPr>
        <w:spacing w:after="0" w:line="231" w:lineRule="exact"/>
        <w:rPr>
          <w:sz w:val="20"/>
          <w:szCs w:val="20"/>
          <w:color w:val="auto"/>
        </w:rPr>
      </w:pPr>
    </w:p>
    <w:p>
      <w:pPr>
        <w:ind w:left="5580"/>
        <w:spacing w:after="0"/>
        <w:rPr>
          <w:sz w:val="20"/>
          <w:szCs w:val="20"/>
          <w:color w:val="auto"/>
        </w:rPr>
      </w:pPr>
      <w:r>
        <w:rPr>
          <w:rFonts w:ascii="Arial" w:cs="Arial" w:eastAsia="Arial" w:hAnsi="Arial"/>
          <w:sz w:val="18"/>
          <w:szCs w:val="18"/>
          <w:color w:val="auto"/>
        </w:rPr>
        <w:t>By: Comcast Corporation</w:t>
      </w:r>
    </w:p>
    <w:p>
      <w:pPr>
        <w:spacing w:after="0" w:line="15" w:lineRule="exact"/>
        <w:rPr>
          <w:sz w:val="20"/>
          <w:szCs w:val="20"/>
          <w:color w:val="auto"/>
        </w:rPr>
      </w:pPr>
    </w:p>
    <w:p>
      <w:pPr>
        <w:ind w:left="5960"/>
        <w:spacing w:after="0"/>
        <w:rPr>
          <w:sz w:val="20"/>
          <w:szCs w:val="20"/>
          <w:color w:val="auto"/>
        </w:rPr>
      </w:pPr>
      <w:r>
        <w:rPr>
          <w:rFonts w:ascii="Arial" w:cs="Arial" w:eastAsia="Arial" w:hAnsi="Arial"/>
          <w:sz w:val="18"/>
          <w:szCs w:val="18"/>
          <w:color w:val="auto"/>
        </w:rPr>
        <w:t>Plan Administrator</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June 18, 2008</w:t>
      </w:r>
    </w:p>
    <w:p>
      <w:pPr>
        <w:spacing w:after="0" w:line="9" w:lineRule="exact"/>
        <w:rPr>
          <w:sz w:val="20"/>
          <w:szCs w:val="20"/>
          <w:color w:val="auto"/>
        </w:rPr>
      </w:pPr>
    </w:p>
    <w:p>
      <w:pPr>
        <w:ind w:left="5580"/>
        <w:spacing w:after="0"/>
        <w:rPr>
          <w:sz w:val="20"/>
          <w:szCs w:val="20"/>
          <w:color w:val="auto"/>
        </w:rPr>
      </w:pPr>
      <w:r>
        <w:rPr>
          <w:rFonts w:ascii="Arial" w:cs="Arial" w:eastAsia="Arial" w:hAnsi="Arial"/>
          <w:sz w:val="18"/>
          <w:szCs w:val="18"/>
          <w:color w:val="auto"/>
        </w:rPr>
        <w:t>By: /s/ Lawrence J. Salva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3778250</wp:posOffset>
            </wp:positionH>
            <wp:positionV relativeFrom="paragraph">
              <wp:posOffset>6985</wp:posOffset>
            </wp:positionV>
            <wp:extent cx="3473450" cy="889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3473450" cy="8890"/>
                    </a:xfrm>
                    <a:prstGeom prst="rect">
                      <a:avLst/>
                    </a:prstGeom>
                    <a:noFill/>
                  </pic:spPr>
                </pic:pic>
              </a:graphicData>
            </a:graphic>
          </wp:anchor>
        </w:drawing>
      </w:r>
    </w:p>
    <w:p>
      <w:pPr>
        <w:spacing w:after="0" w:line="16" w:lineRule="exact"/>
        <w:rPr>
          <w:sz w:val="20"/>
          <w:szCs w:val="20"/>
          <w:color w:val="auto"/>
        </w:rPr>
      </w:pPr>
    </w:p>
    <w:p>
      <w:pPr>
        <w:ind w:left="5960"/>
        <w:spacing w:after="0"/>
        <w:rPr>
          <w:sz w:val="20"/>
          <w:szCs w:val="20"/>
          <w:color w:val="auto"/>
        </w:rPr>
      </w:pPr>
      <w:r>
        <w:rPr>
          <w:rFonts w:ascii="Arial" w:cs="Arial" w:eastAsia="Arial" w:hAnsi="Arial"/>
          <w:sz w:val="18"/>
          <w:szCs w:val="18"/>
          <w:color w:val="auto"/>
        </w:rPr>
        <w:t>Lawrence J. Salva</w:t>
      </w:r>
    </w:p>
    <w:p>
      <w:pPr>
        <w:spacing w:after="0" w:line="9" w:lineRule="exact"/>
        <w:rPr>
          <w:sz w:val="20"/>
          <w:szCs w:val="20"/>
          <w:color w:val="auto"/>
        </w:rPr>
      </w:pPr>
    </w:p>
    <w:p>
      <w:pPr>
        <w:ind w:left="5960"/>
        <w:spacing w:after="0"/>
        <w:rPr>
          <w:sz w:val="20"/>
          <w:szCs w:val="20"/>
          <w:color w:val="auto"/>
        </w:rPr>
      </w:pPr>
      <w:r>
        <w:rPr>
          <w:rFonts w:ascii="Arial" w:cs="Arial" w:eastAsia="Arial" w:hAnsi="Arial"/>
          <w:sz w:val="18"/>
          <w:szCs w:val="18"/>
          <w:color w:val="auto"/>
        </w:rPr>
        <w:t>Senior Vice President, Chief Accounting Officer and Controller</w:t>
      </w:r>
    </w:p>
    <w:p>
      <w:pPr>
        <w:spacing w:after="0" w:line="151"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11</w:t>
      </w:r>
    </w:p>
    <w:sectPr>
      <w:pgSz w:w="11900" w:h="16838" w:orient="portrait"/>
      <w:cols w:equalWidth="0" w:num="1">
        <w:col w:w="11240"/>
      </w:cols>
      <w:pgMar w:left="240" w:top="459" w:right="41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19495CFF"/>
    <w:multiLevelType w:val="hybridMultilevel"/>
    <w:lvl w:ilvl="0">
      <w:lvlJc w:val="left"/>
      <w:lvlText w:val="☒"/>
      <w:numFmt w:val="bullet"/>
      <w:start w:val="1"/>
    </w:lvl>
  </w:abstractNum>
  <w:abstractNum w:abstractNumId="1">
    <w:nsid w:val="2AE8944A"/>
    <w:multiLevelType w:val="hybridMultilevel"/>
    <w:lvl w:ilvl="0">
      <w:lvlJc w:val="left"/>
      <w:lvlText w:val="☐"/>
      <w:numFmt w:val="bullet"/>
      <w:start w:val="1"/>
    </w:lvl>
  </w:abstractNum>
  <w:abstractNum w:abstractNumId="2">
    <w:nsid w:val="625558EC"/>
    <w:multiLevelType w:val="hybridMultilevel"/>
    <w:lvl w:ilvl="0">
      <w:lvlJc w:val="left"/>
      <w:lvlText w:val="%1."/>
      <w:numFmt w:val="decimal"/>
      <w:start w:val="1"/>
    </w:lvl>
  </w:abstractNum>
  <w:abstractNum w:abstractNumId="3">
    <w:nsid w:val="238E1F29"/>
    <w:multiLevelType w:val="hybridMultilevel"/>
    <w:lvl w:ilvl="0">
      <w:lvlJc w:val="left"/>
      <w:lvlText w:val="%1."/>
      <w:numFmt w:val="decimal"/>
      <w:start w:val="2"/>
    </w:lvl>
  </w:abstractNum>
  <w:abstractNum w:abstractNumId="4">
    <w:nsid w:val="46E87CCD"/>
    <w:multiLevelType w:val="hybridMultilevel"/>
    <w:lvl w:ilvl="0">
      <w:lvlJc w:val="left"/>
      <w:lvlText w:val="%1."/>
      <w:numFmt w:val="decimal"/>
      <w:start w:val="4"/>
    </w:lvl>
    <w:lvl w:ilvl="1">
      <w:lvlJc w:val="left"/>
      <w:lvlText w:val="%2."/>
      <w:numFmt w:val="lowerLetter"/>
      <w:start w:val="1"/>
    </w:lvl>
  </w:abstractNum>
  <w:num w:numId="1">
    <w:abstractNumId w:val="0"/>
  </w:num>
  <w:num w:numId="2">
    <w:abstractNumId w:val="1"/>
  </w:num>
  <w:num w:numId="3">
    <w:abstractNumId w:val="2"/>
  </w:num>
  <w:num w:numId="4">
    <w:abstractNumId w:val="3"/>
  </w:num>
  <w:num w:numId="5">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jpe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2019-12-15T05:14:24Z</dcterms:created>
  <dcterms:modified xsi:type="dcterms:W3CDTF">2019-12-15T05:14:24Z</dcterms:modified>
</cp:coreProperties>
</file>