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26, 2007</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Comcast Corporation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w:t>
      </w:r>
    </w:p>
    <w:p>
      <w:pPr>
        <w:jc w:val="center"/>
        <w:ind w:right="-19"/>
        <w:spacing w:after="0"/>
        <w:rPr>
          <w:sz w:val="20"/>
          <w:szCs w:val="20"/>
          <w:color w:val="auto"/>
        </w:rPr>
      </w:pPr>
      <w:r>
        <w:rPr>
          <w:rFonts w:ascii="Arial" w:cs="Arial" w:eastAsia="Arial" w:hAnsi="Arial"/>
          <w:sz w:val="14"/>
          <w:szCs w:val="14"/>
          <w:b w:val="1"/>
          <w:bCs w:val="1"/>
          <w:color w:val="auto"/>
        </w:rPr>
        <w:t>as Specified in Charter)</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Pennsylvania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71" w:lineRule="exact"/>
        <w:rPr>
          <w:sz w:val="24"/>
          <w:szCs w:val="24"/>
          <w:color w:val="auto"/>
        </w:rPr>
      </w:pPr>
    </w:p>
    <w:tbl>
      <w:tblPr>
        <w:tblLayout w:type="fixed"/>
        <w:tblInd w:w="1720" w:type="dxa"/>
        <w:tblCellMar>
          <w:top w:w="0" w:type="dxa"/>
          <w:left w:w="0" w:type="dxa"/>
          <w:bottom w:w="0" w:type="dxa"/>
          <w:right w:w="0" w:type="dxa"/>
        </w:tblCellMar>
      </w:tblPr>
      <w:tr>
        <w:trPr>
          <w:trHeight w:val="209"/>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97"/>
              </w:rPr>
              <w:t>001-32871</w:t>
            </w:r>
          </w:p>
        </w:tc>
        <w:tc>
          <w:tcPr>
            <w:tcW w:w="3800" w:type="dxa"/>
            <w:vAlign w:val="bottom"/>
          </w:tcPr>
          <w:p>
            <w:pPr>
              <w:jc w:val="center"/>
              <w:ind w:left="1782"/>
              <w:spacing w:after="0"/>
              <w:rPr>
                <w:sz w:val="20"/>
                <w:szCs w:val="20"/>
                <w:color w:val="auto"/>
              </w:rPr>
            </w:pPr>
            <w:r>
              <w:rPr>
                <w:rFonts w:ascii="Arial" w:cs="Arial" w:eastAsia="Arial" w:hAnsi="Arial"/>
                <w:sz w:val="18"/>
                <w:szCs w:val="18"/>
                <w:b w:val="1"/>
                <w:bCs w:val="1"/>
                <w:color w:val="auto"/>
                <w:w w:val="97"/>
              </w:rPr>
              <w:t>27-0000798</w:t>
            </w:r>
          </w:p>
        </w:tc>
      </w:tr>
      <w:tr>
        <w:trPr>
          <w:trHeight w:val="174"/>
        </w:trPr>
        <w:tc>
          <w:tcPr>
            <w:tcW w:w="4140" w:type="dxa"/>
            <w:vAlign w:val="bottom"/>
          </w:tcPr>
          <w:p>
            <w:pPr>
              <w:jc w:val="center"/>
              <w:ind w:right="1780"/>
              <w:spacing w:after="0"/>
              <w:rPr>
                <w:sz w:val="20"/>
                <w:szCs w:val="20"/>
                <w:color w:val="auto"/>
              </w:rPr>
            </w:pPr>
            <w:r>
              <w:rPr>
                <w:rFonts w:ascii="Arial" w:cs="Arial" w:eastAsia="Arial" w:hAnsi="Arial"/>
                <w:sz w:val="14"/>
                <w:szCs w:val="14"/>
                <w:b w:val="1"/>
                <w:bCs w:val="1"/>
                <w:color w:val="auto"/>
                <w:w w:val="87"/>
              </w:rPr>
              <w:t>(Commission File Number)</w:t>
            </w:r>
          </w:p>
        </w:tc>
        <w:tc>
          <w:tcPr>
            <w:tcW w:w="3800" w:type="dxa"/>
            <w:vAlign w:val="bottom"/>
          </w:tcPr>
          <w:p>
            <w:pPr>
              <w:jc w:val="center"/>
              <w:ind w:left="17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87"/>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98"/>
              </w:rPr>
              <w:t>1500 Market Street</w:t>
            </w:r>
          </w:p>
        </w:tc>
        <w:tc>
          <w:tcPr>
            <w:tcW w:w="3800" w:type="dxa"/>
            <w:vAlign w:val="bottom"/>
          </w:tcPr>
          <w:p>
            <w:pPr>
              <w:spacing w:after="0"/>
              <w:rPr>
                <w:sz w:val="24"/>
                <w:szCs w:val="24"/>
                <w:color w:val="auto"/>
              </w:rPr>
            </w:pPr>
          </w:p>
        </w:tc>
      </w:tr>
      <w:tr>
        <w:trPr>
          <w:trHeight w:val="222"/>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96"/>
              </w:rPr>
              <w:t>Philadelphia, PA</w:t>
            </w:r>
          </w:p>
        </w:tc>
        <w:tc>
          <w:tcPr>
            <w:tcW w:w="3800" w:type="dxa"/>
            <w:vAlign w:val="bottom"/>
          </w:tcPr>
          <w:p>
            <w:pPr>
              <w:jc w:val="center"/>
              <w:ind w:left="1782"/>
              <w:spacing w:after="0"/>
              <w:rPr>
                <w:sz w:val="20"/>
                <w:szCs w:val="20"/>
                <w:color w:val="auto"/>
              </w:rPr>
            </w:pPr>
            <w:r>
              <w:rPr>
                <w:rFonts w:ascii="Arial" w:cs="Arial" w:eastAsia="Arial" w:hAnsi="Arial"/>
                <w:sz w:val="18"/>
                <w:szCs w:val="18"/>
                <w:b w:val="1"/>
                <w:bCs w:val="1"/>
                <w:color w:val="auto"/>
                <w:w w:val="97"/>
              </w:rPr>
              <w:t>19102-2148</w:t>
            </w:r>
          </w:p>
        </w:tc>
      </w:tr>
      <w:tr>
        <w:trPr>
          <w:trHeight w:val="174"/>
        </w:trPr>
        <w:tc>
          <w:tcPr>
            <w:tcW w:w="4140" w:type="dxa"/>
            <w:vAlign w:val="bottom"/>
          </w:tcPr>
          <w:p>
            <w:pPr>
              <w:jc w:val="center"/>
              <w:ind w:right="17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800" w:type="dxa"/>
            <w:vAlign w:val="bottom"/>
          </w:tcPr>
          <w:p>
            <w:pPr>
              <w:jc w:val="center"/>
              <w:ind w:left="1782"/>
              <w:spacing w:after="0"/>
              <w:rPr>
                <w:sz w:val="20"/>
                <w:szCs w:val="20"/>
                <w:color w:val="auto"/>
              </w:rPr>
            </w:pPr>
            <w:r>
              <w:rPr>
                <w:rFonts w:ascii="Arial" w:cs="Arial" w:eastAsia="Arial" w:hAnsi="Arial"/>
                <w:sz w:val="14"/>
                <w:szCs w:val="14"/>
                <w:b w:val="1"/>
                <w:bCs w:val="1"/>
                <w:color w:val="auto"/>
                <w:w w:val="89"/>
              </w:rPr>
              <w:t>(Zip Code)</w:t>
            </w:r>
          </w:p>
        </w:tc>
      </w:tr>
    </w:tbl>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(215) 665-1700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120015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April 26, 2007, Comcast Corporation (“Comcast”) issued a press release reporting the results of its operations for the three months ended March 31, 2007. The press release is attached hereto as Exhibit 99.1. Comcast does not intend for this Item 2.02 or Exhibit 99.1 to be treated as "filed" under the Securities Exchange Act of 1934, as amended, or incorporated by reference into its filings under the Securities Act of 1933, as amended.</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the press release, Comcast presented non-GAAP financial measures, as defined in Regulation G and Item 10(e) of Regulation S-K promulgated by the Securities and Exchange Commission, as well as other financial measures. Non-GAAP financial measures differ from financial measures reported in conformity with U.S. generally accepted accounting principles (“GAAP”). Comcast provided reconciliations of the non-GAAP financial measures to the most directly comparable financial GAAP measures in the tables accompanying the press release. In addition, in Table 7, entitled </w:t>
      </w:r>
      <w:r>
        <w:rPr>
          <w:rFonts w:ascii="Arial" w:cs="Arial" w:eastAsia="Arial" w:hAnsi="Arial"/>
          <w:sz w:val="18"/>
          <w:szCs w:val="18"/>
          <w:i w:val="1"/>
          <w:iCs w:val="1"/>
          <w:color w:val="auto"/>
        </w:rPr>
        <w:t>Non-GAAP and Other Financial Measures</w:t>
      </w:r>
      <w:r>
        <w:rPr>
          <w:rFonts w:ascii="Arial" w:cs="Arial" w:eastAsia="Arial" w:hAnsi="Arial"/>
          <w:sz w:val="18"/>
          <w:szCs w:val="18"/>
          <w:color w:val="auto"/>
        </w:rPr>
        <w:t>, Comcast disclosed why management believes the presentation of the non-GAAP financial measures it customarily presents provided useful information to investors in understanding Comcast’s financial condition and results of operations as well as any additional purposes for which Comcast’s management uses these as performance measures.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In the press release, Comcast provided one additional non-GAAP financial measure to those described in Table 7, along with a reconciliation of this measure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Table 7B:</w:t>
      </w:r>
    </w:p>
    <w:p>
      <w:pPr>
        <w:spacing w:after="0" w:line="84" w:lineRule="exact"/>
        <w:rPr>
          <w:sz w:val="20"/>
          <w:szCs w:val="20"/>
          <w:color w:val="auto"/>
        </w:rPr>
      </w:pPr>
    </w:p>
    <w:p>
      <w:pPr>
        <w:jc w:val="both"/>
        <w:ind w:left="220" w:hanging="212"/>
        <w:spacing w:after="0" w:line="259"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Reconciliation of Net Income to Adjusted Net Income for the three months ended March 31, 2007 and 2006</w:t>
      </w:r>
      <w:r>
        <w:rPr>
          <w:rFonts w:ascii="Arial" w:cs="Arial" w:eastAsia="Arial" w:hAnsi="Arial"/>
          <w:sz w:val="18"/>
          <w:szCs w:val="18"/>
          <w:color w:val="auto"/>
        </w:rPr>
        <w:t>—For 2007, Adjusted Net Income excludes a</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non-operating gain included in Other Income (Expense) (as presented in our Consolidated Statement of Operations) related to the dissolution of our Texas and Kansas City Cable Partnership.</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believes this additional non-GAAP measure provides useful information to investors. Among other things, it may help investors evaluate Comcast’s ongoing operations, can assist in making meaningful period-over-period comparisons and can help identify trends that could otherwise be masked or distorted by the excluded items. In particular, net income in 2007 includes a significant non-operating gain resulting from the dissolution of our Texas and Kansas City Cable Partnership that did not occur in 2006.</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Exhibits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8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0</wp:posOffset>
            </wp:positionV>
            <wp:extent cx="67322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ind w:left="100"/>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Comcast Corporation press release dated April 26, 2007.</w:t>
      </w:r>
    </w:p>
    <w:p>
      <w:pPr>
        <w:sectPr>
          <w:pgSz w:w="11900" w:h="16838" w:orient="portrait"/>
          <w:cols w:equalWidth="0" w:num="1">
            <w:col w:w="11420"/>
          </w:cols>
          <w:pgMar w:left="240" w:top="25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p>
      <w:pPr>
        <w:ind w:left="5580"/>
        <w:spacing w:after="0"/>
        <w:rPr>
          <w:sz w:val="20"/>
          <w:szCs w:val="20"/>
          <w:color w:val="auto"/>
        </w:rPr>
      </w:pPr>
      <w:r>
        <w:rPr>
          <w:rFonts w:ascii="Arial" w:cs="Arial" w:eastAsia="Arial" w:hAnsi="Arial"/>
          <w:sz w:val="22"/>
          <w:szCs w:val="22"/>
          <w:b w:val="1"/>
          <w:bCs w:val="1"/>
          <w:color w:val="auto"/>
        </w:rPr>
        <w:t>COMCAST CORPORATION</w:t>
      </w:r>
    </w:p>
    <w:p>
      <w:pPr>
        <w:spacing w:after="0" w:line="230"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April 26, 2007</w:t>
      </w:r>
      <w:r>
        <w:rPr>
          <w:sz w:val="20"/>
          <w:szCs w:val="20"/>
          <w:color w:val="auto"/>
        </w:rPr>
        <w:tab/>
      </w:r>
      <w:r>
        <w:rPr>
          <w:rFonts w:ascii="Arial" w:cs="Arial" w:eastAsia="Arial" w:hAnsi="Arial"/>
          <w:sz w:val="16"/>
          <w:szCs w:val="16"/>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Lawrence J. Salva</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00"/>
          </w:cols>
          <w:pgMar w:left="240" w:top="256"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2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787"/>
        </w:trPr>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32"/>
                <w:szCs w:val="32"/>
                <w:b w:val="1"/>
                <w:bCs w:val="1"/>
                <w:color w:val="auto"/>
              </w:rPr>
              <w:t>PRESS RELEASE</w:t>
            </w:r>
          </w:p>
        </w:tc>
      </w:tr>
      <w:tr>
        <w:trPr>
          <w:trHeight w:val="296"/>
        </w:trPr>
        <w:tc>
          <w:tcPr>
            <w:tcW w:w="22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gridSpan w:val="2"/>
          </w:tcPr>
          <w:p>
            <w:pPr>
              <w:spacing w:after="0"/>
              <w:rPr>
                <w:sz w:val="24"/>
                <w:szCs w:val="24"/>
                <w:color w:val="auto"/>
              </w:rPr>
            </w:pPr>
          </w:p>
        </w:tc>
      </w:tr>
      <w:tr>
        <w:trPr>
          <w:trHeight w:val="336"/>
        </w:trPr>
        <w:tc>
          <w:tcPr>
            <w:tcW w:w="2280" w:type="dxa"/>
            <w:vAlign w:val="bottom"/>
          </w:tcPr>
          <w:p>
            <w:pPr>
              <w:spacing w:after="0"/>
              <w:rPr>
                <w:sz w:val="20"/>
                <w:szCs w:val="20"/>
                <w:color w:val="auto"/>
              </w:rPr>
            </w:pPr>
            <w:r>
              <w:rPr>
                <w:rFonts w:ascii="Arial" w:cs="Arial" w:eastAsia="Arial" w:hAnsi="Arial"/>
                <w:sz w:val="22"/>
                <w:szCs w:val="22"/>
                <w:b w:val="1"/>
                <w:bCs w:val="1"/>
                <w:color w:val="auto"/>
              </w:rPr>
              <w:t>Investor Contacts:</w:t>
            </w:r>
          </w:p>
        </w:tc>
        <w:tc>
          <w:tcPr>
            <w:tcW w:w="3200" w:type="dxa"/>
            <w:vAlign w:val="bottom"/>
          </w:tcPr>
          <w:p>
            <w:pPr>
              <w:spacing w:after="0"/>
              <w:rPr>
                <w:sz w:val="24"/>
                <w:szCs w:val="24"/>
                <w:color w:val="auto"/>
              </w:rPr>
            </w:pPr>
          </w:p>
        </w:tc>
        <w:tc>
          <w:tcPr>
            <w:tcW w:w="5940" w:type="dxa"/>
            <w:vAlign w:val="bottom"/>
            <w:gridSpan w:val="2"/>
          </w:tcPr>
          <w:p>
            <w:pPr>
              <w:ind w:left="1740"/>
              <w:spacing w:after="0"/>
              <w:rPr>
                <w:sz w:val="20"/>
                <w:szCs w:val="20"/>
                <w:color w:val="auto"/>
              </w:rPr>
            </w:pPr>
            <w:r>
              <w:rPr>
                <w:rFonts w:ascii="Arial" w:cs="Arial" w:eastAsia="Arial" w:hAnsi="Arial"/>
                <w:sz w:val="22"/>
                <w:szCs w:val="22"/>
                <w:b w:val="1"/>
                <w:bCs w:val="1"/>
                <w:color w:val="auto"/>
              </w:rPr>
              <w:t>Press Contacts:</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Marlene S. Dooner</w:t>
            </w:r>
          </w:p>
        </w:tc>
        <w:tc>
          <w:tcPr>
            <w:tcW w:w="3200" w:type="dxa"/>
            <w:vAlign w:val="bottom"/>
          </w:tcPr>
          <w:p>
            <w:pPr>
              <w:jc w:val="right"/>
              <w:ind w:right="1652"/>
              <w:spacing w:after="0"/>
              <w:rPr>
                <w:sz w:val="20"/>
                <w:szCs w:val="20"/>
                <w:color w:val="auto"/>
              </w:rPr>
            </w:pPr>
            <w:r>
              <w:rPr>
                <w:rFonts w:ascii="Arial" w:cs="Arial" w:eastAsia="Arial" w:hAnsi="Arial"/>
                <w:sz w:val="18"/>
                <w:szCs w:val="18"/>
                <w:color w:val="auto"/>
              </w:rPr>
              <w:t>(215) 981-7392</w:t>
            </w:r>
          </w:p>
        </w:tc>
        <w:tc>
          <w:tcPr>
            <w:tcW w:w="3040" w:type="dxa"/>
            <w:vAlign w:val="bottom"/>
          </w:tcPr>
          <w:p>
            <w:pPr>
              <w:ind w:left="1740"/>
              <w:spacing w:after="0"/>
              <w:rPr>
                <w:sz w:val="20"/>
                <w:szCs w:val="20"/>
                <w:color w:val="auto"/>
              </w:rPr>
            </w:pPr>
            <w:r>
              <w:rPr>
                <w:rFonts w:ascii="Arial" w:cs="Arial" w:eastAsia="Arial" w:hAnsi="Arial"/>
                <w:sz w:val="18"/>
                <w:szCs w:val="18"/>
                <w:color w:val="auto"/>
              </w:rPr>
              <w:t>D’Arcy Rudnay</w:t>
            </w:r>
          </w:p>
        </w:tc>
        <w:tc>
          <w:tcPr>
            <w:tcW w:w="2900" w:type="dxa"/>
            <w:vAlign w:val="bottom"/>
          </w:tcPr>
          <w:p>
            <w:pPr>
              <w:jc w:val="right"/>
              <w:ind w:right="727"/>
              <w:spacing w:after="0"/>
              <w:rPr>
                <w:sz w:val="20"/>
                <w:szCs w:val="20"/>
                <w:color w:val="auto"/>
              </w:rPr>
            </w:pPr>
            <w:r>
              <w:rPr>
                <w:rFonts w:ascii="Arial" w:cs="Arial" w:eastAsia="Arial" w:hAnsi="Arial"/>
                <w:sz w:val="18"/>
                <w:szCs w:val="18"/>
                <w:color w:val="auto"/>
              </w:rPr>
              <w:t>(215) 981-8582</w:t>
            </w:r>
          </w:p>
        </w:tc>
      </w:tr>
      <w:tr>
        <w:trPr>
          <w:trHeight w:val="222"/>
        </w:trPr>
        <w:tc>
          <w:tcPr>
            <w:tcW w:w="2280" w:type="dxa"/>
            <w:vAlign w:val="bottom"/>
          </w:tcPr>
          <w:p>
            <w:pPr>
              <w:spacing w:after="0"/>
              <w:rPr>
                <w:sz w:val="20"/>
                <w:szCs w:val="20"/>
                <w:color w:val="auto"/>
              </w:rPr>
            </w:pPr>
            <w:r>
              <w:rPr>
                <w:rFonts w:ascii="Arial" w:cs="Arial" w:eastAsia="Arial" w:hAnsi="Arial"/>
                <w:sz w:val="18"/>
                <w:szCs w:val="18"/>
                <w:color w:val="auto"/>
              </w:rPr>
              <w:t>Daniel J. Goodwin</w:t>
            </w:r>
          </w:p>
        </w:tc>
        <w:tc>
          <w:tcPr>
            <w:tcW w:w="3200" w:type="dxa"/>
            <w:vAlign w:val="bottom"/>
          </w:tcPr>
          <w:p>
            <w:pPr>
              <w:jc w:val="right"/>
              <w:ind w:right="1652"/>
              <w:spacing w:after="0"/>
              <w:rPr>
                <w:sz w:val="20"/>
                <w:szCs w:val="20"/>
                <w:color w:val="auto"/>
              </w:rPr>
            </w:pPr>
            <w:r>
              <w:rPr>
                <w:rFonts w:ascii="Arial" w:cs="Arial" w:eastAsia="Arial" w:hAnsi="Arial"/>
                <w:sz w:val="18"/>
                <w:szCs w:val="18"/>
                <w:color w:val="auto"/>
              </w:rPr>
              <w:t>(215) 981-7518</w:t>
            </w:r>
          </w:p>
        </w:tc>
        <w:tc>
          <w:tcPr>
            <w:tcW w:w="3040" w:type="dxa"/>
            <w:vAlign w:val="bottom"/>
          </w:tcPr>
          <w:p>
            <w:pPr>
              <w:spacing w:after="0"/>
              <w:rPr>
                <w:sz w:val="19"/>
                <w:szCs w:val="19"/>
                <w:color w:val="auto"/>
              </w:rPr>
            </w:pPr>
          </w:p>
        </w:tc>
        <w:tc>
          <w:tcPr>
            <w:tcW w:w="29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-1061720</wp:posOffset>
            </wp:positionV>
            <wp:extent cx="1389380"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93"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COMCAST REPORTS FIRST QUARTER 2007 RESULTS</w:t>
      </w:r>
    </w:p>
    <w:p>
      <w:pPr>
        <w:spacing w:after="0" w:line="152"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Comcast Triple Play powers another record-setting quarter</w:t>
      </w:r>
    </w:p>
    <w:p>
      <w:pPr>
        <w:spacing w:after="0" w:line="152"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Most quarterly RGU additions in Comcast history</w:t>
      </w:r>
    </w:p>
    <w:p>
      <w:pPr>
        <w:spacing w:after="0" w:line="16"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1.8 million RGUs added – a 63% increase</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Record-setting growth in new services fuels 12% growth in Cable Revenue and 14% growth in Cable Operating</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Cash Flow</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Philadelphia, PA – April 26, 2007…Comcast Corporation (NASDAQ: CMCSA, CMCSK) today reported results for the quarter ended March 31, 2007. The following table highlights financial and operational results (dollars in millions, except per share amounts; units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vMerge w:val="restart"/>
          </w:tcPr>
          <w:p>
            <w:pPr>
              <w:ind w:left="1140"/>
              <w:spacing w:after="0"/>
              <w:rPr>
                <w:sz w:val="20"/>
                <w:szCs w:val="20"/>
                <w:color w:val="auto"/>
              </w:rPr>
            </w:pPr>
            <w:r>
              <w:rPr>
                <w:rFonts w:ascii="Arial" w:cs="Arial" w:eastAsia="Arial" w:hAnsi="Arial"/>
                <w:sz w:val="18"/>
                <w:szCs w:val="18"/>
                <w:b w:val="1"/>
                <w:bCs w:val="1"/>
                <w:i w:val="1"/>
                <w:iCs w:val="1"/>
                <w:color w:val="auto"/>
              </w:rPr>
              <w:t>Consolidated</w:t>
            </w: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1Q07</w:t>
            </w:r>
          </w:p>
        </w:tc>
        <w:tc>
          <w:tcPr>
            <w:tcW w:w="440" w:type="dxa"/>
            <w:vAlign w:val="bottom"/>
          </w:tcPr>
          <w:p>
            <w:pPr>
              <w:spacing w:after="0"/>
              <w:rPr>
                <w:sz w:val="14"/>
                <w:szCs w:val="14"/>
                <w:color w:val="auto"/>
              </w:rPr>
            </w:pP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Growth Q/Q</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66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140"/>
              <w:spacing w:after="0"/>
              <w:rPr>
                <w:sz w:val="20"/>
                <w:szCs w:val="20"/>
                <w:color w:val="auto"/>
              </w:rPr>
            </w:pPr>
            <w:r>
              <w:rPr>
                <w:rFonts w:ascii="Arial" w:cs="Arial" w:eastAsia="Arial" w:hAnsi="Arial"/>
                <w:sz w:val="18"/>
                <w:szCs w:val="18"/>
                <w:color w:val="auto"/>
              </w:rPr>
              <w:t>Revenue</w:t>
            </w:r>
          </w:p>
        </w:tc>
        <w:tc>
          <w:tcPr>
            <w:tcW w:w="900" w:type="dxa"/>
            <w:vAlign w:val="bottom"/>
          </w:tcPr>
          <w:p>
            <w:pPr>
              <w:jc w:val="right"/>
              <w:spacing w:after="0"/>
              <w:rPr>
                <w:sz w:val="20"/>
                <w:szCs w:val="20"/>
                <w:color w:val="auto"/>
              </w:rPr>
            </w:pPr>
            <w:r>
              <w:rPr>
                <w:rFonts w:ascii="Arial" w:cs="Arial" w:eastAsia="Arial" w:hAnsi="Arial"/>
                <w:sz w:val="18"/>
                <w:szCs w:val="18"/>
                <w:color w:val="auto"/>
              </w:rPr>
              <w:t>$7,388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140"/>
              <w:spacing w:after="0"/>
              <w:rPr>
                <w:sz w:val="20"/>
                <w:szCs w:val="20"/>
                <w:color w:val="auto"/>
              </w:rPr>
            </w:pPr>
            <w:r>
              <w:rPr>
                <w:rFonts w:ascii="Arial" w:cs="Arial" w:eastAsia="Arial" w:hAnsi="Arial"/>
                <w:sz w:val="18"/>
                <w:szCs w:val="18"/>
                <w:color w:val="auto"/>
              </w:rPr>
              <w:t>Operating Cash Flow</w:t>
            </w:r>
          </w:p>
        </w:tc>
        <w:tc>
          <w:tcPr>
            <w:tcW w:w="900" w:type="dxa"/>
            <w:vAlign w:val="bottom"/>
          </w:tcPr>
          <w:p>
            <w:pPr>
              <w:jc w:val="right"/>
              <w:spacing w:after="0"/>
              <w:rPr>
                <w:sz w:val="20"/>
                <w:szCs w:val="20"/>
                <w:color w:val="auto"/>
              </w:rPr>
            </w:pPr>
            <w:r>
              <w:rPr>
                <w:rFonts w:ascii="Arial" w:cs="Arial" w:eastAsia="Arial" w:hAnsi="Arial"/>
                <w:sz w:val="18"/>
                <w:szCs w:val="18"/>
                <w:color w:val="auto"/>
              </w:rPr>
              <w:t>$2,763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140"/>
              <w:spacing w:after="0"/>
              <w:rPr>
                <w:sz w:val="20"/>
                <w:szCs w:val="20"/>
                <w:color w:val="auto"/>
              </w:rPr>
            </w:pPr>
            <w:r>
              <w:rPr>
                <w:rFonts w:ascii="Arial" w:cs="Arial" w:eastAsia="Arial" w:hAnsi="Arial"/>
                <w:sz w:val="18"/>
                <w:szCs w:val="18"/>
                <w:color w:val="auto"/>
              </w:rPr>
              <w:t>Operating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$1,261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14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  837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tcPr>
          <w:p>
            <w:pPr>
              <w:ind w:left="1140"/>
              <w:spacing w:after="0"/>
              <w:rPr>
                <w:sz w:val="20"/>
                <w:szCs w:val="20"/>
                <w:color w:val="auto"/>
              </w:rPr>
            </w:pPr>
            <w:r>
              <w:rPr>
                <w:rFonts w:ascii="Arial" w:cs="Arial" w:eastAsia="Arial" w:hAnsi="Arial"/>
                <w:sz w:val="18"/>
                <w:szCs w:val="18"/>
                <w:color w:val="auto"/>
              </w:rPr>
              <w:t>Earnings per Share</w:t>
            </w:r>
          </w:p>
        </w:tc>
        <w:tc>
          <w:tcPr>
            <w:tcW w:w="900" w:type="dxa"/>
            <w:vAlign w:val="bottom"/>
          </w:tcPr>
          <w:p>
            <w:pPr>
              <w:jc w:val="right"/>
              <w:spacing w:after="0"/>
              <w:rPr>
                <w:sz w:val="20"/>
                <w:szCs w:val="20"/>
                <w:color w:val="auto"/>
              </w:rPr>
            </w:pPr>
            <w:r>
              <w:rPr>
                <w:rFonts w:ascii="Arial" w:cs="Arial" w:eastAsia="Arial" w:hAnsi="Arial"/>
                <w:sz w:val="18"/>
                <w:szCs w:val="18"/>
                <w:color w:val="auto"/>
              </w:rPr>
              <w:t>$0.26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7660" w:type="dxa"/>
            <w:vAlign w:val="bottom"/>
          </w:tcPr>
          <w:p>
            <w:pPr>
              <w:ind w:left="1140"/>
              <w:spacing w:after="0"/>
              <w:rPr>
                <w:sz w:val="20"/>
                <w:szCs w:val="20"/>
                <w:color w:val="auto"/>
              </w:rPr>
            </w:pPr>
            <w:r>
              <w:rPr>
                <w:rFonts w:ascii="Arial" w:cs="Arial" w:eastAsia="Arial" w:hAnsi="Arial"/>
                <w:sz w:val="18"/>
                <w:szCs w:val="18"/>
                <w:b w:val="1"/>
                <w:bCs w:val="1"/>
                <w:i w:val="1"/>
                <w:iCs w:val="1"/>
                <w:color w:val="auto"/>
              </w:rPr>
              <w:t>Cable</w:t>
            </w:r>
            <w:r>
              <w:rPr>
                <w:rFonts w:ascii="Arial" w:cs="Arial" w:eastAsia="Arial" w:hAnsi="Arial"/>
                <w:sz w:val="22"/>
                <w:szCs w:val="22"/>
                <w:b w:val="1"/>
                <w:bCs w:val="1"/>
                <w:i w:val="1"/>
                <w:iCs w:val="1"/>
                <w:color w:val="auto"/>
                <w:vertAlign w:val="superscript"/>
              </w:rPr>
              <w:t>1</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140"/>
              <w:spacing w:after="0"/>
              <w:rPr>
                <w:sz w:val="20"/>
                <w:szCs w:val="20"/>
                <w:color w:val="auto"/>
              </w:rPr>
            </w:pPr>
            <w:r>
              <w:rPr>
                <w:rFonts w:ascii="Arial" w:cs="Arial" w:eastAsia="Arial" w:hAnsi="Arial"/>
                <w:sz w:val="18"/>
                <w:szCs w:val="18"/>
                <w:color w:val="auto"/>
              </w:rPr>
              <w:t>Revenue</w:t>
            </w:r>
          </w:p>
        </w:tc>
        <w:tc>
          <w:tcPr>
            <w:tcW w:w="900" w:type="dxa"/>
            <w:vAlign w:val="bottom"/>
          </w:tcPr>
          <w:p>
            <w:pPr>
              <w:jc w:val="right"/>
              <w:spacing w:after="0"/>
              <w:rPr>
                <w:sz w:val="20"/>
                <w:szCs w:val="20"/>
                <w:color w:val="auto"/>
              </w:rPr>
            </w:pPr>
            <w:r>
              <w:rPr>
                <w:rFonts w:ascii="Arial" w:cs="Arial" w:eastAsia="Arial" w:hAnsi="Arial"/>
                <w:sz w:val="18"/>
                <w:szCs w:val="18"/>
                <w:color w:val="auto"/>
              </w:rPr>
              <w:t>$6,998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140"/>
              <w:spacing w:after="0"/>
              <w:rPr>
                <w:sz w:val="20"/>
                <w:szCs w:val="20"/>
                <w:color w:val="auto"/>
              </w:rPr>
            </w:pPr>
            <w:r>
              <w:rPr>
                <w:rFonts w:ascii="Arial" w:cs="Arial" w:eastAsia="Arial" w:hAnsi="Arial"/>
                <w:sz w:val="18"/>
                <w:szCs w:val="18"/>
                <w:color w:val="auto"/>
              </w:rPr>
              <w:t>Operating Cash Flow</w:t>
            </w:r>
          </w:p>
        </w:tc>
        <w:tc>
          <w:tcPr>
            <w:tcW w:w="900" w:type="dxa"/>
            <w:vAlign w:val="bottom"/>
          </w:tcPr>
          <w:p>
            <w:pPr>
              <w:jc w:val="right"/>
              <w:spacing w:after="0"/>
              <w:rPr>
                <w:sz w:val="20"/>
                <w:szCs w:val="20"/>
                <w:color w:val="auto"/>
              </w:rPr>
            </w:pPr>
            <w:r>
              <w:rPr>
                <w:rFonts w:ascii="Arial" w:cs="Arial" w:eastAsia="Arial" w:hAnsi="Arial"/>
                <w:sz w:val="18"/>
                <w:szCs w:val="18"/>
                <w:color w:val="auto"/>
              </w:rPr>
              <w:t>$2,793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tcPr>
          <w:p>
            <w:pPr>
              <w:ind w:left="1140"/>
              <w:spacing w:after="0"/>
              <w:rPr>
                <w:sz w:val="20"/>
                <w:szCs w:val="20"/>
                <w:color w:val="auto"/>
              </w:rPr>
            </w:pPr>
            <w:r>
              <w:rPr>
                <w:rFonts w:ascii="Arial" w:cs="Arial" w:eastAsia="Arial" w:hAnsi="Arial"/>
                <w:sz w:val="18"/>
                <w:szCs w:val="18"/>
                <w:color w:val="auto"/>
              </w:rPr>
              <w:t>Revenue Generating Unit Additions</w:t>
            </w:r>
          </w:p>
        </w:tc>
        <w:tc>
          <w:tcPr>
            <w:tcW w:w="900" w:type="dxa"/>
            <w:vAlign w:val="bottom"/>
          </w:tcPr>
          <w:p>
            <w:pPr>
              <w:jc w:val="right"/>
              <w:spacing w:after="0"/>
              <w:rPr>
                <w:sz w:val="20"/>
                <w:szCs w:val="20"/>
                <w:color w:val="auto"/>
              </w:rPr>
            </w:pPr>
            <w:r>
              <w:rPr>
                <w:rFonts w:ascii="Arial" w:cs="Arial" w:eastAsia="Arial" w:hAnsi="Arial"/>
                <w:sz w:val="18"/>
                <w:szCs w:val="18"/>
                <w:color w:val="auto"/>
              </w:rPr>
              <w:t>1,759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76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3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Brian L. Roberts, Chairman and CEO of Comcast Corporation, said, “We are off to a fabulous start to the year and see increasing momentum as we move ahead. Strong consumer demand for our superior products delivered through our Triple Play offering resulted in another quarter of record performance at our cable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division—and we are just getting started capitalizing on the triple play opportunity. This was our 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consecutive quarter of record-breaking RGU growth and the</w:t>
      </w:r>
    </w:p>
    <w:p>
      <w:pPr>
        <w:spacing w:after="0" w:line="14" w:lineRule="exact"/>
        <w:rPr>
          <w:sz w:val="20"/>
          <w:szCs w:val="20"/>
          <w:color w:val="auto"/>
        </w:rPr>
      </w:pPr>
    </w:p>
    <w:p>
      <w:pPr>
        <w:jc w:val="both"/>
        <w:ind w:right="20"/>
        <w:spacing w:after="0" w:line="214" w:lineRule="auto"/>
        <w:rPr>
          <w:sz w:val="20"/>
          <w:szCs w:val="20"/>
          <w:color w:val="auto"/>
        </w:rPr>
      </w:pPr>
      <w:r>
        <w:rPr>
          <w:rFonts w:ascii="Arial" w:cs="Arial" w:eastAsia="Arial" w:hAnsi="Arial"/>
          <w:sz w:val="18"/>
          <w:szCs w:val="18"/>
          <w:color w:val="auto"/>
        </w:rPr>
        <w:t>27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consecutive quarter of double digit OCF growth. We are highly confident that our strategy and focus on operational execution and product innovation will deliver great results in 2007 and beyond.”</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Results</w:t>
      </w:r>
      <w:r>
        <w:rPr>
          <w:rFonts w:ascii="Arial" w:cs="Arial" w:eastAsia="Arial" w:hAnsi="Arial"/>
          <w:sz w:val="11"/>
          <w:szCs w:val="11"/>
          <w:b w:val="1"/>
          <w:bCs w:val="1"/>
          <w:color w:val="auto"/>
        </w:rPr>
        <w:t>1</w:t>
      </w:r>
    </w:p>
    <w:p>
      <w:pPr>
        <w:spacing w:after="0" w:line="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12% to $7.0 billion for the first quarter of 2007 reflecting increasing consumer demand for Comcast’s services and the success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Comcast Triple Play.</w:t>
      </w:r>
    </w:p>
    <w:p>
      <w:pPr>
        <w:spacing w:after="0" w:line="14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i w:val="1"/>
          <w:iCs w:val="1"/>
          <w:color w:val="auto"/>
        </w:rPr>
        <w:t xml:space="preserve">Revenue generating unit </w:t>
      </w:r>
      <w:r>
        <w:rPr>
          <w:rFonts w:ascii="Arial" w:cs="Arial" w:eastAsia="Arial" w:hAnsi="Arial"/>
          <w:sz w:val="18"/>
          <w:szCs w:val="18"/>
          <w:color w:val="auto"/>
        </w:rPr>
        <w:t>(RGU)</w:t>
      </w:r>
      <w:r>
        <w:rPr>
          <w:rFonts w:ascii="Arial" w:cs="Arial" w:eastAsia="Arial" w:hAnsi="Arial"/>
          <w:sz w:val="22"/>
          <w:szCs w:val="22"/>
          <w:color w:val="auto"/>
          <w:vertAlign w:val="superscript"/>
        </w:rPr>
        <w:t>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additions increased 63% to a record 1.8 million in the first quarter of 2007 compared to 1.1 million additions in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2006. Comcast ended the first quarter of 2007 with 52.6 million RGUs.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Operating Cash Flow </w:t>
      </w:r>
      <w:r>
        <w:rPr>
          <w:rFonts w:ascii="Arial" w:cs="Arial" w:eastAsia="Arial" w:hAnsi="Arial"/>
          <w:sz w:val="16"/>
          <w:szCs w:val="16"/>
          <w:color w:val="auto"/>
        </w:rPr>
        <w:t>(as defined in Table 7) grew 14% to $2.8 billion in the first quarter of 2007 resulting in an Operating Cash Flow margin of 39.9%,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from the 39.2% reported in the same quarter of 2006. The margin improvement reflects strong revenue growth and our continuing success in controlling the growth of operating costs, even as we experience higher service and installation activity from record RGU additions.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Video</w:t>
      </w:r>
    </w:p>
    <w:p>
      <w:pPr>
        <w:spacing w:after="0" w:line="85" w:lineRule="exact"/>
        <w:rPr>
          <w:sz w:val="20"/>
          <w:szCs w:val="20"/>
          <w:color w:val="auto"/>
        </w:rPr>
      </w:pPr>
    </w:p>
    <w:p>
      <w:pPr>
        <w:ind w:left="220" w:hanging="212"/>
        <w:spacing w:after="0" w:line="221" w:lineRule="auto"/>
        <w:tabs>
          <w:tab w:leader="none" w:pos="2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Added 644,000 new digital cable subscribers in the first quarter of 2007 – highest level of quarterly additions in Company history and the 3</w:t>
      </w:r>
      <w:r>
        <w:rPr>
          <w:rFonts w:ascii="Arial" w:cs="Arial" w:eastAsia="Arial" w:hAnsi="Arial"/>
          <w:sz w:val="22"/>
          <w:szCs w:val="22"/>
          <w:i w:val="1"/>
          <w:iCs w:val="1"/>
          <w:color w:val="auto"/>
          <w:vertAlign w:val="superscript"/>
        </w:rPr>
        <w:t>rd</w:t>
      </w:r>
      <w:r>
        <w:rPr>
          <w:rFonts w:ascii="Arial" w:cs="Arial" w:eastAsia="Arial" w:hAnsi="Arial"/>
          <w:sz w:val="18"/>
          <w:szCs w:val="18"/>
          <w:i w:val="1"/>
          <w:iCs w:val="1"/>
          <w:color w:val="auto"/>
        </w:rPr>
        <w:t xml:space="preserve"> consecutive quarter of accelerating digital subscriber growth</w:t>
      </w:r>
    </w:p>
    <w:p>
      <w:pPr>
        <w:spacing w:after="0" w:line="14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Video revenue increased 8% to $4.4 billion in the first quarter of 2007, reflecting growth in digital cable customers and increased demand for new digital features including ON DEMAND, digital video recorders (DVR) and HDTV programming (HDTV), as well as higher basic cable pricing.</w:t>
      </w:r>
    </w:p>
    <w:p>
      <w:pPr>
        <w:spacing w:after="0" w:line="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Basic cable subscribers increased by 75,000 to 24.2 million during the first quarter of 2007 with 13.3 million or 55% of video customers taking digital cable services. Comcast added 644,000 digital cable customers in the first quarter of 2007, an increase of 82% from the 355,000 digital cable customers added in the same period one year ago. The digital cable customer additions in the first quarter of 2007 include 337,000 digital cable and 307,000 digital starter subscribers. During the quarter, 535,000 digital cable customers added advanced services, like DVR and HDTV, to their digital service either by upgrading or as new customers. This compares to 310,000 additions in the same quarter one year ago. Pay-per-view revenue increased 26% to $181 million in the first quarter of 2007 driven by increasing ON DEMAND movie purchases. Pay-per-view revenue has increased more than 20% on average over each of the past nine quarters.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85"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Added 563,000 high-speed Internet subscribers during the first quarter - highest level of quarterly additions in Company history</w:t>
      </w:r>
    </w:p>
    <w:p>
      <w:pPr>
        <w:spacing w:after="0" w:line="90" w:lineRule="exact"/>
        <w:rPr>
          <w:rFonts w:ascii="Arial" w:cs="Arial" w:eastAsia="Arial" w:hAnsi="Arial"/>
          <w:sz w:val="18"/>
          <w:szCs w:val="18"/>
          <w:i w:val="1"/>
          <w:iCs w:val="1"/>
          <w:color w:val="auto"/>
        </w:rPr>
      </w:pPr>
    </w:p>
    <w:p>
      <w:pPr>
        <w:ind w:left="220" w:hanging="212"/>
        <w:spacing w:after="0"/>
        <w:tabs>
          <w:tab w:leader="none" w:pos="2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First quarter 2007 high-speed Internet additions up 10% from the same quarter in 2006</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High-speed Internet revenues increased 21% to $1.5 billion in the first quarter of 2007, reflecting a 1.9 million or 19% increase in subscribers from the prior year and stable average monthly revenue per subscriber of approximately $43. Comcast ended the first quarter of 2007 with 12.1 million high-speed Internet subscribers or 26% penetration of available homes.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Phone</w:t>
      </w:r>
    </w:p>
    <w:p>
      <w:pPr>
        <w:spacing w:after="0" w:line="85" w:lineRule="exact"/>
        <w:rPr>
          <w:sz w:val="20"/>
          <w:szCs w:val="20"/>
          <w:color w:val="auto"/>
        </w:rPr>
      </w:pPr>
    </w:p>
    <w:p>
      <w:pPr>
        <w:ind w:left="220" w:hanging="212"/>
        <w:spacing w:after="0" w:line="268" w:lineRule="auto"/>
        <w:tabs>
          <w:tab w:leader="none" w:pos="2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Added 571,000 Comcast Digital Voice (CDV) customers during the quarter – nearly 2.5 times more than the 232,000 customers added in the same period of the prior year</w:t>
      </w:r>
    </w:p>
    <w:p>
      <w:pPr>
        <w:spacing w:after="0" w:line="50" w:lineRule="exact"/>
        <w:rPr>
          <w:rFonts w:ascii="Arial" w:cs="Arial" w:eastAsia="Arial" w:hAnsi="Arial"/>
          <w:sz w:val="18"/>
          <w:szCs w:val="18"/>
          <w:i w:val="1"/>
          <w:iCs w:val="1"/>
          <w:color w:val="auto"/>
        </w:rPr>
      </w:pPr>
    </w:p>
    <w:p>
      <w:pPr>
        <w:ind w:left="220" w:hanging="212"/>
        <w:spacing w:after="0"/>
        <w:tabs>
          <w:tab w:leader="none" w:pos="2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CDV service now marketed to 35 million homes representing 73% of Comcast’s footprint</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Phone revenue increased 88% to $353 million in the first quarter of 2007 reflecting a $216 million increase in CDV revenues from the prior year as a result of the significant growth in CDV subscribers. The increase in phone revenue was partially offset by a $50 million or 38% decline in circuit-switched phone revenues as Comcast focuses on marketing CDV in most markets. Comcast ended the first quarter of 2007 with 2.4 million CDV customers or 7% of available homes.</w:t>
      </w:r>
    </w:p>
    <w:p>
      <w:pPr>
        <w:spacing w:after="0" w:line="9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 xml:space="preserve">Advertising </w:t>
      </w:r>
      <w:r>
        <w:rPr>
          <w:rFonts w:ascii="Arial" w:cs="Arial" w:eastAsia="Arial" w:hAnsi="Arial"/>
          <w:sz w:val="18"/>
          <w:szCs w:val="18"/>
          <w:color w:val="auto"/>
        </w:rPr>
        <w:t>revenue decreased 3% to $313 million in the first quarter of 2007, due primarily to the impact of 12 broadcast weeks in the current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13 weeks in the same period of the prior year.</w:t>
      </w:r>
    </w:p>
    <w:p>
      <w:pPr>
        <w:spacing w:after="0" w:line="1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Capital expenditures </w:t>
      </w:r>
      <w:r>
        <w:rPr>
          <w:rFonts w:ascii="Arial" w:cs="Arial" w:eastAsia="Arial" w:hAnsi="Arial"/>
          <w:sz w:val="16"/>
          <w:szCs w:val="16"/>
          <w:color w:val="auto"/>
        </w:rPr>
        <w:t>totaled $1.4 billion in the first quarter of 2007, driven by a 63% increase in RGU additions and include approximately $70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network improvements and integration of the newly acquired cable systems from Adelphia and Time Warner. Consistent with historical trends, approximately 75% of cable capital expenditures in the first quarter of 2007 were variable and directly associated with demand for new products.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Programming Segment Results</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Comcast’s Programming segment consists of our national programming networks E! Entertainment Television and Style Network (E! Networks), The Golf Channel, VERSUS, G4, and AZN.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1" w:right="239" w:bottom="1440" w:gutter="0" w:footer="0" w:header="0"/>
        </w:sectPr>
      </w:pPr>
    </w:p>
    <w:bookmarkStart w:id="5" w:name="page6"/>
    <w:bookmarkEnd w:id="5"/>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Programming segment reported first quarter 2007 revenue of $302 million, a 27% increase from the first quarter of 2006 and Operating Cash Flow of $65 million, or a 30% increase, reflecting higher network ratings, advertising revenue and distribution revenue.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Corporate and Other includes Comcast Spectacor, corporate overhead and other operations, and eliminations between Comcast’s businesses. For the first quarter 2007, Corporate and Other revenue increased to $88 million from the $87 million reported in the first quarter of 2006. The Operating Cash Flow loss for the first quarter of 2007 was $95 million compared to a loss of $55 million for the same period in 2006, primarily reflecting a decline in Operating Cash Flow at Comcast Spectacor and increased expenses at Comcast Interactive Media.</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Results</w:t>
      </w:r>
    </w:p>
    <w:p>
      <w:pPr>
        <w:spacing w:after="0" w:line="87" w:lineRule="exact"/>
        <w:rPr>
          <w:sz w:val="20"/>
          <w:szCs w:val="20"/>
          <w:color w:val="auto"/>
        </w:rPr>
      </w:pPr>
    </w:p>
    <w:p>
      <w:pPr>
        <w:jc w:val="both"/>
        <w:ind w:right="20"/>
        <w:spacing w:after="0" w:line="343"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increased 32% in the first quarter of 2007 to $7.4 billion while</w:t>
      </w:r>
      <w:r>
        <w:rPr>
          <w:rFonts w:ascii="Arial" w:cs="Arial" w:eastAsia="Arial" w:hAnsi="Arial"/>
          <w:sz w:val="16"/>
          <w:szCs w:val="16"/>
          <w:b w:val="1"/>
          <w:bCs w:val="1"/>
          <w:i w:val="1"/>
          <w:iCs w:val="1"/>
          <w:color w:val="auto"/>
        </w:rPr>
        <w:t xml:space="preserve"> Operating Cash Flow </w:t>
      </w:r>
      <w:r>
        <w:rPr>
          <w:rFonts w:ascii="Arial" w:cs="Arial" w:eastAsia="Arial" w:hAnsi="Arial"/>
          <w:sz w:val="16"/>
          <w:szCs w:val="16"/>
          <w:color w:val="auto"/>
        </w:rPr>
        <w:t>increased 32% to $2.8 billion and</w:t>
      </w:r>
      <w:r>
        <w:rPr>
          <w:rFonts w:ascii="Arial" w:cs="Arial" w:eastAsia="Arial" w:hAnsi="Arial"/>
          <w:sz w:val="16"/>
          <w:szCs w:val="16"/>
          <w:b w:val="1"/>
          <w:bCs w:val="1"/>
          <w:i w:val="1"/>
          <w:iCs w:val="1"/>
          <w:color w:val="auto"/>
        </w:rPr>
        <w:t xml:space="preserve"> Operating Income </w:t>
      </w:r>
      <w:r>
        <w:rPr>
          <w:rFonts w:ascii="Arial" w:cs="Arial" w:eastAsia="Arial" w:hAnsi="Arial"/>
          <w:sz w:val="16"/>
          <w:szCs w:val="16"/>
          <w:color w:val="auto"/>
        </w:rPr>
        <w:t>increased 26% to $1.3 billion. This significant growth was due to strong results at Comcast Cable and the impact of cable system acquisitions.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increased to $837 million, or $0.26 per share, in the first quarter of 2007, compared to net income of $466 million or $0.15 per share in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2006. In addition to strong operating results at Comcast Cable, the quarter includes a one-time gain, included in other income, of $500 million (or $300 million net of tax) related to the dissolution of our Texas/Kansas City Cable Partnership. As part of that transaction, Comcast received cable systems serving Houston, Texas. Excluding the gain associated with the partnership dissolution and reconciled in Table 7-B Adjusted Net Income for the first quarter of 2007 would be $537 million or $0.17 per share.</w:t>
      </w:r>
    </w:p>
    <w:p>
      <w:pPr>
        <w:spacing w:after="0" w:line="13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increased to $2.0 billion in the first quarter of 2007 from $1.7 billion in the same period of 2006 due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strong operating results.</w:t>
      </w:r>
    </w:p>
    <w:p>
      <w:pPr>
        <w:spacing w:after="0" w:line="115" w:lineRule="exact"/>
        <w:rPr>
          <w:sz w:val="20"/>
          <w:szCs w:val="20"/>
          <w:color w:val="auto"/>
        </w:rPr>
      </w:pPr>
    </w:p>
    <w:p>
      <w:pPr>
        <w:jc w:val="both"/>
        <w:spacing w:after="0" w:line="343" w:lineRule="auto"/>
        <w:rPr>
          <w:sz w:val="20"/>
          <w:szCs w:val="20"/>
          <w:color w:val="auto"/>
        </w:rPr>
      </w:pPr>
      <w:r>
        <w:rPr>
          <w:rFonts w:ascii="Arial" w:cs="Arial" w:eastAsia="Arial" w:hAnsi="Arial"/>
          <w:sz w:val="16"/>
          <w:szCs w:val="16"/>
          <w:b w:val="1"/>
          <w:bCs w:val="1"/>
          <w:i w:val="1"/>
          <w:iCs w:val="1"/>
          <w:color w:val="auto"/>
        </w:rPr>
        <w:t xml:space="preserve">Free Cash Flow </w:t>
      </w:r>
      <w:r>
        <w:rPr>
          <w:rFonts w:ascii="Arial" w:cs="Arial" w:eastAsia="Arial" w:hAnsi="Arial"/>
          <w:sz w:val="16"/>
          <w:szCs w:val="16"/>
          <w:color w:val="auto"/>
        </w:rPr>
        <w:t>(described further on Table 4) totaled $442 million in the first quarter of 2007 compared to $807 million in the same period of 2006,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to growth in consolidated Operating Cash Flow offset by increased capital expenditures driven by record setting RGU additions.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Repurchase Program</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repurchased $500 million of its Class A Special Common Stock, or 18.7 million shares, during the first quarter of 2007. Remaining availability, as of March 31, 2007, under the Company’s stock repurchase program is $2.5 billion. Comcast expects such repurchases to occur from time to time in the open market or in private transactions, subject to market conditions.</w:t>
      </w:r>
    </w:p>
    <w:p>
      <w:pPr>
        <w:spacing w:after="0" w:line="14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Since the inception of the repurchase program in December 2003, the Company has invested $7.9 billion in its common stock and related securities. These investments include repurchasing $6.5 billion or 322.1 million shares of its common stock and paying $1.4 billion to redeem several debt issues exchangeable into 70.9 million shares of Comcast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2007 Financial Outlook</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2007, Comcast reaffirms the following previously issued guidance:</w:t>
      </w:r>
    </w:p>
    <w:p>
      <w:pPr>
        <w:spacing w:after="0" w:line="90"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Cable revenue growth of at least 12%</w:t>
      </w:r>
      <w:r>
        <w:rPr>
          <w:rFonts w:ascii="Arial" w:cs="Arial" w:eastAsia="Arial" w:hAnsi="Arial"/>
          <w:sz w:val="22"/>
          <w:szCs w:val="22"/>
          <w:color w:val="auto"/>
          <w:vertAlign w:val="superscript"/>
        </w:rPr>
        <w:t>1</w:t>
      </w:r>
    </w:p>
    <w:p>
      <w:pPr>
        <w:spacing w:after="0" w:line="44"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Cable Operating Cash Flow growth of at least 14%</w:t>
      </w:r>
      <w:r>
        <w:rPr>
          <w:rFonts w:ascii="Arial" w:cs="Arial" w:eastAsia="Arial" w:hAnsi="Arial"/>
          <w:sz w:val="22"/>
          <w:szCs w:val="22"/>
          <w:color w:val="auto"/>
          <w:vertAlign w:val="superscript"/>
        </w:rPr>
        <w:t>1</w:t>
      </w:r>
    </w:p>
    <w:p>
      <w:pPr>
        <w:spacing w:after="0" w:line="30"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Cable RGU net additions of approximately 6.5 million, 30% above 2006 RGU net additions</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of 5 million</w:t>
      </w:r>
    </w:p>
    <w:p>
      <w:pPr>
        <w:spacing w:after="0" w:line="30" w:lineRule="exact"/>
        <w:rPr>
          <w:rFonts w:ascii="Arial" w:cs="Arial" w:eastAsia="Arial" w:hAnsi="Arial"/>
          <w:sz w:val="18"/>
          <w:szCs w:val="18"/>
          <w:color w:val="auto"/>
        </w:rPr>
      </w:pPr>
    </w:p>
    <w:p>
      <w:pPr>
        <w:ind w:left="1120" w:hanging="207"/>
        <w:spacing w:after="0"/>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RGU outlook includes an expected decrease of 500,000 circuit-switched phone RGUs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Cable capital expenditures of approximately $5.7 billion, including commercial services capital expenditures of approximately $250 million</w:t>
      </w:r>
    </w:p>
    <w:p>
      <w:pPr>
        <w:spacing w:after="0" w:line="63"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and other capital expenditures of approximately $250 million primarily due to the relocation of Comcast’s headquarters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revenue growth of at least 11%</w:t>
      </w:r>
      <w:r>
        <w:rPr>
          <w:rFonts w:ascii="Arial" w:cs="Arial" w:eastAsia="Arial" w:hAnsi="Arial"/>
          <w:sz w:val="22"/>
          <w:szCs w:val="22"/>
          <w:color w:val="auto"/>
          <w:vertAlign w:val="superscript"/>
        </w:rPr>
        <w:t>3</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 w:name="page7"/>
    <w:bookmarkEnd w:id="6"/>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Operating Cash Flow growth of at least 13%</w:t>
      </w:r>
      <w:r>
        <w:rPr>
          <w:rFonts w:ascii="Arial" w:cs="Arial" w:eastAsia="Arial" w:hAnsi="Arial"/>
          <w:sz w:val="22"/>
          <w:szCs w:val="22"/>
          <w:color w:val="auto"/>
          <w:vertAlign w:val="superscript"/>
        </w:rPr>
        <w:t>3</w:t>
      </w:r>
    </w:p>
    <w:p>
      <w:pPr>
        <w:spacing w:after="0" w:line="44"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Consolidated Free Cash Flow approximately the same as 2006</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19037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ectPr>
          <w:pgSz w:w="11900" w:h="16838" w:orient="portrait"/>
          <w:cols w:equalWidth="0" w:num="1">
            <w:col w:w="11420"/>
          </w:cols>
          <w:pgMar w:left="240" w:top="280" w:right="239" w:bottom="1440" w:gutter="0" w:footer="0" w:header="0"/>
        </w:sectPr>
      </w:pPr>
    </w:p>
    <w:p>
      <w:pPr>
        <w:spacing w:after="0" w:line="96"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344"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Cable results are presented on a pro forma basis. Pro forma results adjust only for certain acquisitions and dispositions, including Susquehanna Communications (April 2006), the Adelphia/Time Warner transactions (July 2006) and the dissolution of the Texas/Kansas City Cable Partnership (January 2007). Cable results are presented as if the transactions noted above were effective on January 1, 2006. The net impact of these transactions was to increase the number of basic cable subscribers by 2.6 million. Please refer to Table 7-A for a reconciliation of pro forma financial data.</w:t>
      </w:r>
    </w:p>
    <w:p>
      <w:pPr>
        <w:spacing w:after="0" w:line="6"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Represents the sum of basic and digital cable, high-speed Internet and net phone subscribers, excluding additional outlets. Subscriptions to DVR and/or HDTV services do not result in additional RGUs.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Presented on a pro forma basis as described in note 1.</w:t>
      </w:r>
    </w:p>
    <w:p>
      <w:pPr>
        <w:spacing w:after="0" w:line="134" w:lineRule="exact"/>
        <w:rPr>
          <w:sz w:val="20"/>
          <w:szCs w:val="20"/>
          <w:color w:val="auto"/>
        </w:rPr>
      </w:pPr>
    </w:p>
    <w:p>
      <w:pPr>
        <w:sectPr>
          <w:pgSz w:w="11900" w:h="16838" w:orient="portrait"/>
          <w:cols w:equalWidth="0" w:num="2">
            <w:col w:w="60" w:space="400"/>
            <w:col w:w="10960"/>
          </w:cols>
          <w:pgMar w:left="240" w:top="280" w:right="239" w:bottom="1440" w:gutter="0" w:footer="0" w:header="0"/>
          <w:type w:val="continuous"/>
        </w:sect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Comcast Corporation will host a conference call with the financial community today April 26, 2007 at 8:30 a.m. Eastern Time (ET). The conference call will be broadcast live on the Company’s Investor Relations website at www.cmcsa.com or www.cmcsk.com. A recording of the call will be available on the Investor Relations website starting at 12:30 p.m. ET on April 26, 2007. Those parties interested in participating via telephone should dial (800) 263-8495 with the conference ID number 3378516. A telephone replay will begin immediately following the call until April 27, 2007 at midnight ET. To access the rebroadcast, please dial (800) 642-1687 and enter passcode number 3378516. To automatically receive Comcast financial news by email, please visit www.cmcsa.com or www.cmcsk.com and subscribe to email alerts.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w:t>
      </w:r>
    </w:p>
    <w:p>
      <w:pPr>
        <w:spacing w:after="0" w:line="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provided in Table 7 of this release. All percentages</w:t>
      </w:r>
    </w:p>
    <w:p>
      <w:pPr>
        <w:spacing w:after="0"/>
        <w:rPr>
          <w:sz w:val="20"/>
          <w:szCs w:val="20"/>
          <w:color w:val="auto"/>
        </w:rPr>
      </w:pPr>
      <w:r>
        <w:rPr>
          <w:rFonts w:ascii="Arial" w:cs="Arial" w:eastAsia="Arial" w:hAnsi="Arial"/>
          <w:sz w:val="18"/>
          <w:szCs w:val="18"/>
          <w:color w:val="auto"/>
        </w:rPr>
        <w:t>are calculated based on actual amounts. Minor differences may exist due to rounding.</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w:t>
      </w:r>
    </w:p>
    <w:p>
      <w:pPr>
        <w:spacing w:after="0" w:line="8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Comcast Corporation (Nasdaq: CMCSA, CMCSK) (http://www.comcast.com) is the nation’s leading provider of cable, entertainment and communications products and services. With 24.2 million cable customers, 12.1 million high-speed Internet customers, and 3.0 million voice customers, Comcast is principally involved in the development, management and operation of cable systems and in the delivery of programming content.</w:t>
      </w:r>
    </w:p>
    <w:p>
      <w:pPr>
        <w:spacing w:after="0" w:line="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Comcast’s programming networks and investments include E! Entertainment Television, Style Network, The Golf Channel, VERSUS, G4, AZN Television, PBS KIDS Sprout, TV One, eight regional Comcast SportsNets and Comcast Interactive Media, which develops and operates Comcast’s Internet business. Comcast also has a majority ownership in Comcast-Spectacor, whose major holdings include the Philadelphia Flyers NHL hockey team, the Philadelphia 76ers NBA basketball team and two large multipurpose arenas in Philadelphia.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ectPr>
          <w:pgSz w:w="11900" w:h="16838" w:orient="portrait"/>
          <w:cols w:equalWidth="0" w:num="1">
            <w:col w:w="11420"/>
          </w:cols>
          <w:pgMar w:left="240" w:top="971"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(Dollars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Operating expenses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Operating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Depreciation expense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Investment income (loss), net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Equity in net (losses) income of affiliates,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Income before income taxes and minority interest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Income before minority 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Minority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income from continuing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Income from discontinued operations,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946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Income from continuing operations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Income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Net income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Income from continuing operations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left="-139"/>
        <w:spacing w:after="0"/>
        <w:rPr>
          <w:sz w:val="20"/>
          <w:szCs w:val="20"/>
          <w:color w:val="auto"/>
        </w:rPr>
      </w:pPr>
      <w:r>
        <w:rPr>
          <w:rFonts w:ascii="Arial" w:cs="Arial" w:eastAsia="Arial" w:hAnsi="Arial"/>
          <w:sz w:val="14"/>
          <w:szCs w:val="14"/>
          <w:b w:val="1"/>
          <w:bCs w:val="1"/>
          <w:color w:val="auto"/>
        </w:rPr>
        <w:t>Three Months Ended</w:t>
      </w:r>
    </w:p>
    <w:p>
      <w:pPr>
        <w:jc w:val="center"/>
        <w:ind w:left="-139"/>
        <w:spacing w:after="0" w:line="221"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220" w:type="dxa"/>
            <w:vAlign w:val="bottom"/>
            <w:tcBorders>
              <w:top w:val="single" w:sz="8" w:color="auto"/>
            </w:tcBorders>
          </w:tcPr>
          <w:p>
            <w:pPr>
              <w:jc w:val="right"/>
              <w:ind w:right="295"/>
              <w:spacing w:after="0" w:line="141" w:lineRule="exact"/>
              <w:rPr>
                <w:sz w:val="20"/>
                <w:szCs w:val="20"/>
                <w:color w:val="auto"/>
              </w:rPr>
            </w:pPr>
            <w:r>
              <w:rPr>
                <w:rFonts w:ascii="Arial" w:cs="Arial" w:eastAsia="Arial" w:hAnsi="Arial"/>
                <w:sz w:val="14"/>
                <w:szCs w:val="14"/>
                <w:b w:val="1"/>
                <w:bCs w:val="1"/>
                <w:color w:val="auto"/>
              </w:rPr>
              <w:t>2007</w:t>
            </w:r>
          </w:p>
        </w:tc>
        <w:tc>
          <w:tcPr>
            <w:tcW w:w="880" w:type="dxa"/>
            <w:vAlign w:val="bottom"/>
            <w:tcBorders>
              <w:top w:val="single" w:sz="8" w:color="auto"/>
            </w:tcBorders>
          </w:tcPr>
          <w:p>
            <w:pPr>
              <w:jc w:val="right"/>
              <w:ind w:right="115"/>
              <w:spacing w:after="0" w:line="141" w:lineRule="exact"/>
              <w:rPr>
                <w:sz w:val="20"/>
                <w:szCs w:val="20"/>
                <w:color w:val="auto"/>
              </w:rPr>
            </w:pPr>
            <w:r>
              <w:rPr>
                <w:rFonts w:ascii="Arial" w:cs="Arial" w:eastAsia="Arial" w:hAnsi="Arial"/>
                <w:sz w:val="14"/>
                <w:szCs w:val="14"/>
                <w:b w:val="1"/>
                <w:bCs w:val="1"/>
                <w:color w:val="auto"/>
              </w:rPr>
              <w:t>2006</w:t>
            </w:r>
          </w:p>
        </w:tc>
      </w:tr>
      <w:tr>
        <w:trPr>
          <w:trHeight w:val="216"/>
        </w:trPr>
        <w:tc>
          <w:tcPr>
            <w:tcW w:w="1220" w:type="dxa"/>
            <w:vAlign w:val="bottom"/>
          </w:tcPr>
          <w:p>
            <w:pPr>
              <w:jc w:val="right"/>
              <w:ind w:right="155"/>
              <w:spacing w:after="0"/>
              <w:rPr>
                <w:sz w:val="20"/>
                <w:szCs w:val="20"/>
                <w:color w:val="auto"/>
              </w:rPr>
            </w:pPr>
            <w:r>
              <w:rPr>
                <w:rFonts w:ascii="Arial" w:cs="Arial" w:eastAsia="Arial" w:hAnsi="Arial"/>
                <w:sz w:val="18"/>
                <w:szCs w:val="18"/>
                <w:b w:val="1"/>
                <w:bCs w:val="1"/>
                <w:color w:val="auto"/>
              </w:rPr>
              <w:t>$ 7,388</w:t>
            </w:r>
          </w:p>
        </w:tc>
        <w:tc>
          <w:tcPr>
            <w:tcW w:w="880" w:type="dxa"/>
            <w:vAlign w:val="bottom"/>
          </w:tcPr>
          <w:p>
            <w:pPr>
              <w:jc w:val="right"/>
              <w:spacing w:after="0"/>
              <w:rPr>
                <w:sz w:val="20"/>
                <w:szCs w:val="20"/>
                <w:color w:val="auto"/>
              </w:rPr>
            </w:pPr>
            <w:r>
              <w:rPr>
                <w:rFonts w:ascii="Arial" w:cs="Arial" w:eastAsia="Arial" w:hAnsi="Arial"/>
                <w:sz w:val="18"/>
                <w:szCs w:val="18"/>
                <w:color w:val="auto"/>
              </w:rPr>
              <w:t>$ 5,595</w:t>
            </w:r>
          </w:p>
        </w:tc>
      </w:tr>
      <w:tr>
        <w:trPr>
          <w:trHeight w:val="216"/>
        </w:trPr>
        <w:tc>
          <w:tcPr>
            <w:tcW w:w="1220" w:type="dxa"/>
            <w:vAlign w:val="bottom"/>
          </w:tcPr>
          <w:p>
            <w:pPr>
              <w:jc w:val="right"/>
              <w:ind w:right="155"/>
              <w:spacing w:after="0"/>
              <w:rPr>
                <w:sz w:val="20"/>
                <w:szCs w:val="20"/>
                <w:color w:val="auto"/>
              </w:rPr>
            </w:pPr>
            <w:r>
              <w:rPr>
                <w:rFonts w:ascii="Arial" w:cs="Arial" w:eastAsia="Arial" w:hAnsi="Arial"/>
                <w:sz w:val="18"/>
                <w:szCs w:val="18"/>
                <w:b w:val="1"/>
                <w:bCs w:val="1"/>
                <w:color w:val="auto"/>
              </w:rPr>
              <w:t>2,759</w:t>
            </w:r>
          </w:p>
        </w:tc>
        <w:tc>
          <w:tcPr>
            <w:tcW w:w="880" w:type="dxa"/>
            <w:vAlign w:val="bottom"/>
          </w:tcPr>
          <w:p>
            <w:pPr>
              <w:jc w:val="right"/>
              <w:spacing w:after="0"/>
              <w:rPr>
                <w:sz w:val="20"/>
                <w:szCs w:val="20"/>
                <w:color w:val="auto"/>
              </w:rPr>
            </w:pPr>
            <w:r>
              <w:rPr>
                <w:rFonts w:ascii="Arial" w:cs="Arial" w:eastAsia="Arial" w:hAnsi="Arial"/>
                <w:sz w:val="18"/>
                <w:szCs w:val="18"/>
                <w:color w:val="auto"/>
              </w:rPr>
              <w:t>2,073</w:t>
            </w:r>
          </w:p>
        </w:tc>
      </w:tr>
      <w:tr>
        <w:trPr>
          <w:trHeight w:val="229"/>
        </w:trPr>
        <w:tc>
          <w:tcPr>
            <w:tcW w:w="12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1,866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r>
      <w:tr>
        <w:trPr>
          <w:trHeight w:val="211"/>
        </w:trPr>
        <w:tc>
          <w:tcPr>
            <w:tcW w:w="12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4,625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3,495</w:t>
            </w:r>
          </w:p>
        </w:tc>
      </w:tr>
      <w:tr>
        <w:trPr>
          <w:trHeight w:val="222"/>
        </w:trPr>
        <w:tc>
          <w:tcPr>
            <w:tcW w:w="1220" w:type="dxa"/>
            <w:vAlign w:val="bottom"/>
          </w:tcPr>
          <w:p>
            <w:pPr>
              <w:jc w:val="right"/>
              <w:ind w:right="155"/>
              <w:spacing w:after="0"/>
              <w:rPr>
                <w:sz w:val="20"/>
                <w:szCs w:val="20"/>
                <w:color w:val="auto"/>
              </w:rPr>
            </w:pPr>
            <w:r>
              <w:rPr>
                <w:rFonts w:ascii="Arial" w:cs="Arial" w:eastAsia="Arial" w:hAnsi="Arial"/>
                <w:sz w:val="18"/>
                <w:szCs w:val="18"/>
                <w:b w:val="1"/>
                <w:bCs w:val="1"/>
                <w:color w:val="auto"/>
              </w:rPr>
              <w:t>2,763</w:t>
            </w:r>
          </w:p>
        </w:tc>
        <w:tc>
          <w:tcPr>
            <w:tcW w:w="88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310"/>
        </w:trPr>
        <w:tc>
          <w:tcPr>
            <w:tcW w:w="1220" w:type="dxa"/>
            <w:vAlign w:val="bottom"/>
          </w:tcPr>
          <w:p>
            <w:pPr>
              <w:jc w:val="right"/>
              <w:ind w:right="155"/>
              <w:spacing w:after="0"/>
              <w:rPr>
                <w:sz w:val="20"/>
                <w:szCs w:val="20"/>
                <w:color w:val="auto"/>
              </w:rPr>
            </w:pPr>
            <w:r>
              <w:rPr>
                <w:rFonts w:ascii="Arial" w:cs="Arial" w:eastAsia="Arial" w:hAnsi="Arial"/>
                <w:sz w:val="18"/>
                <w:szCs w:val="18"/>
                <w:b w:val="1"/>
                <w:bCs w:val="1"/>
                <w:color w:val="auto"/>
              </w:rPr>
              <w:t>1,225</w:t>
            </w:r>
          </w:p>
        </w:tc>
        <w:tc>
          <w:tcPr>
            <w:tcW w:w="880" w:type="dxa"/>
            <w:vAlign w:val="bottom"/>
          </w:tcPr>
          <w:p>
            <w:pPr>
              <w:jc w:val="right"/>
              <w:spacing w:after="0"/>
              <w:rPr>
                <w:sz w:val="20"/>
                <w:szCs w:val="20"/>
                <w:color w:val="auto"/>
              </w:rPr>
            </w:pPr>
            <w:r>
              <w:rPr>
                <w:rFonts w:ascii="Arial" w:cs="Arial" w:eastAsia="Arial" w:hAnsi="Arial"/>
                <w:sz w:val="18"/>
                <w:szCs w:val="18"/>
                <w:color w:val="auto"/>
              </w:rPr>
              <w:t>880</w:t>
            </w:r>
          </w:p>
        </w:tc>
      </w:tr>
    </w:tbl>
    <w:p>
      <w:pPr>
        <w:ind w:left="1760" w:hanging="1044"/>
        <w:spacing w:after="0"/>
        <w:tabs>
          <w:tab w:leader="none" w:pos="17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216</w:t>
      </w:r>
    </w:p>
    <w:p>
      <w:pPr>
        <w:spacing w:after="0" w:line="10"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1,502</w:t>
      </w:r>
      <w:r>
        <w:rPr>
          <w:rFonts w:ascii="Arial" w:cs="Arial" w:eastAsia="Arial" w:hAnsi="Arial"/>
          <w:sz w:val="15"/>
          <w:szCs w:val="15"/>
          <w:color w:val="auto"/>
        </w:rPr>
        <w:t>1,096</w:t>
      </w:r>
    </w:p>
    <w:p>
      <w:pPr>
        <w:spacing w:after="0" w:line="22"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1,261</w:t>
      </w:r>
      <w:r>
        <w:rPr>
          <w:rFonts w:ascii="Arial" w:cs="Arial" w:eastAsia="Arial" w:hAnsi="Arial"/>
          <w:sz w:val="15"/>
          <w:szCs w:val="15"/>
          <w:color w:val="auto"/>
        </w:rPr>
        <w:t>1,004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3290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19" w:lineRule="exact"/>
        <w:rPr>
          <w:sz w:val="20"/>
          <w:szCs w:val="20"/>
          <w:color w:val="auto"/>
        </w:rPr>
      </w:pPr>
    </w:p>
    <w:p>
      <w:pPr>
        <w:ind w:left="1720" w:hanging="1063"/>
        <w:spacing w:after="0"/>
        <w:tabs>
          <w:tab w:leader="none" w:pos="172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(476)</w:t>
      </w:r>
    </w:p>
    <w:p>
      <w:pPr>
        <w:spacing w:after="0" w:line="38" w:lineRule="exact"/>
        <w:rPr>
          <w:sz w:val="20"/>
          <w:szCs w:val="20"/>
          <w:color w:val="auto"/>
        </w:rPr>
      </w:pPr>
    </w:p>
    <w:p>
      <w:pPr>
        <w:ind w:left="1860" w:hanging="1144"/>
        <w:spacing w:after="0"/>
        <w:tabs>
          <w:tab w:leader="none" w:pos="18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64</w:t>
      </w:r>
    </w:p>
    <w:p>
      <w:pPr>
        <w:spacing w:after="0" w:line="9" w:lineRule="exact"/>
        <w:rPr>
          <w:rFonts w:ascii="Arial" w:cs="Arial" w:eastAsia="Arial" w:hAnsi="Arial"/>
          <w:sz w:val="18"/>
          <w:szCs w:val="18"/>
          <w:b w:val="1"/>
          <w:bCs w:val="1"/>
          <w:color w:val="auto"/>
        </w:rPr>
      </w:pPr>
    </w:p>
    <w:p>
      <w:pPr>
        <w:ind w:left="1880" w:hanging="1135"/>
        <w:spacing w:after="0"/>
        <w:tabs>
          <w:tab w:leader="none" w:pos="188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(9)</w:t>
      </w:r>
    </w:p>
    <w:p>
      <w:pPr>
        <w:spacing w:after="0" w:line="9" w:lineRule="exact"/>
        <w:rPr>
          <w:sz w:val="20"/>
          <w:szCs w:val="20"/>
          <w:color w:val="auto"/>
        </w:rPr>
      </w:pPr>
    </w:p>
    <w:p>
      <w:pPr>
        <w:ind w:left="1860" w:hanging="1144"/>
        <w:spacing w:after="0"/>
        <w:tabs>
          <w:tab w:leader="none" w:pos="18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13</w:t>
      </w:r>
    </w:p>
    <w:p>
      <w:pPr>
        <w:spacing w:after="0" w:line="16" w:lineRule="exact"/>
        <w:rPr>
          <w:rFonts w:ascii="Arial" w:cs="Arial" w:eastAsia="Arial" w:hAnsi="Arial"/>
          <w:sz w:val="18"/>
          <w:szCs w:val="18"/>
          <w:b w:val="1"/>
          <w:bCs w:val="1"/>
          <w:color w:val="auto"/>
        </w:rPr>
      </w:pPr>
    </w:p>
    <w:p>
      <w:pPr>
        <w:ind w:left="1720" w:hanging="917"/>
        <w:spacing w:after="0"/>
        <w:tabs>
          <w:tab w:leader="none" w:pos="172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13290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8"/>
          <w:szCs w:val="18"/>
          <w:b w:val="1"/>
          <w:bCs w:val="1"/>
          <w:color w:val="auto"/>
        </w:rPr>
        <w:t>1,359</w:t>
      </w:r>
      <w:r>
        <w:rPr>
          <w:sz w:val="20"/>
          <w:szCs w:val="20"/>
          <w:color w:val="auto"/>
        </w:rPr>
        <w:tab/>
      </w:r>
      <w:r>
        <w:rPr>
          <w:rFonts w:ascii="Arial" w:cs="Arial" w:eastAsia="Arial" w:hAnsi="Arial"/>
          <w:sz w:val="18"/>
          <w:szCs w:val="18"/>
          <w:color w:val="auto"/>
        </w:rPr>
        <w:t>596</w:t>
      </w:r>
    </w:p>
    <w:p>
      <w:pPr>
        <w:spacing w:after="0" w:line="123" w:lineRule="exact"/>
        <w:rPr>
          <w:sz w:val="20"/>
          <w:szCs w:val="20"/>
          <w:color w:val="auto"/>
        </w:rPr>
      </w:pPr>
    </w:p>
    <w:p>
      <w:pPr>
        <w:ind w:left="1720" w:hanging="1063"/>
        <w:spacing w:after="0"/>
        <w:tabs>
          <w:tab w:leader="none" w:pos="172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(147)</w:t>
      </w:r>
    </w:p>
    <w:p>
      <w:pPr>
        <w:spacing w:after="0" w:line="140" w:lineRule="exact"/>
        <w:rPr>
          <w:sz w:val="20"/>
          <w:szCs w:val="20"/>
          <w:color w:val="auto"/>
        </w:rPr>
      </w:pPr>
    </w:p>
    <w:p>
      <w:pPr>
        <w:ind w:left="1760" w:hanging="1044"/>
        <w:spacing w:after="0"/>
        <w:tabs>
          <w:tab w:leader="none" w:pos="17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449</w:t>
      </w:r>
    </w:p>
    <w:p>
      <w:pPr>
        <w:spacing w:after="0" w:line="117" w:lineRule="exact"/>
        <w:rPr>
          <w:sz w:val="20"/>
          <w:szCs w:val="20"/>
          <w:color w:val="auto"/>
        </w:rPr>
      </w:pPr>
    </w:p>
    <w:p>
      <w:pPr>
        <w:ind w:left="1800" w:hanging="909"/>
        <w:spacing w:after="0"/>
        <w:tabs>
          <w:tab w:leader="none" w:pos="180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(11)</w:t>
      </w:r>
    </w:p>
    <w:p>
      <w:pPr>
        <w:spacing w:after="0" w:line="46" w:lineRule="exact"/>
        <w:rPr>
          <w:sz w:val="20"/>
          <w:szCs w:val="20"/>
          <w:color w:val="auto"/>
        </w:rPr>
      </w:pPr>
    </w:p>
    <w:p>
      <w:pPr>
        <w:ind w:left="1760" w:hanging="1044"/>
        <w:spacing w:after="0"/>
        <w:tabs>
          <w:tab w:leader="none" w:pos="17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438</w:t>
      </w:r>
    </w:p>
    <w:p>
      <w:pPr>
        <w:spacing w:after="0" w:line="111"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28</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837</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w:t>
            </w:r>
          </w:p>
        </w:tc>
      </w:tr>
      <w:tr>
        <w:trPr>
          <w:trHeight w:val="727"/>
        </w:trPr>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52"/>
              <w:spacing w:after="0"/>
              <w:rPr>
                <w:sz w:val="20"/>
                <w:szCs w:val="20"/>
                <w:color w:val="auto"/>
              </w:rPr>
            </w:pPr>
            <w:r>
              <w:rPr>
                <w:rFonts w:ascii="Arial" w:cs="Arial" w:eastAsia="Arial" w:hAnsi="Arial"/>
                <w:sz w:val="18"/>
                <w:szCs w:val="18"/>
                <w:b w:val="1"/>
                <w:bCs w:val="1"/>
                <w:color w:val="auto"/>
              </w:rPr>
              <w:t>0.27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0.14</w:t>
            </w:r>
          </w:p>
        </w:tc>
      </w:tr>
    </w:tbl>
    <w:p>
      <w:pPr>
        <w:ind w:left="7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0.01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0.27</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r>
      <w:tr>
        <w:trPr>
          <w:trHeight w:val="538"/>
        </w:trPr>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52"/>
              <w:spacing w:after="0"/>
              <w:rPr>
                <w:sz w:val="20"/>
                <w:szCs w:val="20"/>
                <w:color w:val="auto"/>
              </w:rPr>
            </w:pPr>
            <w:r>
              <w:rPr>
                <w:rFonts w:ascii="Arial" w:cs="Arial" w:eastAsia="Arial" w:hAnsi="Arial"/>
                <w:sz w:val="18"/>
                <w:szCs w:val="18"/>
                <w:b w:val="1"/>
                <w:bCs w:val="1"/>
                <w:color w:val="auto"/>
              </w:rPr>
              <w:t>0.26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0.14</w:t>
            </w:r>
          </w:p>
        </w:tc>
      </w:tr>
    </w:tbl>
    <w:p>
      <w:pPr>
        <w:spacing w:after="0" w:line="11" w:lineRule="exact"/>
        <w:rPr>
          <w:sz w:val="20"/>
          <w:szCs w:val="20"/>
          <w:color w:val="auto"/>
        </w:rPr>
      </w:pPr>
    </w:p>
    <w:p>
      <w:pPr>
        <w:sectPr>
          <w:pgSz w:w="11900" w:h="16838" w:orient="portrait"/>
          <w:cols w:equalWidth="0" w:num="2">
            <w:col w:w="8600" w:space="720"/>
            <w:col w:w="2100"/>
          </w:cols>
          <w:pgMar w:left="240" w:top="971"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6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Income from discontinued operations</w:t>
            </w:r>
          </w:p>
        </w:tc>
        <w:tc>
          <w:tcPr>
            <w:tcW w:w="4620" w:type="dxa"/>
            <w:vAlign w:val="bottom"/>
            <w:tcBorders>
              <w:bottom w:val="single" w:sz="8" w:color="E5E5E5"/>
            </w:tcBorders>
            <w:shd w:val="clear" w:color="auto" w:fill="E5E5E5"/>
          </w:tcPr>
          <w:p>
            <w:pPr>
              <w:spacing w:after="0"/>
              <w:rPr>
                <w:sz w:val="18"/>
                <w:szCs w:val="18"/>
                <w:color w:val="auto"/>
              </w:rPr>
            </w:pPr>
          </w:p>
        </w:tc>
        <w:tc>
          <w:tcPr>
            <w:tcW w:w="122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58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  0.26</w:t>
            </w:r>
          </w:p>
        </w:tc>
        <w:tc>
          <w:tcPr>
            <w:tcW w:w="880" w:type="dxa"/>
            <w:vAlign w:val="bottom"/>
          </w:tcPr>
          <w:p>
            <w:pPr>
              <w:jc w:val="right"/>
              <w:spacing w:after="0"/>
              <w:rPr>
                <w:sz w:val="20"/>
                <w:szCs w:val="20"/>
                <w:color w:val="auto"/>
              </w:rPr>
            </w:pPr>
            <w:r>
              <w:rPr>
                <w:rFonts w:ascii="Arial" w:cs="Arial" w:eastAsia="Arial" w:hAnsi="Arial"/>
                <w:sz w:val="18"/>
                <w:szCs w:val="18"/>
                <w:color w:val="auto"/>
              </w:rPr>
              <w:t>$  0.15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Basic weighted-average number of common shares</w:t>
            </w:r>
          </w:p>
        </w:tc>
        <w:tc>
          <w:tcPr>
            <w:tcW w:w="4620" w:type="dxa"/>
            <w:vAlign w:val="bottom"/>
            <w:tcBorders>
              <w:bottom w:val="single" w:sz="8" w:color="E5E5E5"/>
            </w:tcBorders>
            <w:shd w:val="clear" w:color="auto" w:fill="E5E5E5"/>
          </w:tcPr>
          <w:p>
            <w:pPr>
              <w:spacing w:after="0"/>
              <w:rPr>
                <w:sz w:val="19"/>
                <w:szCs w:val="19"/>
                <w:color w:val="auto"/>
              </w:rPr>
            </w:pPr>
          </w:p>
        </w:tc>
        <w:tc>
          <w:tcPr>
            <w:tcW w:w="12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3,125</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331"/>
        </w:trPr>
        <w:tc>
          <w:tcPr>
            <w:tcW w:w="4700" w:type="dxa"/>
            <w:vAlign w:val="bottom"/>
            <w:gridSpan w:val="2"/>
          </w:tcPr>
          <w:p>
            <w:pPr>
              <w:spacing w:after="0"/>
              <w:rPr>
                <w:sz w:val="20"/>
                <w:szCs w:val="20"/>
                <w:color w:val="auto"/>
              </w:rPr>
            </w:pPr>
            <w:r>
              <w:rPr>
                <w:rFonts w:ascii="Arial" w:cs="Arial" w:eastAsia="Arial" w:hAnsi="Arial"/>
                <w:sz w:val="18"/>
                <w:szCs w:val="18"/>
                <w:color w:val="auto"/>
              </w:rPr>
              <w:t>Diluted weighted-average number of common shares</w:t>
            </w:r>
          </w:p>
        </w:tc>
        <w:tc>
          <w:tcPr>
            <w:tcW w:w="58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3,161</w:t>
            </w:r>
          </w:p>
        </w:tc>
        <w:tc>
          <w:tcPr>
            <w:tcW w:w="880" w:type="dxa"/>
            <w:vAlign w:val="bottom"/>
          </w:tcPr>
          <w:p>
            <w:pPr>
              <w:jc w:val="right"/>
              <w:spacing w:after="0"/>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620" w:type="dxa"/>
            <w:vAlign w:val="bottom"/>
          </w:tcPr>
          <w:p>
            <w:pPr>
              <w:jc w:val="right"/>
              <w:ind w:right="3472"/>
              <w:spacing w:after="0"/>
              <w:rPr>
                <w:sz w:val="20"/>
                <w:szCs w:val="20"/>
                <w:color w:val="auto"/>
              </w:rPr>
            </w:pPr>
            <w:r>
              <w:rPr>
                <w:rFonts w:ascii="Arial" w:cs="Arial" w:eastAsia="Arial" w:hAnsi="Arial"/>
                <w:sz w:val="18"/>
                <w:szCs w:val="18"/>
                <w:color w:val="auto"/>
              </w:rPr>
              <w:t>5</w:t>
            </w:r>
          </w:p>
        </w:tc>
        <w:tc>
          <w:tcPr>
            <w:tcW w:w="1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71"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360" w:type="dxa"/>
            <w:vAlign w:val="bottom"/>
            <w:gridSpan w:val="2"/>
          </w:tcPr>
          <w:p>
            <w:pPr>
              <w:jc w:val="right"/>
              <w:ind w:right="213"/>
              <w:spacing w:after="0"/>
              <w:rPr>
                <w:sz w:val="20"/>
                <w:szCs w:val="20"/>
                <w:color w:val="auto"/>
              </w:rPr>
            </w:pPr>
            <w:r>
              <w:rPr>
                <w:rFonts w:ascii="Arial" w:cs="Arial" w:eastAsia="Arial" w:hAnsi="Arial"/>
                <w:sz w:val="14"/>
                <w:szCs w:val="14"/>
                <w:b w:val="1"/>
                <w:bCs w:val="1"/>
                <w:color w:val="auto"/>
              </w:rPr>
              <w:t>March 31,</w:t>
            </w:r>
          </w:p>
        </w:tc>
        <w:tc>
          <w:tcPr>
            <w:tcW w:w="1100" w:type="dxa"/>
            <w:vAlign w:val="bottom"/>
            <w:gridSpan w:val="3"/>
          </w:tcPr>
          <w:p>
            <w:pPr>
              <w:ind w:left="28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5"/>
        </w:trPr>
        <w:tc>
          <w:tcPr>
            <w:tcW w:w="534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3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373"/>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ASSETS</w:t>
            </w:r>
          </w:p>
        </w:tc>
        <w:tc>
          <w:tcPr>
            <w:tcW w:w="364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3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416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1,037</w:t>
            </w:r>
          </w:p>
        </w:tc>
        <w:tc>
          <w:tcPr>
            <w:tcW w:w="44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3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b w:val="1"/>
                <w:bCs w:val="1"/>
                <w:color w:val="auto"/>
              </w:rPr>
              <w:t>1,248</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receivable, net</w:t>
            </w:r>
          </w:p>
        </w:tc>
        <w:tc>
          <w:tcPr>
            <w:tcW w:w="3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1,282</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36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688</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860"/>
              <w:spacing w:after="0"/>
              <w:rPr>
                <w:sz w:val="20"/>
                <w:szCs w:val="20"/>
                <w:color w:val="auto"/>
              </w:rPr>
            </w:pPr>
            <w:r>
              <w:rPr>
                <w:rFonts w:ascii="Arial" w:cs="Arial" w:eastAsia="Arial" w:hAnsi="Arial"/>
                <w:sz w:val="18"/>
                <w:szCs w:val="18"/>
                <w:color w:val="auto"/>
              </w:rPr>
              <w:t>Total current assets</w:t>
            </w:r>
          </w:p>
        </w:tc>
        <w:tc>
          <w:tcPr>
            <w:tcW w:w="364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4,255</w:t>
            </w: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3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b w:val="1"/>
                <w:bCs w:val="1"/>
                <w:color w:val="auto"/>
              </w:rPr>
              <w:t>6,077</w:t>
            </w:r>
          </w:p>
        </w:tc>
        <w:tc>
          <w:tcPr>
            <w:tcW w:w="4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8,847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Property and equipment, net</w:t>
            </w:r>
          </w:p>
        </w:tc>
        <w:tc>
          <w:tcPr>
            <w:tcW w:w="3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3"/>
              <w:spacing w:after="0"/>
              <w:rPr>
                <w:sz w:val="20"/>
                <w:szCs w:val="20"/>
                <w:color w:val="auto"/>
              </w:rPr>
            </w:pPr>
            <w:r>
              <w:rPr>
                <w:rFonts w:ascii="Arial" w:cs="Arial" w:eastAsia="Arial" w:hAnsi="Arial"/>
                <w:sz w:val="18"/>
                <w:szCs w:val="18"/>
                <w:b w:val="1"/>
                <w:bCs w:val="1"/>
                <w:color w:val="auto"/>
                <w:w w:val="98"/>
              </w:rPr>
              <w:t>22,513</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21,248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Franchise rights</w:t>
            </w:r>
          </w:p>
        </w:tc>
        <w:tc>
          <w:tcPr>
            <w:tcW w:w="3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b w:val="1"/>
                <w:bCs w:val="1"/>
                <w:color w:val="auto"/>
                <w:w w:val="98"/>
              </w:rPr>
              <w:t>57,838</w:t>
            </w:r>
          </w:p>
        </w:tc>
        <w:tc>
          <w:tcPr>
            <w:tcW w:w="4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55,927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Goodwill</w:t>
            </w:r>
          </w:p>
        </w:tc>
        <w:tc>
          <w:tcPr>
            <w:tcW w:w="3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3"/>
              <w:spacing w:after="0"/>
              <w:rPr>
                <w:sz w:val="20"/>
                <w:szCs w:val="20"/>
                <w:color w:val="auto"/>
              </w:rPr>
            </w:pPr>
            <w:r>
              <w:rPr>
                <w:rFonts w:ascii="Arial" w:cs="Arial" w:eastAsia="Arial" w:hAnsi="Arial"/>
                <w:sz w:val="18"/>
                <w:szCs w:val="18"/>
                <w:b w:val="1"/>
                <w:bCs w:val="1"/>
                <w:color w:val="auto"/>
                <w:w w:val="98"/>
              </w:rPr>
              <w:t>14,076</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13,768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3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b w:val="1"/>
                <w:bCs w:val="1"/>
                <w:color w:val="auto"/>
              </w:rPr>
              <w:t>5,022</w:t>
            </w:r>
          </w:p>
        </w:tc>
        <w:tc>
          <w:tcPr>
            <w:tcW w:w="4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 noncurrent assets, net</w:t>
            </w:r>
          </w:p>
        </w:tc>
        <w:tc>
          <w:tcPr>
            <w:tcW w:w="364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556</w:t>
            </w: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93"/>
              <w:spacing w:after="0"/>
              <w:rPr>
                <w:sz w:val="20"/>
                <w:szCs w:val="20"/>
                <w:color w:val="auto"/>
              </w:rPr>
            </w:pPr>
            <w:r>
              <w:rPr>
                <w:rFonts w:ascii="Arial" w:cs="Arial" w:eastAsia="Arial" w:hAnsi="Arial"/>
                <w:sz w:val="18"/>
                <w:szCs w:val="18"/>
                <w:b w:val="1"/>
                <w:bCs w:val="1"/>
                <w:color w:val="auto"/>
                <w:w w:val="82"/>
              </w:rPr>
              <w:t>110,337</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E5E5E5"/>
          </w:tcPr>
          <w:p>
            <w:pPr>
              <w:spacing w:after="0"/>
              <w:rPr>
                <w:sz w:val="20"/>
                <w:szCs w:val="20"/>
                <w:color w:val="auto"/>
              </w:rPr>
            </w:pPr>
            <w:r>
              <w:rPr>
                <w:rFonts w:ascii="Arial" w:cs="Arial" w:eastAsia="Arial" w:hAnsi="Arial"/>
                <w:sz w:val="18"/>
                <w:szCs w:val="18"/>
                <w:color w:val="auto"/>
              </w:rPr>
              <w:t>LIABILITIES AND STOCKHOLDERS’ EQUITY</w:t>
            </w:r>
          </w:p>
        </w:tc>
        <w:tc>
          <w:tcPr>
            <w:tcW w:w="3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3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2"/>
              </w:rPr>
              <w:t>Accounts payable and accrued expenses related to trade creditors</w:t>
            </w:r>
          </w:p>
        </w:tc>
        <w:tc>
          <w:tcPr>
            <w:tcW w:w="416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2,980</w:t>
            </w:r>
          </w:p>
        </w:tc>
        <w:tc>
          <w:tcPr>
            <w:tcW w:w="44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b w:val="1"/>
                <w:bCs w:val="1"/>
                <w:color w:val="auto"/>
              </w:rPr>
              <w:t>2,957</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income taxes</w:t>
            </w:r>
          </w:p>
        </w:tc>
        <w:tc>
          <w:tcPr>
            <w:tcW w:w="3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388</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36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1,049</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860"/>
              <w:spacing w:after="0"/>
              <w:rPr>
                <w:sz w:val="20"/>
                <w:szCs w:val="20"/>
                <w:color w:val="auto"/>
              </w:rPr>
            </w:pPr>
            <w:r>
              <w:rPr>
                <w:rFonts w:ascii="Arial" w:cs="Arial" w:eastAsia="Arial" w:hAnsi="Arial"/>
                <w:sz w:val="18"/>
                <w:szCs w:val="18"/>
                <w:color w:val="auto"/>
              </w:rPr>
              <w:t>Total current liabilities</w:t>
            </w:r>
          </w:p>
        </w:tc>
        <w:tc>
          <w:tcPr>
            <w:tcW w:w="364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7,374</w:t>
            </w: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Long-term debt, less current portion</w:t>
            </w:r>
          </w:p>
        </w:tc>
        <w:tc>
          <w:tcPr>
            <w:tcW w:w="3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b w:val="1"/>
                <w:bCs w:val="1"/>
                <w:color w:val="auto"/>
                <w:w w:val="98"/>
              </w:rPr>
              <w:t>27,222</w:t>
            </w:r>
          </w:p>
        </w:tc>
        <w:tc>
          <w:tcPr>
            <w:tcW w:w="4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27,992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Deferred income taxes</w:t>
            </w:r>
          </w:p>
        </w:tc>
        <w:tc>
          <w:tcPr>
            <w:tcW w:w="3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3"/>
              <w:spacing w:after="0"/>
              <w:rPr>
                <w:sz w:val="20"/>
                <w:szCs w:val="20"/>
                <w:color w:val="auto"/>
              </w:rPr>
            </w:pPr>
            <w:r>
              <w:rPr>
                <w:rFonts w:ascii="Arial" w:cs="Arial" w:eastAsia="Arial" w:hAnsi="Arial"/>
                <w:sz w:val="18"/>
                <w:szCs w:val="18"/>
                <w:b w:val="1"/>
                <w:bCs w:val="1"/>
                <w:color w:val="auto"/>
                <w:w w:val="98"/>
              </w:rPr>
              <w:t>26,197</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27,089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Other noncurrent liabilities</w:t>
            </w:r>
          </w:p>
        </w:tc>
        <w:tc>
          <w:tcPr>
            <w:tcW w:w="3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b w:val="1"/>
                <w:bCs w:val="1"/>
                <w:color w:val="auto"/>
              </w:rPr>
              <w:t>7,466</w:t>
            </w:r>
          </w:p>
        </w:tc>
        <w:tc>
          <w:tcPr>
            <w:tcW w:w="4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Minority interest</w:t>
            </w:r>
          </w:p>
        </w:tc>
        <w:tc>
          <w:tcPr>
            <w:tcW w:w="3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240</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Stockholders’ equity</w:t>
            </w:r>
          </w:p>
        </w:tc>
        <w:tc>
          <w:tcPr>
            <w:tcW w:w="36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w w:val="98"/>
              </w:rPr>
              <w:t>41,838</w:t>
            </w: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E5E5E5"/>
          </w:tcPr>
          <w:p>
            <w:pPr>
              <w:spacing w:after="0"/>
              <w:rPr>
                <w:sz w:val="18"/>
                <w:szCs w:val="18"/>
                <w:color w:val="auto"/>
              </w:rPr>
            </w:pPr>
          </w:p>
        </w:tc>
        <w:tc>
          <w:tcPr>
            <w:tcW w:w="416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193"/>
              <w:spacing w:after="0"/>
              <w:rPr>
                <w:sz w:val="20"/>
                <w:szCs w:val="20"/>
                <w:color w:val="auto"/>
              </w:rPr>
            </w:pPr>
            <w:r>
              <w:rPr>
                <w:rFonts w:ascii="Arial" w:cs="Arial" w:eastAsia="Arial" w:hAnsi="Arial"/>
                <w:sz w:val="18"/>
                <w:szCs w:val="18"/>
                <w:b w:val="1"/>
                <w:bCs w:val="1"/>
                <w:color w:val="auto"/>
                <w:w w:val="82"/>
              </w:rPr>
              <w:t>110,337</w:t>
            </w:r>
          </w:p>
        </w:tc>
        <w:tc>
          <w:tcPr>
            <w:tcW w:w="44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5"/>
              </w:rPr>
              <w:t>110,405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320" w:type="dxa"/>
            <w:vAlign w:val="bottom"/>
            <w:tcBorders>
              <w:top w:val="single" w:sz="8" w:color="E5E5E5"/>
            </w:tcBorders>
          </w:tcPr>
          <w:p>
            <w:pPr>
              <w:spacing w:after="0"/>
              <w:rPr>
                <w:sz w:val="24"/>
                <w:szCs w:val="24"/>
                <w:color w:val="auto"/>
              </w:rPr>
            </w:pPr>
          </w:p>
        </w:tc>
        <w:tc>
          <w:tcPr>
            <w:tcW w:w="3640" w:type="dxa"/>
            <w:vAlign w:val="bottom"/>
            <w:tcBorders>
              <w:top w:val="single" w:sz="8" w:color="E5E5E5"/>
            </w:tcBorders>
          </w:tcPr>
          <w:p>
            <w:pPr>
              <w:jc w:val="right"/>
              <w:ind w:right="3132"/>
              <w:spacing w:after="0"/>
              <w:rPr>
                <w:sz w:val="20"/>
                <w:szCs w:val="20"/>
                <w:color w:val="auto"/>
              </w:rPr>
            </w:pPr>
            <w:r>
              <w:rPr>
                <w:rFonts w:ascii="Arial" w:cs="Arial" w:eastAsia="Arial" w:hAnsi="Arial"/>
                <w:sz w:val="18"/>
                <w:szCs w:val="18"/>
                <w:color w:val="auto"/>
              </w:rPr>
              <w:t>6</w:t>
            </w:r>
          </w:p>
        </w:tc>
        <w:tc>
          <w:tcPr>
            <w:tcW w:w="5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7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3</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Cash Flows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192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9500" w:type="dxa"/>
            <w:vAlign w:val="bottom"/>
            <w:gridSpan w:val="2"/>
            <w:vMerge w:val="restart"/>
          </w:tcPr>
          <w:p>
            <w:pPr>
              <w:spacing w:after="0"/>
              <w:rPr>
                <w:sz w:val="20"/>
                <w:szCs w:val="20"/>
                <w:color w:val="auto"/>
              </w:rPr>
            </w:pPr>
            <w:r>
              <w:rPr>
                <w:rFonts w:ascii="Arial" w:cs="Arial" w:eastAsia="Arial" w:hAnsi="Arial"/>
                <w:sz w:val="14"/>
                <w:szCs w:val="14"/>
                <w:color w:val="auto"/>
              </w:rPr>
              <w:t>(Dollars in millions)</w:t>
            </w:r>
          </w:p>
        </w:tc>
        <w:tc>
          <w:tcPr>
            <w:tcW w:w="1920" w:type="dxa"/>
            <w:vAlign w:val="bottom"/>
            <w:tcBorders>
              <w:bottom w:val="single" w:sz="8" w:color="auto"/>
            </w:tcBorders>
            <w:gridSpan w:val="2"/>
          </w:tcPr>
          <w:p>
            <w:pPr>
              <w:jc w:val="right"/>
              <w:ind w:right="433"/>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500" w:type="dxa"/>
            <w:vAlign w:val="bottom"/>
            <w:gridSpan w:val="2"/>
            <w:vMerge w:val="continue"/>
          </w:tcPr>
          <w:p>
            <w:pPr>
              <w:spacing w:after="0"/>
              <w:rPr>
                <w:sz w:val="12"/>
                <w:szCs w:val="12"/>
                <w:color w:val="auto"/>
              </w:rPr>
            </w:pPr>
          </w:p>
        </w:tc>
        <w:tc>
          <w:tcPr>
            <w:tcW w:w="112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2007</w:t>
            </w:r>
          </w:p>
        </w:tc>
        <w:tc>
          <w:tcPr>
            <w:tcW w:w="8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ACTIVITIES</w:t>
            </w:r>
          </w:p>
        </w:tc>
        <w:tc>
          <w:tcPr>
            <w:tcW w:w="112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Net cash provided by (used in) operating activities</w:t>
            </w: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$ 1,965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$ 1,738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E5E5E5"/>
          </w:tcPr>
          <w:p>
            <w:pPr>
              <w:spacing w:after="0"/>
              <w:rPr>
                <w:sz w:val="20"/>
                <w:szCs w:val="20"/>
                <w:color w:val="auto"/>
              </w:rPr>
            </w:pPr>
            <w:r>
              <w:rPr>
                <w:rFonts w:ascii="Arial" w:cs="Arial" w:eastAsia="Arial" w:hAnsi="Arial"/>
                <w:sz w:val="18"/>
                <w:szCs w:val="18"/>
                <w:color w:val="auto"/>
              </w:rPr>
              <w:t>FINANCING ACTIVITIES</w:t>
            </w:r>
          </w:p>
        </w:tc>
        <w:tc>
          <w:tcPr>
            <w:tcW w:w="11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1120" w:type="dxa"/>
            <w:vAlign w:val="bottom"/>
          </w:tcPr>
          <w:p>
            <w:pPr>
              <w:jc w:val="right"/>
              <w:ind w:right="135"/>
              <w:spacing w:after="0"/>
              <w:rPr>
                <w:sz w:val="20"/>
                <w:szCs w:val="20"/>
                <w:color w:val="auto"/>
              </w:rPr>
            </w:pPr>
            <w:r>
              <w:rPr>
                <w:rFonts w:ascii="Arial" w:cs="Arial" w:eastAsia="Arial" w:hAnsi="Arial"/>
                <w:sz w:val="18"/>
                <w:szCs w:val="18"/>
                <w:b w:val="1"/>
                <w:bCs w:val="1"/>
                <w:color w:val="auto"/>
              </w:rPr>
              <w:t>3</w:t>
            </w:r>
          </w:p>
        </w:tc>
        <w:tc>
          <w:tcPr>
            <w:tcW w:w="800" w:type="dxa"/>
            <w:vAlign w:val="bottom"/>
          </w:tcPr>
          <w:p>
            <w:pPr>
              <w:jc w:val="right"/>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Retirements and repayments of debt</w:t>
            </w:r>
          </w:p>
        </w:tc>
        <w:tc>
          <w:tcPr>
            <w:tcW w:w="1120" w:type="dxa"/>
            <w:vAlign w:val="bottom"/>
            <w:shd w:val="clear" w:color="auto" w:fill="E5E5E5"/>
          </w:tcPr>
          <w:p>
            <w:pPr>
              <w:jc w:val="right"/>
              <w:ind w:right="75"/>
              <w:spacing w:after="0"/>
              <w:rPr>
                <w:sz w:val="20"/>
                <w:szCs w:val="20"/>
                <w:color w:val="auto"/>
              </w:rPr>
            </w:pPr>
            <w:r>
              <w:rPr>
                <w:rFonts w:ascii="Arial" w:cs="Arial" w:eastAsia="Arial" w:hAnsi="Arial"/>
                <w:sz w:val="18"/>
                <w:szCs w:val="18"/>
                <w:b w:val="1"/>
                <w:bCs w:val="1"/>
                <w:color w:val="auto"/>
              </w:rPr>
              <w:t>(704)</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1120" w:type="dxa"/>
            <w:vAlign w:val="bottom"/>
          </w:tcPr>
          <w:p>
            <w:pPr>
              <w:jc w:val="right"/>
              <w:ind w:right="75"/>
              <w:spacing w:after="0"/>
              <w:rPr>
                <w:sz w:val="20"/>
                <w:szCs w:val="20"/>
                <w:color w:val="auto"/>
              </w:rPr>
            </w:pPr>
            <w:r>
              <w:rPr>
                <w:rFonts w:ascii="Arial" w:cs="Arial" w:eastAsia="Arial" w:hAnsi="Arial"/>
                <w:sz w:val="18"/>
                <w:szCs w:val="18"/>
                <w:b w:val="1"/>
                <w:bCs w:val="1"/>
                <w:color w:val="auto"/>
              </w:rPr>
              <w:t>(500)</w:t>
            </w:r>
          </w:p>
        </w:tc>
        <w:tc>
          <w:tcPr>
            <w:tcW w:w="800" w:type="dxa"/>
            <w:vAlign w:val="bottom"/>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1120" w:type="dxa"/>
            <w:vAlign w:val="bottom"/>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218</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112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b w:val="1"/>
                <w:bCs w:val="1"/>
                <w:color w:val="auto"/>
              </w:rPr>
              <w:t>(979)</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17"/>
        </w:trPr>
        <w:tc>
          <w:tcPr>
            <w:tcW w:w="95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Capital expenditures</w:t>
            </w:r>
          </w:p>
        </w:tc>
        <w:tc>
          <w:tcPr>
            <w:tcW w:w="1120" w:type="dxa"/>
            <w:vAlign w:val="bottom"/>
            <w:shd w:val="clear" w:color="auto" w:fill="E5E5E5"/>
          </w:tcPr>
          <w:p>
            <w:pPr>
              <w:jc w:val="right"/>
              <w:ind w:right="75"/>
              <w:spacing w:after="0"/>
              <w:rPr>
                <w:sz w:val="20"/>
                <w:szCs w:val="20"/>
                <w:color w:val="auto"/>
              </w:rPr>
            </w:pPr>
            <w:r>
              <w:rPr>
                <w:rFonts w:ascii="Arial" w:cs="Arial" w:eastAsia="Arial" w:hAnsi="Arial"/>
                <w:sz w:val="18"/>
                <w:szCs w:val="18"/>
                <w:b w:val="1"/>
                <w:bCs w:val="1"/>
                <w:color w:val="auto"/>
              </w:rPr>
              <w:t>(1,454)</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Cash paid for intangible assets</w:t>
            </w:r>
          </w:p>
        </w:tc>
        <w:tc>
          <w:tcPr>
            <w:tcW w:w="1120" w:type="dxa"/>
            <w:vAlign w:val="bottom"/>
          </w:tcPr>
          <w:p>
            <w:pPr>
              <w:jc w:val="right"/>
              <w:ind w:right="75"/>
              <w:spacing w:after="0"/>
              <w:rPr>
                <w:sz w:val="20"/>
                <w:szCs w:val="20"/>
                <w:color w:val="auto"/>
              </w:rPr>
            </w:pPr>
            <w:r>
              <w:rPr>
                <w:rFonts w:ascii="Arial" w:cs="Arial" w:eastAsia="Arial" w:hAnsi="Arial"/>
                <w:sz w:val="18"/>
                <w:szCs w:val="18"/>
                <w:b w:val="1"/>
                <w:bCs w:val="1"/>
                <w:color w:val="auto"/>
              </w:rPr>
              <w:t>(118)</w:t>
            </w: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Acquisitions, net of cash acquired</w:t>
            </w:r>
          </w:p>
        </w:tc>
        <w:tc>
          <w:tcPr>
            <w:tcW w:w="1120" w:type="dxa"/>
            <w:vAlign w:val="bottom"/>
            <w:shd w:val="clear" w:color="auto" w:fill="E5E5E5"/>
          </w:tcPr>
          <w:p>
            <w:pPr>
              <w:jc w:val="right"/>
              <w:ind w:right="75"/>
              <w:spacing w:after="0"/>
              <w:rPr>
                <w:sz w:val="20"/>
                <w:szCs w:val="20"/>
                <w:color w:val="auto"/>
              </w:rPr>
            </w:pPr>
            <w:r>
              <w:rPr>
                <w:rFonts w:ascii="Arial" w:cs="Arial" w:eastAsia="Arial" w:hAnsi="Arial"/>
                <w:sz w:val="18"/>
                <w:szCs w:val="18"/>
                <w:b w:val="1"/>
                <w:bCs w:val="1"/>
                <w:color w:val="auto"/>
              </w:rPr>
              <w:t>(9)</w:t>
            </w: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Proceeds from sales of investments</w:t>
            </w:r>
          </w:p>
        </w:tc>
        <w:tc>
          <w:tcPr>
            <w:tcW w:w="1120" w:type="dxa"/>
            <w:vAlign w:val="bottom"/>
          </w:tcPr>
          <w:p>
            <w:pPr>
              <w:jc w:val="right"/>
              <w:ind w:right="135"/>
              <w:spacing w:after="0"/>
              <w:rPr>
                <w:sz w:val="20"/>
                <w:szCs w:val="20"/>
                <w:color w:val="auto"/>
              </w:rPr>
            </w:pPr>
            <w:r>
              <w:rPr>
                <w:rFonts w:ascii="Arial" w:cs="Arial" w:eastAsia="Arial" w:hAnsi="Arial"/>
                <w:sz w:val="18"/>
                <w:szCs w:val="18"/>
                <w:b w:val="1"/>
                <w:bCs w:val="1"/>
                <w:color w:val="auto"/>
              </w:rPr>
              <w:t>392</w:t>
            </w:r>
          </w:p>
        </w:tc>
        <w:tc>
          <w:tcPr>
            <w:tcW w:w="80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Purchases of investments</w:t>
            </w:r>
          </w:p>
        </w:tc>
        <w:tc>
          <w:tcPr>
            <w:tcW w:w="1120" w:type="dxa"/>
            <w:vAlign w:val="bottom"/>
            <w:shd w:val="clear" w:color="auto" w:fill="E5E5E5"/>
          </w:tcPr>
          <w:p>
            <w:pPr>
              <w:jc w:val="right"/>
              <w:ind w:right="75"/>
              <w:spacing w:after="0"/>
              <w:rPr>
                <w:sz w:val="20"/>
                <w:szCs w:val="20"/>
                <w:color w:val="auto"/>
              </w:rPr>
            </w:pPr>
            <w:r>
              <w:rPr>
                <w:rFonts w:ascii="Arial" w:cs="Arial" w:eastAsia="Arial" w:hAnsi="Arial"/>
                <w:sz w:val="18"/>
                <w:szCs w:val="18"/>
                <w:b w:val="1"/>
                <w:bCs w:val="1"/>
                <w:color w:val="auto"/>
              </w:rPr>
              <w:t>(21)</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Proceeds from sales (purchases) of short-term investments, net</w:t>
            </w:r>
          </w:p>
        </w:tc>
        <w:tc>
          <w:tcPr>
            <w:tcW w:w="1120" w:type="dxa"/>
            <w:vAlign w:val="bottom"/>
          </w:tcPr>
          <w:p>
            <w:pPr>
              <w:jc w:val="right"/>
              <w:ind w:right="75"/>
              <w:spacing w:after="0"/>
              <w:rPr>
                <w:sz w:val="20"/>
                <w:szCs w:val="20"/>
                <w:color w:val="auto"/>
              </w:rPr>
            </w:pPr>
            <w:r>
              <w:rPr>
                <w:rFonts w:ascii="Arial" w:cs="Arial" w:eastAsia="Arial" w:hAnsi="Arial"/>
                <w:sz w:val="18"/>
                <w:szCs w:val="18"/>
                <w:b w:val="1"/>
                <w:bCs w:val="1"/>
                <w:color w:val="auto"/>
              </w:rPr>
              <w:t>(22)</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 investing activities</w:t>
            </w:r>
          </w:p>
        </w:tc>
        <w:tc>
          <w:tcPr>
            <w:tcW w:w="112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44</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Net cash provided by (used in) investing activities</w:t>
            </w: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(1,188)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1120" w:type="dxa"/>
            <w:vAlign w:val="bottom"/>
            <w:shd w:val="clear" w:color="auto" w:fill="E5E5E5"/>
          </w:tcPr>
          <w:p>
            <w:pPr>
              <w:jc w:val="right"/>
              <w:ind w:right="75"/>
              <w:spacing w:after="0"/>
              <w:rPr>
                <w:sz w:val="20"/>
                <w:szCs w:val="20"/>
                <w:color w:val="auto"/>
              </w:rPr>
            </w:pPr>
            <w:r>
              <w:rPr>
                <w:rFonts w:ascii="Arial" w:cs="Arial" w:eastAsia="Arial" w:hAnsi="Arial"/>
                <w:sz w:val="18"/>
                <w:szCs w:val="18"/>
                <w:b w:val="1"/>
                <w:bCs w:val="1"/>
                <w:color w:val="auto"/>
              </w:rPr>
              <w:t>(202)</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323"/>
        </w:trPr>
        <w:tc>
          <w:tcPr>
            <w:tcW w:w="950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1,239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4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CASH AND CASH EQUIVALENTS, end of period</w:t>
            </w:r>
          </w:p>
        </w:tc>
        <w:tc>
          <w:tcPr>
            <w:tcW w:w="112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$ 1,037</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$ 1,963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Calculation of Free Cash Flow</w:t>
      </w:r>
    </w:p>
    <w:p>
      <w:pPr>
        <w:jc w:val="center"/>
        <w:spacing w:after="0"/>
        <w:rPr>
          <w:sz w:val="20"/>
          <w:szCs w:val="20"/>
          <w:color w:val="auto"/>
        </w:rPr>
      </w:pPr>
      <w:r>
        <w:rPr>
          <w:rFonts w:ascii="Arial" w:cs="Arial" w:eastAsia="Arial" w:hAnsi="Arial"/>
          <w:sz w:val="22"/>
          <w:szCs w:val="22"/>
          <w:b w:val="1"/>
          <w:bCs w:val="1"/>
          <w:color w:val="auto"/>
        </w:rPr>
        <w:t>(Unaudited) (1)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9560" w:type="dxa"/>
            <w:vAlign w:val="bottom"/>
            <w:gridSpan w:val="2"/>
            <w:vMerge w:val="restart"/>
          </w:tcPr>
          <w:p>
            <w:pPr>
              <w:spacing w:after="0"/>
              <w:rPr>
                <w:sz w:val="20"/>
                <w:szCs w:val="20"/>
                <w:color w:val="auto"/>
              </w:rPr>
            </w:pPr>
            <w:r>
              <w:rPr>
                <w:rFonts w:ascii="Arial" w:cs="Arial" w:eastAsia="Arial" w:hAnsi="Arial"/>
                <w:sz w:val="14"/>
                <w:szCs w:val="14"/>
                <w:color w:val="auto"/>
              </w:rPr>
              <w:t>(Dollars in millions)</w:t>
            </w: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5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ind w:right="300"/>
              <w:spacing w:after="0" w:line="142" w:lineRule="exact"/>
              <w:rPr>
                <w:sz w:val="20"/>
                <w:szCs w:val="20"/>
                <w:color w:val="auto"/>
              </w:rPr>
            </w:pPr>
            <w:r>
              <w:rPr>
                <w:rFonts w:ascii="Arial" w:cs="Arial" w:eastAsia="Arial" w:hAnsi="Arial"/>
                <w:sz w:val="14"/>
                <w:szCs w:val="14"/>
                <w:b w:val="1"/>
                <w:bCs w:val="1"/>
                <w:color w:val="auto"/>
                <w:w w:val="96"/>
              </w:rPr>
              <w:t>2007</w:t>
            </w:r>
          </w:p>
        </w:tc>
        <w:tc>
          <w:tcPr>
            <w:tcW w:w="260" w:type="dxa"/>
            <w:vAlign w:val="bottom"/>
          </w:tcPr>
          <w:p>
            <w:pPr>
              <w:spacing w:after="0"/>
              <w:rPr>
                <w:sz w:val="12"/>
                <w:szCs w:val="12"/>
                <w:color w:val="auto"/>
              </w:rPr>
            </w:pPr>
          </w:p>
        </w:tc>
        <w:tc>
          <w:tcPr>
            <w:tcW w:w="48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Operating Activities</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b w:val="1"/>
                <w:bCs w:val="1"/>
                <w:color w:val="auto"/>
                <w:w w:val="97"/>
              </w:rPr>
              <w:t>1,965</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8"/>
              </w:rPr>
              <w:t>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18"/>
                <w:szCs w:val="18"/>
                <w:color w:val="auto"/>
              </w:rPr>
            </w:pPr>
          </w:p>
        </w:tc>
        <w:tc>
          <w:tcPr>
            <w:tcW w:w="700" w:type="dxa"/>
            <w:vAlign w:val="bottom"/>
          </w:tcPr>
          <w:p>
            <w:pPr>
              <w:jc w:val="right"/>
              <w:ind w:right="100"/>
              <w:spacing w:after="0"/>
              <w:rPr>
                <w:sz w:val="20"/>
                <w:szCs w:val="20"/>
                <w:color w:val="auto"/>
              </w:rPr>
            </w:pPr>
            <w:r>
              <w:rPr>
                <w:rFonts w:ascii="Arial" w:cs="Arial" w:eastAsia="Arial" w:hAnsi="Arial"/>
                <w:sz w:val="18"/>
                <w:szCs w:val="18"/>
                <w:b w:val="1"/>
                <w:bCs w:val="1"/>
                <w:color w:val="auto"/>
                <w:w w:val="87"/>
              </w:rPr>
              <w:t>(1,454)</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E5E5E5"/>
          </w:tcPr>
          <w:p>
            <w:pPr>
              <w:spacing w:after="0"/>
              <w:rPr>
                <w:sz w:val="20"/>
                <w:szCs w:val="20"/>
                <w:color w:val="auto"/>
              </w:rPr>
            </w:pPr>
            <w:r>
              <w:rPr>
                <w:rFonts w:ascii="Arial" w:cs="Arial" w:eastAsia="Arial" w:hAnsi="Arial"/>
                <w:sz w:val="18"/>
                <w:szCs w:val="18"/>
                <w:color w:val="auto"/>
              </w:rPr>
              <w:t>Cash paid for Intangible Assets</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(118)</w:t>
            </w:r>
          </w:p>
        </w:tc>
        <w:tc>
          <w:tcPr>
            <w:tcW w:w="2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Nonoperating items, net of tax</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b w:val="1"/>
                <w:bCs w:val="1"/>
                <w:color w:val="auto"/>
              </w:rPr>
              <w:t>49</w:t>
            </w: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Free Cash Flow</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442</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See Non-GAAP and Other Financial Measures in Table 7 for the definition of Free Cash Flow.</w:t>
      </w:r>
    </w:p>
    <w:p>
      <w:pPr>
        <w:spacing w:after="0" w:line="16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97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5</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 Forma Financial Data by Business Segment</w:t>
      </w:r>
    </w:p>
    <w:p>
      <w:pPr>
        <w:jc w:val="center"/>
        <w:spacing w:after="0"/>
        <w:rPr>
          <w:sz w:val="20"/>
          <w:szCs w:val="20"/>
          <w:color w:val="auto"/>
        </w:rPr>
      </w:pPr>
      <w:r>
        <w:rPr>
          <w:rFonts w:ascii="Arial" w:cs="Arial" w:eastAsia="Arial" w:hAnsi="Arial"/>
          <w:sz w:val="22"/>
          <w:szCs w:val="22"/>
          <w:b w:val="1"/>
          <w:bCs w:val="1"/>
          <w:color w:val="auto"/>
        </w:rPr>
        <w:t>(Unaudited) (1)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gridSpan w:val="2"/>
          </w:tcPr>
          <w:p>
            <w:pPr>
              <w:ind w:left="320"/>
              <w:spacing w:after="0"/>
              <w:rPr>
                <w:sz w:val="20"/>
                <w:szCs w:val="20"/>
                <w:color w:val="auto"/>
              </w:rPr>
            </w:pPr>
            <w:r>
              <w:rPr>
                <w:rFonts w:ascii="Arial" w:cs="Arial" w:eastAsia="Arial" w:hAnsi="Arial"/>
                <w:sz w:val="14"/>
                <w:szCs w:val="14"/>
                <w:b w:val="1"/>
                <w:bCs w:val="1"/>
                <w:color w:val="auto"/>
              </w:rPr>
              <w:t>Programming</w:t>
            </w:r>
          </w:p>
        </w:tc>
        <w:tc>
          <w:tcPr>
            <w:tcW w:w="154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rPr>
              <w:t>Corporate and</w:t>
            </w: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6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2020" w:type="dxa"/>
            <w:vAlign w:val="bottom"/>
          </w:tcPr>
          <w:p>
            <w:pPr>
              <w:spacing w:after="0"/>
              <w:rPr>
                <w:sz w:val="14"/>
                <w:szCs w:val="14"/>
                <w:color w:val="auto"/>
              </w:rPr>
            </w:pPr>
          </w:p>
        </w:tc>
        <w:tc>
          <w:tcPr>
            <w:tcW w:w="800" w:type="dxa"/>
            <w:vAlign w:val="bottom"/>
          </w:tcPr>
          <w:p>
            <w:pPr>
              <w:jc w:val="right"/>
              <w:ind w:right="354"/>
              <w:spacing w:after="0"/>
              <w:rPr>
                <w:sz w:val="20"/>
                <w:szCs w:val="20"/>
                <w:color w:val="auto"/>
              </w:rPr>
            </w:pPr>
            <w:r>
              <w:rPr>
                <w:rFonts w:ascii="Arial" w:cs="Arial" w:eastAsia="Arial" w:hAnsi="Arial"/>
                <w:sz w:val="14"/>
                <w:szCs w:val="14"/>
                <w:b w:val="1"/>
                <w:bCs w:val="1"/>
                <w:color w:val="auto"/>
                <w:w w:val="89"/>
              </w:rPr>
              <w:t>Cable</w:t>
            </w:r>
          </w:p>
        </w:tc>
        <w:tc>
          <w:tcPr>
            <w:tcW w:w="540" w:type="dxa"/>
            <w:vAlign w:val="bottom"/>
          </w:tcPr>
          <w:p>
            <w:pPr>
              <w:spacing w:after="0"/>
              <w:rPr>
                <w:sz w:val="14"/>
                <w:szCs w:val="14"/>
                <w:color w:val="auto"/>
              </w:rPr>
            </w:pPr>
          </w:p>
        </w:tc>
        <w:tc>
          <w:tcPr>
            <w:tcW w:w="920" w:type="dxa"/>
            <w:vAlign w:val="bottom"/>
          </w:tcPr>
          <w:p>
            <w:pPr>
              <w:jc w:val="right"/>
              <w:ind w:right="554"/>
              <w:spacing w:after="0"/>
              <w:rPr>
                <w:sz w:val="20"/>
                <w:szCs w:val="20"/>
                <w:color w:val="auto"/>
              </w:rPr>
            </w:pPr>
            <w:r>
              <w:rPr>
                <w:rFonts w:ascii="Arial" w:cs="Arial" w:eastAsia="Arial" w:hAnsi="Arial"/>
                <w:sz w:val="14"/>
                <w:szCs w:val="14"/>
                <w:b w:val="1"/>
                <w:bCs w:val="1"/>
                <w:color w:val="auto"/>
              </w:rPr>
              <w:t>(2)</w:t>
            </w:r>
          </w:p>
        </w:tc>
        <w:tc>
          <w:tcPr>
            <w:tcW w:w="540" w:type="dxa"/>
            <w:vAlign w:val="bottom"/>
          </w:tcPr>
          <w:p>
            <w:pPr>
              <w:spacing w:after="0"/>
              <w:rPr>
                <w:sz w:val="14"/>
                <w:szCs w:val="14"/>
                <w:color w:val="auto"/>
              </w:rPr>
            </w:pPr>
          </w:p>
        </w:tc>
        <w:tc>
          <w:tcPr>
            <w:tcW w:w="1000" w:type="dxa"/>
            <w:vAlign w:val="bottom"/>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4"/>
                <w:szCs w:val="14"/>
                <w:color w:val="auto"/>
              </w:rPr>
            </w:pPr>
          </w:p>
        </w:tc>
        <w:tc>
          <w:tcPr>
            <w:tcW w:w="460" w:type="dxa"/>
            <w:vAlign w:val="bottom"/>
          </w:tcPr>
          <w:p>
            <w:pPr>
              <w:jc w:val="right"/>
              <w:ind w:right="3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Three Months Ended March 31, 2007</w:t>
            </w:r>
          </w:p>
        </w:tc>
        <w:tc>
          <w:tcPr>
            <w:tcW w:w="202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92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100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Revenues</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4"/>
              <w:spacing w:after="0"/>
              <w:rPr>
                <w:sz w:val="20"/>
                <w:szCs w:val="20"/>
                <w:color w:val="auto"/>
              </w:rPr>
            </w:pPr>
            <w:r>
              <w:rPr>
                <w:rFonts w:ascii="Arial" w:cs="Arial" w:eastAsia="Arial" w:hAnsi="Arial"/>
                <w:sz w:val="18"/>
                <w:szCs w:val="18"/>
                <w:color w:val="auto"/>
                <w:w w:val="97"/>
              </w:rPr>
              <w:t>6,998</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4"/>
              <w:spacing w:after="0"/>
              <w:rPr>
                <w:sz w:val="20"/>
                <w:szCs w:val="20"/>
                <w:color w:val="auto"/>
              </w:rPr>
            </w:pPr>
            <w:r>
              <w:rPr>
                <w:rFonts w:ascii="Arial" w:cs="Arial" w:eastAsia="Arial" w:hAnsi="Arial"/>
                <w:sz w:val="18"/>
                <w:szCs w:val="18"/>
                <w:color w:val="auto"/>
              </w:rPr>
              <w:t>302</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4"/>
              <w:spacing w:after="0"/>
              <w:rPr>
                <w:sz w:val="20"/>
                <w:szCs w:val="20"/>
                <w:color w:val="auto"/>
              </w:rPr>
            </w:pPr>
            <w:r>
              <w:rPr>
                <w:rFonts w:ascii="Arial" w:cs="Arial" w:eastAsia="Arial" w:hAnsi="Arial"/>
                <w:sz w:val="18"/>
                <w:szCs w:val="18"/>
                <w:color w:val="auto"/>
              </w:rPr>
              <w:t>88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2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97"/>
              </w:rPr>
              <w:t>2,793</w:t>
            </w:r>
          </w:p>
        </w:tc>
        <w:tc>
          <w:tcPr>
            <w:tcW w:w="54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65</w:t>
            </w:r>
          </w:p>
        </w:tc>
        <w:tc>
          <w:tcPr>
            <w:tcW w:w="54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95)</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2,763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4"/>
              <w:spacing w:after="0"/>
              <w:rPr>
                <w:sz w:val="20"/>
                <w:szCs w:val="20"/>
                <w:color w:val="auto"/>
              </w:rPr>
            </w:pPr>
            <w:r>
              <w:rPr>
                <w:rFonts w:ascii="Arial" w:cs="Arial" w:eastAsia="Arial" w:hAnsi="Arial"/>
                <w:sz w:val="18"/>
                <w:szCs w:val="18"/>
                <w:color w:val="auto"/>
                <w:w w:val="97"/>
              </w:rPr>
              <w:t>1,353</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4"/>
              <w:spacing w:after="0"/>
              <w:rPr>
                <w:sz w:val="20"/>
                <w:szCs w:val="20"/>
                <w:color w:val="auto"/>
              </w:rPr>
            </w:pPr>
            <w:r>
              <w:rPr>
                <w:rFonts w:ascii="Arial" w:cs="Arial" w:eastAsia="Arial" w:hAnsi="Arial"/>
                <w:sz w:val="18"/>
                <w:szCs w:val="18"/>
                <w:color w:val="auto"/>
              </w:rPr>
              <w:t>18</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4"/>
              <w:spacing w:after="0"/>
              <w:rPr>
                <w:sz w:val="20"/>
                <w:szCs w:val="20"/>
                <w:color w:val="auto"/>
              </w:rPr>
            </w:pPr>
            <w:r>
              <w:rPr>
                <w:rFonts w:ascii="Arial" w:cs="Arial" w:eastAsia="Arial" w:hAnsi="Arial"/>
                <w:sz w:val="18"/>
                <w:szCs w:val="18"/>
                <w:color w:val="auto"/>
              </w:rPr>
              <w:t>110)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86"/>
              </w:rPr>
              <w:t>39.9%</w:t>
            </w: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21.3%</w:t>
            </w:r>
          </w:p>
        </w:tc>
        <w:tc>
          <w:tcPr>
            <w:tcW w:w="5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NM</w:t>
            </w:r>
          </w:p>
        </w:tc>
        <w:tc>
          <w:tcPr>
            <w:tcW w:w="38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6"/>
              </w:rPr>
              <w:t>37.4%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Capital Expenditures (3)</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4"/>
              <w:spacing w:after="0"/>
              <w:rPr>
                <w:sz w:val="20"/>
                <w:szCs w:val="20"/>
                <w:color w:val="auto"/>
              </w:rPr>
            </w:pPr>
            <w:r>
              <w:rPr>
                <w:rFonts w:ascii="Arial" w:cs="Arial" w:eastAsia="Arial" w:hAnsi="Arial"/>
                <w:sz w:val="18"/>
                <w:szCs w:val="18"/>
                <w:color w:val="auto"/>
                <w:w w:val="97"/>
              </w:rPr>
              <w:t>1,443</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4"/>
              <w:spacing w:after="0"/>
              <w:rPr>
                <w:sz w:val="20"/>
                <w:szCs w:val="20"/>
                <w:color w:val="auto"/>
              </w:rPr>
            </w:pPr>
            <w:r>
              <w:rPr>
                <w:rFonts w:ascii="Arial" w:cs="Arial" w:eastAsia="Arial" w:hAnsi="Arial"/>
                <w:sz w:val="18"/>
                <w:szCs w:val="18"/>
                <w:color w:val="auto"/>
              </w:rPr>
              <w:t>4</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4"/>
              <w:spacing w:after="0"/>
              <w:rPr>
                <w:sz w:val="20"/>
                <w:szCs w:val="20"/>
                <w:color w:val="auto"/>
              </w:rPr>
            </w:pPr>
            <w:r>
              <w:rPr>
                <w:rFonts w:ascii="Arial" w:cs="Arial" w:eastAsia="Arial" w:hAnsi="Arial"/>
                <w:sz w:val="18"/>
                <w:szCs w:val="18"/>
                <w:color w:val="auto"/>
              </w:rPr>
              <w:t>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1,454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Three Months Ended March 31, 2006</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Revenues</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4"/>
              <w:spacing w:after="0"/>
              <w:rPr>
                <w:sz w:val="20"/>
                <w:szCs w:val="20"/>
                <w:color w:val="auto"/>
              </w:rPr>
            </w:pPr>
            <w:r>
              <w:rPr>
                <w:rFonts w:ascii="Arial" w:cs="Arial" w:eastAsia="Arial" w:hAnsi="Arial"/>
                <w:sz w:val="18"/>
                <w:szCs w:val="18"/>
                <w:color w:val="auto"/>
                <w:w w:val="97"/>
              </w:rPr>
              <w:t>6,232</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4"/>
              <w:spacing w:after="0"/>
              <w:rPr>
                <w:sz w:val="20"/>
                <w:szCs w:val="20"/>
                <w:color w:val="auto"/>
              </w:rPr>
            </w:pPr>
            <w:r>
              <w:rPr>
                <w:rFonts w:ascii="Arial" w:cs="Arial" w:eastAsia="Arial" w:hAnsi="Arial"/>
                <w:sz w:val="18"/>
                <w:szCs w:val="18"/>
                <w:color w:val="auto"/>
              </w:rPr>
              <w:t>239</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4"/>
              <w:spacing w:after="0"/>
              <w:rPr>
                <w:sz w:val="20"/>
                <w:szCs w:val="20"/>
                <w:color w:val="auto"/>
              </w:rPr>
            </w:pPr>
            <w:r>
              <w:rPr>
                <w:rFonts w:ascii="Arial" w:cs="Arial" w:eastAsia="Arial" w:hAnsi="Arial"/>
                <w:sz w:val="18"/>
                <w:szCs w:val="18"/>
                <w:color w:val="auto"/>
              </w:rPr>
              <w:t>87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2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97"/>
              </w:rPr>
              <w:t>2,443</w:t>
            </w:r>
          </w:p>
        </w:tc>
        <w:tc>
          <w:tcPr>
            <w:tcW w:w="54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50</w:t>
            </w:r>
          </w:p>
        </w:tc>
        <w:tc>
          <w:tcPr>
            <w:tcW w:w="54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56)</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4"/>
              <w:spacing w:after="0"/>
              <w:rPr>
                <w:sz w:val="20"/>
                <w:szCs w:val="20"/>
                <w:color w:val="auto"/>
              </w:rPr>
            </w:pPr>
            <w:r>
              <w:rPr>
                <w:rFonts w:ascii="Arial" w:cs="Arial" w:eastAsia="Arial" w:hAnsi="Arial"/>
                <w:sz w:val="18"/>
                <w:szCs w:val="18"/>
                <w:color w:val="auto"/>
                <w:w w:val="97"/>
              </w:rPr>
              <w:t>1,142</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4"/>
              <w:spacing w:after="0"/>
              <w:rPr>
                <w:sz w:val="20"/>
                <w:szCs w:val="20"/>
                <w:color w:val="auto"/>
              </w:rPr>
            </w:pPr>
            <w:r>
              <w:rPr>
                <w:rFonts w:ascii="Arial" w:cs="Arial" w:eastAsia="Arial" w:hAnsi="Arial"/>
                <w:sz w:val="18"/>
                <w:szCs w:val="18"/>
                <w:color w:val="auto"/>
              </w:rPr>
              <w:t>9</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4"/>
              <w:spacing w:after="0"/>
              <w:rPr>
                <w:sz w:val="20"/>
                <w:szCs w:val="20"/>
                <w:color w:val="auto"/>
              </w:rPr>
            </w:pPr>
            <w:r>
              <w:rPr>
                <w:rFonts w:ascii="Arial" w:cs="Arial" w:eastAsia="Arial" w:hAnsi="Arial"/>
                <w:sz w:val="18"/>
                <w:szCs w:val="18"/>
                <w:color w:val="auto"/>
              </w:rPr>
              <w:t>76)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86"/>
              </w:rPr>
              <w:t>39.2%</w:t>
            </w: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20.8%</w:t>
            </w:r>
          </w:p>
        </w:tc>
        <w:tc>
          <w:tcPr>
            <w:tcW w:w="5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NM</w:t>
            </w:r>
          </w:p>
        </w:tc>
        <w:tc>
          <w:tcPr>
            <w:tcW w:w="38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6"/>
              </w:rPr>
              <w:t>37.2%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Capital Expenditures (3)</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4"/>
              <w:spacing w:after="0"/>
              <w:rPr>
                <w:sz w:val="20"/>
                <w:szCs w:val="20"/>
                <w:color w:val="auto"/>
              </w:rPr>
            </w:pPr>
            <w:r>
              <w:rPr>
                <w:rFonts w:ascii="Arial" w:cs="Arial" w:eastAsia="Arial" w:hAnsi="Arial"/>
                <w:sz w:val="18"/>
                <w:szCs w:val="18"/>
                <w:color w:val="auto"/>
              </w:rPr>
              <w:t>967</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4"/>
              <w:spacing w:after="0"/>
              <w:rPr>
                <w:sz w:val="20"/>
                <w:szCs w:val="20"/>
                <w:color w:val="auto"/>
              </w:rPr>
            </w:pPr>
            <w:r>
              <w:rPr>
                <w:rFonts w:ascii="Arial" w:cs="Arial" w:eastAsia="Arial" w:hAnsi="Arial"/>
                <w:sz w:val="18"/>
                <w:szCs w:val="18"/>
                <w:color w:val="auto"/>
              </w:rPr>
              <w:t>8</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4"/>
              <w:spacing w:after="0"/>
              <w:rPr>
                <w:sz w:val="20"/>
                <w:szCs w:val="20"/>
                <w:color w:val="auto"/>
              </w:rPr>
            </w:pPr>
            <w:r>
              <w:rPr>
                <w:rFonts w:ascii="Arial" w:cs="Arial" w:eastAsia="Arial" w:hAnsi="Arial"/>
                <w:sz w:val="18"/>
                <w:szCs w:val="18"/>
                <w:color w:val="auto"/>
              </w:rPr>
              <w:t>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46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Non-GAAP and Other Financial Measures in Table 7. Historical financial data by business segment, in accordance with generally accepted accounting principles in the United States (GAAP), is available in the Company’s quarterly report on Form 10-Q. All percentages are calculated based on actual amounts. Minor differences may exist due to rounding.</w:t>
      </w:r>
    </w:p>
    <w:p>
      <w:pPr>
        <w:spacing w:after="0" w:line="59"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Programming includes our national networks E! Entertainment Television and Style Network (E! Networks), The Golf Channel, VERSUS, G4 and other entertainment related businesses.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Cable segment’s capital expenditures are comprised of the following categories: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81"/>
              </w:rPr>
              <w:t>1Q07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1Q06</w:t>
            </w:r>
          </w:p>
        </w:tc>
      </w:tr>
      <w:tr>
        <w:trPr>
          <w:trHeight w:val="210"/>
        </w:trPr>
        <w:tc>
          <w:tcPr>
            <w:tcW w:w="7960" w:type="dxa"/>
            <w:vAlign w:val="bottom"/>
            <w:shd w:val="clear" w:color="auto" w:fill="E5E5E5"/>
          </w:tcPr>
          <w:p>
            <w:pPr>
              <w:spacing w:after="0"/>
              <w:rPr>
                <w:sz w:val="20"/>
                <w:szCs w:val="20"/>
                <w:color w:val="auto"/>
              </w:rPr>
            </w:pPr>
            <w:r>
              <w:rPr>
                <w:rFonts w:ascii="Arial" w:cs="Arial" w:eastAsia="Arial" w:hAnsi="Arial"/>
                <w:sz w:val="18"/>
                <w:szCs w:val="18"/>
                <w:color w:val="auto"/>
              </w:rPr>
              <w:t>New Service Offerings</w:t>
            </w: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r>
      <w:tr>
        <w:trPr>
          <w:trHeight w:val="216"/>
        </w:trPr>
        <w:tc>
          <w:tcPr>
            <w:tcW w:w="7960" w:type="dxa"/>
            <w:vAlign w:val="bottom"/>
          </w:tcPr>
          <w:p>
            <w:pPr>
              <w:ind w:left="220"/>
              <w:spacing w:after="0"/>
              <w:rPr>
                <w:sz w:val="20"/>
                <w:szCs w:val="20"/>
                <w:color w:val="auto"/>
              </w:rPr>
            </w:pPr>
            <w:r>
              <w:rPr>
                <w:rFonts w:ascii="Arial" w:cs="Arial" w:eastAsia="Arial" w:hAnsi="Arial"/>
                <w:sz w:val="18"/>
                <w:szCs w:val="18"/>
                <w:color w:val="auto"/>
              </w:rPr>
              <w:t>Customer Premise Equipment (CPE)</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802</w:t>
            </w:r>
          </w:p>
        </w:tc>
        <w:tc>
          <w:tcPr>
            <w:tcW w:w="56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16"/>
        </w:trPr>
        <w:tc>
          <w:tcPr>
            <w:tcW w:w="7960" w:type="dxa"/>
            <w:vAlign w:val="bottom"/>
            <w:tcBorders>
              <w:bottom w:val="single" w:sz="8" w:color="E5E5E5"/>
            </w:tcBorders>
            <w:shd w:val="clear" w:color="auto" w:fill="E5E5E5"/>
          </w:tcPr>
          <w:p>
            <w:pPr>
              <w:ind w:left="220"/>
              <w:spacing w:after="0"/>
              <w:rPr>
                <w:sz w:val="20"/>
                <w:szCs w:val="20"/>
                <w:color w:val="auto"/>
              </w:rPr>
            </w:pPr>
            <w:r>
              <w:rPr>
                <w:rFonts w:ascii="Arial" w:cs="Arial" w:eastAsia="Arial" w:hAnsi="Arial"/>
                <w:sz w:val="18"/>
                <w:szCs w:val="18"/>
                <w:color w:val="auto"/>
              </w:rPr>
              <w:t>Scalable Infrastructure</w:t>
            </w:r>
          </w:p>
        </w:tc>
        <w:tc>
          <w:tcPr>
            <w:tcW w:w="4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263</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173</w:t>
            </w:r>
          </w:p>
        </w:tc>
      </w:tr>
      <w:tr>
        <w:trPr>
          <w:trHeight w:val="210"/>
        </w:trPr>
        <w:tc>
          <w:tcPr>
            <w:tcW w:w="7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w w:val="84"/>
              </w:rPr>
              <w:t>1,065</w:t>
            </w:r>
          </w:p>
        </w:tc>
        <w:tc>
          <w:tcPr>
            <w:tcW w:w="56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16"/>
        </w:trPr>
        <w:tc>
          <w:tcPr>
            <w:tcW w:w="7960" w:type="dxa"/>
            <w:vAlign w:val="bottom"/>
            <w:shd w:val="clear" w:color="auto" w:fill="E5E5E5"/>
          </w:tcPr>
          <w:p>
            <w:pPr>
              <w:spacing w:after="0"/>
              <w:rPr>
                <w:sz w:val="20"/>
                <w:szCs w:val="20"/>
                <w:color w:val="auto"/>
              </w:rPr>
            </w:pPr>
            <w:r>
              <w:rPr>
                <w:rFonts w:ascii="Arial" w:cs="Arial" w:eastAsia="Arial" w:hAnsi="Arial"/>
                <w:sz w:val="18"/>
                <w:szCs w:val="18"/>
                <w:color w:val="auto"/>
              </w:rPr>
              <w:t>Recurring Capital Projects</w:t>
            </w: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r>
      <w:tr>
        <w:trPr>
          <w:trHeight w:val="216"/>
        </w:trPr>
        <w:tc>
          <w:tcPr>
            <w:tcW w:w="7960" w:type="dxa"/>
            <w:vAlign w:val="bottom"/>
          </w:tcPr>
          <w:p>
            <w:pPr>
              <w:ind w:left="220"/>
              <w:spacing w:after="0"/>
              <w:rPr>
                <w:sz w:val="20"/>
                <w:szCs w:val="20"/>
                <w:color w:val="auto"/>
              </w:rPr>
            </w:pPr>
            <w:r>
              <w:rPr>
                <w:rFonts w:ascii="Arial" w:cs="Arial" w:eastAsia="Arial" w:hAnsi="Arial"/>
                <w:sz w:val="18"/>
                <w:szCs w:val="18"/>
                <w:color w:val="auto"/>
              </w:rPr>
              <w:t>Line Extensions</w:t>
            </w:r>
          </w:p>
        </w:tc>
        <w:tc>
          <w:tcPr>
            <w:tcW w:w="48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86</w:t>
            </w: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7960" w:type="dxa"/>
            <w:vAlign w:val="bottom"/>
            <w:tcBorders>
              <w:bottom w:val="single" w:sz="8" w:color="E5E5E5"/>
            </w:tcBorders>
            <w:shd w:val="clear" w:color="auto" w:fill="E5E5E5"/>
          </w:tcPr>
          <w:p>
            <w:pPr>
              <w:ind w:left="220"/>
              <w:spacing w:after="0"/>
              <w:rPr>
                <w:sz w:val="20"/>
                <w:szCs w:val="20"/>
                <w:color w:val="auto"/>
              </w:rPr>
            </w:pPr>
            <w:r>
              <w:rPr>
                <w:rFonts w:ascii="Arial" w:cs="Arial" w:eastAsia="Arial" w:hAnsi="Arial"/>
                <w:sz w:val="18"/>
                <w:szCs w:val="18"/>
                <w:color w:val="auto"/>
              </w:rPr>
              <w:t>Support Capital</w:t>
            </w:r>
          </w:p>
        </w:tc>
        <w:tc>
          <w:tcPr>
            <w:tcW w:w="4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150</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7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236</w:t>
            </w:r>
          </w:p>
        </w:tc>
        <w:tc>
          <w:tcPr>
            <w:tcW w:w="56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102"/>
        </w:trPr>
        <w:tc>
          <w:tcPr>
            <w:tcW w:w="7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16"/>
        </w:trPr>
        <w:tc>
          <w:tcPr>
            <w:tcW w:w="7960" w:type="dxa"/>
            <w:vAlign w:val="bottom"/>
            <w:shd w:val="clear" w:color="auto" w:fill="E5E5E5"/>
          </w:tcPr>
          <w:p>
            <w:pPr>
              <w:spacing w:after="0"/>
              <w:rPr>
                <w:sz w:val="20"/>
                <w:szCs w:val="20"/>
                <w:color w:val="auto"/>
              </w:rPr>
            </w:pPr>
            <w:r>
              <w:rPr>
                <w:rFonts w:ascii="Arial" w:cs="Arial" w:eastAsia="Arial" w:hAnsi="Arial"/>
                <w:sz w:val="18"/>
                <w:szCs w:val="18"/>
                <w:color w:val="auto"/>
              </w:rPr>
              <w:t>Upgrades</w:t>
            </w: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118</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Commercial</w:t>
            </w:r>
          </w:p>
        </w:tc>
        <w:tc>
          <w:tcPr>
            <w:tcW w:w="4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79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84"/>
              </w:rPr>
              <w:t>1,443</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$967</w:t>
            </w:r>
          </w:p>
        </w:tc>
      </w:tr>
    </w:tbl>
    <w:p>
      <w:pPr>
        <w:spacing w:after="0" w:line="73" w:lineRule="exact"/>
        <w:rPr>
          <w:sz w:val="20"/>
          <w:szCs w:val="20"/>
          <w:color w:val="auto"/>
        </w:rPr>
      </w:pPr>
    </w:p>
    <w:p>
      <w:pPr>
        <w:jc w:val="both"/>
        <w:ind w:left="460"/>
        <w:spacing w:after="0" w:line="254" w:lineRule="auto"/>
        <w:rPr>
          <w:sz w:val="20"/>
          <w:szCs w:val="20"/>
          <w:color w:val="auto"/>
        </w:rPr>
      </w:pPr>
      <w:r>
        <w:rPr>
          <w:rFonts w:ascii="Arial" w:cs="Arial" w:eastAsia="Arial" w:hAnsi="Arial"/>
          <w:sz w:val="18"/>
          <w:szCs w:val="18"/>
          <w:color w:val="auto"/>
        </w:rPr>
        <w:t>CPE includes costs incurred at the customer residence to secure new customers, revenue units and 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 cable). Support capital includes costs associated with the replacement or enhancement of non-network assets due to obsolescence and wear out (e.g. non-network equipment, land, buildings and vehicles). Upgrades include costs to enhance or replace existing fiber/coaxial cable networks, including recurring betterments.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97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 Forma Data – Cable Segment Components</w:t>
      </w:r>
    </w:p>
    <w:p>
      <w:pPr>
        <w:jc w:val="center"/>
        <w:spacing w:after="0"/>
        <w:rPr>
          <w:sz w:val="20"/>
          <w:szCs w:val="20"/>
          <w:color w:val="auto"/>
        </w:rPr>
      </w:pPr>
      <w:r>
        <w:rPr>
          <w:rFonts w:ascii="Arial" w:cs="Arial" w:eastAsia="Arial" w:hAnsi="Arial"/>
          <w:sz w:val="22"/>
          <w:szCs w:val="22"/>
          <w:b w:val="1"/>
          <w:bCs w:val="1"/>
          <w:color w:val="auto"/>
        </w:rPr>
        <w:t>(Unaudited)(1) (2)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61"/>
        </w:trPr>
        <w:tc>
          <w:tcPr>
            <w:tcW w:w="9520" w:type="dxa"/>
            <w:vAlign w:val="bottom"/>
            <w:gridSpan w:val="2"/>
            <w:vMerge w:val="restart"/>
          </w:tcPr>
          <w:p>
            <w:pPr>
              <w:spacing w:after="0"/>
              <w:rPr>
                <w:sz w:val="20"/>
                <w:szCs w:val="20"/>
                <w:color w:val="auto"/>
              </w:rPr>
            </w:pPr>
            <w:r>
              <w:rPr>
                <w:rFonts w:ascii="Arial" w:cs="Arial" w:eastAsia="Arial" w:hAnsi="Arial"/>
                <w:sz w:val="14"/>
                <w:szCs w:val="14"/>
                <w:color w:val="auto"/>
              </w:rPr>
              <w:t>(Dollars in millions, except per subscriber and per unit data)</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520" w:type="dxa"/>
            <w:vAlign w:val="bottom"/>
            <w:gridSpan w:val="2"/>
            <w:vMerge w:val="continue"/>
          </w:tcPr>
          <w:p>
            <w:pPr>
              <w:spacing w:after="0"/>
              <w:rPr>
                <w:sz w:val="12"/>
                <w:szCs w:val="12"/>
                <w:color w:val="auto"/>
              </w:rPr>
            </w:pPr>
          </w:p>
        </w:tc>
        <w:tc>
          <w:tcPr>
            <w:tcW w:w="900" w:type="dxa"/>
            <w:vAlign w:val="bottom"/>
            <w:gridSpan w:val="2"/>
          </w:tcPr>
          <w:p>
            <w:pPr>
              <w:jc w:val="right"/>
              <w:ind w:right="62"/>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Revenues:</w:t>
            </w:r>
          </w:p>
        </w:tc>
        <w:tc>
          <w:tcPr>
            <w:tcW w:w="34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Video (3)</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$ 4,362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High-speed Internet</w:t>
            </w:r>
          </w:p>
        </w:tc>
        <w:tc>
          <w:tcPr>
            <w:tcW w:w="1120" w:type="dxa"/>
            <w:vAlign w:val="bottom"/>
            <w:gridSpan w:val="3"/>
            <w:shd w:val="clear" w:color="auto" w:fill="E5E5E5"/>
          </w:tcPr>
          <w:p>
            <w:pPr>
              <w:jc w:val="right"/>
              <w:ind w:right="220"/>
              <w:spacing w:after="0"/>
              <w:rPr>
                <w:sz w:val="20"/>
                <w:szCs w:val="20"/>
                <w:color w:val="auto"/>
              </w:rPr>
            </w:pPr>
            <w:r>
              <w:rPr>
                <w:rFonts w:ascii="Arial" w:cs="Arial" w:eastAsia="Arial" w:hAnsi="Arial"/>
                <w:sz w:val="18"/>
                <w:szCs w:val="18"/>
                <w:color w:val="auto"/>
              </w:rPr>
              <w:t>1,527</w:t>
            </w:r>
          </w:p>
        </w:tc>
        <w:tc>
          <w:tcPr>
            <w:tcW w:w="2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1,260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Phone</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353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1120" w:type="dxa"/>
            <w:vAlign w:val="bottom"/>
            <w:gridSpan w:val="3"/>
            <w:shd w:val="clear" w:color="auto" w:fill="E5E5E5"/>
          </w:tcPr>
          <w:p>
            <w:pPr>
              <w:jc w:val="right"/>
              <w:ind w:right="220"/>
              <w:spacing w:after="0"/>
              <w:rPr>
                <w:sz w:val="20"/>
                <w:szCs w:val="20"/>
                <w:color w:val="auto"/>
              </w:rPr>
            </w:pPr>
            <w:r>
              <w:rPr>
                <w:rFonts w:ascii="Arial" w:cs="Arial" w:eastAsia="Arial" w:hAnsi="Arial"/>
                <w:sz w:val="18"/>
                <w:szCs w:val="18"/>
                <w:color w:val="auto"/>
              </w:rPr>
              <w:t>313</w:t>
            </w:r>
          </w:p>
        </w:tc>
        <w:tc>
          <w:tcPr>
            <w:tcW w:w="2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Other (4)</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Franchise fees</w:t>
            </w:r>
          </w:p>
        </w:tc>
        <w:tc>
          <w:tcPr>
            <w:tcW w:w="340" w:type="dxa"/>
            <w:vAlign w:val="bottom"/>
            <w:shd w:val="clear" w:color="auto" w:fill="E5E5E5"/>
          </w:tcPr>
          <w:p>
            <w:pPr>
              <w:spacing w:after="0"/>
              <w:rPr>
                <w:sz w:val="18"/>
                <w:szCs w:val="18"/>
                <w:color w:val="auto"/>
              </w:rPr>
            </w:pPr>
          </w:p>
        </w:tc>
        <w:tc>
          <w:tcPr>
            <w:tcW w:w="78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$ 6,998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6,232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1120" w:type="dxa"/>
            <w:vAlign w:val="bottom"/>
            <w:gridSpan w:val="3"/>
            <w:shd w:val="clear" w:color="auto" w:fill="E5E5E5"/>
          </w:tcPr>
          <w:p>
            <w:pPr>
              <w:jc w:val="right"/>
              <w:ind w:right="220"/>
              <w:spacing w:after="0"/>
              <w:rPr>
                <w:sz w:val="20"/>
                <w:szCs w:val="20"/>
                <w:color w:val="auto"/>
              </w:rPr>
            </w:pPr>
            <w:r>
              <w:rPr>
                <w:rFonts w:ascii="Arial" w:cs="Arial" w:eastAsia="Arial" w:hAnsi="Arial"/>
                <w:sz w:val="18"/>
                <w:szCs w:val="18"/>
                <w:color w:val="auto"/>
              </w:rPr>
              <w:t>$ 2,793</w:t>
            </w:r>
          </w:p>
        </w:tc>
        <w:tc>
          <w:tcPr>
            <w:tcW w:w="32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2,443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Operating Income</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$ 1,353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1120" w:type="dxa"/>
            <w:vAlign w:val="bottom"/>
            <w:gridSpan w:val="3"/>
            <w:shd w:val="clear" w:color="auto" w:fill="E5E5E5"/>
          </w:tcPr>
          <w:p>
            <w:pPr>
              <w:jc w:val="right"/>
              <w:ind w:right="220"/>
              <w:spacing w:after="0"/>
              <w:rPr>
                <w:sz w:val="20"/>
                <w:szCs w:val="20"/>
                <w:color w:val="auto"/>
              </w:rPr>
            </w:pPr>
            <w:r>
              <w:rPr>
                <w:rFonts w:ascii="Arial" w:cs="Arial" w:eastAsia="Arial" w:hAnsi="Arial"/>
                <w:sz w:val="18"/>
                <w:szCs w:val="18"/>
                <w:color w:val="auto"/>
              </w:rPr>
              <w:t>39.9%</w:t>
            </w:r>
          </w:p>
        </w:tc>
        <w:tc>
          <w:tcPr>
            <w:tcW w:w="2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6"/>
              </w:rPr>
              <w:t>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Capital Expenditures</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$ 1,443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3"/>
              </w:rPr>
              <w:t>1Q07</w:t>
            </w: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3"/>
              </w:rPr>
              <w:t>1Q06</w:t>
            </w: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9"/>
              </w:rPr>
              <w:t>4Q06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Video</w:t>
            </w:r>
          </w:p>
        </w:tc>
        <w:tc>
          <w:tcPr>
            <w:tcW w:w="4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Homes Passed (000’s)</w:t>
            </w:r>
          </w:p>
        </w:tc>
        <w:tc>
          <w:tcPr>
            <w:tcW w:w="46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w w:val="83"/>
              </w:rPr>
              <w:t>47,700</w:t>
            </w:r>
          </w:p>
        </w:tc>
        <w:tc>
          <w:tcPr>
            <w:tcW w:w="28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w w:val="83"/>
              </w:rPr>
              <w:t>46,800</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47,400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5E5E5"/>
          </w:tcPr>
          <w:p>
            <w:pPr>
              <w:spacing w:after="0"/>
              <w:rPr>
                <w:sz w:val="20"/>
                <w:szCs w:val="20"/>
                <w:color w:val="auto"/>
              </w:rPr>
            </w:pPr>
            <w:r>
              <w:rPr>
                <w:rFonts w:ascii="Arial" w:cs="Arial" w:eastAsia="Arial" w:hAnsi="Arial"/>
                <w:sz w:val="18"/>
                <w:szCs w:val="18"/>
                <w:color w:val="auto"/>
              </w:rPr>
              <w:t>Basic Subscribers (000’s)</w:t>
            </w:r>
          </w:p>
        </w:tc>
        <w:tc>
          <w:tcPr>
            <w:tcW w:w="4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83"/>
              </w:rPr>
              <w:t>24,236</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83"/>
              </w:rPr>
              <w:t>24,131</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24,161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Basic Penetration</w:t>
            </w:r>
          </w:p>
        </w:tc>
        <w:tc>
          <w:tcPr>
            <w:tcW w:w="46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w w:val="90"/>
              </w:rPr>
              <w:t>50.9%</w:t>
            </w:r>
          </w:p>
        </w:tc>
        <w:tc>
          <w:tcPr>
            <w:tcW w:w="28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w w:val="90"/>
              </w:rPr>
              <w:t>51.5%</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3"/>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5E5E5"/>
          </w:tcPr>
          <w:p>
            <w:pPr>
              <w:spacing w:after="0"/>
              <w:rPr>
                <w:sz w:val="20"/>
                <w:szCs w:val="20"/>
                <w:color w:val="auto"/>
              </w:rPr>
            </w:pPr>
            <w:r>
              <w:rPr>
                <w:rFonts w:ascii="Arial" w:cs="Arial" w:eastAsia="Arial" w:hAnsi="Arial"/>
                <w:sz w:val="18"/>
                <w:szCs w:val="18"/>
                <w:color w:val="auto"/>
              </w:rPr>
              <w:t>Quarterly Net Basic Subscriber Additions (000’s)</w:t>
            </w:r>
          </w:p>
        </w:tc>
        <w:tc>
          <w:tcPr>
            <w:tcW w:w="4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75</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50</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322"/>
        </w:trPr>
        <w:tc>
          <w:tcPr>
            <w:tcW w:w="6100" w:type="dxa"/>
            <w:vAlign w:val="bottom"/>
            <w:gridSpan w:val="2"/>
          </w:tcPr>
          <w:p>
            <w:pPr>
              <w:spacing w:after="0"/>
              <w:rPr>
                <w:sz w:val="20"/>
                <w:szCs w:val="20"/>
                <w:color w:val="auto"/>
              </w:rPr>
            </w:pPr>
            <w:r>
              <w:rPr>
                <w:rFonts w:ascii="Arial" w:cs="Arial" w:eastAsia="Arial" w:hAnsi="Arial"/>
                <w:sz w:val="18"/>
                <w:szCs w:val="18"/>
                <w:color w:val="auto"/>
              </w:rPr>
              <w:t>Digital Subscribers (000’s)</w:t>
            </w:r>
          </w:p>
        </w:tc>
        <w:tc>
          <w:tcPr>
            <w:tcW w:w="460" w:type="dxa"/>
            <w:vAlign w:val="bottom"/>
          </w:tcPr>
          <w:p>
            <w:pPr>
              <w:spacing w:after="0"/>
              <w:rPr>
                <w:sz w:val="24"/>
                <w:szCs w:val="24"/>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w w:val="83"/>
              </w:rPr>
              <w:t>13,309</w:t>
            </w:r>
          </w:p>
        </w:tc>
        <w:tc>
          <w:tcPr>
            <w:tcW w:w="280" w:type="dxa"/>
            <w:vAlign w:val="bottom"/>
          </w:tcPr>
          <w:p>
            <w:pPr>
              <w:spacing w:after="0"/>
              <w:rPr>
                <w:sz w:val="24"/>
                <w:szCs w:val="24"/>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w w:val="83"/>
              </w:rPr>
              <w:t>11,158</w:t>
            </w: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12,666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80" w:type="dxa"/>
            <w:vAlign w:val="bottom"/>
            <w:shd w:val="clear" w:color="auto" w:fill="E5E5E5"/>
          </w:tcPr>
          <w:p>
            <w:pPr>
              <w:spacing w:after="0"/>
              <w:rPr>
                <w:sz w:val="20"/>
                <w:szCs w:val="20"/>
                <w:color w:val="auto"/>
              </w:rPr>
            </w:pPr>
            <w:r>
              <w:rPr>
                <w:rFonts w:ascii="Arial" w:cs="Arial" w:eastAsia="Arial" w:hAnsi="Arial"/>
                <w:sz w:val="18"/>
                <w:szCs w:val="18"/>
                <w:color w:val="auto"/>
              </w:rPr>
              <w:t>Digital Penetration</w:t>
            </w:r>
          </w:p>
        </w:tc>
        <w:tc>
          <w:tcPr>
            <w:tcW w:w="4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90"/>
              </w:rPr>
              <w:t>54.9%</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0"/>
              </w:rPr>
              <w:t>46.2%</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Quarterly Net Digital Subscriber Additions (000’s)</w:t>
            </w:r>
          </w:p>
        </w:tc>
        <w:tc>
          <w:tcPr>
            <w:tcW w:w="46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644</w:t>
            </w:r>
          </w:p>
        </w:tc>
        <w:tc>
          <w:tcPr>
            <w:tcW w:w="28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355</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5E5E5"/>
          </w:tcPr>
          <w:p>
            <w:pPr>
              <w:spacing w:after="0"/>
              <w:rPr>
                <w:sz w:val="20"/>
                <w:szCs w:val="20"/>
                <w:color w:val="auto"/>
              </w:rPr>
            </w:pPr>
            <w:r>
              <w:rPr>
                <w:rFonts w:ascii="Arial" w:cs="Arial" w:eastAsia="Arial" w:hAnsi="Arial"/>
                <w:sz w:val="18"/>
                <w:szCs w:val="18"/>
                <w:color w:val="auto"/>
              </w:rPr>
              <w:t>Digital Set-Top Boxes</w:t>
            </w:r>
          </w:p>
        </w:tc>
        <w:tc>
          <w:tcPr>
            <w:tcW w:w="4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83"/>
              </w:rPr>
              <w:t>20,598</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83"/>
              </w:rPr>
              <w:t>17,075</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19,492</w:t>
            </w:r>
          </w:p>
        </w:tc>
        <w:tc>
          <w:tcPr>
            <w:tcW w:w="0" w:type="dxa"/>
            <w:vAlign w:val="bottom"/>
          </w:tcPr>
          <w:p>
            <w:pPr>
              <w:spacing w:after="0"/>
              <w:rPr>
                <w:sz w:val="1"/>
                <w:szCs w:val="1"/>
                <w:color w:val="auto"/>
              </w:rPr>
            </w:pPr>
          </w:p>
        </w:tc>
      </w:tr>
      <w:tr>
        <w:trPr>
          <w:trHeight w:val="444"/>
        </w:trPr>
        <w:tc>
          <w:tcPr>
            <w:tcW w:w="6100" w:type="dxa"/>
            <w:vAlign w:val="bottom"/>
            <w:gridSpan w:val="2"/>
          </w:tcPr>
          <w:p>
            <w:pPr>
              <w:spacing w:after="0"/>
              <w:rPr>
                <w:sz w:val="20"/>
                <w:szCs w:val="20"/>
                <w:color w:val="auto"/>
              </w:rPr>
            </w:pPr>
            <w:r>
              <w:rPr>
                <w:rFonts w:ascii="Arial" w:cs="Arial" w:eastAsia="Arial" w:hAnsi="Arial"/>
                <w:sz w:val="18"/>
                <w:szCs w:val="18"/>
                <w:color w:val="auto"/>
              </w:rPr>
              <w:t>Monthly Average Video Revenue per Basic Subscriber</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60.08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55.72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58.15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80" w:type="dxa"/>
            <w:vAlign w:val="bottom"/>
            <w:shd w:val="clear" w:color="auto" w:fill="E5E5E5"/>
          </w:tcPr>
          <w:p>
            <w:pPr>
              <w:spacing w:after="0"/>
              <w:rPr>
                <w:sz w:val="20"/>
                <w:szCs w:val="20"/>
                <w:color w:val="auto"/>
              </w:rPr>
            </w:pPr>
            <w:r>
              <w:rPr>
                <w:rFonts w:ascii="Arial" w:cs="Arial" w:eastAsia="Arial" w:hAnsi="Arial"/>
                <w:sz w:val="18"/>
                <w:szCs w:val="18"/>
                <w:color w:val="auto"/>
              </w:rPr>
              <w:t>Monthly Average Total Revenue per Basic Subscriber</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96.39</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86.18</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322"/>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High-Speed Internet</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80" w:type="dxa"/>
            <w:vAlign w:val="bottom"/>
            <w:shd w:val="clear" w:color="auto" w:fill="E5E5E5"/>
          </w:tcPr>
          <w:p>
            <w:pPr>
              <w:spacing w:after="0"/>
              <w:rPr>
                <w:sz w:val="20"/>
                <w:szCs w:val="20"/>
                <w:color w:val="auto"/>
              </w:rPr>
            </w:pPr>
            <w:r>
              <w:rPr>
                <w:rFonts w:ascii="Arial" w:cs="Arial" w:eastAsia="Arial" w:hAnsi="Arial"/>
                <w:sz w:val="18"/>
                <w:szCs w:val="18"/>
                <w:color w:val="auto"/>
              </w:rPr>
              <w:t>“Available” Homes (000’s)</w:t>
            </w:r>
          </w:p>
        </w:tc>
        <w:tc>
          <w:tcPr>
            <w:tcW w:w="4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83"/>
              </w:rPr>
              <w:t>47,186</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83"/>
              </w:rPr>
              <w:t>46,139</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46,902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Subscribers (000’s)</w:t>
            </w:r>
          </w:p>
        </w:tc>
        <w:tc>
          <w:tcPr>
            <w:tcW w:w="46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w w:val="83"/>
              </w:rPr>
              <w:t>12,050</w:t>
            </w:r>
          </w:p>
        </w:tc>
        <w:tc>
          <w:tcPr>
            <w:tcW w:w="28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w w:val="83"/>
              </w:rPr>
              <w:t>10,131</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11,487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5E5E5"/>
          </w:tcPr>
          <w:p>
            <w:pPr>
              <w:spacing w:after="0"/>
              <w:rPr>
                <w:sz w:val="20"/>
                <w:szCs w:val="20"/>
                <w:color w:val="auto"/>
              </w:rPr>
            </w:pPr>
            <w:r>
              <w:rPr>
                <w:rFonts w:ascii="Arial" w:cs="Arial" w:eastAsia="Arial" w:hAnsi="Arial"/>
                <w:sz w:val="18"/>
                <w:szCs w:val="18"/>
                <w:color w:val="auto"/>
              </w:rPr>
              <w:t>Penetration</w:t>
            </w:r>
          </w:p>
        </w:tc>
        <w:tc>
          <w:tcPr>
            <w:tcW w:w="4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90"/>
              </w:rPr>
              <w:t>25.5%</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0"/>
              </w:rPr>
              <w:t>22.0%</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Quarterly Net Subscriber Additions (000’s)</w:t>
            </w:r>
          </w:p>
        </w:tc>
        <w:tc>
          <w:tcPr>
            <w:tcW w:w="46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563</w:t>
            </w:r>
          </w:p>
        </w:tc>
        <w:tc>
          <w:tcPr>
            <w:tcW w:w="28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512</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5E5E5"/>
          </w:tcPr>
          <w:p>
            <w:pPr>
              <w:spacing w:after="0"/>
              <w:rPr>
                <w:sz w:val="20"/>
                <w:szCs w:val="20"/>
                <w:color w:val="auto"/>
              </w:rPr>
            </w:pPr>
            <w:r>
              <w:rPr>
                <w:rFonts w:ascii="Arial" w:cs="Arial" w:eastAsia="Arial" w:hAnsi="Arial"/>
                <w:sz w:val="18"/>
                <w:szCs w:val="18"/>
                <w:color w:val="auto"/>
              </w:rPr>
              <w:t>Monthly Average Revenue per Subscriber</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43.26</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42.53</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323"/>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Phone</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Comcast Digital Voice</w:t>
            </w:r>
          </w:p>
        </w:tc>
        <w:tc>
          <w:tcPr>
            <w:tcW w:w="4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“Available” Homes (000’s)</w:t>
            </w:r>
          </w:p>
        </w:tc>
        <w:tc>
          <w:tcPr>
            <w:tcW w:w="46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w w:val="83"/>
              </w:rPr>
              <w:t>34,839</w:t>
            </w:r>
          </w:p>
        </w:tc>
        <w:tc>
          <w:tcPr>
            <w:tcW w:w="28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w w:val="83"/>
              </w:rPr>
              <w:t>21,611</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32,435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Subscribers (000’s)</w:t>
            </w:r>
          </w:p>
        </w:tc>
        <w:tc>
          <w:tcPr>
            <w:tcW w:w="4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2,426</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538</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Penetration</w:t>
            </w:r>
          </w:p>
        </w:tc>
        <w:tc>
          <w:tcPr>
            <w:tcW w:w="46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Quarterly Net Subscriber Additions (000’s)</w:t>
            </w:r>
          </w:p>
        </w:tc>
        <w:tc>
          <w:tcPr>
            <w:tcW w:w="4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571</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232</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Circuit Switched Phone</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“Available” Homes (000’s)</w:t>
            </w:r>
          </w:p>
        </w:tc>
        <w:tc>
          <w:tcPr>
            <w:tcW w:w="4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8,989</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8,817</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Subscribers (000’s)</w:t>
            </w:r>
          </w:p>
        </w:tc>
        <w:tc>
          <w:tcPr>
            <w:tcW w:w="46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560</w:t>
            </w:r>
          </w:p>
        </w:tc>
        <w:tc>
          <w:tcPr>
            <w:tcW w:w="28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917</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Penetration</w:t>
            </w:r>
          </w:p>
        </w:tc>
        <w:tc>
          <w:tcPr>
            <w:tcW w:w="4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6.2%</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0"/>
              </w:rPr>
              <w:t>10.4%</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Quarterly Net Subscriber Additions (000’s)</w:t>
            </w:r>
          </w:p>
        </w:tc>
        <w:tc>
          <w:tcPr>
            <w:tcW w:w="460" w:type="dxa"/>
            <w:vAlign w:val="bottom"/>
          </w:tcPr>
          <w:p>
            <w:pPr>
              <w:spacing w:after="0"/>
              <w:rPr>
                <w:sz w:val="19"/>
                <w:szCs w:val="19"/>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9"/>
                <w:szCs w:val="19"/>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E5E5E5"/>
          </w:tcPr>
          <w:p>
            <w:pPr>
              <w:spacing w:after="0"/>
              <w:rPr>
                <w:sz w:val="20"/>
                <w:szCs w:val="20"/>
                <w:color w:val="auto"/>
              </w:rPr>
            </w:pPr>
            <w:r>
              <w:rPr>
                <w:rFonts w:ascii="Arial" w:cs="Arial" w:eastAsia="Arial" w:hAnsi="Arial"/>
                <w:sz w:val="18"/>
                <w:szCs w:val="18"/>
                <w:color w:val="auto"/>
              </w:rPr>
              <w:t>Monthly Average Total Phone Revenue per Subscriber</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43.11</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45.79</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322"/>
        </w:trPr>
        <w:tc>
          <w:tcPr>
            <w:tcW w:w="6100" w:type="dxa"/>
            <w:vAlign w:val="bottom"/>
            <w:gridSpan w:val="2"/>
          </w:tcPr>
          <w:p>
            <w:pPr>
              <w:spacing w:after="0"/>
              <w:rPr>
                <w:sz w:val="20"/>
                <w:szCs w:val="20"/>
                <w:color w:val="auto"/>
              </w:rPr>
            </w:pPr>
            <w:r>
              <w:rPr>
                <w:rFonts w:ascii="Arial" w:cs="Arial" w:eastAsia="Arial" w:hAnsi="Arial"/>
                <w:sz w:val="18"/>
                <w:szCs w:val="18"/>
                <w:color w:val="auto"/>
              </w:rPr>
              <w:t>Total Revenue Generating Units (000’s) (5)</w:t>
            </w:r>
          </w:p>
        </w:tc>
        <w:tc>
          <w:tcPr>
            <w:tcW w:w="460" w:type="dxa"/>
            <w:vAlign w:val="bottom"/>
          </w:tcPr>
          <w:p>
            <w:pPr>
              <w:spacing w:after="0"/>
              <w:rPr>
                <w:sz w:val="24"/>
                <w:szCs w:val="24"/>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w w:val="83"/>
              </w:rPr>
              <w:t>52,581</w:t>
            </w:r>
          </w:p>
        </w:tc>
        <w:tc>
          <w:tcPr>
            <w:tcW w:w="280" w:type="dxa"/>
            <w:vAlign w:val="bottom"/>
          </w:tcPr>
          <w:p>
            <w:pPr>
              <w:spacing w:after="0"/>
              <w:rPr>
                <w:sz w:val="24"/>
                <w:szCs w:val="24"/>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w w:val="83"/>
              </w:rPr>
              <w:t>46,875</w:t>
            </w: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50,822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80" w:type="dxa"/>
            <w:vAlign w:val="bottom"/>
            <w:shd w:val="clear" w:color="auto" w:fill="E5E5E5"/>
          </w:tcPr>
          <w:p>
            <w:pPr>
              <w:spacing w:after="0"/>
              <w:rPr>
                <w:sz w:val="20"/>
                <w:szCs w:val="20"/>
                <w:color w:val="auto"/>
              </w:rPr>
            </w:pPr>
            <w:r>
              <w:rPr>
                <w:rFonts w:ascii="Arial" w:cs="Arial" w:eastAsia="Arial" w:hAnsi="Arial"/>
                <w:sz w:val="18"/>
                <w:szCs w:val="18"/>
                <w:color w:val="auto"/>
              </w:rPr>
              <w:t>Total Quarterly Net Additions (000’s)</w:t>
            </w:r>
          </w:p>
        </w:tc>
        <w:tc>
          <w:tcPr>
            <w:tcW w:w="4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1,759</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1,079</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 Non-GAAP and Other Financial Measures in Table 7. All percentages are calculated based on actual amounts. Minor differences may exist due to rounding.</w:t>
      </w:r>
    </w:p>
    <w:p>
      <w:pPr>
        <w:spacing w:after="0" w:line="50" w:lineRule="exact"/>
        <w:rPr>
          <w:rFonts w:ascii="Arial" w:cs="Arial" w:eastAsia="Arial" w:hAnsi="Arial"/>
          <w:sz w:val="18"/>
          <w:szCs w:val="18"/>
          <w:color w:val="auto"/>
        </w:rPr>
      </w:pPr>
    </w:p>
    <w:p>
      <w:pPr>
        <w:jc w:val="both"/>
        <w:ind w:left="460" w:hanging="452"/>
        <w:spacing w:after="0" w:line="306"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 forma financial data includes the results of Susquehanna Communications acquired on April 30, 2006, cable systems acquired in the Adelphia/Time Warner transactions on July 31, 2006, and the cable systems resulting from the dissolution of the Texas/Kansas City Cable Partnership (TKCCP) on January 1, 2007. The net impact of these transactions was to increase the number of basic cable subscribers by 2.6 million.</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Video revenues consist of our basic, expanded basic, digital, premium, pay-per-view and equipment services.</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revenues include installation revenues, guide revenues, commissions from electronic retailing, other product offerings, commercial data services and revenues of our digital media center and regional sports programming networks.</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sum of basic and digital video, high-speed Internet and net phone subscribers, excluding additional outlets. Subscriptions to DVR and/or HDTV services do not result in additional RGUs.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71" w:right="239" w:bottom="15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7</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and Other Financial Measures</w:t>
      </w:r>
    </w:p>
    <w:p>
      <w:pPr>
        <w:spacing w:after="0" w:line="17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Operating Cash Flow is the primary basis used to measure the operational strength and performance of our businesses. Free Cash Flow is an additional performance measure used as an indicator of our ability to repay debt, make investments and return capital to investors, principally through stock repurchases. We also adjust certain historical data on a pro forma basis following certain acquisitions or dispositions to enhance comparability.</w:t>
      </w:r>
    </w:p>
    <w:p>
      <w:pPr>
        <w:spacing w:after="0" w:line="1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Operating Cash Flow is defined as operating income before depreciation and amortization, excluding impairment charges related to fixed and intangible assets and gains or losses on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performance measure in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Operating Cash Flow is the measure of our segment profit or loss, we reconcile it to operating income, the most directly comparable financial measure calculated and presented in accordance with generally accepted accounting principles in the United States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14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Free Cash Flow, which is a non-GAAP financial measure, is defined as “Net Cash Provided by Operating Activities From Continuing Operations” (as stated in our Consolidated Statement of Cash Flows) reduced by capital expenditures and cash paid for intangible assets; and increased by any payments related to certain non-operating items, net of estimated tax benefits (such as income taxes on investment sales, and non-recurring payments related to income tax and litigation contingencies of acquired companies). We believe that Free Cash Flow is also useful to investors as it is one of the bases for comparing our performance with other companies in our industries, although our measure of Free Cash Flow may not be comparable to similar measures used by other companies.</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or dispositions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certain circumstances we also present data, as adjusted, in order to enhance comparability between periods.</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Operating Cash Flow and Free Cash Flow should not be considered as substitutes for operating income (loss), net income (loss), net cash provided by operating activities or other measures of performance or liquidity reported in accordance with GAAP. Additionally, in the opinion of management, our pro forma data is not necessarily indicative of future results or what results would have been had the acquired businesses been operated by us after the assumed earlier date.</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provide reconciliations of Consolidated Operating Cash Flow in Table 1, Free Cash Flow in Table 4, Pro Forma in Table 7-A and Adjusted Net Income in Table 7-B.</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97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7-A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Pro Forma(1) Financial Data by Business Segment</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Corporate,</w:t>
            </w:r>
          </w:p>
        </w:tc>
        <w:tc>
          <w:tcPr>
            <w:tcW w:w="18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w w:val="89"/>
              </w:rPr>
              <w:t>Cable</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3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1"/>
                <w:szCs w:val="11"/>
                <w:color w:val="auto"/>
              </w:rPr>
            </w:pPr>
          </w:p>
        </w:tc>
        <w:tc>
          <w:tcPr>
            <w:tcW w:w="400" w:type="dxa"/>
            <w:vAlign w:val="bottom"/>
          </w:tcPr>
          <w:p>
            <w:pPr>
              <w:jc w:val="center"/>
              <w:ind w:right="15"/>
              <w:spacing w:after="0" w:line="129" w:lineRule="exact"/>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Other and</w:t>
            </w:r>
          </w:p>
        </w:tc>
        <w:tc>
          <w:tcPr>
            <w:tcW w:w="18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right w:val="single" w:sz="8" w:color="auto"/>
            </w:tcBorders>
          </w:tcPr>
          <w:p>
            <w:pPr>
              <w:jc w:val="right"/>
              <w:ind w:right="353"/>
              <w:spacing w:after="0" w:line="135" w:lineRule="exact"/>
              <w:rPr>
                <w:sz w:val="20"/>
                <w:szCs w:val="20"/>
                <w:color w:val="auto"/>
              </w:rPr>
            </w:pPr>
            <w:r>
              <w:rPr>
                <w:rFonts w:ascii="Arial" w:cs="Arial" w:eastAsia="Arial" w:hAnsi="Arial"/>
                <w:sz w:val="14"/>
                <w:szCs w:val="14"/>
                <w:b w:val="1"/>
                <w:bCs w:val="1"/>
                <w:color w:val="auto"/>
                <w:w w:val="89"/>
              </w:rPr>
              <w:t>Cable</w:t>
            </w:r>
          </w:p>
        </w:tc>
        <w:tc>
          <w:tcPr>
            <w:tcW w:w="2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76"/>
        </w:trPr>
        <w:tc>
          <w:tcPr>
            <w:tcW w:w="3920" w:type="dxa"/>
            <w:vAlign w:val="bottom"/>
          </w:tcPr>
          <w:p>
            <w:pPr>
              <w:ind w:left="120"/>
              <w:spacing w:after="0"/>
              <w:rPr>
                <w:sz w:val="20"/>
                <w:szCs w:val="20"/>
                <w:color w:val="auto"/>
              </w:rPr>
            </w:pPr>
            <w:r>
              <w:rPr>
                <w:rFonts w:ascii="Arial" w:cs="Arial" w:eastAsia="Arial" w:hAnsi="Arial"/>
                <w:sz w:val="14"/>
                <w:szCs w:val="14"/>
                <w:color w:val="auto"/>
              </w:rPr>
              <w:t>(Dollars in millions)</w:t>
            </w:r>
          </w:p>
        </w:tc>
        <w:tc>
          <w:tcPr>
            <w:tcW w:w="820" w:type="dxa"/>
            <w:vAlign w:val="bottom"/>
          </w:tcPr>
          <w:p>
            <w:pPr>
              <w:jc w:val="right"/>
              <w:ind w:right="153"/>
              <w:spacing w:after="0"/>
              <w:rPr>
                <w:sz w:val="20"/>
                <w:szCs w:val="20"/>
                <w:color w:val="auto"/>
              </w:rPr>
            </w:pPr>
            <w:r>
              <w:rPr>
                <w:rFonts w:ascii="Arial" w:cs="Arial" w:eastAsia="Arial" w:hAnsi="Arial"/>
                <w:sz w:val="14"/>
                <w:szCs w:val="14"/>
                <w:b w:val="1"/>
                <w:bCs w:val="1"/>
                <w:color w:val="auto"/>
              </w:rPr>
              <w:t>Cable</w:t>
            </w: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Programming</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Eliminations</w:t>
            </w:r>
          </w:p>
        </w:tc>
        <w:tc>
          <w:tcPr>
            <w:tcW w:w="180" w:type="dxa"/>
            <w:vAlign w:val="bottom"/>
          </w:tcPr>
          <w:p>
            <w:pPr>
              <w:spacing w:after="0"/>
              <w:rPr>
                <w:sz w:val="15"/>
                <w:szCs w:val="15"/>
                <w:color w:val="auto"/>
              </w:rPr>
            </w:pPr>
          </w:p>
        </w:tc>
        <w:tc>
          <w:tcPr>
            <w:tcW w:w="700" w:type="dxa"/>
            <w:vAlign w:val="bottom"/>
            <w:tcBorders>
              <w:right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83"/>
              </w:rPr>
              <w:t>Total</w:t>
            </w:r>
          </w:p>
        </w:tc>
        <w:tc>
          <w:tcPr>
            <w:tcW w:w="1180" w:type="dxa"/>
            <w:vAlign w:val="bottom"/>
            <w:gridSpan w:val="2"/>
          </w:tcPr>
          <w:p>
            <w:pPr>
              <w:ind w:left="160"/>
              <w:spacing w:after="0" w:line="176" w:lineRule="exact"/>
              <w:rPr>
                <w:sz w:val="20"/>
                <w:szCs w:val="20"/>
                <w:color w:val="auto"/>
              </w:rPr>
            </w:pPr>
            <w:r>
              <w:rPr>
                <w:rFonts w:ascii="Arial" w:cs="Arial" w:eastAsia="Arial" w:hAnsi="Arial"/>
                <w:sz w:val="13"/>
                <w:szCs w:val="13"/>
                <w:b w:val="1"/>
                <w:bCs w:val="1"/>
                <w:color w:val="auto"/>
              </w:rPr>
              <w:t xml:space="preserve">Adjustments </w:t>
            </w:r>
            <w:r>
              <w:rPr>
                <w:rFonts w:ascii="Arial" w:cs="Arial" w:eastAsia="Arial" w:hAnsi="Arial"/>
                <w:sz w:val="20"/>
                <w:szCs w:val="20"/>
                <w:b w:val="1"/>
                <w:bCs w:val="1"/>
                <w:color w:val="auto"/>
                <w:vertAlign w:val="superscript"/>
              </w:rPr>
              <w:t>(1)</w:t>
            </w:r>
          </w:p>
        </w:tc>
        <w:tc>
          <w:tcPr>
            <w:tcW w:w="96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Pro Forma</w:t>
            </w:r>
          </w:p>
        </w:tc>
        <w:tc>
          <w:tcPr>
            <w:tcW w:w="1160" w:type="dxa"/>
            <w:vAlign w:val="bottom"/>
            <w:gridSpan w:val="2"/>
          </w:tcPr>
          <w:p>
            <w:pPr>
              <w:ind w:left="160"/>
              <w:spacing w:after="0" w:line="176" w:lineRule="exact"/>
              <w:rPr>
                <w:sz w:val="20"/>
                <w:szCs w:val="20"/>
                <w:color w:val="auto"/>
              </w:rPr>
            </w:pPr>
            <w:r>
              <w:rPr>
                <w:rFonts w:ascii="Arial" w:cs="Arial" w:eastAsia="Arial" w:hAnsi="Arial"/>
                <w:sz w:val="13"/>
                <w:szCs w:val="13"/>
                <w:b w:val="1"/>
                <w:bCs w:val="1"/>
                <w:color w:val="auto"/>
                <w:w w:val="99"/>
              </w:rPr>
              <w:t xml:space="preserve">Adjustments </w:t>
            </w:r>
            <w:r>
              <w:rPr>
                <w:rFonts w:ascii="Arial" w:cs="Arial" w:eastAsia="Arial" w:hAnsi="Arial"/>
                <w:sz w:val="20"/>
                <w:szCs w:val="20"/>
                <w:b w:val="1"/>
                <w:bCs w:val="1"/>
                <w:color w:val="auto"/>
                <w:w w:val="99"/>
                <w:vertAlign w:val="superscript"/>
              </w:rPr>
              <w:t>(1)</w:t>
            </w: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Forma</w:t>
            </w: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Three Months Ended March 31, 2007</w:t>
            </w:r>
          </w:p>
        </w:tc>
        <w:tc>
          <w:tcPr>
            <w:tcW w:w="82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right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92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right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tcPr>
          <w:p>
            <w:pPr>
              <w:ind w:left="120"/>
              <w:spacing w:after="0"/>
              <w:rPr>
                <w:sz w:val="20"/>
                <w:szCs w:val="20"/>
                <w:color w:val="auto"/>
              </w:rPr>
            </w:pPr>
            <w:r>
              <w:rPr>
                <w:rFonts w:ascii="Arial" w:cs="Arial" w:eastAsia="Arial" w:hAnsi="Arial"/>
                <w:sz w:val="18"/>
                <w:szCs w:val="18"/>
                <w:color w:val="auto"/>
              </w:rPr>
              <w:t>Revenue</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$6,998</w:t>
            </w: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302</w:t>
            </w: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88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213"/>
              <w:spacing w:after="0"/>
              <w:rPr>
                <w:sz w:val="20"/>
                <w:szCs w:val="20"/>
                <w:color w:val="auto"/>
              </w:rPr>
            </w:pPr>
            <w:r>
              <w:rPr>
                <w:rFonts w:ascii="Arial" w:cs="Arial" w:eastAsia="Arial" w:hAnsi="Arial"/>
                <w:sz w:val="18"/>
                <w:szCs w:val="18"/>
                <w:color w:val="auto"/>
                <w:w w:val="84"/>
              </w:rPr>
              <w:t>7,388</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auto"/>
            </w:tcBorders>
          </w:tcPr>
          <w:p>
            <w:pPr>
              <w:jc w:val="right"/>
              <w:ind w:right="213"/>
              <w:spacing w:after="0"/>
              <w:rPr>
                <w:sz w:val="20"/>
                <w:szCs w:val="20"/>
                <w:color w:val="auto"/>
              </w:rPr>
            </w:pPr>
            <w:r>
              <w:rPr>
                <w:rFonts w:ascii="Arial" w:cs="Arial" w:eastAsia="Arial" w:hAnsi="Arial"/>
                <w:sz w:val="18"/>
                <w:szCs w:val="18"/>
                <w:color w:val="auto"/>
              </w:rPr>
              <w:t>6,998</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92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7"/>
              </w:rPr>
              <w:t>Operating Expenses (excluding depreciation and</w:t>
            </w:r>
          </w:p>
        </w:tc>
        <w:tc>
          <w:tcPr>
            <w:tcW w:w="820" w:type="dxa"/>
            <w:vAlign w:val="bottom"/>
            <w:vMerge w:val="restart"/>
            <w:shd w:val="clear" w:color="auto" w:fill="E5E5E5"/>
          </w:tcPr>
          <w:p>
            <w:pPr>
              <w:jc w:val="right"/>
              <w:ind w:right="73"/>
              <w:spacing w:after="0"/>
              <w:rPr>
                <w:sz w:val="20"/>
                <w:szCs w:val="20"/>
                <w:color w:val="auto"/>
              </w:rPr>
            </w:pPr>
            <w:r>
              <w:rPr>
                <w:rFonts w:ascii="Arial" w:cs="Arial" w:eastAsia="Arial" w:hAnsi="Arial"/>
                <w:sz w:val="18"/>
                <w:szCs w:val="18"/>
                <w:color w:val="auto"/>
              </w:rPr>
              <w:t>4,205</w:t>
            </w:r>
          </w:p>
        </w:tc>
        <w:tc>
          <w:tcPr>
            <w:tcW w:w="400" w:type="dxa"/>
            <w:vAlign w:val="bottom"/>
            <w:shd w:val="clear" w:color="auto" w:fill="E5E5E5"/>
          </w:tcPr>
          <w:p>
            <w:pPr>
              <w:spacing w:after="0"/>
              <w:rPr>
                <w:sz w:val="18"/>
                <w:szCs w:val="18"/>
                <w:color w:val="auto"/>
              </w:rPr>
            </w:pPr>
          </w:p>
        </w:tc>
        <w:tc>
          <w:tcPr>
            <w:tcW w:w="5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237</w:t>
            </w:r>
          </w:p>
        </w:tc>
        <w:tc>
          <w:tcPr>
            <w:tcW w:w="400" w:type="dxa"/>
            <w:vAlign w:val="bottom"/>
            <w:shd w:val="clear" w:color="auto" w:fill="E5E5E5"/>
          </w:tcPr>
          <w:p>
            <w:pPr>
              <w:spacing w:after="0"/>
              <w:rPr>
                <w:sz w:val="18"/>
                <w:szCs w:val="18"/>
                <w:color w:val="auto"/>
              </w:rPr>
            </w:pPr>
          </w:p>
        </w:tc>
        <w:tc>
          <w:tcPr>
            <w:tcW w:w="580" w:type="dxa"/>
            <w:vAlign w:val="bottom"/>
            <w:vMerge w:val="restart"/>
            <w:shd w:val="clear" w:color="auto" w:fill="E5E5E5"/>
          </w:tcPr>
          <w:p>
            <w:pPr>
              <w:jc w:val="right"/>
              <w:ind w:right="52"/>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E5E5E5"/>
          </w:tcPr>
          <w:p>
            <w:pPr>
              <w:spacing w:after="0"/>
              <w:rPr>
                <w:sz w:val="18"/>
                <w:szCs w:val="18"/>
                <w:color w:val="auto"/>
              </w:rPr>
            </w:pPr>
          </w:p>
        </w:tc>
        <w:tc>
          <w:tcPr>
            <w:tcW w:w="700" w:type="dxa"/>
            <w:vAlign w:val="bottom"/>
            <w:tcBorders>
              <w:right w:val="single" w:sz="8" w:color="auto"/>
            </w:tcBorders>
            <w:vMerge w:val="restart"/>
            <w:shd w:val="clear" w:color="auto" w:fill="E5E5E5"/>
          </w:tcPr>
          <w:p>
            <w:pPr>
              <w:jc w:val="right"/>
              <w:ind w:right="213"/>
              <w:spacing w:after="0"/>
              <w:rPr>
                <w:sz w:val="20"/>
                <w:szCs w:val="20"/>
                <w:color w:val="auto"/>
              </w:rPr>
            </w:pPr>
            <w:r>
              <w:rPr>
                <w:rFonts w:ascii="Arial" w:cs="Arial" w:eastAsia="Arial" w:hAnsi="Arial"/>
                <w:sz w:val="18"/>
                <w:szCs w:val="18"/>
                <w:color w:val="auto"/>
                <w:w w:val="84"/>
              </w:rPr>
              <w:t>4,625</w:t>
            </w:r>
          </w:p>
        </w:tc>
        <w:tc>
          <w:tcPr>
            <w:tcW w:w="260" w:type="dxa"/>
            <w:vAlign w:val="bottom"/>
            <w:shd w:val="clear" w:color="auto" w:fill="E5E5E5"/>
          </w:tcPr>
          <w:p>
            <w:pPr>
              <w:spacing w:after="0"/>
              <w:rPr>
                <w:sz w:val="18"/>
                <w:szCs w:val="18"/>
                <w:color w:val="auto"/>
              </w:rPr>
            </w:pPr>
          </w:p>
        </w:tc>
        <w:tc>
          <w:tcPr>
            <w:tcW w:w="920" w:type="dxa"/>
            <w:vAlign w:val="bottom"/>
            <w:vMerge w:val="restart"/>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800" w:type="dxa"/>
            <w:vAlign w:val="bottom"/>
            <w:tcBorders>
              <w:right w:val="single" w:sz="8" w:color="auto"/>
            </w:tcBorders>
            <w:vMerge w:val="restart"/>
            <w:shd w:val="clear" w:color="auto" w:fill="E5E5E5"/>
          </w:tcPr>
          <w:p>
            <w:pPr>
              <w:jc w:val="right"/>
              <w:ind w:right="213"/>
              <w:spacing w:after="0"/>
              <w:rPr>
                <w:sz w:val="20"/>
                <w:szCs w:val="20"/>
                <w:color w:val="auto"/>
              </w:rPr>
            </w:pPr>
            <w:r>
              <w:rPr>
                <w:rFonts w:ascii="Arial" w:cs="Arial" w:eastAsia="Arial" w:hAnsi="Arial"/>
                <w:sz w:val="18"/>
                <w:szCs w:val="18"/>
                <w:color w:val="auto"/>
              </w:rPr>
              <w:t>4,205</w:t>
            </w:r>
          </w:p>
        </w:tc>
        <w:tc>
          <w:tcPr>
            <w:tcW w:w="260" w:type="dxa"/>
            <w:vAlign w:val="bottom"/>
            <w:shd w:val="clear" w:color="auto" w:fill="E5E5E5"/>
          </w:tcPr>
          <w:p>
            <w:pPr>
              <w:spacing w:after="0"/>
              <w:rPr>
                <w:sz w:val="18"/>
                <w:szCs w:val="18"/>
                <w:color w:val="auto"/>
              </w:rPr>
            </w:pPr>
          </w:p>
        </w:tc>
        <w:tc>
          <w:tcPr>
            <w:tcW w:w="900" w:type="dxa"/>
            <w:vAlign w:val="bottom"/>
            <w:vMerge w:val="restart"/>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4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w w:val="84"/>
              </w:rPr>
              <w:t>4,625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20" w:type="dxa"/>
            <w:vAlign w:val="bottom"/>
            <w:tcBorders>
              <w:bottom w:val="single" w:sz="8" w:color="E5E5E5"/>
            </w:tcBorders>
            <w:shd w:val="clear" w:color="auto" w:fill="E5E5E5"/>
          </w:tcPr>
          <w:p>
            <w:pPr>
              <w:ind w:left="340"/>
              <w:spacing w:after="0"/>
              <w:rPr>
                <w:sz w:val="20"/>
                <w:szCs w:val="20"/>
                <w:color w:val="auto"/>
              </w:rPr>
            </w:pPr>
            <w:r>
              <w:rPr>
                <w:rFonts w:ascii="Arial" w:cs="Arial" w:eastAsia="Arial" w:hAnsi="Arial"/>
                <w:sz w:val="18"/>
                <w:szCs w:val="18"/>
                <w:color w:val="auto"/>
              </w:rPr>
              <w:t>amortization)</w:t>
            </w:r>
          </w:p>
        </w:tc>
        <w:tc>
          <w:tcPr>
            <w:tcW w:w="820" w:type="dxa"/>
            <w:vAlign w:val="bottom"/>
            <w:tcBorders>
              <w:bottom w:val="single" w:sz="8" w:color="auto"/>
            </w:tcBorders>
            <w:vMerge w:val="continue"/>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vMerge w:val="continue"/>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vMerge w:val="continue"/>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right w:val="single" w:sz="8" w:color="auto"/>
            </w:tcBorders>
            <w:vMerge w:val="continue"/>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vMerge w:val="continue"/>
            <w:shd w:val="clear" w:color="auto" w:fill="E5E5E5"/>
          </w:tcPr>
          <w:p>
            <w:pPr>
              <w:spacing w:after="0"/>
              <w:rPr>
                <w:sz w:val="18"/>
                <w:szCs w:val="18"/>
                <w:color w:val="auto"/>
              </w:rPr>
            </w:pPr>
          </w:p>
        </w:tc>
        <w:tc>
          <w:tcPr>
            <w:tcW w:w="1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right w:val="single" w:sz="8" w:color="auto"/>
            </w:tcBorders>
            <w:vMerge w:val="continue"/>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vMerge w:val="continue"/>
            <w:shd w:val="clear" w:color="auto" w:fill="E5E5E5"/>
          </w:tcPr>
          <w:p>
            <w:pPr>
              <w:spacing w:after="0"/>
              <w:rPr>
                <w:sz w:val="18"/>
                <w:szCs w:val="18"/>
                <w:color w:val="auto"/>
              </w:rPr>
            </w:pPr>
          </w:p>
        </w:tc>
        <w:tc>
          <w:tcPr>
            <w:tcW w:w="16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vMerge w:val="continue"/>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120"/>
              <w:spacing w:after="0"/>
              <w:rPr>
                <w:sz w:val="20"/>
                <w:szCs w:val="20"/>
                <w:color w:val="auto"/>
              </w:rPr>
            </w:pPr>
            <w:r>
              <w:rPr>
                <w:rFonts w:ascii="Arial" w:cs="Arial" w:eastAsia="Arial" w:hAnsi="Arial"/>
                <w:sz w:val="18"/>
                <w:szCs w:val="18"/>
                <w:color w:val="auto"/>
              </w:rPr>
              <w:t>Operating Cash Flow</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$2,793</w:t>
            </w: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213"/>
              <w:spacing w:after="0"/>
              <w:rPr>
                <w:sz w:val="20"/>
                <w:szCs w:val="20"/>
                <w:color w:val="auto"/>
              </w:rPr>
            </w:pPr>
            <w:r>
              <w:rPr>
                <w:rFonts w:ascii="Arial" w:cs="Arial" w:eastAsia="Arial" w:hAnsi="Arial"/>
                <w:sz w:val="18"/>
                <w:szCs w:val="18"/>
                <w:color w:val="auto"/>
                <w:w w:val="84"/>
              </w:rPr>
              <w:t>2,763</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auto"/>
            </w:tcBorders>
          </w:tcPr>
          <w:p>
            <w:pPr>
              <w:jc w:val="right"/>
              <w:ind w:right="213"/>
              <w:spacing w:after="0"/>
              <w:rPr>
                <w:sz w:val="20"/>
                <w:szCs w:val="20"/>
                <w:color w:val="auto"/>
              </w:rPr>
            </w:pPr>
            <w:r>
              <w:rPr>
                <w:rFonts w:ascii="Arial" w:cs="Arial" w:eastAsia="Arial" w:hAnsi="Arial"/>
                <w:sz w:val="18"/>
                <w:szCs w:val="18"/>
                <w:color w:val="auto"/>
              </w:rPr>
              <w:t>2,793</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E5E5E5"/>
            </w:tcBorders>
            <w:shd w:val="clear" w:color="auto" w:fill="E5E5E5"/>
          </w:tcPr>
          <w:p>
            <w:pPr>
              <w:ind w:left="120"/>
              <w:spacing w:after="0"/>
              <w:rPr>
                <w:sz w:val="20"/>
                <w:szCs w:val="20"/>
                <w:color w:val="auto"/>
              </w:rPr>
            </w:pPr>
            <w:r>
              <w:rPr>
                <w:rFonts w:ascii="Arial" w:cs="Arial" w:eastAsia="Arial" w:hAnsi="Arial"/>
                <w:sz w:val="18"/>
                <w:szCs w:val="18"/>
                <w:color w:val="auto"/>
              </w:rPr>
              <w:t>Depreciation and Amortization</w:t>
            </w:r>
          </w:p>
        </w:tc>
        <w:tc>
          <w:tcPr>
            <w:tcW w:w="82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1,440</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47</w:t>
            </w:r>
          </w:p>
        </w:tc>
        <w:tc>
          <w:tcPr>
            <w:tcW w:w="4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w w:val="84"/>
              </w:rPr>
              <w:t>1,502</w:t>
            </w:r>
          </w:p>
        </w:tc>
        <w:tc>
          <w:tcPr>
            <w:tcW w:w="26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1,440</w:t>
            </w:r>
          </w:p>
        </w:tc>
        <w:tc>
          <w:tcPr>
            <w:tcW w:w="2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4"/>
              </w:rPr>
              <w:t>1,502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20" w:type="dxa"/>
            <w:vAlign w:val="bottom"/>
          </w:tcPr>
          <w:p>
            <w:pPr>
              <w:ind w:left="120"/>
              <w:spacing w:after="0"/>
              <w:rPr>
                <w:sz w:val="20"/>
                <w:szCs w:val="20"/>
                <w:color w:val="auto"/>
              </w:rPr>
            </w:pPr>
            <w:r>
              <w:rPr>
                <w:rFonts w:ascii="Arial" w:cs="Arial" w:eastAsia="Arial" w:hAnsi="Arial"/>
                <w:sz w:val="18"/>
                <w:szCs w:val="18"/>
                <w:color w:val="auto"/>
              </w:rPr>
              <w:t>Operating Income (Loss)</w:t>
            </w: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$1,353</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213"/>
              <w:spacing w:after="0"/>
              <w:rPr>
                <w:sz w:val="20"/>
                <w:szCs w:val="20"/>
                <w:color w:val="auto"/>
              </w:rPr>
            </w:pPr>
            <w:r>
              <w:rPr>
                <w:rFonts w:ascii="Arial" w:cs="Arial" w:eastAsia="Arial" w:hAnsi="Arial"/>
                <w:sz w:val="18"/>
                <w:szCs w:val="18"/>
                <w:color w:val="auto"/>
                <w:w w:val="84"/>
              </w:rPr>
              <w:t>1,261</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right w:val="single" w:sz="8" w:color="auto"/>
            </w:tcBorders>
          </w:tcPr>
          <w:p>
            <w:pPr>
              <w:jc w:val="right"/>
              <w:ind w:right="213"/>
              <w:spacing w:after="0"/>
              <w:rPr>
                <w:sz w:val="20"/>
                <w:szCs w:val="20"/>
                <w:color w:val="auto"/>
              </w:rPr>
            </w:pPr>
            <w:r>
              <w:rPr>
                <w:rFonts w:ascii="Arial" w:cs="Arial" w:eastAsia="Arial" w:hAnsi="Arial"/>
                <w:sz w:val="18"/>
                <w:szCs w:val="18"/>
                <w:color w:val="auto"/>
              </w:rPr>
              <w:t>1,353</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E5E5E5"/>
            </w:tcBorders>
            <w:shd w:val="clear" w:color="auto" w:fill="E5E5E5"/>
          </w:tcPr>
          <w:p>
            <w:pPr>
              <w:ind w:left="120"/>
              <w:spacing w:after="0"/>
              <w:rPr>
                <w:sz w:val="20"/>
                <w:szCs w:val="20"/>
                <w:color w:val="auto"/>
              </w:rPr>
            </w:pPr>
            <w:r>
              <w:rPr>
                <w:rFonts w:ascii="Arial" w:cs="Arial" w:eastAsia="Arial" w:hAnsi="Arial"/>
                <w:sz w:val="18"/>
                <w:szCs w:val="18"/>
                <w:color w:val="auto"/>
              </w:rPr>
              <w:t>Capital Expenditures</w:t>
            </w:r>
          </w:p>
        </w:tc>
        <w:tc>
          <w:tcPr>
            <w:tcW w:w="82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$1,443</w:t>
            </w:r>
          </w:p>
        </w:tc>
        <w:tc>
          <w:tcPr>
            <w:tcW w:w="4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w w:val="84"/>
              </w:rPr>
              <w:t>1,454</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1,443</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4"/>
              </w:rPr>
              <w:t>1,454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3920" w:type="dxa"/>
            <w:vAlign w:val="bottom"/>
          </w:tcPr>
          <w:p>
            <w:pPr>
              <w:ind w:left="120"/>
              <w:spacing w:after="0"/>
              <w:rPr>
                <w:sz w:val="20"/>
                <w:szCs w:val="20"/>
                <w:color w:val="auto"/>
              </w:rPr>
            </w:pPr>
            <w:r>
              <w:rPr>
                <w:rFonts w:ascii="Arial" w:cs="Arial" w:eastAsia="Arial" w:hAnsi="Arial"/>
                <w:sz w:val="18"/>
                <w:szCs w:val="18"/>
                <w:b w:val="1"/>
                <w:bCs w:val="1"/>
                <w:color w:val="auto"/>
              </w:rPr>
              <w:t>Three Months Ended March 31, 2006</w:t>
            </w: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20" w:type="dxa"/>
            <w:vAlign w:val="bottom"/>
            <w:shd w:val="clear" w:color="auto" w:fill="E5E5E5"/>
          </w:tcPr>
          <w:p>
            <w:pPr>
              <w:ind w:left="120"/>
              <w:spacing w:after="0"/>
              <w:rPr>
                <w:sz w:val="20"/>
                <w:szCs w:val="20"/>
                <w:color w:val="auto"/>
              </w:rPr>
            </w:pPr>
            <w:r>
              <w:rPr>
                <w:rFonts w:ascii="Arial" w:cs="Arial" w:eastAsia="Arial" w:hAnsi="Arial"/>
                <w:sz w:val="18"/>
                <w:szCs w:val="18"/>
                <w:color w:val="auto"/>
              </w:rPr>
              <w:t>Revenue</w:t>
            </w:r>
          </w:p>
        </w:tc>
        <w:tc>
          <w:tcPr>
            <w:tcW w:w="82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$5,282</w:t>
            </w:r>
          </w:p>
        </w:tc>
        <w:tc>
          <w:tcPr>
            <w:tcW w:w="40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239</w:t>
            </w:r>
          </w:p>
        </w:tc>
        <w:tc>
          <w:tcPr>
            <w:tcW w:w="40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74</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w w:val="84"/>
              </w:rPr>
              <w:t>5,595</w:t>
            </w:r>
          </w:p>
        </w:tc>
        <w:tc>
          <w:tcPr>
            <w:tcW w:w="260" w:type="dxa"/>
            <w:vAlign w:val="bottom"/>
            <w:shd w:val="clear" w:color="auto" w:fill="E5E5E5"/>
          </w:tcPr>
          <w:p>
            <w:pPr>
              <w:ind w:left="14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E5E5E5"/>
          </w:tcPr>
          <w:p>
            <w:pPr>
              <w:ind w:left="520"/>
              <w:spacing w:after="0"/>
              <w:rPr>
                <w:sz w:val="20"/>
                <w:szCs w:val="20"/>
                <w:color w:val="auto"/>
              </w:rPr>
            </w:pPr>
            <w:r>
              <w:rPr>
                <w:rFonts w:ascii="Arial" w:cs="Arial" w:eastAsia="Arial" w:hAnsi="Arial"/>
                <w:sz w:val="18"/>
                <w:szCs w:val="18"/>
                <w:color w:val="auto"/>
              </w:rPr>
              <w:t>963</w:t>
            </w:r>
          </w:p>
        </w:tc>
        <w:tc>
          <w:tcPr>
            <w:tcW w:w="160" w:type="dxa"/>
            <w:vAlign w:val="bottom"/>
            <w:shd w:val="clear" w:color="auto" w:fill="E5E5E5"/>
          </w:tcPr>
          <w:p>
            <w:pPr>
              <w:ind w:left="40"/>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6,245</w:t>
            </w:r>
          </w:p>
        </w:tc>
        <w:tc>
          <w:tcPr>
            <w:tcW w:w="260" w:type="dxa"/>
            <w:vAlign w:val="bottom"/>
            <w:shd w:val="clear" w:color="auto" w:fill="E5E5E5"/>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5E5E5"/>
          </w:tcPr>
          <w:p>
            <w:pPr>
              <w:ind w:left="540"/>
              <w:spacing w:after="0"/>
              <w:rPr>
                <w:sz w:val="20"/>
                <w:szCs w:val="20"/>
                <w:color w:val="auto"/>
              </w:rPr>
            </w:pPr>
            <w:r>
              <w:rPr>
                <w:rFonts w:ascii="Arial" w:cs="Arial" w:eastAsia="Arial" w:hAnsi="Arial"/>
                <w:sz w:val="18"/>
                <w:szCs w:val="18"/>
                <w:color w:val="auto"/>
              </w:rPr>
              <w:t>963</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6,558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540"/>
              <w:spacing w:after="0"/>
              <w:rPr>
                <w:sz w:val="20"/>
                <w:szCs w:val="20"/>
                <w:color w:val="auto"/>
              </w:rPr>
            </w:pPr>
            <w:r>
              <w:rPr>
                <w:rFonts w:ascii="Arial" w:cs="Arial" w:eastAsia="Arial" w:hAnsi="Arial"/>
                <w:sz w:val="18"/>
                <w:szCs w:val="18"/>
                <w:color w:val="auto"/>
              </w:rPr>
              <w:t>Segment reclassifications</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w:t>
            </w: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right"/>
              <w:ind w:right="2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E5E5E5"/>
          </w:tcPr>
          <w:p>
            <w:pPr>
              <w:ind w:left="120"/>
              <w:spacing w:after="0"/>
              <w:rPr>
                <w:sz w:val="20"/>
                <w:szCs w:val="20"/>
                <w:color w:val="auto"/>
              </w:rPr>
            </w:pPr>
            <w:r>
              <w:rPr>
                <w:rFonts w:ascii="Arial" w:cs="Arial" w:eastAsia="Arial" w:hAnsi="Arial"/>
                <w:sz w:val="18"/>
                <w:szCs w:val="18"/>
                <w:color w:val="auto"/>
              </w:rPr>
              <w:t>Revenue</w:t>
            </w:r>
          </w:p>
        </w:tc>
        <w:tc>
          <w:tcPr>
            <w:tcW w:w="82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$5,269</w:t>
            </w:r>
          </w:p>
        </w:tc>
        <w:tc>
          <w:tcPr>
            <w:tcW w:w="40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239</w:t>
            </w:r>
          </w:p>
        </w:tc>
        <w:tc>
          <w:tcPr>
            <w:tcW w:w="40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87</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w w:val="84"/>
              </w:rPr>
              <w:t>5,595</w:t>
            </w:r>
          </w:p>
        </w:tc>
        <w:tc>
          <w:tcPr>
            <w:tcW w:w="260" w:type="dxa"/>
            <w:vAlign w:val="bottom"/>
            <w:shd w:val="clear" w:color="auto" w:fill="E5E5E5"/>
          </w:tcPr>
          <w:p>
            <w:pPr>
              <w:ind w:left="14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E5E5E5"/>
          </w:tcPr>
          <w:p>
            <w:pPr>
              <w:ind w:left="520"/>
              <w:spacing w:after="0"/>
              <w:rPr>
                <w:sz w:val="20"/>
                <w:szCs w:val="20"/>
                <w:color w:val="auto"/>
              </w:rPr>
            </w:pPr>
            <w:r>
              <w:rPr>
                <w:rFonts w:ascii="Arial" w:cs="Arial" w:eastAsia="Arial" w:hAnsi="Arial"/>
                <w:sz w:val="18"/>
                <w:szCs w:val="18"/>
                <w:color w:val="auto"/>
              </w:rPr>
              <w:t>963</w:t>
            </w:r>
          </w:p>
        </w:tc>
        <w:tc>
          <w:tcPr>
            <w:tcW w:w="160" w:type="dxa"/>
            <w:vAlign w:val="bottom"/>
            <w:shd w:val="clear" w:color="auto" w:fill="E5E5E5"/>
          </w:tcPr>
          <w:p>
            <w:pPr>
              <w:ind w:left="40"/>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6,232</w:t>
            </w:r>
          </w:p>
        </w:tc>
        <w:tc>
          <w:tcPr>
            <w:tcW w:w="260" w:type="dxa"/>
            <w:vAlign w:val="bottom"/>
            <w:shd w:val="clear" w:color="auto" w:fill="E5E5E5"/>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5E5E5"/>
          </w:tcPr>
          <w:p>
            <w:pPr>
              <w:ind w:left="540"/>
              <w:spacing w:after="0"/>
              <w:rPr>
                <w:sz w:val="20"/>
                <w:szCs w:val="20"/>
                <w:color w:val="auto"/>
              </w:rPr>
            </w:pPr>
            <w:r>
              <w:rPr>
                <w:rFonts w:ascii="Arial" w:cs="Arial" w:eastAsia="Arial" w:hAnsi="Arial"/>
                <w:sz w:val="18"/>
                <w:szCs w:val="18"/>
                <w:color w:val="auto"/>
              </w:rPr>
              <w:t>963</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6,558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3920" w:type="dxa"/>
            <w:vAlign w:val="bottom"/>
          </w:tcPr>
          <w:p>
            <w:pPr>
              <w:ind w:left="120"/>
              <w:spacing w:after="0"/>
              <w:rPr>
                <w:sz w:val="20"/>
                <w:szCs w:val="20"/>
                <w:color w:val="auto"/>
              </w:rPr>
            </w:pPr>
            <w:r>
              <w:rPr>
                <w:rFonts w:ascii="Arial" w:cs="Arial" w:eastAsia="Arial" w:hAnsi="Arial"/>
                <w:sz w:val="18"/>
                <w:szCs w:val="18"/>
                <w:color w:val="auto"/>
                <w:w w:val="97"/>
              </w:rPr>
              <w:t>Operating Expenses (excluding depreciation and</w:t>
            </w: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20" w:type="dxa"/>
            <w:vAlign w:val="bottom"/>
          </w:tcPr>
          <w:p>
            <w:pPr>
              <w:ind w:left="340"/>
              <w:spacing w:after="0"/>
              <w:rPr>
                <w:sz w:val="20"/>
                <w:szCs w:val="20"/>
                <w:color w:val="auto"/>
              </w:rPr>
            </w:pPr>
            <w:r>
              <w:rPr>
                <w:rFonts w:ascii="Arial" w:cs="Arial" w:eastAsia="Arial" w:hAnsi="Arial"/>
                <w:sz w:val="18"/>
                <w:szCs w:val="18"/>
                <w:color w:val="auto"/>
              </w:rPr>
              <w:t>amortization)</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3,168</w:t>
            </w: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189</w:t>
            </w:r>
          </w:p>
        </w:tc>
        <w:tc>
          <w:tcPr>
            <w:tcW w:w="40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9"/>
                <w:szCs w:val="19"/>
                <w:color w:val="auto"/>
              </w:rPr>
            </w:pPr>
          </w:p>
        </w:tc>
        <w:tc>
          <w:tcPr>
            <w:tcW w:w="700" w:type="dxa"/>
            <w:vAlign w:val="bottom"/>
            <w:tcBorders>
              <w:right w:val="single" w:sz="8" w:color="auto"/>
            </w:tcBorders>
          </w:tcPr>
          <w:p>
            <w:pPr>
              <w:jc w:val="right"/>
              <w:ind w:right="213"/>
              <w:spacing w:after="0"/>
              <w:rPr>
                <w:sz w:val="20"/>
                <w:szCs w:val="20"/>
                <w:color w:val="auto"/>
              </w:rPr>
            </w:pPr>
            <w:r>
              <w:rPr>
                <w:rFonts w:ascii="Arial" w:cs="Arial" w:eastAsia="Arial" w:hAnsi="Arial"/>
                <w:sz w:val="18"/>
                <w:szCs w:val="18"/>
                <w:color w:val="auto"/>
                <w:w w:val="84"/>
              </w:rPr>
              <w:t>3,495</w:t>
            </w:r>
          </w:p>
        </w:tc>
        <w:tc>
          <w:tcPr>
            <w:tcW w:w="260" w:type="dxa"/>
            <w:vAlign w:val="bottom"/>
          </w:tcPr>
          <w:p>
            <w:pPr>
              <w:spacing w:after="0"/>
              <w:rPr>
                <w:sz w:val="19"/>
                <w:szCs w:val="19"/>
                <w:color w:val="auto"/>
              </w:rPr>
            </w:pPr>
          </w:p>
        </w:tc>
        <w:tc>
          <w:tcPr>
            <w:tcW w:w="920" w:type="dxa"/>
            <w:vAlign w:val="bottom"/>
          </w:tcPr>
          <w:p>
            <w:pPr>
              <w:ind w:left="520"/>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19"/>
                <w:szCs w:val="19"/>
                <w:color w:val="auto"/>
              </w:rPr>
            </w:pPr>
          </w:p>
        </w:tc>
        <w:tc>
          <w:tcPr>
            <w:tcW w:w="800" w:type="dxa"/>
            <w:vAlign w:val="bottom"/>
            <w:tcBorders>
              <w:right w:val="single" w:sz="8" w:color="auto"/>
            </w:tcBorders>
          </w:tcPr>
          <w:p>
            <w:pPr>
              <w:jc w:val="right"/>
              <w:ind w:right="213"/>
              <w:spacing w:after="0"/>
              <w:rPr>
                <w:sz w:val="20"/>
                <w:szCs w:val="20"/>
                <w:color w:val="auto"/>
              </w:rPr>
            </w:pPr>
            <w:r>
              <w:rPr>
                <w:rFonts w:ascii="Arial" w:cs="Arial" w:eastAsia="Arial" w:hAnsi="Arial"/>
                <w:sz w:val="18"/>
                <w:szCs w:val="18"/>
                <w:color w:val="auto"/>
              </w:rPr>
              <w:t>3,793</w:t>
            </w:r>
          </w:p>
        </w:tc>
        <w:tc>
          <w:tcPr>
            <w:tcW w:w="260" w:type="dxa"/>
            <w:vAlign w:val="bottom"/>
          </w:tcPr>
          <w:p>
            <w:pPr>
              <w:spacing w:after="0"/>
              <w:rPr>
                <w:sz w:val="19"/>
                <w:szCs w:val="19"/>
                <w:color w:val="auto"/>
              </w:rPr>
            </w:pPr>
          </w:p>
        </w:tc>
        <w:tc>
          <w:tcPr>
            <w:tcW w:w="900" w:type="dxa"/>
            <w:vAlign w:val="bottom"/>
          </w:tcPr>
          <w:p>
            <w:pPr>
              <w:ind w:left="540"/>
              <w:spacing w:after="0"/>
              <w:rPr>
                <w:sz w:val="20"/>
                <w:szCs w:val="20"/>
                <w:color w:val="auto"/>
              </w:rPr>
            </w:pPr>
            <w:r>
              <w:rPr>
                <w:rFonts w:ascii="Arial" w:cs="Arial" w:eastAsia="Arial" w:hAnsi="Arial"/>
                <w:sz w:val="18"/>
                <w:szCs w:val="18"/>
                <w:color w:val="auto"/>
              </w:rPr>
              <w:t>626</w:t>
            </w:r>
          </w:p>
        </w:tc>
        <w:tc>
          <w:tcPr>
            <w:tcW w:w="1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4,121</w:t>
            </w:r>
          </w:p>
        </w:tc>
        <w:tc>
          <w:tcPr>
            <w:tcW w:w="0" w:type="dxa"/>
            <w:vAlign w:val="bottom"/>
          </w:tcPr>
          <w:p>
            <w:pPr>
              <w:spacing w:after="0"/>
              <w:rPr>
                <w:sz w:val="1"/>
                <w:szCs w:val="1"/>
                <w:color w:val="auto"/>
              </w:rPr>
            </w:pPr>
          </w:p>
        </w:tc>
      </w:tr>
      <w:tr>
        <w:trPr>
          <w:trHeight w:val="218"/>
        </w:trPr>
        <w:tc>
          <w:tcPr>
            <w:tcW w:w="3920" w:type="dxa"/>
            <w:vAlign w:val="bottom"/>
            <w:tcBorders>
              <w:bottom w:val="single" w:sz="8" w:color="E5E5E5"/>
            </w:tcBorders>
            <w:shd w:val="clear" w:color="auto" w:fill="E5E5E5"/>
          </w:tcPr>
          <w:p>
            <w:pPr>
              <w:ind w:left="540"/>
              <w:spacing w:after="0"/>
              <w:rPr>
                <w:sz w:val="20"/>
                <w:szCs w:val="20"/>
                <w:color w:val="auto"/>
              </w:rPr>
            </w:pPr>
            <w:r>
              <w:rPr>
                <w:rFonts w:ascii="Arial" w:cs="Arial" w:eastAsia="Arial" w:hAnsi="Arial"/>
                <w:sz w:val="18"/>
                <w:szCs w:val="18"/>
                <w:color w:val="auto"/>
              </w:rPr>
              <w:t>Segment reclassifications</w:t>
            </w:r>
          </w:p>
        </w:tc>
        <w:tc>
          <w:tcPr>
            <w:tcW w:w="8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right w:val="single" w:sz="8" w:color="auto"/>
            </w:tcBorders>
            <w:shd w:val="clear" w:color="auto" w:fill="E5E5E5"/>
          </w:tcPr>
          <w:p>
            <w:pPr>
              <w:jc w:val="right"/>
              <w:ind w:right="2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right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120"/>
              <w:spacing w:after="0"/>
              <w:rPr>
                <w:sz w:val="20"/>
                <w:szCs w:val="20"/>
                <w:color w:val="auto"/>
              </w:rPr>
            </w:pPr>
            <w:r>
              <w:rPr>
                <w:rFonts w:ascii="Arial" w:cs="Arial" w:eastAsia="Arial" w:hAnsi="Arial"/>
                <w:sz w:val="18"/>
                <w:szCs w:val="18"/>
                <w:color w:val="auto"/>
              </w:rPr>
              <w:t>Operating Cash Flow</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$2,105</w:t>
            </w: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213"/>
              <w:spacing w:after="0"/>
              <w:rPr>
                <w:sz w:val="20"/>
                <w:szCs w:val="20"/>
                <w:color w:val="auto"/>
              </w:rPr>
            </w:pPr>
            <w:r>
              <w:rPr>
                <w:rFonts w:ascii="Arial" w:cs="Arial" w:eastAsia="Arial" w:hAnsi="Arial"/>
                <w:sz w:val="18"/>
                <w:szCs w:val="18"/>
                <w:color w:val="auto"/>
                <w:w w:val="84"/>
              </w:rPr>
              <w:t>2,100</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520"/>
              <w:spacing w:after="0"/>
              <w:rPr>
                <w:sz w:val="20"/>
                <w:szCs w:val="20"/>
                <w:color w:val="auto"/>
              </w:rPr>
            </w:pPr>
            <w:r>
              <w:rPr>
                <w:rFonts w:ascii="Arial" w:cs="Arial" w:eastAsia="Arial" w:hAnsi="Arial"/>
                <w:sz w:val="18"/>
                <w:szCs w:val="18"/>
                <w:color w:val="auto"/>
              </w:rPr>
              <w:t>338</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auto"/>
            </w:tcBorders>
          </w:tcPr>
          <w:p>
            <w:pPr>
              <w:jc w:val="right"/>
              <w:ind w:right="213"/>
              <w:spacing w:after="0"/>
              <w:rPr>
                <w:sz w:val="20"/>
                <w:szCs w:val="20"/>
                <w:color w:val="auto"/>
              </w:rPr>
            </w:pPr>
            <w:r>
              <w:rPr>
                <w:rFonts w:ascii="Arial" w:cs="Arial" w:eastAsia="Arial" w:hAnsi="Arial"/>
                <w:sz w:val="18"/>
                <w:szCs w:val="18"/>
                <w:color w:val="auto"/>
              </w:rPr>
              <w:t>2,443</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540"/>
              <w:spacing w:after="0"/>
              <w:rPr>
                <w:sz w:val="20"/>
                <w:szCs w:val="20"/>
                <w:color w:val="auto"/>
              </w:rPr>
            </w:pPr>
            <w:r>
              <w:rPr>
                <w:rFonts w:ascii="Arial" w:cs="Arial" w:eastAsia="Arial" w:hAnsi="Arial"/>
                <w:sz w:val="18"/>
                <w:szCs w:val="18"/>
                <w:color w:val="auto"/>
              </w:rPr>
              <w:t>337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E5E5E5"/>
            </w:tcBorders>
            <w:shd w:val="clear" w:color="auto" w:fill="E5E5E5"/>
          </w:tcPr>
          <w:p>
            <w:pPr>
              <w:ind w:left="120"/>
              <w:spacing w:after="0"/>
              <w:rPr>
                <w:sz w:val="20"/>
                <w:szCs w:val="20"/>
                <w:color w:val="auto"/>
              </w:rPr>
            </w:pPr>
            <w:r>
              <w:rPr>
                <w:rFonts w:ascii="Arial" w:cs="Arial" w:eastAsia="Arial" w:hAnsi="Arial"/>
                <w:sz w:val="18"/>
                <w:szCs w:val="18"/>
                <w:color w:val="auto"/>
              </w:rPr>
              <w:t>Depreciation and Amortization</w:t>
            </w:r>
          </w:p>
        </w:tc>
        <w:tc>
          <w:tcPr>
            <w:tcW w:w="82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1,034</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w:t>
            </w:r>
          </w:p>
        </w:tc>
        <w:tc>
          <w:tcPr>
            <w:tcW w:w="4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w w:val="84"/>
              </w:rPr>
              <w:t>1,096</w:t>
            </w:r>
          </w:p>
        </w:tc>
        <w:tc>
          <w:tcPr>
            <w:tcW w:w="26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8"/>
                <w:szCs w:val="18"/>
                <w:color w:val="auto"/>
              </w:rPr>
              <w:t>267</w:t>
            </w:r>
          </w:p>
        </w:tc>
        <w:tc>
          <w:tcPr>
            <w:tcW w:w="1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1,301</w:t>
            </w:r>
          </w:p>
        </w:tc>
        <w:tc>
          <w:tcPr>
            <w:tcW w:w="2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ind w:left="540"/>
              <w:spacing w:after="0"/>
              <w:rPr>
                <w:sz w:val="20"/>
                <w:szCs w:val="20"/>
                <w:color w:val="auto"/>
              </w:rPr>
            </w:pPr>
            <w:r>
              <w:rPr>
                <w:rFonts w:ascii="Arial" w:cs="Arial" w:eastAsia="Arial" w:hAnsi="Arial"/>
                <w:sz w:val="18"/>
                <w:szCs w:val="18"/>
                <w:color w:val="auto"/>
              </w:rPr>
              <w:t>266</w:t>
            </w:r>
          </w:p>
        </w:tc>
        <w:tc>
          <w:tcPr>
            <w:tcW w:w="16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4"/>
              </w:rPr>
              <w:t>1,362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20" w:type="dxa"/>
            <w:vAlign w:val="bottom"/>
          </w:tcPr>
          <w:p>
            <w:pPr>
              <w:ind w:left="120"/>
              <w:spacing w:after="0"/>
              <w:rPr>
                <w:sz w:val="20"/>
                <w:szCs w:val="20"/>
                <w:color w:val="auto"/>
              </w:rPr>
            </w:pPr>
            <w:r>
              <w:rPr>
                <w:rFonts w:ascii="Arial" w:cs="Arial" w:eastAsia="Arial" w:hAnsi="Arial"/>
                <w:sz w:val="18"/>
                <w:szCs w:val="18"/>
                <w:color w:val="auto"/>
              </w:rPr>
              <w:t>Operating Income (Loss)</w:t>
            </w: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$1,071</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213"/>
              <w:spacing w:after="0"/>
              <w:rPr>
                <w:sz w:val="20"/>
                <w:szCs w:val="20"/>
                <w:color w:val="auto"/>
              </w:rPr>
            </w:pPr>
            <w:r>
              <w:rPr>
                <w:rFonts w:ascii="Arial" w:cs="Arial" w:eastAsia="Arial" w:hAnsi="Arial"/>
                <w:sz w:val="18"/>
                <w:szCs w:val="18"/>
                <w:color w:val="auto"/>
                <w:w w:val="84"/>
              </w:rPr>
              <w:t>1,004</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71</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right w:val="single" w:sz="8" w:color="auto"/>
            </w:tcBorders>
          </w:tcPr>
          <w:p>
            <w:pPr>
              <w:jc w:val="right"/>
              <w:ind w:right="213"/>
              <w:spacing w:after="0"/>
              <w:rPr>
                <w:sz w:val="20"/>
                <w:szCs w:val="20"/>
                <w:color w:val="auto"/>
              </w:rPr>
            </w:pPr>
            <w:r>
              <w:rPr>
                <w:rFonts w:ascii="Arial" w:cs="Arial" w:eastAsia="Arial" w:hAnsi="Arial"/>
                <w:sz w:val="18"/>
                <w:szCs w:val="18"/>
                <w:color w:val="auto"/>
              </w:rPr>
              <w:t>1,142</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71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E5E5E5"/>
            </w:tcBorders>
            <w:shd w:val="clear" w:color="auto" w:fill="E5E5E5"/>
          </w:tcPr>
          <w:p>
            <w:pPr>
              <w:ind w:left="120"/>
              <w:spacing w:after="0"/>
              <w:rPr>
                <w:sz w:val="20"/>
                <w:szCs w:val="20"/>
                <w:color w:val="auto"/>
              </w:rPr>
            </w:pPr>
            <w:r>
              <w:rPr>
                <w:rFonts w:ascii="Arial" w:cs="Arial" w:eastAsia="Arial" w:hAnsi="Arial"/>
                <w:sz w:val="18"/>
                <w:szCs w:val="18"/>
                <w:color w:val="auto"/>
              </w:rPr>
              <w:t>Capital Expenditures</w:t>
            </w:r>
          </w:p>
        </w:tc>
        <w:tc>
          <w:tcPr>
            <w:tcW w:w="82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  825</w:t>
            </w:r>
          </w:p>
        </w:tc>
        <w:tc>
          <w:tcPr>
            <w:tcW w:w="4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878</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8"/>
                <w:szCs w:val="18"/>
                <w:color w:val="auto"/>
              </w:rPr>
              <w:t>142</w:t>
            </w:r>
          </w:p>
        </w:tc>
        <w:tc>
          <w:tcPr>
            <w:tcW w:w="16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967</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E5E5E5"/>
          </w:tcPr>
          <w:p>
            <w:pPr>
              <w:ind w:left="540"/>
              <w:spacing w:after="0"/>
              <w:rPr>
                <w:sz w:val="20"/>
                <w:szCs w:val="20"/>
                <w:color w:val="auto"/>
              </w:rPr>
            </w:pPr>
            <w:r>
              <w:rPr>
                <w:rFonts w:ascii="Arial" w:cs="Arial" w:eastAsia="Arial" w:hAnsi="Arial"/>
                <w:sz w:val="18"/>
                <w:szCs w:val="18"/>
                <w:color w:val="auto"/>
              </w:rPr>
              <w:t>104</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982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46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 forma data is adjusted only for timing of acquisitions or dispositions and does not include adjustments for costs related to integration activities, cost savings or synergies that have been or may be achieved by the combined businesses. Pro Forma results are presented as if the acquisitions and dispositions were effective on January 1, 2006. Minor differences may exist due to rounding.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97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7-B</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Net Income to Adjusted Net Income</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86"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602"/>
              <w:spacing w:after="0" w:line="143" w:lineRule="exact"/>
              <w:rPr>
                <w:sz w:val="20"/>
                <w:szCs w:val="20"/>
                <w:color w:val="auto"/>
              </w:rPr>
            </w:pPr>
            <w:r>
              <w:rPr>
                <w:rFonts w:ascii="Arial" w:cs="Arial" w:eastAsia="Arial" w:hAnsi="Arial"/>
                <w:sz w:val="14"/>
                <w:szCs w:val="14"/>
                <w:b w:val="1"/>
                <w:bCs w:val="1"/>
                <w:color w:val="auto"/>
                <w:w w:val="96"/>
              </w:rPr>
              <w:t>2007</w:t>
            </w:r>
          </w:p>
        </w:tc>
        <w:tc>
          <w:tcPr>
            <w:tcW w:w="6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60"/>
              <w:spacing w:after="0" w:line="143"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169"/>
        </w:trPr>
        <w:tc>
          <w:tcPr>
            <w:tcW w:w="8220" w:type="dxa"/>
            <w:vAlign w:val="bottom"/>
            <w:gridSpan w:val="2"/>
          </w:tcPr>
          <w:p>
            <w:pPr>
              <w:spacing w:after="0"/>
              <w:rPr>
                <w:sz w:val="20"/>
                <w:szCs w:val="20"/>
                <w:color w:val="auto"/>
              </w:rPr>
            </w:pPr>
            <w:r>
              <w:rPr>
                <w:rFonts w:ascii="Arial" w:cs="Arial" w:eastAsia="Arial" w:hAnsi="Arial"/>
                <w:sz w:val="14"/>
                <w:szCs w:val="14"/>
                <w:color w:val="auto"/>
              </w:rPr>
              <w:t>(Dollars in millions, except per share data)</w:t>
            </w:r>
          </w:p>
        </w:tc>
        <w:tc>
          <w:tcPr>
            <w:tcW w:w="760" w:type="dxa"/>
            <w:vAlign w:val="bottom"/>
          </w:tcPr>
          <w:p>
            <w:pPr>
              <w:jc w:val="right"/>
              <w:ind w:right="117"/>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42"/>
              <w:spacing w:after="0" w:line="169" w:lineRule="exact"/>
              <w:rPr>
                <w:sz w:val="20"/>
                <w:szCs w:val="20"/>
                <w:color w:val="auto"/>
              </w:rPr>
            </w:pPr>
            <w:r>
              <w:rPr>
                <w:rFonts w:ascii="Arial" w:cs="Arial" w:eastAsia="Arial" w:hAnsi="Arial"/>
                <w:sz w:val="12"/>
                <w:szCs w:val="12"/>
                <w:b w:val="1"/>
                <w:bCs w:val="1"/>
                <w:color w:val="auto"/>
              </w:rPr>
              <w:t xml:space="preserve">EPS </w:t>
            </w:r>
            <w:r>
              <w:rPr>
                <w:rFonts w:ascii="Arial" w:cs="Arial" w:eastAsia="Arial" w:hAnsi="Arial"/>
                <w:sz w:val="19"/>
                <w:szCs w:val="19"/>
                <w:b w:val="1"/>
                <w:bCs w:val="1"/>
                <w:color w:val="auto"/>
                <w:vertAlign w:val="superscript"/>
              </w:rPr>
              <w:t>(1)</w:t>
            </w:r>
          </w:p>
        </w:tc>
        <w:tc>
          <w:tcPr>
            <w:tcW w:w="640" w:type="dxa"/>
            <w:vAlign w:val="bottom"/>
          </w:tcPr>
          <w:p>
            <w:pPr>
              <w:jc w:val="center"/>
              <w:ind w:left="97"/>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ind w:left="380"/>
              <w:spacing w:after="0" w:line="169" w:lineRule="exact"/>
              <w:rPr>
                <w:sz w:val="20"/>
                <w:szCs w:val="20"/>
                <w:color w:val="auto"/>
              </w:rPr>
            </w:pPr>
            <w:r>
              <w:rPr>
                <w:rFonts w:ascii="Arial" w:cs="Arial" w:eastAsia="Arial" w:hAnsi="Arial"/>
                <w:sz w:val="12"/>
                <w:szCs w:val="12"/>
                <w:b w:val="1"/>
                <w:bCs w:val="1"/>
                <w:color w:val="auto"/>
                <w:w w:val="93"/>
              </w:rPr>
              <w:t xml:space="preserve">EPS </w:t>
            </w:r>
            <w:r>
              <w:rPr>
                <w:rFonts w:ascii="Arial" w:cs="Arial" w:eastAsia="Arial" w:hAnsi="Arial"/>
                <w:sz w:val="19"/>
                <w:szCs w:val="19"/>
                <w:b w:val="1"/>
                <w:bCs w:val="1"/>
                <w:color w:val="auto"/>
                <w:w w:val="93"/>
                <w:vertAlign w:val="superscript"/>
              </w:rPr>
              <w:t>(1)</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2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$837</w:t>
            </w:r>
          </w:p>
        </w:tc>
        <w:tc>
          <w:tcPr>
            <w:tcW w:w="1000" w:type="dxa"/>
            <w:vAlign w:val="bottom"/>
            <w:tcBorders>
              <w:top w:val="single" w:sz="8" w:color="auto"/>
            </w:tcBorders>
            <w:shd w:val="clear" w:color="auto" w:fill="E5E5E5"/>
          </w:tcPr>
          <w:p>
            <w:pPr>
              <w:jc w:val="right"/>
              <w:ind w:right="122"/>
              <w:spacing w:after="0"/>
              <w:rPr>
                <w:sz w:val="20"/>
                <w:szCs w:val="20"/>
                <w:color w:val="auto"/>
              </w:rPr>
            </w:pPr>
            <w:r>
              <w:rPr>
                <w:rFonts w:ascii="Arial" w:cs="Arial" w:eastAsia="Arial" w:hAnsi="Arial"/>
                <w:sz w:val="18"/>
                <w:szCs w:val="18"/>
                <w:color w:val="auto"/>
              </w:rPr>
              <w:t>$ 0.26</w:t>
            </w:r>
          </w:p>
        </w:tc>
        <w:tc>
          <w:tcPr>
            <w:tcW w:w="640" w:type="dxa"/>
            <w:vAlign w:val="bottom"/>
            <w:tcBorders>
              <w:top w:val="single" w:sz="8" w:color="auto"/>
            </w:tcBorders>
            <w:shd w:val="clear" w:color="auto" w:fill="E5E5E5"/>
          </w:tcPr>
          <w:p>
            <w:pPr>
              <w:jc w:val="center"/>
              <w:ind w:left="77"/>
              <w:spacing w:after="0"/>
              <w:rPr>
                <w:sz w:val="20"/>
                <w:szCs w:val="20"/>
                <w:color w:val="auto"/>
              </w:rPr>
            </w:pPr>
            <w:r>
              <w:rPr>
                <w:rFonts w:ascii="Arial" w:cs="Arial" w:eastAsia="Arial" w:hAnsi="Arial"/>
                <w:sz w:val="18"/>
                <w:szCs w:val="18"/>
                <w:color w:val="auto"/>
                <w:w w:val="89"/>
              </w:rPr>
              <w:t>$466</w:t>
            </w:r>
          </w:p>
        </w:tc>
        <w:tc>
          <w:tcPr>
            <w:tcW w:w="800" w:type="dxa"/>
            <w:vAlign w:val="bottom"/>
            <w:tcBorders>
              <w:top w:val="single" w:sz="8" w:color="auto"/>
            </w:tcBorders>
            <w:shd w:val="clear" w:color="auto" w:fill="E5E5E5"/>
          </w:tcPr>
          <w:p>
            <w:pPr>
              <w:ind w:left="380"/>
              <w:spacing w:after="0"/>
              <w:rPr>
                <w:sz w:val="20"/>
                <w:szCs w:val="20"/>
                <w:color w:val="auto"/>
              </w:rPr>
            </w:pPr>
            <w:r>
              <w:rPr>
                <w:rFonts w:ascii="Arial" w:cs="Arial" w:eastAsia="Arial" w:hAnsi="Arial"/>
                <w:sz w:val="18"/>
                <w:szCs w:val="18"/>
                <w:color w:val="auto"/>
                <w:w w:val="79"/>
              </w:rPr>
              <w:t>$ 0.15</w:t>
            </w:r>
          </w:p>
        </w:tc>
        <w:tc>
          <w:tcPr>
            <w:tcW w:w="20" w:type="dxa"/>
            <w:vAlign w:val="bottom"/>
          </w:tcPr>
          <w:p>
            <w:pPr>
              <w:spacing w:after="0"/>
              <w:rPr>
                <w:sz w:val="18"/>
                <w:szCs w:val="18"/>
                <w:color w:val="auto"/>
              </w:rPr>
            </w:pPr>
          </w:p>
        </w:tc>
      </w:tr>
      <w:tr>
        <w:trPr>
          <w:trHeight w:val="322"/>
        </w:trPr>
        <w:tc>
          <w:tcPr>
            <w:tcW w:w="8220" w:type="dxa"/>
            <w:vAlign w:val="bottom"/>
            <w:gridSpan w:val="2"/>
          </w:tcPr>
          <w:p>
            <w:pPr>
              <w:spacing w:after="0"/>
              <w:rPr>
                <w:sz w:val="20"/>
                <w:szCs w:val="20"/>
                <w:color w:val="auto"/>
              </w:rPr>
            </w:pPr>
            <w:r>
              <w:rPr>
                <w:rFonts w:ascii="Arial" w:cs="Arial" w:eastAsia="Arial" w:hAnsi="Arial"/>
                <w:sz w:val="18"/>
                <w:szCs w:val="18"/>
                <w:color w:val="auto"/>
              </w:rPr>
              <w:t>Adjustment:</w:t>
            </w: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820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Gain related to the dissolution of the Texas/Kansas City Cable Partnership, net of tax</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300</w:t>
            </w:r>
          </w:p>
        </w:tc>
        <w:tc>
          <w:tcPr>
            <w:tcW w:w="1000" w:type="dxa"/>
            <w:vAlign w:val="bottom"/>
            <w:tcBorders>
              <w:bottom w:val="single" w:sz="8" w:color="auto"/>
            </w:tcBorders>
            <w:shd w:val="clear" w:color="auto" w:fill="E5E5E5"/>
          </w:tcPr>
          <w:p>
            <w:pPr>
              <w:jc w:val="right"/>
              <w:ind w:right="122"/>
              <w:spacing w:after="0"/>
              <w:rPr>
                <w:sz w:val="20"/>
                <w:szCs w:val="20"/>
                <w:color w:val="auto"/>
              </w:rPr>
            </w:pPr>
            <w:r>
              <w:rPr>
                <w:rFonts w:ascii="Arial" w:cs="Arial" w:eastAsia="Arial" w:hAnsi="Arial"/>
                <w:sz w:val="18"/>
                <w:szCs w:val="18"/>
                <w:color w:val="auto"/>
              </w:rPr>
              <w:t>0.09</w:t>
            </w:r>
          </w:p>
        </w:tc>
        <w:tc>
          <w:tcPr>
            <w:tcW w:w="640" w:type="dxa"/>
            <w:vAlign w:val="bottom"/>
            <w:tcBorders>
              <w:bottom w:val="single" w:sz="8" w:color="auto"/>
            </w:tcBorders>
            <w:shd w:val="clear" w:color="auto" w:fill="E5E5E5"/>
          </w:tcPr>
          <w:p>
            <w:pPr>
              <w:jc w:val="center"/>
              <w:ind w:left="97"/>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86"/>
        </w:trPr>
        <w:tc>
          <w:tcPr>
            <w:tcW w:w="20" w:type="dxa"/>
            <w:vAlign w:val="bottom"/>
          </w:tcPr>
          <w:p>
            <w:pPr>
              <w:spacing w:after="0"/>
              <w:rPr>
                <w:sz w:val="24"/>
                <w:szCs w:val="24"/>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22"/>
                <w:szCs w:val="22"/>
                <w:color w:val="auto"/>
                <w:vertAlign w:val="superscript"/>
              </w:rPr>
              <w:t>(2)</w:t>
            </w:r>
          </w:p>
        </w:tc>
        <w:tc>
          <w:tcPr>
            <w:tcW w:w="760" w:type="dxa"/>
            <w:vAlign w:val="bottom"/>
          </w:tcPr>
          <w:p>
            <w:pPr>
              <w:jc w:val="right"/>
              <w:spacing w:after="0"/>
              <w:rPr>
                <w:sz w:val="20"/>
                <w:szCs w:val="20"/>
                <w:color w:val="auto"/>
              </w:rPr>
            </w:pPr>
            <w:r>
              <w:rPr>
                <w:rFonts w:ascii="Arial" w:cs="Arial" w:eastAsia="Arial" w:hAnsi="Arial"/>
                <w:sz w:val="18"/>
                <w:szCs w:val="18"/>
                <w:color w:val="auto"/>
              </w:rPr>
              <w:t>$537</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$ 0.17</w:t>
            </w:r>
          </w:p>
        </w:tc>
        <w:tc>
          <w:tcPr>
            <w:tcW w:w="640" w:type="dxa"/>
            <w:vAlign w:val="bottom"/>
          </w:tcPr>
          <w:p>
            <w:pPr>
              <w:jc w:val="center"/>
              <w:ind w:left="77"/>
              <w:spacing w:after="0"/>
              <w:rPr>
                <w:sz w:val="20"/>
                <w:szCs w:val="20"/>
                <w:color w:val="auto"/>
              </w:rPr>
            </w:pPr>
            <w:r>
              <w:rPr>
                <w:rFonts w:ascii="Arial" w:cs="Arial" w:eastAsia="Arial" w:hAnsi="Arial"/>
                <w:sz w:val="18"/>
                <w:szCs w:val="18"/>
                <w:color w:val="auto"/>
                <w:w w:val="89"/>
              </w:rPr>
              <w:t>$466</w:t>
            </w:r>
          </w:p>
        </w:tc>
        <w:tc>
          <w:tcPr>
            <w:tcW w:w="800" w:type="dxa"/>
            <w:vAlign w:val="bottom"/>
          </w:tcPr>
          <w:p>
            <w:pPr>
              <w:ind w:left="380"/>
              <w:spacing w:after="0"/>
              <w:rPr>
                <w:sz w:val="20"/>
                <w:szCs w:val="20"/>
                <w:color w:val="auto"/>
              </w:rPr>
            </w:pPr>
            <w:r>
              <w:rPr>
                <w:rFonts w:ascii="Arial" w:cs="Arial" w:eastAsia="Arial" w:hAnsi="Arial"/>
                <w:sz w:val="18"/>
                <w:szCs w:val="18"/>
                <w:color w:val="auto"/>
                <w:w w:val="79"/>
              </w:rPr>
              <w:t>$ 0.15</w:t>
            </w:r>
          </w:p>
        </w:tc>
        <w:tc>
          <w:tcPr>
            <w:tcW w:w="20" w:type="dxa"/>
            <w:vAlign w:val="bottom"/>
          </w:tcPr>
          <w:p>
            <w:pPr>
              <w:spacing w:after="0"/>
              <w:rPr>
                <w:sz w:val="24"/>
                <w:szCs w:val="24"/>
                <w:color w:val="auto"/>
              </w:rPr>
            </w:pPr>
          </w:p>
        </w:tc>
      </w:tr>
    </w:tbl>
    <w:p>
      <w:pPr>
        <w:spacing w:after="0" w:line="118"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diluted average number of common shares for the respective periods as presented in Table 1.</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 2007, Adjusted Net Income excludes a one-time gain related to the dissolution of the Texas/Kansas City Cable Partnership, net of tax.</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sectPr>
      <w:pgSz w:w="11900" w:h="16838" w:orient="portrait"/>
      <w:cols w:equalWidth="0" w:num="1">
        <w:col w:w="11420"/>
      </w:cols>
      <w:pgMar w:left="240" w:top="9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lvl w:ilvl="1">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277"/>
    </w:lvl>
  </w:abstractNum>
  <w:abstractNum w:abstractNumId="8">
    <w:nsid w:val="41A7C4C9"/>
    <w:multiLevelType w:val="hybridMultilevel"/>
    <w:lvl w:ilvl="0">
      <w:lvlJc w:val="left"/>
      <w:lvlText w:val="(%1)"/>
      <w:numFmt w:val="decimal"/>
      <w:start w:val="568"/>
    </w:lvl>
  </w:abstractNum>
  <w:abstractNum w:abstractNumId="9">
    <w:nsid w:val="6B68079A"/>
    <w:multiLevelType w:val="hybridMultilevel"/>
    <w:lvl w:ilvl="0">
      <w:lvlJc w:val="left"/>
      <w:lvlText w:val="%1"/>
      <w:numFmt w:val="decimal"/>
      <w:start w:val="174"/>
    </w:lvl>
    <w:lvl w:ilvl="1">
      <w:lvlJc w:val="left"/>
      <w:lvlText w:val="(%2)"/>
      <w:numFmt w:val="decimal"/>
      <w:start w:val="21"/>
    </w:lvl>
  </w:abstractNum>
  <w:abstractNum w:abstractNumId="10">
    <w:nsid w:val="4E6AFB66"/>
    <w:multiLevelType w:val="hybridMultilevel"/>
    <w:lvl w:ilvl="0">
      <w:lvlJc w:val="left"/>
      <w:lvlText w:val="%1"/>
      <w:numFmt w:val="decimal"/>
      <w:start w:val="513"/>
    </w:lvl>
  </w:abstractNum>
  <w:abstractNum w:abstractNumId="11">
    <w:nsid w:val="25E45D32"/>
    <w:multiLevelType w:val="hybridMultilevel"/>
    <w:lvl w:ilvl="0">
      <w:lvlJc w:val="left"/>
      <w:lvlText w:val="%1"/>
      <w:numFmt w:val="decimal"/>
      <w:start w:val="98"/>
    </w:lvl>
  </w:abstractNum>
  <w:abstractNum w:abstractNumId="12">
    <w:nsid w:val="519B500D"/>
    <w:multiLevelType w:val="hybridMultilevel"/>
    <w:lvl w:ilvl="0">
      <w:lvlJc w:val="left"/>
      <w:lvlText w:val="(%1)"/>
      <w:numFmt w:val="decimal"/>
      <w:start w:val="526"/>
    </w:lvl>
  </w:abstractNum>
  <w:abstractNum w:abstractNumId="13">
    <w:nsid w:val="431BD7B7"/>
    <w:multiLevelType w:val="hybridMultilevel"/>
    <w:lvl w:ilvl="0">
      <w:lvlJc w:val="left"/>
      <w:lvlText w:val="%1"/>
      <w:numFmt w:val="decimal"/>
      <w:start w:val="833"/>
    </w:lvl>
  </w:abstractNum>
  <w:abstractNum w:abstractNumId="14">
    <w:nsid w:val="3F2DBA31"/>
    <w:multiLevelType w:val="hybridMultilevel"/>
    <w:lvl w:ilvl="0">
      <w:lvlJc w:val="left"/>
      <w:lvlText w:val="4"/>
      <w:numFmt w:val="bullet"/>
      <w:start w:val="1"/>
    </w:lvl>
  </w:abstractNum>
  <w:abstractNum w:abstractNumId="15">
    <w:nsid w:val="7C83E458"/>
    <w:multiLevelType w:val="hybridMultilevel"/>
    <w:lvl w:ilvl="0">
      <w:lvlJc w:val="left"/>
      <w:lvlText w:val="%1"/>
      <w:numFmt w:val="decimal"/>
      <w:start w:val="837"/>
    </w:lvl>
  </w:abstractNum>
  <w:abstractNum w:abstractNumId="16">
    <w:nsid w:val="257130A3"/>
    <w:multiLevelType w:val="hybridMultilevel"/>
    <w:lvl w:ilvl="0">
      <w:lvlJc w:val="left"/>
      <w:lvlText w:val="\emdash "/>
      <w:numFmt w:val="bullet"/>
      <w:start w:val="1"/>
    </w:lvl>
  </w:abstractNum>
  <w:abstractNum w:abstractNumId="17">
    <w:nsid w:val="62BBD95A"/>
    <w:multiLevelType w:val="hybridMultilevel"/>
    <w:lvl w:ilvl="0">
      <w:lvlJc w:val="left"/>
      <w:lvlText w:val="\emdash "/>
      <w:numFmt w:val="bullet"/>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2019-12-12T02:51:27Z</dcterms:created>
  <dcterms:modified xsi:type="dcterms:W3CDTF">2019-12-12T02:51:27Z</dcterms:modified>
</cp:coreProperties>
</file>