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5"/>
          <w:szCs w:val="15"/>
          <w:color w:val="auto"/>
        </w:rPr>
        <w:t>Filed by Comcast Corporation</w:t>
      </w:r>
    </w:p>
    <w:p>
      <w:pPr>
        <w:spacing w:after="0" w:line="42" w:lineRule="exact"/>
        <w:rPr>
          <w:sz w:val="24"/>
          <w:szCs w:val="24"/>
          <w:color w:val="auto"/>
        </w:rPr>
      </w:pPr>
    </w:p>
    <w:p>
      <w:pPr>
        <w:ind w:left="9060"/>
        <w:spacing w:after="0"/>
        <w:rPr>
          <w:sz w:val="20"/>
          <w:szCs w:val="20"/>
          <w:color w:val="auto"/>
        </w:rPr>
      </w:pPr>
      <w:r>
        <w:rPr>
          <w:rFonts w:ascii="Arial" w:cs="Arial" w:eastAsia="Arial" w:hAnsi="Arial"/>
          <w:sz w:val="15"/>
          <w:szCs w:val="15"/>
          <w:color w:val="auto"/>
        </w:rPr>
        <w:t>(Commission File No.: 001-32871)</w:t>
      </w:r>
    </w:p>
    <w:p>
      <w:pPr>
        <w:spacing w:after="0" w:line="30" w:lineRule="exact"/>
        <w:rPr>
          <w:sz w:val="24"/>
          <w:szCs w:val="24"/>
          <w:color w:val="auto"/>
        </w:rPr>
      </w:pPr>
    </w:p>
    <w:p>
      <w:pPr>
        <w:jc w:val="right"/>
        <w:spacing w:after="0"/>
        <w:rPr>
          <w:sz w:val="20"/>
          <w:szCs w:val="20"/>
          <w:color w:val="auto"/>
        </w:rPr>
      </w:pPr>
      <w:r>
        <w:rPr>
          <w:rFonts w:ascii="Arial" w:cs="Arial" w:eastAsia="Arial" w:hAnsi="Arial"/>
          <w:sz w:val="17"/>
          <w:szCs w:val="17"/>
          <w:color w:val="auto"/>
        </w:rPr>
        <w:t>Pursuant to Rule 425 of the Securities Act of 1933</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7"/>
          <w:szCs w:val="17"/>
          <w:color w:val="auto"/>
        </w:rPr>
        <w:t>and deemed filed pursuant to Rule 14a-12</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7"/>
          <w:szCs w:val="17"/>
          <w:color w:val="auto"/>
        </w:rPr>
        <w:t>of the Securities Exchange Act of 1934</w:t>
      </w:r>
    </w:p>
    <w:p>
      <w:pPr>
        <w:spacing w:after="0" w:line="197" w:lineRule="exact"/>
        <w:rPr>
          <w:sz w:val="24"/>
          <w:szCs w:val="24"/>
          <w:color w:val="auto"/>
        </w:rPr>
      </w:pPr>
    </w:p>
    <w:p>
      <w:pPr>
        <w:jc w:val="right"/>
        <w:spacing w:after="0"/>
        <w:rPr>
          <w:sz w:val="20"/>
          <w:szCs w:val="20"/>
          <w:color w:val="auto"/>
        </w:rPr>
      </w:pPr>
      <w:r>
        <w:rPr>
          <w:rFonts w:ascii="Arial" w:cs="Arial" w:eastAsia="Arial" w:hAnsi="Arial"/>
          <w:sz w:val="17"/>
          <w:szCs w:val="17"/>
          <w:color w:val="auto"/>
        </w:rPr>
        <w:t>Subject Company: Time Warner Cable Inc.</w:t>
      </w:r>
    </w:p>
    <w:p>
      <w:pPr>
        <w:spacing w:after="0" w:line="234" w:lineRule="exact"/>
        <w:rPr>
          <w:sz w:val="24"/>
          <w:szCs w:val="24"/>
          <w:color w:val="auto"/>
        </w:rPr>
      </w:pPr>
    </w:p>
    <w:p>
      <w:pPr>
        <w:ind w:left="8160"/>
        <w:spacing w:after="0"/>
        <w:rPr>
          <w:sz w:val="20"/>
          <w:szCs w:val="20"/>
          <w:color w:val="auto"/>
        </w:rPr>
      </w:pPr>
      <w:r>
        <w:rPr>
          <w:rFonts w:ascii="Arial" w:cs="Arial" w:eastAsia="Arial" w:hAnsi="Arial"/>
          <w:sz w:val="15"/>
          <w:szCs w:val="15"/>
          <w:color w:val="auto"/>
        </w:rPr>
        <w:t>Commission File No. for Registration Statement</w:t>
      </w:r>
    </w:p>
    <w:p>
      <w:pPr>
        <w:spacing w:after="0" w:line="42" w:lineRule="exact"/>
        <w:rPr>
          <w:sz w:val="24"/>
          <w:szCs w:val="24"/>
          <w:color w:val="auto"/>
        </w:rPr>
      </w:pPr>
    </w:p>
    <w:p>
      <w:pPr>
        <w:ind w:left="9680"/>
        <w:spacing w:after="0"/>
        <w:rPr>
          <w:sz w:val="20"/>
          <w:szCs w:val="20"/>
          <w:color w:val="auto"/>
        </w:rPr>
      </w:pPr>
      <w:r>
        <w:rPr>
          <w:rFonts w:ascii="Arial" w:cs="Arial" w:eastAsia="Arial" w:hAnsi="Arial"/>
          <w:sz w:val="15"/>
          <w:szCs w:val="15"/>
          <w:color w:val="auto"/>
        </w:rPr>
        <w:t>on Form S-4: 333-194698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600"/>
        <w:spacing w:after="0"/>
        <w:rPr>
          <w:sz w:val="20"/>
          <w:szCs w:val="20"/>
          <w:color w:val="auto"/>
        </w:rPr>
      </w:pPr>
      <w:r>
        <w:rPr>
          <w:rFonts w:ascii="Arial" w:cs="Arial" w:eastAsia="Arial" w:hAnsi="Arial"/>
          <w:sz w:val="17"/>
          <w:szCs w:val="17"/>
          <w:color w:val="auto"/>
        </w:rPr>
        <w:t>The following Supplement Letter was posted by Comcast on its website:</w:t>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June 5, 2014</w:t>
      </w:r>
    </w:p>
    <w:p>
      <w:pPr>
        <w:spacing w:after="0" w:line="230" w:lineRule="exact"/>
        <w:rPr>
          <w:sz w:val="24"/>
          <w:szCs w:val="24"/>
          <w:color w:val="auto"/>
        </w:rPr>
      </w:pPr>
    </w:p>
    <w:p>
      <w:pPr>
        <w:spacing w:after="0"/>
        <w:rPr>
          <w:sz w:val="20"/>
          <w:szCs w:val="20"/>
          <w:color w:val="auto"/>
        </w:rPr>
      </w:pPr>
      <w:r>
        <w:rPr>
          <w:rFonts w:ascii="Arial" w:cs="Arial" w:eastAsia="Arial" w:hAnsi="Arial"/>
          <w:sz w:val="17"/>
          <w:szCs w:val="17"/>
          <w:b w:val="1"/>
          <w:bCs w:val="1"/>
          <w:u w:val="single" w:color="auto"/>
          <w:color w:val="auto"/>
        </w:rPr>
        <w:t>VIA ELECTRONIC FILING</w:t>
      </w: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Marlene H. Dortch</w:t>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Secretary</w:t>
      </w:r>
    </w:p>
    <w:p>
      <w:pPr>
        <w:spacing w:after="0" w:line="7" w:lineRule="exact"/>
        <w:rPr>
          <w:sz w:val="24"/>
          <w:szCs w:val="24"/>
          <w:color w:val="auto"/>
        </w:rPr>
      </w:pPr>
    </w:p>
    <w:p>
      <w:pPr>
        <w:spacing w:after="0"/>
        <w:rPr>
          <w:sz w:val="20"/>
          <w:szCs w:val="20"/>
          <w:color w:val="auto"/>
        </w:rPr>
      </w:pPr>
      <w:r>
        <w:rPr>
          <w:rFonts w:ascii="Arial" w:cs="Arial" w:eastAsia="Arial" w:hAnsi="Arial"/>
          <w:sz w:val="17"/>
          <w:szCs w:val="17"/>
          <w:color w:val="auto"/>
        </w:rPr>
        <w:t>Federal Communications Commission</w:t>
      </w:r>
    </w:p>
    <w:p>
      <w:pPr>
        <w:spacing w:after="0" w:line="191" w:lineRule="auto"/>
        <w:rPr>
          <w:sz w:val="20"/>
          <w:szCs w:val="20"/>
          <w:color w:val="auto"/>
        </w:rPr>
      </w:pPr>
      <w:r>
        <w:rPr>
          <w:rFonts w:ascii="Arial" w:cs="Arial" w:eastAsia="Arial" w:hAnsi="Arial"/>
          <w:sz w:val="17"/>
          <w:szCs w:val="17"/>
          <w:color w:val="auto"/>
        </w:rPr>
        <w:t>445 12</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Street, S.W.</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Washington, DC 20554</w:t>
      </w:r>
    </w:p>
    <w:p>
      <w:pPr>
        <w:spacing w:after="0" w:line="216" w:lineRule="exact"/>
        <w:rPr>
          <w:sz w:val="24"/>
          <w:szCs w:val="24"/>
          <w:color w:val="auto"/>
        </w:rPr>
      </w:pPr>
    </w:p>
    <w:p>
      <w:pPr>
        <w:ind w:left="1220" w:right="400" w:hanging="599"/>
        <w:spacing w:after="0" w:line="276" w:lineRule="auto"/>
        <w:tabs>
          <w:tab w:leader="none" w:pos="1200" w:val="left"/>
        </w:tabs>
        <w:rPr>
          <w:sz w:val="20"/>
          <w:szCs w:val="20"/>
          <w:color w:val="auto"/>
        </w:rPr>
      </w:pPr>
      <w:r>
        <w:rPr>
          <w:rFonts w:ascii="Arial" w:cs="Arial" w:eastAsia="Arial" w:hAnsi="Arial"/>
          <w:sz w:val="17"/>
          <w:szCs w:val="17"/>
          <w:b w:val="1"/>
          <w:bCs w:val="1"/>
          <w:color w:val="auto"/>
        </w:rPr>
        <w:t>Re:</w:t>
      </w:r>
      <w:r>
        <w:rPr>
          <w:sz w:val="20"/>
          <w:szCs w:val="20"/>
          <w:color w:val="auto"/>
        </w:rPr>
        <w:tab/>
      </w:r>
      <w:r>
        <w:rPr>
          <w:rFonts w:ascii="Arial" w:cs="Arial" w:eastAsia="Arial" w:hAnsi="Arial"/>
          <w:sz w:val="17"/>
          <w:szCs w:val="17"/>
          <w:b w:val="1"/>
          <w:bCs w:val="1"/>
          <w:i w:val="1"/>
          <w:iCs w:val="1"/>
          <w:color w:val="auto"/>
        </w:rPr>
        <w:t>In the Matter of Applications of Comcast Corp. and Time Warner Cable Inc. for Consent to Transfer Control of Licenses and Authorizations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MB Docket No. 14-57</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7"/>
          <w:szCs w:val="17"/>
          <w:color w:val="auto"/>
        </w:rPr>
        <w:t>Dear Ms. Dortch:</w:t>
      </w:r>
    </w:p>
    <w:p>
      <w:pPr>
        <w:spacing w:after="0" w:line="234" w:lineRule="exact"/>
        <w:rPr>
          <w:sz w:val="24"/>
          <w:szCs w:val="24"/>
          <w:color w:val="auto"/>
        </w:rPr>
      </w:pPr>
    </w:p>
    <w:p>
      <w:pPr>
        <w:ind w:right="80" w:firstLine="607"/>
        <w:spacing w:after="0" w:line="255" w:lineRule="auto"/>
        <w:rPr>
          <w:sz w:val="20"/>
          <w:szCs w:val="20"/>
          <w:color w:val="auto"/>
        </w:rPr>
      </w:pPr>
      <w:r>
        <w:rPr>
          <w:rFonts w:ascii="Arial" w:cs="Arial" w:eastAsia="Arial" w:hAnsi="Arial"/>
          <w:sz w:val="17"/>
          <w:szCs w:val="17"/>
          <w:color w:val="auto"/>
        </w:rPr>
        <w:t>On June 4th, Comcast Corporation (“Comcast”), Charter Communications, Inc. (“Charter”), and SpinCo filed applications regarding transactions between Comcast and Charter (“Divestiture Transactions”) that mark an important step in the above-captioned Comcast-Time Warner Cable Inc. (“TWC”) merger application by following through on Comcast’s stated willingness to reduce its post-transaction number of managed residential video subscribers to less than 30 percent of national MVPD subscribers.</w:t>
      </w:r>
    </w:p>
    <w:p>
      <w:pPr>
        <w:spacing w:after="0" w:line="206" w:lineRule="exact"/>
        <w:rPr>
          <w:sz w:val="24"/>
          <w:szCs w:val="24"/>
          <w:color w:val="auto"/>
        </w:rPr>
      </w:pPr>
    </w:p>
    <w:p>
      <w:pPr>
        <w:ind w:right="280" w:firstLine="607"/>
        <w:spacing w:after="0" w:line="220" w:lineRule="auto"/>
        <w:rPr>
          <w:sz w:val="20"/>
          <w:szCs w:val="20"/>
          <w:color w:val="auto"/>
        </w:rPr>
      </w:pPr>
      <w:r>
        <w:rPr>
          <w:rFonts w:ascii="Arial" w:cs="Arial" w:eastAsia="Arial" w:hAnsi="Arial"/>
          <w:sz w:val="17"/>
          <w:szCs w:val="17"/>
          <w:color w:val="auto"/>
        </w:rPr>
        <w:t>These Divestiture Transactions will facilitate the Commission’s review of the Comcast-TWC transaction by providing a specific plan regarding divestitures that will yield additional public interest benefits, as detailed in the companion filings.</w:t>
      </w:r>
      <w:r>
        <w:rPr>
          <w:rFonts w:ascii="Arial" w:cs="Arial" w:eastAsia="Arial" w:hAnsi="Arial"/>
          <w:sz w:val="23"/>
          <w:szCs w:val="23"/>
          <w:color w:val="auto"/>
          <w:vertAlign w:val="superscript"/>
        </w:rPr>
        <w:t>1</w:t>
      </w:r>
      <w:r>
        <w:rPr>
          <w:rFonts w:ascii="Arial" w:cs="Arial" w:eastAsia="Arial" w:hAnsi="Arial"/>
          <w:sz w:val="17"/>
          <w:szCs w:val="17"/>
          <w:color w:val="auto"/>
        </w:rPr>
        <w:t xml:space="preserve"> The Divestiture Transactions do not alter any material aspect of the Comcast-TWC transaction or the applications related to that transaction. Nevertheless, Comcast and TWC are submitting this letter to reflect changes to the relevant figures, maps, tables, and statements that the Applicants included in the Public Interest Statement previously filed in this docket</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in light of the Divestiture Transactions. This will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1107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460" w:hanging="459"/>
        <w:spacing w:after="0"/>
        <w:tabs>
          <w:tab w:leader="none" w:pos="460" w:val="left"/>
        </w:tabs>
        <w:numPr>
          <w:ilvl w:val="0"/>
          <w:numId w:val="1"/>
        </w:numPr>
        <w:rPr>
          <w:rFonts w:ascii="Arial" w:cs="Arial" w:eastAsia="Arial" w:hAnsi="Arial"/>
          <w:sz w:val="21"/>
          <w:szCs w:val="21"/>
          <w:color w:val="auto"/>
          <w:vertAlign w:val="superscript"/>
        </w:rPr>
      </w:pPr>
      <w:r>
        <w:rPr>
          <w:rFonts w:ascii="Arial" w:cs="Arial" w:eastAsia="Arial" w:hAnsi="Arial"/>
          <w:sz w:val="15"/>
          <w:szCs w:val="15"/>
          <w:color w:val="auto"/>
        </w:rPr>
        <w:t>Public Interest Statement of Comcast Corporation and Charter Communications Inc., Charter-to-Comcast Exchange Transaction, MB Docket No. 14-57 (June 4,</w:t>
      </w:r>
    </w:p>
    <w:p>
      <w:pPr>
        <w:spacing w:after="0" w:line="2" w:lineRule="exact"/>
        <w:rPr>
          <w:rFonts w:ascii="Arial" w:cs="Arial" w:eastAsia="Arial" w:hAnsi="Arial"/>
          <w:sz w:val="21"/>
          <w:szCs w:val="21"/>
          <w:color w:val="auto"/>
          <w:vertAlign w:val="superscript"/>
        </w:rPr>
      </w:pPr>
    </w:p>
    <w:p>
      <w:pPr>
        <w:ind w:right="200"/>
        <w:spacing w:after="0" w:line="250" w:lineRule="auto"/>
        <w:rPr>
          <w:rFonts w:ascii="Arial" w:cs="Arial" w:eastAsia="Arial" w:hAnsi="Arial"/>
          <w:sz w:val="21"/>
          <w:szCs w:val="21"/>
          <w:color w:val="auto"/>
          <w:vertAlign w:val="superscript"/>
        </w:rPr>
      </w:pPr>
      <w:r>
        <w:rPr>
          <w:rFonts w:ascii="Arial" w:cs="Arial" w:eastAsia="Arial" w:hAnsi="Arial"/>
          <w:sz w:val="17"/>
          <w:szCs w:val="17"/>
          <w:color w:val="auto"/>
        </w:rPr>
        <w:t>2014) (“Charter-to-Comcast Exchange Public Interest Statement”); Public Interest Statement of Charter Communications, Inc. and Comcast Corporation, Comcast-to-Charter Exchange and Sale Transactions, MB Docket No. 14-57 (June 4, 2014) (“Comcast-to-Charter Sale/Exchange Public Interest Statement”); Public Interest Statement of SpinCo, Charter Communications, Inc., and Comcast Corporation, Spin Transaction, MB Docket No. 14-57 (June 4, 2014) (“SpinCo Public Interest Statement”).</w:t>
      </w:r>
    </w:p>
    <w:p>
      <w:pPr>
        <w:spacing w:after="0" w:line="233" w:lineRule="exact"/>
        <w:rPr>
          <w:sz w:val="24"/>
          <w:szCs w:val="24"/>
          <w:color w:val="auto"/>
        </w:rPr>
      </w:pPr>
    </w:p>
    <w:p>
      <w:pPr>
        <w:ind w:firstLine="1"/>
        <w:spacing w:after="0" w:line="228" w:lineRule="auto"/>
        <w:tabs>
          <w:tab w:leader="none" w:pos="463" w:val="left"/>
        </w:tabs>
        <w:numPr>
          <w:ilvl w:val="0"/>
          <w:numId w:val="2"/>
        </w:numPr>
        <w:rPr>
          <w:rFonts w:ascii="Arial" w:cs="Arial" w:eastAsia="Arial" w:hAnsi="Arial"/>
          <w:sz w:val="24"/>
          <w:szCs w:val="24"/>
          <w:color w:val="auto"/>
          <w:vertAlign w:val="superscript"/>
        </w:rPr>
      </w:pPr>
      <w:r>
        <w:rPr>
          <w:rFonts w:ascii="Arial" w:cs="Arial" w:eastAsia="Arial" w:hAnsi="Arial"/>
          <w:sz w:val="17"/>
          <w:szCs w:val="17"/>
          <w:color w:val="auto"/>
        </w:rPr>
        <w:t>Applications and Public Interest Statement of Comcast Corp. and Time Warner Cable Inc., MB Docket No. 14-57 (Apr. 8, 2014) (“Comcast-TWC Public Interest Statement”). In addition, Comcast and TWC would like to clarify and update the record regarding two programming-related issues. First, the Comcast-TWC Public Interest Statement inadvertently listed the Comcast Sports Southwest network as a current program service owned by NBCUniversal. This is not the case, as this network is no longer in operation; however, the legal entity, in which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641350</wp:posOffset>
            </wp:positionV>
            <wp:extent cx="725995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Ms. Marlene H. Dortch</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June 5, 2014</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200" w:lineRule="exact"/>
        <w:rPr>
          <w:sz w:val="20"/>
          <w:szCs w:val="20"/>
          <w:color w:val="auto"/>
        </w:rPr>
      </w:pPr>
    </w:p>
    <w:p>
      <w:pPr>
        <w:spacing w:after="0" w:line="25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ensure that the Commission and interested parties have a comprehensive picture of the combined company following the closing of both the Comcast-TWC transaction and the Divestiture Transactions.</w:t>
      </w:r>
    </w:p>
    <w:p>
      <w:pPr>
        <w:spacing w:after="0" w:line="191" w:lineRule="exact"/>
        <w:rPr>
          <w:sz w:val="20"/>
          <w:szCs w:val="20"/>
          <w:color w:val="auto"/>
        </w:rPr>
      </w:pPr>
    </w:p>
    <w:p>
      <w:pPr>
        <w:ind w:right="180" w:firstLine="607"/>
        <w:spacing w:after="0" w:line="250" w:lineRule="auto"/>
        <w:rPr>
          <w:sz w:val="20"/>
          <w:szCs w:val="20"/>
          <w:color w:val="auto"/>
        </w:rPr>
      </w:pPr>
      <w:r>
        <w:rPr>
          <w:rFonts w:ascii="Arial" w:cs="Arial" w:eastAsia="Arial" w:hAnsi="Arial"/>
          <w:sz w:val="16"/>
          <w:szCs w:val="16"/>
          <w:color w:val="auto"/>
        </w:rPr>
        <w:t>While the parties respectfully request that the Commission consider and process the applications for the Divestiture Transactions contemporaneously with the Comcast-TWC transaction applications in a single pleading cycle,</w:t>
      </w:r>
      <w:r>
        <w:rPr>
          <w:rFonts w:ascii="Arial" w:cs="Arial" w:eastAsia="Arial" w:hAnsi="Arial"/>
          <w:sz w:val="22"/>
          <w:szCs w:val="22"/>
          <w:color w:val="auto"/>
          <w:vertAlign w:val="superscript"/>
        </w:rPr>
        <w:t>3</w:t>
      </w:r>
      <w:r>
        <w:rPr>
          <w:rFonts w:ascii="Arial" w:cs="Arial" w:eastAsia="Arial" w:hAnsi="Arial"/>
          <w:sz w:val="16"/>
          <w:szCs w:val="16"/>
          <w:color w:val="auto"/>
        </w:rPr>
        <w:t xml:space="preserve"> approval of the Comcast-TWC applications as previously filed is still required since that transaction stands on its own and, if approved, will close independently of and prior to the Divestiture Transactions.</w:t>
      </w:r>
      <w:r>
        <w:rPr>
          <w:rFonts w:ascii="Arial" w:cs="Arial" w:eastAsia="Arial" w:hAnsi="Arial"/>
          <w:sz w:val="22"/>
          <w:szCs w:val="22"/>
          <w:color w:val="auto"/>
          <w:vertAlign w:val="superscript"/>
        </w:rPr>
        <w:t>4</w:t>
      </w:r>
    </w:p>
    <w:p>
      <w:pPr>
        <w:spacing w:after="0" w:line="112" w:lineRule="exact"/>
        <w:rPr>
          <w:sz w:val="20"/>
          <w:szCs w:val="20"/>
          <w:color w:val="auto"/>
        </w:rPr>
      </w:pPr>
    </w:p>
    <w:p>
      <w:pPr>
        <w:ind w:right="60" w:firstLine="607"/>
        <w:spacing w:after="0" w:line="304" w:lineRule="auto"/>
        <w:rPr>
          <w:sz w:val="20"/>
          <w:szCs w:val="20"/>
          <w:color w:val="auto"/>
        </w:rPr>
      </w:pPr>
      <w:r>
        <w:rPr>
          <w:rFonts w:ascii="Arial" w:cs="Arial" w:eastAsia="Arial" w:hAnsi="Arial"/>
          <w:sz w:val="15"/>
          <w:szCs w:val="15"/>
          <w:b w:val="1"/>
          <w:bCs w:val="1"/>
          <w:u w:val="single" w:color="auto"/>
          <w:color w:val="auto"/>
        </w:rPr>
        <w:t>Description of the Divestiture Transactions</w:t>
      </w:r>
      <w:r>
        <w:rPr>
          <w:rFonts w:ascii="Arial" w:cs="Arial" w:eastAsia="Arial" w:hAnsi="Arial"/>
          <w:sz w:val="15"/>
          <w:szCs w:val="15"/>
          <w:color w:val="auto"/>
        </w:rPr>
        <w:t>. The Divestiture Transactions consist of the following three transactions: (i) a spin-off of cable systems serving</w:t>
      </w:r>
      <w:r>
        <w:rPr>
          <w:rFonts w:ascii="Arial" w:cs="Arial" w:eastAsia="Arial" w:hAnsi="Arial"/>
          <w:sz w:val="15"/>
          <w:szCs w:val="15"/>
          <w:b w:val="1"/>
          <w:bCs w:val="1"/>
          <w:color w:val="auto"/>
        </w:rPr>
        <w:t xml:space="preserve"> </w:t>
      </w:r>
      <w:r>
        <w:rPr>
          <w:rFonts w:ascii="Arial" w:cs="Arial" w:eastAsia="Arial" w:hAnsi="Arial"/>
          <w:sz w:val="15"/>
          <w:szCs w:val="15"/>
          <w:color w:val="auto"/>
        </w:rPr>
        <w:t>approximately 2.5 million legacy Comcast video customers into a new, independent, publicly traded cable company (“SpinCo”); (ii) an exchange of cable systems serving approximately 1.5 million former TWC video customers for cable systems serving approximately 1.6 million Charter video customers; and (iii) a sale to Charter of cable systems serving approximately 1.5 million former TWC video customers.</w:t>
      </w:r>
      <w:r>
        <w:rPr>
          <w:rFonts w:ascii="Arial" w:cs="Arial" w:eastAsia="Arial" w:hAnsi="Arial"/>
          <w:sz w:val="21"/>
          <w:szCs w:val="21"/>
          <w:color w:val="auto"/>
          <w:vertAlign w:val="superscript"/>
        </w:rPr>
        <w:t>5</w:t>
      </w:r>
      <w:r>
        <w:rPr>
          <w:rFonts w:ascii="Arial" w:cs="Arial" w:eastAsia="Arial" w:hAnsi="Arial"/>
          <w:sz w:val="15"/>
          <w:szCs w:val="15"/>
          <w:color w:val="auto"/>
        </w:rPr>
        <w:t xml:space="preserve"> These three transactions will result in a net reduction of approximately 3.9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72713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1385" cy="825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-495300</wp:posOffset>
            </wp:positionV>
            <wp:extent cx="26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67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 xml:space="preserve">Comcast has a 100 percent interest, still exists. </w:t>
      </w:r>
      <w:r>
        <w:rPr>
          <w:rFonts w:ascii="Arial" w:cs="Arial" w:eastAsia="Arial" w:hAnsi="Arial"/>
          <w:sz w:val="16"/>
          <w:szCs w:val="16"/>
          <w:i w:val="1"/>
          <w:iCs w:val="1"/>
          <w:color w:val="auto"/>
        </w:rPr>
        <w:t>See id.</w:t>
      </w:r>
      <w:r>
        <w:rPr>
          <w:rFonts w:ascii="Arial" w:cs="Arial" w:eastAsia="Arial" w:hAnsi="Arial"/>
          <w:sz w:val="16"/>
          <w:szCs w:val="16"/>
          <w:color w:val="auto"/>
        </w:rPr>
        <w:t xml:space="preserve"> at 13. Second, Time Warner Cable Channel 858, one of TWC’s Spanish-language networks, carries certain Dodgers games in addition to Angels and Clippers games as previously noted in the Comcast-TWC Public Interest Statement. </w:t>
      </w:r>
      <w:r>
        <w:rPr>
          <w:rFonts w:ascii="Arial" w:cs="Arial" w:eastAsia="Arial" w:hAnsi="Arial"/>
          <w:sz w:val="16"/>
          <w:szCs w:val="16"/>
          <w:i w:val="1"/>
          <w:iCs w:val="1"/>
          <w:color w:val="auto"/>
        </w:rPr>
        <w:t>See id</w:t>
      </w:r>
      <w:r>
        <w:rPr>
          <w:rFonts w:ascii="Arial" w:cs="Arial" w:eastAsia="Arial" w:hAnsi="Arial"/>
          <w:sz w:val="16"/>
          <w:szCs w:val="16"/>
          <w:color w:val="auto"/>
        </w:rPr>
        <w:t xml:space="preserve">. at 154 n.407; </w:t>
      </w:r>
      <w:r>
        <w:rPr>
          <w:rFonts w:ascii="Arial" w:cs="Arial" w:eastAsia="Arial" w:hAnsi="Arial"/>
          <w:sz w:val="16"/>
          <w:szCs w:val="16"/>
          <w:i w:val="1"/>
          <w:iCs w:val="1"/>
          <w:color w:val="auto"/>
        </w:rPr>
        <w:t>see also id.</w:t>
      </w:r>
      <w:r>
        <w:rPr>
          <w:rFonts w:ascii="Arial" w:cs="Arial" w:eastAsia="Arial" w:hAnsi="Arial"/>
          <w:sz w:val="16"/>
          <w:szCs w:val="16"/>
          <w:color w:val="auto"/>
        </w:rPr>
        <w:t>, Exhibit 5, Declaration of Dr. Gregory L. Rosston and Dr. Michael D. Topper (“Rosston/Topper Decl.”) ¶¶ 37 n.13, 207 n.240.</w:t>
      </w:r>
    </w:p>
    <w:p>
      <w:pPr>
        <w:spacing w:after="0" w:line="209" w:lineRule="exact"/>
        <w:rPr>
          <w:sz w:val="20"/>
          <w:szCs w:val="20"/>
          <w:color w:val="auto"/>
        </w:rPr>
      </w:pPr>
    </w:p>
    <w:p>
      <w:pPr>
        <w:ind w:right="180" w:firstLine="1"/>
        <w:spacing w:after="0" w:line="222" w:lineRule="auto"/>
        <w:tabs>
          <w:tab w:leader="none" w:pos="463"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 xml:space="preserve">The parties note that the Commission has not issued the Public Notice for the above-captioned Comcast-TWC transaction in light of an earlier such request. </w:t>
      </w:r>
      <w:r>
        <w:rPr>
          <w:rFonts w:ascii="Arial" w:cs="Arial" w:eastAsia="Arial" w:hAnsi="Arial"/>
          <w:sz w:val="17"/>
          <w:szCs w:val="17"/>
          <w:i w:val="1"/>
          <w:iCs w:val="1"/>
          <w:color w:val="auto"/>
        </w:rPr>
        <w:t>See</w:t>
      </w:r>
      <w:r>
        <w:rPr>
          <w:rFonts w:ascii="Arial" w:cs="Arial" w:eastAsia="Arial" w:hAnsi="Arial"/>
          <w:sz w:val="17"/>
          <w:szCs w:val="17"/>
          <w:color w:val="auto"/>
        </w:rPr>
        <w:t xml:space="preserve"> Letter from Kathryn A. Zachem, Comcast, to Marlene H. Dortch, FCC, MB Docket No. 14-57, at 1 (Apr. 30, 2014); Letter from Kathryn A. Zachem, Comcast, to Marlene H. Dortch, FCC, MB Docket No. 14-57, at 3 (May 7, 2014).</w:t>
      </w:r>
    </w:p>
    <w:p>
      <w:pPr>
        <w:spacing w:after="0" w:line="243" w:lineRule="exact"/>
        <w:rPr>
          <w:sz w:val="20"/>
          <w:szCs w:val="20"/>
          <w:color w:val="auto"/>
        </w:rPr>
      </w:pPr>
    </w:p>
    <w:p>
      <w:pPr>
        <w:ind w:firstLine="1"/>
        <w:spacing w:after="0" w:line="277" w:lineRule="auto"/>
        <w:tabs>
          <w:tab w:leader="none" w:pos="463"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 xml:space="preserve">A pre-condition of the Divestiture Transactions is the closing of the pending Comcast-TWC transaction. Therefore, Applicants continue to need Commission approval to close on the Comcast-TWC transaction, and request that approvals for the Comcast-TWC transaction and the Divestiture Transactions be granted at the same time. Moreover, it is the parties’ intent to close the Divestiture Transactions as quickly as possible following the closing of the Comcast-TWC transaction. As with all transactions, the Divestiture Transactions agreement contains specific “end date” deadlines. However, if certain delays are encountered either in obtaining financing or in the securing of certain federal, state, or local approvals for the Divestiture Transactions, the parties have additional time under their agreement (up to 240 days under certain circumstances) to complete the Divestiture Transactions. In case the closing of the Divestiture Transactions is delayed for any reason, or in the unlikely event closing does not occur and Comcast needs to find another buyer, Comcast might need the ability to own all of the TWC systems for a period of 12-18 months following the closing of the Comcast-TWC transaction, in order to facilitate and complete the system divestitures in the least disruptive manner possible. This amount of time is reasonable and consistent with well-established Commission precedent, especially since, in this case, there would be no rule violation at issue that would require such system divestitures. </w:t>
      </w:r>
      <w:r>
        <w:rPr>
          <w:rFonts w:ascii="Arial" w:cs="Arial" w:eastAsia="Arial" w:hAnsi="Arial"/>
          <w:sz w:val="15"/>
          <w:szCs w:val="15"/>
          <w:i w:val="1"/>
          <w:iCs w:val="1"/>
          <w:color w:val="auto"/>
        </w:rPr>
        <w:t>See, e.g.</w:t>
      </w:r>
      <w:r>
        <w:rPr>
          <w:rFonts w:ascii="Arial" w:cs="Arial" w:eastAsia="Arial" w:hAnsi="Arial"/>
          <w:sz w:val="15"/>
          <w:szCs w:val="15"/>
          <w:color w:val="auto"/>
        </w:rPr>
        <w:t xml:space="preserve">, </w:t>
      </w:r>
      <w:r>
        <w:rPr>
          <w:rFonts w:ascii="Arial" w:cs="Arial" w:eastAsia="Arial" w:hAnsi="Arial"/>
          <w:sz w:val="15"/>
          <w:szCs w:val="15"/>
          <w:i w:val="1"/>
          <w:iCs w:val="1"/>
          <w:color w:val="auto"/>
        </w:rPr>
        <w:t>UTV of San Francisco, Inc., et al. &amp; Fox Television Stations, Inc.</w:t>
      </w:r>
      <w:r>
        <w:rPr>
          <w:rFonts w:ascii="Arial" w:cs="Arial" w:eastAsia="Arial" w:hAnsi="Arial"/>
          <w:sz w:val="15"/>
          <w:szCs w:val="15"/>
          <w:color w:val="auto"/>
        </w:rPr>
        <w:t xml:space="preserve">, Memorandum Opinion &amp; Order, 16 FCC Rcd. 14975 ¶ 45 (2001) (granting Fox 24 months to divest broadcast station or newspaper to comply with television/newspaper cross-ownership rule); </w:t>
      </w:r>
      <w:r>
        <w:rPr>
          <w:rFonts w:ascii="Arial" w:cs="Arial" w:eastAsia="Arial" w:hAnsi="Arial"/>
          <w:sz w:val="15"/>
          <w:szCs w:val="15"/>
          <w:i w:val="1"/>
          <w:iCs w:val="1"/>
          <w:color w:val="auto"/>
        </w:rPr>
        <w:t>Shareholders of CBS Corp. &amp; Viacom,</w:t>
      </w:r>
      <w:r>
        <w:rPr>
          <w:rFonts w:ascii="Arial" w:cs="Arial" w:eastAsia="Arial" w:hAnsi="Arial"/>
          <w:sz w:val="15"/>
          <w:szCs w:val="15"/>
          <w:color w:val="auto"/>
        </w:rPr>
        <w:t xml:space="preserve"> </w:t>
      </w:r>
      <w:r>
        <w:rPr>
          <w:rFonts w:ascii="Arial" w:cs="Arial" w:eastAsia="Arial" w:hAnsi="Arial"/>
          <w:sz w:val="15"/>
          <w:szCs w:val="15"/>
          <w:i w:val="1"/>
          <w:iCs w:val="1"/>
          <w:color w:val="auto"/>
        </w:rPr>
        <w:t>Inc.</w:t>
      </w:r>
      <w:r>
        <w:rPr>
          <w:rFonts w:ascii="Arial" w:cs="Arial" w:eastAsia="Arial" w:hAnsi="Arial"/>
          <w:sz w:val="15"/>
          <w:szCs w:val="15"/>
          <w:color w:val="auto"/>
        </w:rPr>
        <w:t>, Memorandum Opinion &amp; Order, 15 FCC Rcd. 8230 ¶ 22 (2000) (granting Viacom 12 months to divest broadcast stations to comply with national ownership cap);</w:t>
      </w:r>
      <w:r>
        <w:rPr>
          <w:rFonts w:ascii="Arial" w:cs="Arial" w:eastAsia="Arial" w:hAnsi="Arial"/>
          <w:sz w:val="15"/>
          <w:szCs w:val="15"/>
          <w:i w:val="1"/>
          <w:iCs w:val="1"/>
          <w:color w:val="auto"/>
        </w:rPr>
        <w:t xml:space="preserve"> Cox Cable Commc’ns, Inc. &amp; Times Mirror Co.</w:t>
      </w:r>
      <w:r>
        <w:rPr>
          <w:rFonts w:ascii="Arial" w:cs="Arial" w:eastAsia="Arial" w:hAnsi="Arial"/>
          <w:sz w:val="15"/>
          <w:szCs w:val="15"/>
          <w:color w:val="auto"/>
        </w:rPr>
        <w:t>, Memorandum Opinion &amp; Order, 10 FCC Rcd. 1559 ¶ 26 (CSB 1994) (granting Cox 18 months to divest cable systems</w:t>
      </w:r>
      <w:r>
        <w:rPr>
          <w:rFonts w:ascii="Arial" w:cs="Arial" w:eastAsia="Arial" w:hAnsi="Arial"/>
          <w:sz w:val="15"/>
          <w:szCs w:val="15"/>
          <w:i w:val="1"/>
          <w:iCs w:val="1"/>
          <w:color w:val="auto"/>
        </w:rPr>
        <w:t xml:space="preserve"> </w:t>
      </w:r>
      <w:r>
        <w:rPr>
          <w:rFonts w:ascii="Arial" w:cs="Arial" w:eastAsia="Arial" w:hAnsi="Arial"/>
          <w:sz w:val="15"/>
          <w:szCs w:val="15"/>
          <w:color w:val="auto"/>
        </w:rPr>
        <w:t>to comply with cable/broadcast cross-ownership rule).</w:t>
      </w:r>
    </w:p>
    <w:p>
      <w:pPr>
        <w:spacing w:after="0" w:line="217" w:lineRule="exact"/>
        <w:rPr>
          <w:sz w:val="20"/>
          <w:szCs w:val="20"/>
          <w:color w:val="auto"/>
        </w:rPr>
      </w:pPr>
    </w:p>
    <w:p>
      <w:pPr>
        <w:ind w:right="220" w:firstLine="1"/>
        <w:spacing w:after="0" w:line="211" w:lineRule="auto"/>
        <w:tabs>
          <w:tab w:leader="none" w:pos="463" w:val="left"/>
        </w:tabs>
        <w:numPr>
          <w:ilvl w:val="0"/>
          <w:numId w:val="5"/>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Charter-to-Comcast Exchange Public Interest Statement at 3-4; Comcast-to-Charter Sale/Exchange Public Interest Statement at 4-5; SpinCo Public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at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480695</wp:posOffset>
            </wp:positionV>
            <wp:extent cx="725995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t>Ms. Marlene H. Dortch</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June 5, 2014</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Page 3</w:t>
      </w:r>
    </w:p>
    <w:p>
      <w:pPr>
        <w:spacing w:after="0" w:line="200" w:lineRule="exact"/>
        <w:rPr>
          <w:sz w:val="20"/>
          <w:szCs w:val="20"/>
          <w:color w:val="auto"/>
        </w:rPr>
      </w:pPr>
    </w:p>
    <w:p>
      <w:pPr>
        <w:spacing w:after="0" w:line="250"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 xml:space="preserve">residential video customers for the combined company. A list of the Designated Market Areas (“DMAs”) and communities involved in the Divestiture Transactions is included in </w:t>
      </w:r>
      <w:r>
        <w:rPr>
          <w:rFonts w:ascii="Arial" w:cs="Arial" w:eastAsia="Arial" w:hAnsi="Arial"/>
          <w:sz w:val="17"/>
          <w:szCs w:val="17"/>
          <w:b w:val="1"/>
          <w:bCs w:val="1"/>
          <w:color w:val="auto"/>
        </w:rPr>
        <w:t>Attachment 1</w:t>
      </w:r>
      <w:r>
        <w:rPr>
          <w:rFonts w:ascii="Arial" w:cs="Arial" w:eastAsia="Arial" w:hAnsi="Arial"/>
          <w:sz w:val="17"/>
          <w:szCs w:val="17"/>
          <w:color w:val="auto"/>
        </w:rPr>
        <w:t>.</w:t>
      </w:r>
    </w:p>
    <w:p>
      <w:pPr>
        <w:spacing w:after="0" w:line="191" w:lineRule="exact"/>
        <w:rPr>
          <w:sz w:val="20"/>
          <w:szCs w:val="20"/>
          <w:color w:val="auto"/>
        </w:rPr>
      </w:pPr>
    </w:p>
    <w:p>
      <w:pPr>
        <w:ind w:right="280" w:firstLine="607"/>
        <w:spacing w:after="0" w:line="310" w:lineRule="auto"/>
        <w:rPr>
          <w:sz w:val="20"/>
          <w:szCs w:val="20"/>
          <w:color w:val="auto"/>
        </w:rPr>
      </w:pPr>
      <w:r>
        <w:rPr>
          <w:rFonts w:ascii="Arial" w:cs="Arial" w:eastAsia="Arial" w:hAnsi="Arial"/>
          <w:sz w:val="15"/>
          <w:szCs w:val="15"/>
          <w:color w:val="auto"/>
        </w:rPr>
        <w:t xml:space="preserve">After the Comcast-TWC transaction and the Divestiture Transactions close, the combined company (i) will have a more extensive footprint primarily in California, Georgia, Maryland, New England, New York, North Carolina, Oregon, Tennessee, Texas, Virginia, and Washington; (ii) will no longer have a presence in Minnesota or Wisconsin; and (iii) will have a greatly reduced and only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remaining presence in Alabama, Indiana, Kentucky, Michigan, and Ohio.</w:t>
      </w:r>
    </w:p>
    <w:p>
      <w:pPr>
        <w:spacing w:after="0" w:line="162" w:lineRule="exact"/>
        <w:rPr>
          <w:sz w:val="20"/>
          <w:szCs w:val="20"/>
          <w:color w:val="auto"/>
        </w:rPr>
      </w:pPr>
    </w:p>
    <w:p>
      <w:pPr>
        <w:ind w:right="40" w:firstLine="607"/>
        <w:spacing w:after="0" w:line="278" w:lineRule="auto"/>
        <w:rPr>
          <w:sz w:val="20"/>
          <w:szCs w:val="20"/>
          <w:color w:val="auto"/>
        </w:rPr>
      </w:pPr>
      <w:r>
        <w:rPr>
          <w:rFonts w:ascii="Arial" w:cs="Arial" w:eastAsia="Arial" w:hAnsi="Arial"/>
          <w:sz w:val="16"/>
          <w:szCs w:val="16"/>
          <w:b w:val="1"/>
          <w:bCs w:val="1"/>
          <w:u w:val="single" w:color="auto"/>
          <w:color w:val="auto"/>
        </w:rPr>
        <w:t>Key Effects of the Divestiture Transactions</w:t>
      </w:r>
      <w:r>
        <w:rPr>
          <w:rFonts w:ascii="Arial" w:cs="Arial" w:eastAsia="Arial" w:hAnsi="Arial"/>
          <w:sz w:val="16"/>
          <w:szCs w:val="16"/>
          <w:color w:val="auto"/>
        </w:rPr>
        <w:t>. As detailed in the public interest statements filed along with the applications seeking approval for the Divestiture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these transactions will preserve and, in certain respects, enhance the demonstrated benefits of the Comcast-TWC transaction for consumers and businesses, and will not pose any public interest harms. However, the divestitures will change certain facts and figures provided in the Comcast-TWC Public Interest Statement. Specifically, following the closing of both the Comcast-TWC transaction and the Divestiture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-426085</wp:posOffset>
            </wp:positionV>
            <wp:extent cx="26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670" cy="8255"/>
                    </a:xfrm>
                    <a:prstGeom prst="rect">
                      <a:avLst/>
                    </a:prstGeom>
                    <a:noFill/>
                  </pic:spPr>
                </pic:pic>
              </a:graphicData>
            </a:graphic>
          </wp:anchor>
        </w:drawing>
      </w:r>
    </w:p>
    <w:p>
      <w:pPr>
        <w:spacing w:after="0" w:line="168" w:lineRule="exact"/>
        <w:rPr>
          <w:sz w:val="20"/>
          <w:szCs w:val="20"/>
          <w:color w:val="auto"/>
        </w:rPr>
      </w:pPr>
    </w:p>
    <w:p>
      <w:pPr>
        <w:ind w:left="920" w:hanging="312"/>
        <w:spacing w:after="0" w:line="234" w:lineRule="auto"/>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Further Reduction in Total Number of Video Customers and National Share of MVPD Subscribers</w:t>
      </w:r>
      <w:r>
        <w:rPr>
          <w:rFonts w:ascii="Arial" w:cs="Arial" w:eastAsia="Arial" w:hAnsi="Arial"/>
          <w:sz w:val="17"/>
          <w:szCs w:val="17"/>
          <w:color w:val="auto"/>
        </w:rPr>
        <w:t>. Comcast will increase its video customer base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7 million video customers after divesting systems serving approximately 3.9 million video customers, for a total of approximately 29 million managed residential video customers. This net divestiture of approximately 3.9 million customers is 900,000 more than the three million video customers Comcast said it was prepared to divest in the Comcast-TWC Public Interest Statement.</w:t>
      </w:r>
      <w:r>
        <w:rPr>
          <w:rFonts w:ascii="Arial" w:cs="Arial" w:eastAsia="Arial" w:hAnsi="Arial"/>
          <w:sz w:val="23"/>
          <w:szCs w:val="23"/>
          <w:color w:val="auto"/>
          <w:vertAlign w:val="superscript"/>
        </w:rPr>
        <w:t>6</w:t>
      </w:r>
      <w:r>
        <w:rPr>
          <w:rFonts w:ascii="Arial" w:cs="Arial" w:eastAsia="Arial" w:hAnsi="Arial"/>
          <w:sz w:val="17"/>
          <w:szCs w:val="17"/>
          <w:color w:val="auto"/>
        </w:rPr>
        <w:t xml:space="preserve"> After such divestitures, the combined company will serve approximately 29 percent of MVPD subscribers nationwide.</w:t>
      </w:r>
    </w:p>
    <w:p>
      <w:pPr>
        <w:spacing w:after="0" w:line="218" w:lineRule="exact"/>
        <w:rPr>
          <w:rFonts w:ascii="Arial" w:cs="Arial" w:eastAsia="Arial" w:hAnsi="Arial"/>
          <w:sz w:val="17"/>
          <w:szCs w:val="17"/>
          <w:color w:val="auto"/>
        </w:rPr>
      </w:pPr>
    </w:p>
    <w:p>
      <w:pPr>
        <w:ind w:left="920" w:right="120" w:hanging="312"/>
        <w:spacing w:after="0" w:line="257" w:lineRule="auto"/>
        <w:tabs>
          <w:tab w:leader="none" w:pos="962"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Presence in Fewer DMAs</w:t>
      </w:r>
      <w:r>
        <w:rPr>
          <w:rFonts w:ascii="Arial" w:cs="Arial" w:eastAsia="Arial" w:hAnsi="Arial"/>
          <w:sz w:val="17"/>
          <w:szCs w:val="17"/>
          <w:color w:val="auto"/>
        </w:rPr>
        <w:t xml:space="preserve">. Comcast will no longer have a presence in three of the top 20 DMAs represented in the chart on page 151 of the Comcast-TWC Public Interest Statement, namely: (i) Detroit, MI (No. 11), (ii) Minneapolis-St. Paul, MN (No. 15), and (iii) Cleveland, OH (No. 19). Legacy Comcast systems in Detroit and Minneapolis will be divested to SpinCo, while legacy TWC systems in Cleveland will be divested to Charter. These changes are reflected in the revised chart provided in </w:t>
      </w:r>
      <w:r>
        <w:rPr>
          <w:rFonts w:ascii="Arial" w:cs="Arial" w:eastAsia="Arial" w:hAnsi="Arial"/>
          <w:sz w:val="17"/>
          <w:szCs w:val="17"/>
          <w:b w:val="1"/>
          <w:bCs w:val="1"/>
          <w:color w:val="auto"/>
        </w:rPr>
        <w:t>Attachment 2</w:t>
      </w:r>
      <w:r>
        <w:rPr>
          <w:rFonts w:ascii="Arial" w:cs="Arial" w:eastAsia="Arial" w:hAnsi="Arial"/>
          <w:sz w:val="17"/>
          <w:szCs w:val="17"/>
          <w:color w:val="auto"/>
        </w:rPr>
        <w:t>. The net effect of these changes is that, following all transactions, the combined company will operate in the same number of top 20 DMAs (16) as Comcast does today, i.e., prior to any of the transactions (although the makeup of those 16 DMAs will differ somewhat).</w:t>
      </w:r>
      <w:r>
        <w:rPr>
          <w:rFonts w:ascii="Arial" w:cs="Arial" w:eastAsia="Arial" w:hAnsi="Arial"/>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287020</wp:posOffset>
            </wp:positionV>
            <wp:extent cx="1107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hanging="319"/>
        <w:spacing w:after="0"/>
        <w:tabs>
          <w:tab w:leader="none" w:pos="320" w:val="left"/>
        </w:tabs>
        <w:numPr>
          <w:ilvl w:val="0"/>
          <w:numId w:val="7"/>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Comcast-TWC Public Interest Statement at 6-7, 25.</w:t>
      </w:r>
    </w:p>
    <w:p>
      <w:pPr>
        <w:spacing w:after="0" w:line="241" w:lineRule="exact"/>
        <w:rPr>
          <w:sz w:val="20"/>
          <w:szCs w:val="20"/>
          <w:color w:val="auto"/>
        </w:rPr>
      </w:pPr>
    </w:p>
    <w:p>
      <w:pPr>
        <w:ind w:right="60" w:firstLine="1"/>
        <w:spacing w:after="0" w:line="228" w:lineRule="auto"/>
        <w:tabs>
          <w:tab w:leader="none" w:pos="463"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 xml:space="preserve">Likewise, Comcast will no longer have a presence in two of the top 20 Metropolitan Statistical Areas (“MSAs”) represented in the chart on page 142 of the Comcast-TWC Public Interest Statement: The systems in the Detroit-Warren-Livonia, MI (No. 14) and Minneapolis-St. Paul-Bloomington, MN-WI (No. 16) MSAs will be divested to SpinCo. These changes are reflected in the revised chart provided in </w:t>
      </w:r>
      <w:r>
        <w:rPr>
          <w:rFonts w:ascii="Arial" w:cs="Arial" w:eastAsia="Arial" w:hAnsi="Arial"/>
          <w:sz w:val="17"/>
          <w:szCs w:val="17"/>
          <w:b w:val="1"/>
          <w:bCs w:val="1"/>
          <w:color w:val="auto"/>
        </w:rPr>
        <w:t>Attachment 3</w:t>
      </w:r>
      <w:r>
        <w:rPr>
          <w:rFonts w:ascii="Arial" w:cs="Arial" w:eastAsia="Arial" w:hAnsi="Arial"/>
          <w:sz w:val="17"/>
          <w:szCs w:val="17"/>
          <w:color w:val="auto"/>
        </w:rPr>
        <w:t>. The net effect of these changes is that, following all transactions, the combined company will operate in 17 of the top 20 MSAs –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641350</wp:posOffset>
            </wp:positionV>
            <wp:extent cx="725995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t>Ms. Marlene H. Dortch</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June 5, 2014</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Page 4</w:t>
      </w:r>
    </w:p>
    <w:p>
      <w:pPr>
        <w:spacing w:after="0" w:line="222" w:lineRule="exact"/>
        <w:rPr>
          <w:sz w:val="20"/>
          <w:szCs w:val="20"/>
          <w:color w:val="auto"/>
        </w:rPr>
      </w:pPr>
    </w:p>
    <w:p>
      <w:pPr>
        <w:ind w:left="920" w:hanging="312"/>
        <w:spacing w:after="0" w:line="236" w:lineRule="auto"/>
        <w:tabs>
          <w:tab w:leader="none" w:pos="92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Updated Maps and Continued Illustration of Vibrant Competition</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following maps that were included in the Comcast-TWC Public Interest Statement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depicting Comcast’s post-transaction footprint and competitors have been updated to reflect the effect of the Divestiture Transactions (all updated maps are included in </w:t>
      </w:r>
      <w:r>
        <w:rPr>
          <w:rFonts w:ascii="Arial" w:cs="Arial" w:eastAsia="Arial" w:hAnsi="Arial"/>
          <w:sz w:val="15"/>
          <w:szCs w:val="15"/>
          <w:b w:val="1"/>
          <w:bCs w:val="1"/>
          <w:color w:val="auto"/>
        </w:rPr>
        <w:t>Attachment 4</w:t>
      </w:r>
      <w:r>
        <w:rPr>
          <w:rFonts w:ascii="Arial" w:cs="Arial" w:eastAsia="Arial" w:hAnsi="Arial"/>
          <w:sz w:val="15"/>
          <w:szCs w:val="15"/>
          <w:color w:val="auto"/>
        </w:rPr>
        <w:t>): (i) the areas in which the combined company will compete with top 10 ILECs;</w:t>
      </w:r>
      <w:r>
        <w:rPr>
          <w:rFonts w:ascii="Arial" w:cs="Arial" w:eastAsia="Arial" w:hAnsi="Arial"/>
          <w:sz w:val="21"/>
          <w:szCs w:val="21"/>
          <w:color w:val="auto"/>
          <w:vertAlign w:val="superscript"/>
        </w:rPr>
        <w:t>8</w:t>
      </w:r>
      <w:r>
        <w:rPr>
          <w:rFonts w:ascii="Arial" w:cs="Arial" w:eastAsia="Arial" w:hAnsi="Arial"/>
          <w:sz w:val="15"/>
          <w:szCs w:val="15"/>
          <w:color w:val="auto"/>
        </w:rPr>
        <w:t xml:space="preserve"> (ii) the areas in which the combined company will compete with 4G LTE providers;</w:t>
      </w:r>
      <w:r>
        <w:rPr>
          <w:rFonts w:ascii="Arial" w:cs="Arial" w:eastAsia="Arial" w:hAnsi="Arial"/>
          <w:sz w:val="21"/>
          <w:szCs w:val="21"/>
          <w:color w:val="auto"/>
          <w:vertAlign w:val="superscript"/>
        </w:rPr>
        <w:t>9</w:t>
      </w:r>
      <w:r>
        <w:rPr>
          <w:rFonts w:ascii="Arial" w:cs="Arial" w:eastAsia="Arial" w:hAnsi="Arial"/>
          <w:sz w:val="15"/>
          <w:szCs w:val="15"/>
          <w:color w:val="auto"/>
        </w:rPr>
        <w:t xml:space="preserve"> (iii) the areas in which the combined company will compete with both top 10 ILECs and 4G LTE providers;</w:t>
      </w:r>
      <w:r>
        <w:rPr>
          <w:rFonts w:ascii="Arial" w:cs="Arial" w:eastAsia="Arial" w:hAnsi="Arial"/>
          <w:sz w:val="21"/>
          <w:szCs w:val="21"/>
          <w:color w:val="auto"/>
          <w:vertAlign w:val="superscript"/>
        </w:rPr>
        <w:t>10</w:t>
      </w:r>
      <w:r>
        <w:rPr>
          <w:rFonts w:ascii="Arial" w:cs="Arial" w:eastAsia="Arial" w:hAnsi="Arial"/>
          <w:sz w:val="15"/>
          <w:szCs w:val="15"/>
          <w:color w:val="auto"/>
        </w:rPr>
        <w:t xml:space="preserve"> and (iv) the number of video service providers operating in the 16 DMAs (within the top 20) where the combined company will have a presence.</w:t>
      </w:r>
      <w:r>
        <w:rPr>
          <w:rFonts w:ascii="Arial" w:cs="Arial" w:eastAsia="Arial" w:hAnsi="Arial"/>
          <w:sz w:val="21"/>
          <w:szCs w:val="21"/>
          <w:color w:val="auto"/>
          <w:vertAlign w:val="superscript"/>
        </w:rPr>
        <w:t>11</w:t>
      </w:r>
      <w:r>
        <w:rPr>
          <w:rFonts w:ascii="Arial" w:cs="Arial" w:eastAsia="Arial" w:hAnsi="Arial"/>
          <w:sz w:val="15"/>
          <w:szCs w:val="15"/>
          <w:color w:val="auto"/>
        </w:rPr>
        <w:t xml:space="preserve"> These updated maps show that there will still be vibrant competition to the combined company after all the transactions close. Notably, for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-662305</wp:posOffset>
            </wp:positionV>
            <wp:extent cx="26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670" cy="8255"/>
                    </a:xfrm>
                    <a:prstGeom prst="rect">
                      <a:avLst/>
                    </a:prstGeom>
                    <a:noFill/>
                  </pic:spPr>
                </pic:pic>
              </a:graphicData>
            </a:graphic>
          </wp:anchor>
        </w:drawing>
      </w:r>
    </w:p>
    <w:p>
      <w:pPr>
        <w:spacing w:after="0" w:line="200" w:lineRule="exact"/>
        <w:rPr>
          <w:sz w:val="20"/>
          <w:szCs w:val="20"/>
          <w:color w:val="auto"/>
        </w:rPr>
      </w:pPr>
    </w:p>
    <w:p>
      <w:pPr>
        <w:ind w:left="1220" w:right="240" w:hanging="309"/>
        <w:spacing w:after="0" w:line="271" w:lineRule="auto"/>
        <w:tabs>
          <w:tab w:leader="none" w:pos="1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98.5 percent of the combined company’s service areas, broadband customers will have a choice between the combined company and one or more top-10 ILEC competitors;</w:t>
      </w:r>
    </w:p>
    <w:p>
      <w:pPr>
        <w:spacing w:after="0" w:line="190" w:lineRule="exact"/>
        <w:rPr>
          <w:rFonts w:ascii="Arial" w:cs="Arial" w:eastAsia="Arial" w:hAnsi="Arial"/>
          <w:sz w:val="17"/>
          <w:szCs w:val="17"/>
          <w:color w:val="auto"/>
        </w:rPr>
      </w:pPr>
    </w:p>
    <w:p>
      <w:pPr>
        <w:ind w:left="1220" w:right="340" w:hanging="309"/>
        <w:spacing w:after="0" w:line="271" w:lineRule="auto"/>
        <w:tabs>
          <w:tab w:leader="none" w:pos="1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when one considers the near-ubiquitous availability of top-10 ILECs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4G LTE wireless broadband providers, there are virtually no areas of the combined company’s service areas where customers will not have at least one of these options; and</w:t>
      </w:r>
    </w:p>
    <w:p>
      <w:pPr>
        <w:spacing w:after="0" w:line="190" w:lineRule="exact"/>
        <w:rPr>
          <w:rFonts w:ascii="Arial" w:cs="Arial" w:eastAsia="Arial" w:hAnsi="Arial"/>
          <w:sz w:val="17"/>
          <w:szCs w:val="17"/>
          <w:color w:val="auto"/>
        </w:rPr>
      </w:pPr>
    </w:p>
    <w:p>
      <w:pPr>
        <w:ind w:left="1220" w:right="80" w:hanging="309"/>
        <w:spacing w:after="0" w:line="271" w:lineRule="auto"/>
        <w:tabs>
          <w:tab w:leader="none" w:pos="1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there will be 11 or more MVPDs in most of the 16 of the top 20 DMAs where the combined company will have a presence, and at least six MVPDs in all of them.</w:t>
      </w:r>
    </w:p>
    <w:p>
      <w:pPr>
        <w:spacing w:after="0" w:line="187" w:lineRule="exact"/>
        <w:rPr>
          <w:sz w:val="20"/>
          <w:szCs w:val="20"/>
          <w:color w:val="auto"/>
        </w:rPr>
      </w:pPr>
    </w:p>
    <w:p>
      <w:pPr>
        <w:ind w:left="920" w:right="20"/>
        <w:spacing w:after="0" w:line="255" w:lineRule="auto"/>
        <w:rPr>
          <w:sz w:val="20"/>
          <w:szCs w:val="20"/>
          <w:color w:val="auto"/>
        </w:rPr>
      </w:pPr>
      <w:r>
        <w:rPr>
          <w:rFonts w:ascii="Arial" w:cs="Arial" w:eastAsia="Arial" w:hAnsi="Arial"/>
          <w:sz w:val="17"/>
          <w:szCs w:val="17"/>
          <w:color w:val="auto"/>
        </w:rPr>
        <w:t xml:space="preserve">Finally, Comcast has included a new map in </w:t>
      </w:r>
      <w:r>
        <w:rPr>
          <w:rFonts w:ascii="Arial" w:cs="Arial" w:eastAsia="Arial" w:hAnsi="Arial"/>
          <w:sz w:val="17"/>
          <w:szCs w:val="17"/>
          <w:b w:val="1"/>
          <w:bCs w:val="1"/>
          <w:color w:val="auto"/>
        </w:rPr>
        <w:t>Attachment 4</w:t>
      </w:r>
      <w:r>
        <w:rPr>
          <w:rFonts w:ascii="Arial" w:cs="Arial" w:eastAsia="Arial" w:hAnsi="Arial"/>
          <w:sz w:val="17"/>
          <w:szCs w:val="17"/>
          <w:color w:val="auto"/>
        </w:rPr>
        <w:t xml:space="preserve"> identifying the areas served by Comcast and SpinCo (and the relevant Charter service areas) after the closing of all transactions. This new map highlights the enhancements to the geographic contiguity achieved by the Divestiture Transactions through the transfer of systems that fill in gaps within Comcast’s and Charter’s respective footprints. The public interest statements filed in connection with the applications for approval of the Divestiture Transactions explain the benefits to consumers and businesses that flow from these more contiguous regional footprints.</w:t>
      </w:r>
    </w:p>
    <w:p>
      <w:pPr>
        <w:spacing w:after="0" w:line="204" w:lineRule="exact"/>
        <w:rPr>
          <w:sz w:val="20"/>
          <w:szCs w:val="20"/>
          <w:color w:val="auto"/>
        </w:rPr>
      </w:pPr>
    </w:p>
    <w:p>
      <w:pPr>
        <w:ind w:left="920" w:hanging="312"/>
        <w:spacing w:after="0" w:line="226" w:lineRule="auto"/>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Reduction in De Minimis Overlaps</w:t>
      </w:r>
      <w:r>
        <w:rPr>
          <w:rFonts w:ascii="Arial" w:cs="Arial" w:eastAsia="Arial" w:hAnsi="Arial"/>
          <w:sz w:val="17"/>
          <w:szCs w:val="17"/>
          <w:color w:val="auto"/>
        </w:rPr>
        <w:t>. The Comcast-TWC Public Interest Statement noted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de minimis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overlaps of approximately 2,800 residential or small-or medium-sized business customers, and approximately 215 business customers, in Comcast and TWC service areas.</w:t>
      </w:r>
      <w:r>
        <w:rPr>
          <w:rFonts w:ascii="Arial" w:cs="Arial" w:eastAsia="Arial" w:hAnsi="Arial"/>
          <w:sz w:val="23"/>
          <w:szCs w:val="23"/>
          <w:color w:val="auto"/>
          <w:vertAlign w:val="superscript"/>
        </w:rPr>
        <w:t>12</w:t>
      </w:r>
      <w:r>
        <w:rPr>
          <w:rFonts w:ascii="Arial" w:cs="Arial" w:eastAsia="Arial" w:hAnsi="Arial"/>
          <w:sz w:val="17"/>
          <w:szCs w:val="17"/>
          <w:color w:val="auto"/>
        </w:rPr>
        <w:t xml:space="preserve"> As a result of the system exchanges and other changes in the Divestiture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354330</wp:posOffset>
            </wp:positionV>
            <wp:extent cx="72713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1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fewer </w:t>
      </w:r>
      <w:r>
        <w:rPr>
          <w:rFonts w:ascii="Arial" w:cs="Arial" w:eastAsia="Arial" w:hAnsi="Arial"/>
          <w:sz w:val="17"/>
          <w:szCs w:val="17"/>
          <w:color w:val="auto"/>
        </w:rPr>
        <w:t>than the 19 MSAs (within the top 20) in which the combined company would have operated if only the Comcast-TWC transaction were at issue.</w:t>
      </w:r>
    </w:p>
    <w:p>
      <w:pPr>
        <w:spacing w:after="0" w:line="172" w:lineRule="exact"/>
        <w:rPr>
          <w:sz w:val="20"/>
          <w:szCs w:val="20"/>
          <w:color w:val="auto"/>
        </w:rPr>
      </w:pPr>
    </w:p>
    <w:p>
      <w:pPr>
        <w:ind w:left="460" w:hanging="459"/>
        <w:spacing w:after="0"/>
        <w:tabs>
          <w:tab w:leader="none" w:pos="46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Comcast-TWC Public Interest Statement at 44.</w:t>
      </w:r>
    </w:p>
    <w:p>
      <w:pPr>
        <w:spacing w:after="0" w:line="154" w:lineRule="exact"/>
        <w:rPr>
          <w:sz w:val="20"/>
          <w:szCs w:val="20"/>
          <w:color w:val="auto"/>
        </w:rPr>
      </w:pPr>
    </w:p>
    <w:p>
      <w:pPr>
        <w:ind w:left="460" w:hanging="459"/>
        <w:spacing w:after="0"/>
        <w:tabs>
          <w:tab w:leader="none" w:pos="46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at 53.</w:t>
      </w:r>
    </w:p>
    <w:p>
      <w:pPr>
        <w:spacing w:after="0" w:line="119" w:lineRule="exact"/>
        <w:rPr>
          <w:sz w:val="20"/>
          <w:szCs w:val="20"/>
          <w:color w:val="auto"/>
        </w:rPr>
      </w:pPr>
    </w:p>
    <w:p>
      <w:pPr>
        <w:ind w:left="460" w:hanging="459"/>
        <w:spacing w:after="0"/>
        <w:tabs>
          <w:tab w:leader="none" w:pos="460" w:val="left"/>
        </w:tabs>
        <w:numPr>
          <w:ilvl w:val="0"/>
          <w:numId w:val="14"/>
        </w:numPr>
        <w:rPr>
          <w:rFonts w:ascii="Arial" w:cs="Arial" w:eastAsia="Arial" w:hAnsi="Arial"/>
          <w:sz w:val="27"/>
          <w:szCs w:val="27"/>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at 54.</w:t>
      </w:r>
    </w:p>
    <w:p>
      <w:pPr>
        <w:spacing w:after="0" w:line="132" w:lineRule="exact"/>
        <w:rPr>
          <w:rFonts w:ascii="Arial" w:cs="Arial" w:eastAsia="Arial" w:hAnsi="Arial"/>
          <w:sz w:val="27"/>
          <w:szCs w:val="27"/>
          <w:color w:val="auto"/>
          <w:vertAlign w:val="superscript"/>
        </w:rPr>
      </w:pPr>
    </w:p>
    <w:p>
      <w:pPr>
        <w:ind w:left="460" w:hanging="459"/>
        <w:spacing w:after="0" w:line="230" w:lineRule="auto"/>
        <w:tabs>
          <w:tab w:leader="none" w:pos="460" w:val="left"/>
        </w:tabs>
        <w:numPr>
          <w:ilvl w:val="0"/>
          <w:numId w:val="14"/>
        </w:numPr>
        <w:rPr>
          <w:rFonts w:ascii="Arial" w:cs="Arial" w:eastAsia="Arial" w:hAnsi="Arial"/>
          <w:sz w:val="27"/>
          <w:szCs w:val="27"/>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at 150.</w:t>
      </w:r>
    </w:p>
    <w:p>
      <w:pPr>
        <w:spacing w:after="0" w:line="132" w:lineRule="exact"/>
        <w:rPr>
          <w:rFonts w:ascii="Arial" w:cs="Arial" w:eastAsia="Arial" w:hAnsi="Arial"/>
          <w:sz w:val="27"/>
          <w:szCs w:val="27"/>
          <w:color w:val="auto"/>
          <w:vertAlign w:val="superscript"/>
        </w:rPr>
      </w:pPr>
    </w:p>
    <w:p>
      <w:pPr>
        <w:ind w:left="460" w:hanging="459"/>
        <w:spacing w:after="0" w:line="230" w:lineRule="auto"/>
        <w:tabs>
          <w:tab w:leader="none" w:pos="460" w:val="left"/>
        </w:tabs>
        <w:numPr>
          <w:ilvl w:val="0"/>
          <w:numId w:val="14"/>
        </w:numPr>
        <w:rPr>
          <w:rFonts w:ascii="Arial" w:cs="Arial" w:eastAsia="Arial" w:hAnsi="Arial"/>
          <w:sz w:val="27"/>
          <w:szCs w:val="27"/>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at 127 n.307.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640080</wp:posOffset>
            </wp:positionV>
            <wp:extent cx="725995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Ms. Marlene H. Dortch</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June 5, 2014</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Page 5</w:t>
      </w:r>
    </w:p>
    <w:p>
      <w:pPr>
        <w:spacing w:after="0" w:line="200" w:lineRule="exact"/>
        <w:rPr>
          <w:sz w:val="20"/>
          <w:szCs w:val="20"/>
          <w:color w:val="auto"/>
        </w:rPr>
      </w:pPr>
    </w:p>
    <w:p>
      <w:pPr>
        <w:spacing w:after="0" w:line="250" w:lineRule="exact"/>
        <w:rPr>
          <w:sz w:val="20"/>
          <w:szCs w:val="20"/>
          <w:color w:val="auto"/>
        </w:rPr>
      </w:pPr>
    </w:p>
    <w:p>
      <w:pPr>
        <w:ind w:left="920"/>
        <w:spacing w:after="0" w:line="262" w:lineRule="auto"/>
        <w:rPr>
          <w:sz w:val="20"/>
          <w:szCs w:val="20"/>
          <w:color w:val="auto"/>
        </w:rPr>
      </w:pPr>
      <w:r>
        <w:rPr>
          <w:rFonts w:ascii="Arial" w:cs="Arial" w:eastAsia="Arial" w:hAnsi="Arial"/>
          <w:sz w:val="17"/>
          <w:szCs w:val="17"/>
          <w:color w:val="auto"/>
        </w:rPr>
        <w:t xml:space="preserve">Transactions, these numbers will be further reduced. Specifically, the number of Comcast residential or small- or medium-sized business customers in these areas will decrease from approximately 2,800 to approximately 780, while the number of Comcast and TWC business services customers in these areas will decrease from approximately 215 to approximately 190. Also, there are similarly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overlaps between certain Comcast systems and some of the systems acquired from Charter in the exchange.</w:t>
      </w:r>
      <w:r>
        <w:rPr>
          <w:rFonts w:ascii="Arial" w:cs="Arial" w:eastAsia="Arial" w:hAnsi="Arial"/>
          <w:sz w:val="23"/>
          <w:szCs w:val="23"/>
          <w:color w:val="auto"/>
          <w:vertAlign w:val="superscript"/>
        </w:rPr>
        <w:t>13</w:t>
      </w:r>
    </w:p>
    <w:p>
      <w:pPr>
        <w:spacing w:after="0" w:line="108" w:lineRule="exact"/>
        <w:rPr>
          <w:sz w:val="20"/>
          <w:szCs w:val="20"/>
          <w:color w:val="auto"/>
        </w:rPr>
      </w:pPr>
    </w:p>
    <w:p>
      <w:pPr>
        <w:ind w:left="920" w:right="40" w:hanging="312"/>
        <w:spacing w:after="0" w:line="245" w:lineRule="auto"/>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National Broadband Share Essentially Unchanged or Slightly Lower</w:t>
      </w:r>
      <w:r>
        <w:rPr>
          <w:rFonts w:ascii="Arial" w:cs="Arial" w:eastAsia="Arial" w:hAnsi="Arial"/>
          <w:sz w:val="16"/>
          <w:szCs w:val="16"/>
          <w:color w:val="auto"/>
        </w:rPr>
        <w:t>. As Dr. Mark Israel explained in his declaration submitted with the Comcast-TWC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Public Interest Statement, the combined company’s share of the national universe of broadband subscribers is irrelevant to whether the combined company could act as a bottleneck or harm edge providers, because broadband competition depends on the choices available to each household in each </w:t>
      </w:r>
      <w:r>
        <w:rPr>
          <w:rFonts w:ascii="Arial" w:cs="Arial" w:eastAsia="Arial" w:hAnsi="Arial"/>
          <w:sz w:val="16"/>
          <w:szCs w:val="16"/>
          <w:i w:val="1"/>
          <w:iCs w:val="1"/>
          <w:color w:val="auto"/>
        </w:rPr>
        <w:t>local</w:t>
      </w:r>
      <w:r>
        <w:rPr>
          <w:rFonts w:ascii="Arial" w:cs="Arial" w:eastAsia="Arial" w:hAnsi="Arial"/>
          <w:sz w:val="16"/>
          <w:szCs w:val="16"/>
          <w:color w:val="auto"/>
        </w:rPr>
        <w:t xml:space="preserve"> area.</w:t>
      </w:r>
      <w:r>
        <w:rPr>
          <w:rFonts w:ascii="Arial" w:cs="Arial" w:eastAsia="Arial" w:hAnsi="Arial"/>
          <w:sz w:val="22"/>
          <w:szCs w:val="22"/>
          <w:color w:val="auto"/>
          <w:vertAlign w:val="superscript"/>
        </w:rPr>
        <w:t>14</w:t>
      </w:r>
      <w:r>
        <w:rPr>
          <w:rFonts w:ascii="Arial" w:cs="Arial" w:eastAsia="Arial" w:hAnsi="Arial"/>
          <w:sz w:val="16"/>
          <w:szCs w:val="16"/>
          <w:color w:val="auto"/>
        </w:rPr>
        <w:t xml:space="preserve"> Nonetheless, based on the latest available data released by the FCC (as of December 2012), Dr. Israel calculated Comcast’s post-transaction share of national broadband subscribers as just under 40 percent of fixed-only connections and just under 20 percent of fixed and mobile connections combined, assuming divestitures of three million video customers.</w:t>
      </w:r>
      <w:r>
        <w:rPr>
          <w:rFonts w:ascii="Arial" w:cs="Arial" w:eastAsia="Arial" w:hAnsi="Arial"/>
          <w:sz w:val="22"/>
          <w:szCs w:val="22"/>
          <w:color w:val="auto"/>
          <w:vertAlign w:val="superscript"/>
        </w:rPr>
        <w:t>15</w:t>
      </w:r>
      <w:r>
        <w:rPr>
          <w:rFonts w:ascii="Arial" w:cs="Arial" w:eastAsia="Arial" w:hAnsi="Arial"/>
          <w:sz w:val="16"/>
          <w:szCs w:val="16"/>
          <w:color w:val="auto"/>
        </w:rPr>
        <w:t xml:space="preserve"> These statements and share percentages remain accurate when taking into account the Divestiture Transactions. Moreover, the fact that Comcast will be divesting a net total of approximately 3.9 million video customers, rather than the assumed three million video customers, means that those previous calculations slightly overstate Comcast’s share of broadband subscribers following all transactions, based on the same December 2012 FCC data.</w:t>
      </w:r>
    </w:p>
    <w:p>
      <w:pPr>
        <w:spacing w:after="0" w:line="216" w:lineRule="exact"/>
        <w:rPr>
          <w:rFonts w:ascii="Arial" w:cs="Arial" w:eastAsia="Arial" w:hAnsi="Arial"/>
          <w:sz w:val="16"/>
          <w:szCs w:val="16"/>
          <w:color w:val="auto"/>
        </w:rPr>
      </w:pPr>
    </w:p>
    <w:p>
      <w:pPr>
        <w:ind w:left="920" w:right="80" w:hanging="312"/>
        <w:spacing w:after="0" w:line="311" w:lineRule="auto"/>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Fewer Programming Assets</w:t>
      </w:r>
      <w:r>
        <w:rPr>
          <w:rFonts w:ascii="Arial" w:cs="Arial" w:eastAsia="Arial" w:hAnsi="Arial"/>
          <w:sz w:val="15"/>
          <w:szCs w:val="15"/>
          <w:color w:val="auto"/>
        </w:rPr>
        <w:t>. Comcast will not acquire any additional national, RSN, or broadcast programming assets as a result of the Divestiture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Transactions and will actually </w:t>
      </w:r>
      <w:r>
        <w:rPr>
          <w:rFonts w:ascii="Arial" w:cs="Arial" w:eastAsia="Arial" w:hAnsi="Arial"/>
          <w:sz w:val="15"/>
          <w:szCs w:val="15"/>
          <w:i w:val="1"/>
          <w:iCs w:val="1"/>
          <w:color w:val="auto"/>
        </w:rPr>
        <w:t>reduce</w:t>
      </w:r>
      <w:r>
        <w:rPr>
          <w:rFonts w:ascii="Arial" w:cs="Arial" w:eastAsia="Arial" w:hAnsi="Arial"/>
          <w:sz w:val="15"/>
          <w:szCs w:val="15"/>
          <w:color w:val="auto"/>
        </w:rPr>
        <w:t xml:space="preserve"> its programming interests. Specifically, Comcast will divest seven TWC local programming networks to Charter and two Comcast local programming networks to SpinCo as part of the Divestiture Transactions,</w:t>
      </w:r>
      <w:r>
        <w:rPr>
          <w:rFonts w:ascii="Arial" w:cs="Arial" w:eastAsia="Arial" w:hAnsi="Arial"/>
          <w:sz w:val="21"/>
          <w:szCs w:val="21"/>
          <w:color w:val="auto"/>
          <w:vertAlign w:val="superscript"/>
        </w:rPr>
        <w:t>16</w:t>
      </w:r>
      <w:r>
        <w:rPr>
          <w:rFonts w:ascii="Arial" w:cs="Arial" w:eastAsia="Arial" w:hAnsi="Arial"/>
          <w:sz w:val="15"/>
          <w:szCs w:val="15"/>
          <w:color w:val="auto"/>
        </w:rPr>
        <w:t xml:space="preserve"> and will obtain only three small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263525</wp:posOffset>
            </wp:positionV>
            <wp:extent cx="1107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7440" cy="8255"/>
                    </a:xfrm>
                    <a:prstGeom prst="rect">
                      <a:avLst/>
                    </a:prstGeom>
                    <a:noFill/>
                  </pic:spPr>
                </pic:pic>
              </a:graphicData>
            </a:graphic>
          </wp:anchor>
        </w:drawing>
        <w:drawing>
          <wp:anchor simplePos="0" relativeHeight="251657728" behindDoc="1" locked="0" layoutInCell="0" allowOverlap="1">
            <wp:simplePos x="0" y="0"/>
            <wp:positionH relativeFrom="column">
              <wp:posOffset>4203700</wp:posOffset>
            </wp:positionH>
            <wp:positionV relativeFrom="paragraph">
              <wp:posOffset>-1670050</wp:posOffset>
            </wp:positionV>
            <wp:extent cx="266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67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firstLine="1"/>
        <w:spacing w:after="0" w:line="228" w:lineRule="auto"/>
        <w:tabs>
          <w:tab w:leader="none" w:pos="522" w:val="left"/>
        </w:tabs>
        <w:numPr>
          <w:ilvl w:val="0"/>
          <w:numId w:val="16"/>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Charter-to-Comcast Exchange Public Interest Statement at 13 n.31 (noting</w:t>
      </w:r>
      <w:r>
        <w:rPr>
          <w:rFonts w:ascii="Arial" w:cs="Arial" w:eastAsia="Arial" w:hAnsi="Arial"/>
          <w:sz w:val="16"/>
          <w:szCs w:val="16"/>
          <w:i w:val="1"/>
          <w:iCs w:val="1"/>
          <w:color w:val="auto"/>
        </w:rPr>
        <w:t xml:space="preserve"> de minimis </w:t>
      </w:r>
      <w:r>
        <w:rPr>
          <w:rFonts w:ascii="Arial" w:cs="Arial" w:eastAsia="Arial" w:hAnsi="Arial"/>
          <w:sz w:val="16"/>
          <w:szCs w:val="16"/>
          <w:color w:val="auto"/>
        </w:rPr>
        <w:t>overlaps of approximately 2,800 residential or small- or medium-sized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customers between Comcast and Charter, and overlaps of approximately 1,500 such customers between TWC and Charter).</w:t>
      </w:r>
    </w:p>
    <w:p>
      <w:pPr>
        <w:spacing w:after="0" w:line="242" w:lineRule="exact"/>
        <w:rPr>
          <w:rFonts w:ascii="Arial" w:cs="Arial" w:eastAsia="Arial" w:hAnsi="Arial"/>
          <w:sz w:val="22"/>
          <w:szCs w:val="22"/>
          <w:i w:val="1"/>
          <w:iCs w:val="1"/>
          <w:color w:val="auto"/>
          <w:vertAlign w:val="superscript"/>
        </w:rPr>
      </w:pPr>
    </w:p>
    <w:p>
      <w:pPr>
        <w:ind w:right="140" w:firstLine="1"/>
        <w:spacing w:after="0" w:line="211" w:lineRule="auto"/>
        <w:tabs>
          <w:tab w:leader="none" w:pos="522" w:val="left"/>
        </w:tabs>
        <w:numPr>
          <w:ilvl w:val="0"/>
          <w:numId w:val="16"/>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Comcast-TWC Public Interest Statement, Exhibit 6, Declaration of Dr. Mark A. Israel ¶¶ 20-23, 42 (“Israel Decl.”);</w:t>
      </w:r>
      <w:r>
        <w:rPr>
          <w:rFonts w:ascii="Arial" w:cs="Arial" w:eastAsia="Arial" w:hAnsi="Arial"/>
          <w:sz w:val="17"/>
          <w:szCs w:val="17"/>
          <w:i w:val="1"/>
          <w:iCs w:val="1"/>
          <w:color w:val="auto"/>
        </w:rPr>
        <w:t xml:space="preserve"> see also </w:t>
      </w:r>
      <w:r>
        <w:rPr>
          <w:rFonts w:ascii="Arial" w:cs="Arial" w:eastAsia="Arial" w:hAnsi="Arial"/>
          <w:sz w:val="17"/>
          <w:szCs w:val="17"/>
          <w:color w:val="auto"/>
        </w:rPr>
        <w:t>Comcast-TWC Public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at 158.</w:t>
      </w:r>
    </w:p>
    <w:p>
      <w:pPr>
        <w:spacing w:after="0" w:line="155" w:lineRule="exact"/>
        <w:rPr>
          <w:rFonts w:ascii="Arial" w:cs="Arial" w:eastAsia="Arial" w:hAnsi="Arial"/>
          <w:sz w:val="24"/>
          <w:szCs w:val="24"/>
          <w:i w:val="1"/>
          <w:iCs w:val="1"/>
          <w:color w:val="auto"/>
          <w:vertAlign w:val="superscript"/>
        </w:rPr>
      </w:pPr>
    </w:p>
    <w:p>
      <w:pPr>
        <w:ind w:left="380" w:hanging="379"/>
        <w:spacing w:after="0"/>
        <w:tabs>
          <w:tab w:leader="none" w:pos="38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Israel Decl. ¶ 42 &amp; Table 1.</w:t>
      </w:r>
    </w:p>
    <w:p>
      <w:pPr>
        <w:spacing w:after="0" w:line="240" w:lineRule="exact"/>
        <w:rPr>
          <w:rFonts w:ascii="Arial" w:cs="Arial" w:eastAsia="Arial" w:hAnsi="Arial"/>
          <w:sz w:val="24"/>
          <w:szCs w:val="24"/>
          <w:color w:val="auto"/>
          <w:vertAlign w:val="superscript"/>
        </w:rPr>
      </w:pPr>
    </w:p>
    <w:p>
      <w:pPr>
        <w:jc w:val="both"/>
        <w:ind w:right="20" w:firstLine="1"/>
        <w:spacing w:after="0" w:line="228" w:lineRule="auto"/>
        <w:tabs>
          <w:tab w:leader="none" w:pos="522"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The seven TWC networks that will be divested to Charter are (i) Time Warner Cable SportsChannel (Cincinnati/Dayton); (ii) Time Warner Cable SportsChannel (Cleveland/Akron); (iii) Time Warner Cable SportsChannel (Columbus/Toledo); (iv) Time Warner Cable Live Radar (Columbus); (v) Time Warner Cable Local Weather (Cleveland/Akron); (vi) Time Warner Cable SportsChannel (Milwaukee, Green Bay); and (vii) cn|2 (Kentucky). The two Comcast networks that will be divested to SpinCo are the Comcast Television Network (Michigan) and Hoosier TV (Indiana).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641350</wp:posOffset>
            </wp:positionV>
            <wp:extent cx="725995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Ms. Marlene H. Dortch</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June 5, 2014</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Page 6</w:t>
      </w:r>
    </w:p>
    <w:p>
      <w:pPr>
        <w:spacing w:after="0" w:line="200" w:lineRule="exact"/>
        <w:rPr>
          <w:sz w:val="20"/>
          <w:szCs w:val="20"/>
          <w:color w:val="auto"/>
        </w:rPr>
      </w:pPr>
    </w:p>
    <w:p>
      <w:pPr>
        <w:spacing w:after="0" w:line="24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networks from Charter that are operated by the local cable systems Comcast will receive in the exchange.</w:t>
      </w:r>
      <w:r>
        <w:rPr>
          <w:rFonts w:ascii="Arial" w:cs="Arial" w:eastAsia="Arial" w:hAnsi="Arial"/>
          <w:sz w:val="23"/>
          <w:szCs w:val="23"/>
          <w:color w:val="auto"/>
          <w:vertAlign w:val="superscript"/>
        </w:rPr>
        <w:t>17</w:t>
      </w:r>
    </w:p>
    <w:p>
      <w:pPr>
        <w:spacing w:after="0" w:line="167" w:lineRule="exact"/>
        <w:rPr>
          <w:sz w:val="20"/>
          <w:szCs w:val="20"/>
          <w:color w:val="auto"/>
        </w:rPr>
      </w:pPr>
    </w:p>
    <w:p>
      <w:pPr>
        <w:ind w:right="40" w:firstLine="607"/>
        <w:spacing w:after="0" w:line="255" w:lineRule="auto"/>
        <w:rPr>
          <w:sz w:val="20"/>
          <w:szCs w:val="20"/>
          <w:color w:val="auto"/>
        </w:rPr>
      </w:pPr>
      <w:r>
        <w:rPr>
          <w:rFonts w:ascii="Arial" w:cs="Arial" w:eastAsia="Arial" w:hAnsi="Arial"/>
          <w:sz w:val="17"/>
          <w:szCs w:val="17"/>
          <w:color w:val="auto"/>
        </w:rPr>
        <w:t>As the changes noted above reinforce, the Comcast-TWC transaction remains pro-consumer, pro-competitive, and strongly in the public interest. The Divestiture Transactions will not diminish the key benefits of the Comcast-TWC transaction, and, in fact, will in some ways enhance these benefits while mitigating any potential concerns. Each of the following benefits described in the Comcast-TWC Public Interest Statement will still be realized and will be extended to the new systems and customers that Comcast acquires from Charter:</w:t>
      </w:r>
    </w:p>
    <w:p>
      <w:pPr>
        <w:spacing w:after="0" w:line="206" w:lineRule="exact"/>
        <w:rPr>
          <w:sz w:val="20"/>
          <w:szCs w:val="20"/>
          <w:color w:val="auto"/>
        </w:rPr>
      </w:pPr>
    </w:p>
    <w:p>
      <w:pPr>
        <w:ind w:left="920" w:hanging="312"/>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additional investment in developing advanced broadband, video, and voice services;</w:t>
      </w:r>
    </w:p>
    <w:p>
      <w:pPr>
        <w:spacing w:after="0" w:line="234" w:lineRule="exact"/>
        <w:rPr>
          <w:rFonts w:ascii="Arial" w:cs="Arial" w:eastAsia="Arial" w:hAnsi="Arial"/>
          <w:sz w:val="17"/>
          <w:szCs w:val="17"/>
          <w:color w:val="auto"/>
        </w:rPr>
      </w:pPr>
    </w:p>
    <w:p>
      <w:pPr>
        <w:ind w:left="920" w:right="120" w:hanging="312"/>
        <w:spacing w:after="0" w:line="303" w:lineRule="auto"/>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accelerated and widespread deployment of all-digital systems and more secure and reliable networks, faster broadband speeds, improved Wi-Fi, advanced video services (e.g.</w:t>
      </w:r>
      <w:r>
        <w:rPr>
          <w:rFonts w:ascii="Arial" w:cs="Arial" w:eastAsia="Arial" w:hAnsi="Arial"/>
          <w:sz w:val="16"/>
          <w:szCs w:val="16"/>
          <w:i w:val="1"/>
          <w:iCs w:val="1"/>
          <w:color w:val="auto"/>
        </w:rPr>
        <w:t>,</w:t>
      </w:r>
      <w:r>
        <w:rPr>
          <w:rFonts w:ascii="Arial" w:cs="Arial" w:eastAsia="Arial" w:hAnsi="Arial"/>
          <w:sz w:val="16"/>
          <w:szCs w:val="16"/>
          <w:color w:val="auto"/>
        </w:rPr>
        <w:t xml:space="preserve"> X1, DVR with cloud technology, expanded video-on-demand and TV Everywhere), and innovative voice services;</w:t>
      </w:r>
    </w:p>
    <w:p>
      <w:pPr>
        <w:spacing w:after="0" w:line="167" w:lineRule="exact"/>
        <w:rPr>
          <w:rFonts w:ascii="Arial" w:cs="Arial" w:eastAsia="Arial" w:hAnsi="Arial"/>
          <w:sz w:val="16"/>
          <w:szCs w:val="16"/>
          <w:color w:val="auto"/>
        </w:rPr>
      </w:pPr>
    </w:p>
    <w:p>
      <w:pPr>
        <w:ind w:left="920" w:hanging="312"/>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enhanced competition in the business services market;</w:t>
      </w:r>
    </w:p>
    <w:p>
      <w:pPr>
        <w:spacing w:after="0" w:line="234" w:lineRule="exact"/>
        <w:rPr>
          <w:rFonts w:ascii="Arial" w:cs="Arial" w:eastAsia="Arial" w:hAnsi="Arial"/>
          <w:sz w:val="17"/>
          <w:szCs w:val="17"/>
          <w:color w:val="auto"/>
        </w:rPr>
      </w:pPr>
    </w:p>
    <w:p>
      <w:pPr>
        <w:jc w:val="both"/>
        <w:ind w:left="920" w:right="640" w:hanging="312"/>
        <w:spacing w:after="0" w:line="259" w:lineRule="auto"/>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a variety of other public interest benefits, including benefits resulting from the extension of conditions and commitments from the NBCUniversal transaction, notably the Open Internet protections and standalone broadband offerings, as well as Comcast’s commitment to its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broadband adoption program, and to diversity, accessibility, and cybersecurity; and</w:t>
      </w:r>
    </w:p>
    <w:p>
      <w:pPr>
        <w:spacing w:after="0" w:line="199" w:lineRule="exact"/>
        <w:rPr>
          <w:rFonts w:ascii="Arial" w:cs="Arial" w:eastAsia="Arial" w:hAnsi="Arial"/>
          <w:sz w:val="17"/>
          <w:szCs w:val="17"/>
          <w:color w:val="auto"/>
        </w:rPr>
      </w:pPr>
    </w:p>
    <w:p>
      <w:pPr>
        <w:ind w:left="920" w:hanging="312"/>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broad deployment of next-generation advertising technologies to the benefit of advertisers, content providers, and consumers.</w:t>
      </w:r>
      <w:r>
        <w:rPr>
          <w:rFonts w:ascii="Arial" w:cs="Arial" w:eastAsia="Arial" w:hAnsi="Arial"/>
          <w:sz w:val="23"/>
          <w:szCs w:val="23"/>
          <w:color w:val="auto"/>
          <w:vertAlign w:val="superscript"/>
        </w:rPr>
        <w:t>18</w:t>
      </w:r>
    </w:p>
    <w:p>
      <w:pPr>
        <w:spacing w:after="0" w:line="167" w:lineRule="exact"/>
        <w:rPr>
          <w:sz w:val="20"/>
          <w:szCs w:val="20"/>
          <w:color w:val="auto"/>
        </w:rPr>
      </w:pPr>
    </w:p>
    <w:p>
      <w:pPr>
        <w:ind w:firstLine="607"/>
        <w:spacing w:after="0" w:line="274" w:lineRule="auto"/>
        <w:rPr>
          <w:sz w:val="20"/>
          <w:szCs w:val="20"/>
          <w:color w:val="auto"/>
        </w:rPr>
      </w:pPr>
      <w:r>
        <w:rPr>
          <w:rFonts w:ascii="Arial" w:cs="Arial" w:eastAsia="Arial" w:hAnsi="Arial"/>
          <w:sz w:val="15"/>
          <w:szCs w:val="15"/>
          <w:color w:val="auto"/>
        </w:rPr>
        <w:t>As Drs. Rosston and Topper explain in their supplemental economic analysis submitted with the Charter-to-Comcast Exchange Public Interest Statement, the Divestiture Transactions do not change their prior conclusions regarding the substantial public interest benefits and lack of public interest harms from the Comcast-TWC transaction.</w:t>
      </w:r>
      <w:r>
        <w:rPr>
          <w:rFonts w:ascii="Arial" w:cs="Arial" w:eastAsia="Arial" w:hAnsi="Arial"/>
          <w:sz w:val="21"/>
          <w:szCs w:val="21"/>
          <w:color w:val="auto"/>
          <w:vertAlign w:val="superscript"/>
        </w:rPr>
        <w:t>19</w:t>
      </w:r>
      <w:r>
        <w:rPr>
          <w:rFonts w:ascii="Arial" w:cs="Arial" w:eastAsia="Arial" w:hAnsi="Arial"/>
          <w:sz w:val="15"/>
          <w:szCs w:val="15"/>
          <w:color w:val="auto"/>
        </w:rPr>
        <w:t xml:space="preserve"> In particular, Drs. Rosston and Topper conclude that the scale efficiencies, expanded geographic reach, and resulting public interest benefits they previously identified in their April 2014 declaration</w:t>
      </w:r>
      <w:r>
        <w:rPr>
          <w:rFonts w:ascii="Arial" w:cs="Arial" w:eastAsia="Arial" w:hAnsi="Arial"/>
          <w:sz w:val="21"/>
          <w:szCs w:val="21"/>
          <w:color w:val="auto"/>
          <w:vertAlign w:val="superscript"/>
        </w:rPr>
        <w:t>20</w:t>
      </w:r>
      <w:r>
        <w:rPr>
          <w:rFonts w:ascii="Arial" w:cs="Arial" w:eastAsia="Arial" w:hAnsi="Arial"/>
          <w:sz w:val="15"/>
          <w:szCs w:val="15"/>
          <w:color w:val="auto"/>
        </w:rPr>
        <w:t xml:space="preserve"> remain in place “because the divestitures are only slightly larger than the level we assumed.”</w:t>
      </w:r>
      <w:r>
        <w:rPr>
          <w:rFonts w:ascii="Arial" w:cs="Arial" w:eastAsia="Arial" w:hAnsi="Arial"/>
          <w:sz w:val="21"/>
          <w:szCs w:val="21"/>
          <w:color w:val="auto"/>
          <w:vertAlign w:val="superscript"/>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274320</wp:posOffset>
            </wp:positionV>
            <wp:extent cx="1107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right="560" w:firstLine="1"/>
        <w:spacing w:after="0" w:line="211" w:lineRule="auto"/>
        <w:tabs>
          <w:tab w:leader="none" w:pos="522"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These three networks are (i) Charter TV3 in Worcester, MA; (ii) a local origination channel in the Northwest covering Walla Walla, Richland, Pasco, and Kennewick, WA; and (iii) Channel 101/188 in California.</w:t>
      </w:r>
    </w:p>
    <w:p>
      <w:pPr>
        <w:spacing w:after="0" w:line="155" w:lineRule="exact"/>
        <w:rPr>
          <w:rFonts w:ascii="Arial" w:cs="Arial" w:eastAsia="Arial" w:hAnsi="Arial"/>
          <w:sz w:val="24"/>
          <w:szCs w:val="24"/>
          <w:color w:val="auto"/>
          <w:vertAlign w:val="superscript"/>
        </w:rPr>
      </w:pPr>
    </w:p>
    <w:p>
      <w:pPr>
        <w:ind w:left="420" w:hanging="419"/>
        <w:spacing w:after="0"/>
        <w:tabs>
          <w:tab w:leader="none" w:pos="42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Comcast-TWC Public Interest Statement at 20-126.</w:t>
      </w:r>
    </w:p>
    <w:p>
      <w:pPr>
        <w:spacing w:after="0" w:line="240" w:lineRule="exact"/>
        <w:rPr>
          <w:rFonts w:ascii="Arial" w:cs="Arial" w:eastAsia="Arial" w:hAnsi="Arial"/>
          <w:sz w:val="24"/>
          <w:szCs w:val="24"/>
          <w:color w:val="auto"/>
          <w:vertAlign w:val="superscript"/>
        </w:rPr>
      </w:pPr>
    </w:p>
    <w:p>
      <w:pPr>
        <w:ind w:right="280" w:firstLine="1"/>
        <w:spacing w:after="0" w:line="243" w:lineRule="auto"/>
        <w:tabs>
          <w:tab w:leader="none" w:pos="522"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Supplemental Declaration of Dr. Gregory L. Rosston and Dr. Michael D. Topper ¶ 5 (June 4, 2014) (“Rosston/Topper Supplemental Decl.”) (“The divestiture transactions do not change the conclusions in our April Report that the TWC transaction will generate significant competitive benefits and efficiencies.”).</w:t>
      </w:r>
    </w:p>
    <w:p>
      <w:pPr>
        <w:spacing w:after="0" w:line="150" w:lineRule="exact"/>
        <w:rPr>
          <w:rFonts w:ascii="Arial" w:cs="Arial" w:eastAsia="Arial" w:hAnsi="Arial"/>
          <w:sz w:val="21"/>
          <w:szCs w:val="21"/>
          <w:color w:val="auto"/>
          <w:vertAlign w:val="superscript"/>
        </w:rPr>
      </w:pPr>
    </w:p>
    <w:p>
      <w:pPr>
        <w:ind w:left="380" w:hanging="379"/>
        <w:spacing w:after="0"/>
        <w:tabs>
          <w:tab w:leader="none" w:pos="380" w:val="left"/>
        </w:tabs>
        <w:numPr>
          <w:ilvl w:val="0"/>
          <w:numId w:val="18"/>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Rosston/Topper Decl. ¶¶ 9-17, 44-50, 52, 56-58.</w:t>
      </w:r>
    </w:p>
    <w:p>
      <w:pPr>
        <w:spacing w:after="0" w:line="153" w:lineRule="exact"/>
        <w:rPr>
          <w:rFonts w:ascii="Arial" w:cs="Arial" w:eastAsia="Arial" w:hAnsi="Arial"/>
          <w:sz w:val="24"/>
          <w:szCs w:val="24"/>
          <w:i w:val="1"/>
          <w:iCs w:val="1"/>
          <w:color w:val="auto"/>
          <w:vertAlign w:val="superscript"/>
        </w:rPr>
      </w:pPr>
    </w:p>
    <w:p>
      <w:pPr>
        <w:ind w:left="380" w:hanging="379"/>
        <w:spacing w:after="0"/>
        <w:tabs>
          <w:tab w:leader="none" w:pos="38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Rosston/Topper Supplemental Decl.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479425</wp:posOffset>
            </wp:positionV>
            <wp:extent cx="725995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810" w:right="25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Ms. Marlene H. Dortch</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June 5, 2014</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Page 7</w:t>
      </w:r>
    </w:p>
    <w:p>
      <w:pPr>
        <w:spacing w:after="0" w:line="200" w:lineRule="exact"/>
        <w:rPr>
          <w:sz w:val="20"/>
          <w:szCs w:val="20"/>
          <w:color w:val="auto"/>
        </w:rPr>
      </w:pPr>
    </w:p>
    <w:p>
      <w:pPr>
        <w:spacing w:after="0" w:line="25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 xml:space="preserve">In fact, as Drs. Rosston and Topper explain, several </w:t>
      </w:r>
      <w:r>
        <w:rPr>
          <w:rFonts w:ascii="Arial" w:cs="Arial" w:eastAsia="Arial" w:hAnsi="Arial"/>
          <w:sz w:val="15"/>
          <w:szCs w:val="15"/>
          <w:i w:val="1"/>
          <w:iCs w:val="1"/>
          <w:color w:val="auto"/>
        </w:rPr>
        <w:t>additional competitive benefits</w:t>
      </w:r>
      <w:r>
        <w:rPr>
          <w:rFonts w:ascii="Arial" w:cs="Arial" w:eastAsia="Arial" w:hAnsi="Arial"/>
          <w:sz w:val="15"/>
          <w:szCs w:val="15"/>
          <w:color w:val="auto"/>
        </w:rPr>
        <w:t xml:space="preserve"> and efficiencies flow from the contiguous regional footprints created by the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Divestiture Transactions. In particular, Drs. Rosston and Topper conclude:</w:t>
      </w:r>
    </w:p>
    <w:p>
      <w:pPr>
        <w:spacing w:after="0" w:line="222" w:lineRule="exact"/>
        <w:rPr>
          <w:sz w:val="20"/>
          <w:szCs w:val="20"/>
          <w:color w:val="auto"/>
        </w:rPr>
      </w:pPr>
    </w:p>
    <w:p>
      <w:pPr>
        <w:jc w:val="both"/>
        <w:ind w:left="920" w:right="80" w:hanging="312"/>
        <w:spacing w:after="0" w:line="259"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“By expanding its contiguous service areas in certain regions, Comcast will be able to achieve efficiencies from geographic clustering. Economies of scale at the regional level should lead to greater efficiencies in network infrastructure and upgrades; in operational, marketing, and administrative functions; and in customer service.”</w:t>
      </w:r>
    </w:p>
    <w:p>
      <w:pPr>
        <w:spacing w:after="0" w:line="201" w:lineRule="exact"/>
        <w:rPr>
          <w:rFonts w:ascii="Arial" w:cs="Arial" w:eastAsia="Arial" w:hAnsi="Arial"/>
          <w:sz w:val="17"/>
          <w:szCs w:val="17"/>
          <w:color w:val="auto"/>
        </w:rPr>
      </w:pPr>
    </w:p>
    <w:p>
      <w:pPr>
        <w:ind w:left="920" w:right="40" w:hanging="312"/>
        <w:spacing w:after="0" w:line="277" w:lineRule="auto"/>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“After the divestiture transactions, Comcast will expand its contiguous service areas in certain regions, which will allow the benefits of expanded geographic reach described in our April Report to extend more broadly in those regions, including allowing Comcast to serve more regional businesses on its own network. This, in turn, will lead to lower prices and improved service for business customers; and additional investments spurred by new business opportunities will redound to residential customers’ benefit as well. Expansion of its contiguous service areas will also provide Comcast a greater incentive to provide its customers with a more extensive network of Wi-Fi access points.”</w:t>
      </w:r>
      <w:r>
        <w:rPr>
          <w:rFonts w:ascii="Arial" w:cs="Arial" w:eastAsia="Arial" w:hAnsi="Arial"/>
          <w:sz w:val="22"/>
          <w:szCs w:val="22"/>
          <w:color w:val="auto"/>
          <w:vertAlign w:val="superscript"/>
        </w:rPr>
        <w:t>22</w:t>
      </w:r>
    </w:p>
    <w:p>
      <w:pPr>
        <w:spacing w:after="0" w:line="97" w:lineRule="exact"/>
        <w:rPr>
          <w:sz w:val="20"/>
          <w:szCs w:val="20"/>
          <w:color w:val="auto"/>
        </w:rPr>
      </w:pPr>
    </w:p>
    <w:p>
      <w:pPr>
        <w:ind w:right="80" w:firstLine="607"/>
        <w:spacing w:after="0" w:line="281" w:lineRule="auto"/>
        <w:rPr>
          <w:sz w:val="20"/>
          <w:szCs w:val="20"/>
          <w:color w:val="auto"/>
        </w:rPr>
      </w:pPr>
      <w:r>
        <w:rPr>
          <w:rFonts w:ascii="Arial" w:cs="Arial" w:eastAsia="Arial" w:hAnsi="Arial"/>
          <w:sz w:val="16"/>
          <w:szCs w:val="16"/>
          <w:color w:val="auto"/>
        </w:rPr>
        <w:t xml:space="preserve">The combined company will no longer serve systems (including legacy TWC systems) in Minnesota and Wisconsin and will have a greatly reduced or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minimis </w:t>
      </w:r>
      <w:r>
        <w:rPr>
          <w:rFonts w:ascii="Arial" w:cs="Arial" w:eastAsia="Arial" w:hAnsi="Arial"/>
          <w:sz w:val="16"/>
          <w:szCs w:val="16"/>
          <w:color w:val="auto"/>
        </w:rPr>
        <w:t>presence in Alabama, Indiana, Kentucky, Michigan, and Ohio following the Divestiture Transactions (meaning that businesses with locations in these areas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be served on the combined company’s network). However, as Drs. Rosston and Topper make clear, any such reduced opportunities will be more than offset by enhanced opportunities to better serve other regional, super-regional, and enterprise businesses with a presence in other regions.</w:t>
      </w:r>
      <w:r>
        <w:rPr>
          <w:rFonts w:ascii="Arial" w:cs="Arial" w:eastAsia="Arial" w:hAnsi="Arial"/>
          <w:sz w:val="22"/>
          <w:szCs w:val="22"/>
          <w:color w:val="auto"/>
          <w:vertAlign w:val="superscript"/>
        </w:rPr>
        <w:t>23</w:t>
      </w:r>
    </w:p>
    <w:p>
      <w:pPr>
        <w:spacing w:after="0" w:line="94" w:lineRule="exact"/>
        <w:rPr>
          <w:sz w:val="20"/>
          <w:szCs w:val="20"/>
          <w:color w:val="auto"/>
        </w:rPr>
      </w:pPr>
    </w:p>
    <w:p>
      <w:pPr>
        <w:ind w:right="720" w:firstLine="607"/>
        <w:spacing w:after="0" w:line="271" w:lineRule="auto"/>
        <w:rPr>
          <w:sz w:val="20"/>
          <w:szCs w:val="20"/>
          <w:color w:val="auto"/>
        </w:rPr>
      </w:pPr>
      <w:r>
        <w:rPr>
          <w:rFonts w:ascii="Arial" w:cs="Arial" w:eastAsia="Arial" w:hAnsi="Arial"/>
          <w:sz w:val="17"/>
          <w:szCs w:val="17"/>
          <w:color w:val="auto"/>
        </w:rPr>
        <w:t>In addition, the changes resulting from the Divestiture Transactions will preserve and enhance the substantial benefits described in the Comcast-TWC Public Interest Statement without giving rise to any competitive harms. As Drs. Rosston and Topper explain: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1107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380" w:hanging="379"/>
        <w:spacing w:after="0"/>
        <w:tabs>
          <w:tab w:leader="none" w:pos="380" w:val="left"/>
        </w:tabs>
        <w:numPr>
          <w:ilvl w:val="0"/>
          <w:numId w:val="20"/>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Id</w:t>
      </w:r>
      <w:r>
        <w:rPr>
          <w:rFonts w:ascii="Arial" w:cs="Arial" w:eastAsia="Arial" w:hAnsi="Arial"/>
          <w:sz w:val="17"/>
          <w:szCs w:val="17"/>
          <w:color w:val="auto"/>
        </w:rPr>
        <w:t>. ¶ 5;</w:t>
      </w:r>
      <w:r>
        <w:rPr>
          <w:rFonts w:ascii="Arial" w:cs="Arial" w:eastAsia="Arial" w:hAnsi="Arial"/>
          <w:sz w:val="17"/>
          <w:szCs w:val="17"/>
          <w:i w:val="1"/>
          <w:iCs w:val="1"/>
          <w:color w:val="auto"/>
        </w:rPr>
        <w:t xml:space="preserve"> see also id. </w:t>
      </w:r>
      <w:r>
        <w:rPr>
          <w:rFonts w:ascii="Arial" w:cs="Arial" w:eastAsia="Arial" w:hAnsi="Arial"/>
          <w:sz w:val="17"/>
          <w:szCs w:val="17"/>
          <w:color w:val="auto"/>
        </w:rPr>
        <w:t>¶¶ 7-19; Charter-to-Comcast Exchange Public Interest Statement at 6-10.</w:t>
      </w:r>
    </w:p>
    <w:p>
      <w:pPr>
        <w:spacing w:after="0" w:line="240" w:lineRule="exact"/>
        <w:rPr>
          <w:rFonts w:ascii="Arial" w:cs="Arial" w:eastAsia="Arial" w:hAnsi="Arial"/>
          <w:sz w:val="24"/>
          <w:szCs w:val="24"/>
          <w:i w:val="1"/>
          <w:iCs w:val="1"/>
          <w:color w:val="auto"/>
          <w:vertAlign w:val="superscript"/>
        </w:rPr>
      </w:pPr>
    </w:p>
    <w:p>
      <w:pPr>
        <w:ind w:firstLine="1"/>
        <w:spacing w:after="0" w:line="257" w:lineRule="auto"/>
        <w:tabs>
          <w:tab w:leader="none" w:pos="522"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 xml:space="preserve">Rosston/Topper Supplemental Decl. ¶¶ 15-17. The specific regions referenced in the Comcast-TWC Public Interest Statement were illustrative examples. Comcast’s willingness from day one to divest systems serving approximately three million subscribers made clear that some regions within the combined company’s footprint would inevitably be affected by subsequent divestitures. Moreover, the TWC and legacy Comcast systems to be transferred to Charter and SpinCo will maintain and/or enhance those companies’ regional footprints. As a result, some of the examples of enhanced ability to compete for and serve large businesses in particular regions cited in the Comcast-TWC Public Interest Statement will be realized by the new owners of these systems. </w:t>
      </w:r>
      <w:r>
        <w:rPr>
          <w:rFonts w:ascii="Arial" w:cs="Arial" w:eastAsia="Arial" w:hAnsi="Arial"/>
          <w:sz w:val="16"/>
          <w:szCs w:val="16"/>
          <w:i w:val="1"/>
          <w:iCs w:val="1"/>
          <w:color w:val="auto"/>
        </w:rPr>
        <w:t>See also id</w:t>
      </w:r>
      <w:r>
        <w:rPr>
          <w:rFonts w:ascii="Arial" w:cs="Arial" w:eastAsia="Arial" w:hAnsi="Arial"/>
          <w:sz w:val="16"/>
          <w:szCs w:val="16"/>
          <w:color w:val="auto"/>
        </w:rPr>
        <w:t xml:space="preserve">. at 8 n.29 (“However, the divested areas complement Charter’s and SpinCo’s post-transaction footprints, and Charter and SpinCo should thus be better situated to serve multi-location businesses in those areas.”). As Charter and SpinCo explain, the enhanced geographic rationalization they will enjoy based on the systems they acquire from Comcast/TWC in the Divestiture Transactions, coupled with the ability of Charter and SpinCo to work together in light of Charter’s services agreement with SpinCo, will translate into significant benefits for business and residential customers alike in these regions.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Comcast-to-Charter Sale/Exchange Public Interest Statement at 7-17; SpinCo Public Interest Statement at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633730</wp:posOffset>
            </wp:positionV>
            <wp:extent cx="725995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Ms. Marlene H. Dortch</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June 5, 2014</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Page 8</w:t>
      </w:r>
    </w:p>
    <w:p>
      <w:pPr>
        <w:spacing w:after="0" w:line="200" w:lineRule="exact"/>
        <w:rPr>
          <w:sz w:val="20"/>
          <w:szCs w:val="20"/>
          <w:color w:val="auto"/>
        </w:rPr>
      </w:pPr>
    </w:p>
    <w:p>
      <w:pPr>
        <w:spacing w:after="0" w:line="250" w:lineRule="exact"/>
        <w:rPr>
          <w:sz w:val="20"/>
          <w:szCs w:val="20"/>
          <w:color w:val="auto"/>
        </w:rPr>
      </w:pPr>
    </w:p>
    <w:p>
      <w:pPr>
        <w:ind w:left="600" w:right="560"/>
        <w:spacing w:after="0" w:line="271" w:lineRule="auto"/>
        <w:rPr>
          <w:sz w:val="20"/>
          <w:szCs w:val="20"/>
          <w:color w:val="auto"/>
        </w:rPr>
      </w:pPr>
      <w:r>
        <w:rPr>
          <w:rFonts w:ascii="Arial" w:cs="Arial" w:eastAsia="Arial" w:hAnsi="Arial"/>
          <w:sz w:val="17"/>
          <w:szCs w:val="17"/>
          <w:color w:val="auto"/>
        </w:rPr>
        <w:t>“In our April Report, we concluded that the TWC transaction does not raise any competition concerns in video distribution, programming acquisition or selling, or video advertising. The divestiture transactions do not change those conclusions:</w:t>
      </w:r>
    </w:p>
    <w:p>
      <w:pPr>
        <w:spacing w:after="0" w:line="191" w:lineRule="exact"/>
        <w:rPr>
          <w:sz w:val="20"/>
          <w:szCs w:val="20"/>
          <w:color w:val="auto"/>
        </w:rPr>
      </w:pPr>
    </w:p>
    <w:p>
      <w:pPr>
        <w:ind w:left="920" w:right="100" w:hanging="312"/>
        <w:spacing w:after="0" w:line="259" w:lineRule="auto"/>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At the national level, the divestiture transactions will reduce Comcast’s national share of MVPD customers. This reduction in national share does not raise any competitive concerns for video distribution, program buying, program selling, or video advertising, especially since the TWC transaction raises no competitive concerns for these services.</w:t>
      </w:r>
    </w:p>
    <w:p>
      <w:pPr>
        <w:spacing w:after="0" w:line="201" w:lineRule="exact"/>
        <w:rPr>
          <w:rFonts w:ascii="Arial" w:cs="Arial" w:eastAsia="Arial" w:hAnsi="Arial"/>
          <w:sz w:val="17"/>
          <w:szCs w:val="17"/>
          <w:color w:val="auto"/>
        </w:rPr>
      </w:pPr>
    </w:p>
    <w:p>
      <w:pPr>
        <w:ind w:left="920" w:hanging="312"/>
        <w:spacing w:after="0" w:line="332" w:lineRule="auto"/>
        <w:tabs>
          <w:tab w:leader="none" w:pos="9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 certain geographic regions, the divestiture transactions will lead to modest increases in customers served by the combined company. . . . [T]his additional clustering does not raise competitive concerns for video distribution, program buying, program selling, or video advertising in any region.”</w:t>
      </w:r>
      <w:r>
        <w:rPr>
          <w:rFonts w:ascii="Arial" w:cs="Arial" w:eastAsia="Arial" w:hAnsi="Arial"/>
          <w:sz w:val="21"/>
          <w:szCs w:val="21"/>
          <w:color w:val="auto"/>
          <w:vertAlign w:val="superscript"/>
        </w:rPr>
        <w:t>24</w:t>
      </w:r>
    </w:p>
    <w:p>
      <w:pPr>
        <w:spacing w:after="0" w:line="59" w:lineRule="exact"/>
        <w:rPr>
          <w:sz w:val="20"/>
          <w:szCs w:val="20"/>
          <w:color w:val="auto"/>
        </w:rPr>
      </w:pPr>
    </w:p>
    <w:p>
      <w:pPr>
        <w:ind w:left="5120"/>
        <w:spacing w:after="0"/>
        <w:tabs>
          <w:tab w:leader="none" w:pos="5660" w:val="left"/>
          <w:tab w:leader="none" w:pos="62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34" w:lineRule="exact"/>
        <w:rPr>
          <w:sz w:val="20"/>
          <w:szCs w:val="20"/>
          <w:color w:val="auto"/>
        </w:rPr>
      </w:pPr>
    </w:p>
    <w:p>
      <w:pPr>
        <w:ind w:right="120" w:firstLine="607"/>
        <w:spacing w:after="0" w:line="271" w:lineRule="auto"/>
        <w:rPr>
          <w:sz w:val="20"/>
          <w:szCs w:val="20"/>
          <w:color w:val="auto"/>
        </w:rPr>
      </w:pPr>
      <w:r>
        <w:rPr>
          <w:rFonts w:ascii="Arial" w:cs="Arial" w:eastAsia="Arial" w:hAnsi="Arial"/>
          <w:sz w:val="16"/>
          <w:szCs w:val="16"/>
          <w:color w:val="auto"/>
        </w:rPr>
        <w:t xml:space="preserve">In short, the changes to the combined company as a result of the Divestiture Transactions will not reduce – and in some important respects will </w:t>
      </w:r>
      <w:r>
        <w:rPr>
          <w:rFonts w:ascii="Arial" w:cs="Arial" w:eastAsia="Arial" w:hAnsi="Arial"/>
          <w:sz w:val="16"/>
          <w:szCs w:val="16"/>
          <w:i w:val="1"/>
          <w:iCs w:val="1"/>
          <w:color w:val="auto"/>
        </w:rPr>
        <w:t>enhance</w:t>
      </w:r>
      <w:r>
        <w:rPr>
          <w:rFonts w:ascii="Arial" w:cs="Arial" w:eastAsia="Arial" w:hAnsi="Arial"/>
          <w:sz w:val="16"/>
          <w:szCs w:val="16"/>
          <w:color w:val="auto"/>
        </w:rPr>
        <w:t xml:space="preserve"> – the public interest benefits detailed in the Comcast-TWC Public Interest Statement. They also will not create any public interest harms, and in some important respects will </w:t>
      </w:r>
      <w:r>
        <w:rPr>
          <w:rFonts w:ascii="Arial" w:cs="Arial" w:eastAsia="Arial" w:hAnsi="Arial"/>
          <w:sz w:val="16"/>
          <w:szCs w:val="16"/>
          <w:i w:val="1"/>
          <w:iCs w:val="1"/>
          <w:color w:val="auto"/>
        </w:rPr>
        <w:t xml:space="preserve">reduce </w:t>
      </w:r>
      <w:r>
        <w:rPr>
          <w:rFonts w:ascii="Arial" w:cs="Arial" w:eastAsia="Arial" w:hAnsi="Arial"/>
          <w:sz w:val="16"/>
          <w:szCs w:val="16"/>
          <w:color w:val="auto"/>
        </w:rPr>
        <w:t>certain potential harms, such as by decreasing the combined company’s shares and/or presence in certain markets. Accordingly, the Divestiture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reinforce the fact that the Comcast-TWC transaction is pro-consumer, pro-competitive, and strongly in the public interest, and Applicants respectfully request that the Commission promptly approve this transaction. We also ask that the Commission process the Divestiture Transactions in a single pleading cycle along with the Comcast-TWC applications and approve all these inter-related transactions at the same time.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Respectfully submitted,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Kathryn A. Zachem</w:t>
            </w:r>
          </w:p>
        </w:tc>
        <w:tc>
          <w:tcPr>
            <w:tcW w:w="2280" w:type="dxa"/>
            <w:vAlign w:val="bottom"/>
          </w:tcPr>
          <w:p>
            <w:pPr>
              <w:spacing w:after="0"/>
              <w:rPr>
                <w:sz w:val="18"/>
                <w:szCs w:val="18"/>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Steven Teplitz</w:t>
            </w:r>
          </w:p>
        </w:tc>
      </w:tr>
      <w:tr>
        <w:trPr>
          <w:trHeight w:val="385"/>
        </w:trPr>
        <w:tc>
          <w:tcPr>
            <w:tcW w:w="3440" w:type="dxa"/>
            <w:vAlign w:val="bottom"/>
          </w:tcPr>
          <w:p>
            <w:pPr>
              <w:spacing w:after="0"/>
              <w:rPr>
                <w:sz w:val="20"/>
                <w:szCs w:val="20"/>
                <w:color w:val="auto"/>
              </w:rPr>
            </w:pPr>
            <w:r>
              <w:rPr>
                <w:rFonts w:ascii="Arial" w:cs="Arial" w:eastAsia="Arial" w:hAnsi="Arial"/>
                <w:sz w:val="17"/>
                <w:szCs w:val="17"/>
                <w:color w:val="auto"/>
              </w:rPr>
              <w:t>Senior Vice President,</w:t>
            </w:r>
          </w:p>
        </w:tc>
        <w:tc>
          <w:tcPr>
            <w:tcW w:w="5720" w:type="dxa"/>
            <w:vAlign w:val="bottom"/>
            <w:gridSpan w:val="2"/>
          </w:tcPr>
          <w:p>
            <w:pPr>
              <w:ind w:left="2280"/>
              <w:spacing w:after="0"/>
              <w:rPr>
                <w:sz w:val="20"/>
                <w:szCs w:val="20"/>
                <w:color w:val="auto"/>
              </w:rPr>
            </w:pPr>
            <w:r>
              <w:rPr>
                <w:rFonts w:ascii="Arial" w:cs="Arial" w:eastAsia="Arial" w:hAnsi="Arial"/>
                <w:sz w:val="17"/>
                <w:szCs w:val="17"/>
                <w:color w:val="auto"/>
              </w:rPr>
              <w:t>Senior Vice President,</w:t>
            </w:r>
          </w:p>
        </w:tc>
      </w:tr>
      <w:tr>
        <w:trPr>
          <w:trHeight w:val="202"/>
        </w:trPr>
        <w:tc>
          <w:tcPr>
            <w:tcW w:w="3440" w:type="dxa"/>
            <w:vAlign w:val="bottom"/>
          </w:tcPr>
          <w:p>
            <w:pPr>
              <w:spacing w:after="0"/>
              <w:rPr>
                <w:sz w:val="20"/>
                <w:szCs w:val="20"/>
                <w:color w:val="auto"/>
              </w:rPr>
            </w:pPr>
            <w:r>
              <w:rPr>
                <w:rFonts w:ascii="Arial" w:cs="Arial" w:eastAsia="Arial" w:hAnsi="Arial"/>
                <w:sz w:val="17"/>
                <w:szCs w:val="17"/>
                <w:color w:val="auto"/>
              </w:rPr>
              <w:t>Regulatory and State Legislative Affairs</w:t>
            </w:r>
          </w:p>
        </w:tc>
        <w:tc>
          <w:tcPr>
            <w:tcW w:w="5720" w:type="dxa"/>
            <w:vAlign w:val="bottom"/>
            <w:gridSpan w:val="2"/>
          </w:tcPr>
          <w:p>
            <w:pPr>
              <w:ind w:left="2280"/>
              <w:spacing w:after="0"/>
              <w:rPr>
                <w:sz w:val="20"/>
                <w:szCs w:val="20"/>
                <w:color w:val="auto"/>
              </w:rPr>
            </w:pPr>
            <w:r>
              <w:rPr>
                <w:rFonts w:ascii="Arial" w:cs="Arial" w:eastAsia="Arial" w:hAnsi="Arial"/>
                <w:sz w:val="17"/>
                <w:szCs w:val="17"/>
                <w:color w:val="auto"/>
              </w:rPr>
              <w:t>Government Relations</w:t>
            </w:r>
          </w:p>
        </w:tc>
      </w:tr>
      <w:tr>
        <w:trPr>
          <w:trHeight w:val="214"/>
        </w:trPr>
        <w:tc>
          <w:tcPr>
            <w:tcW w:w="3440" w:type="dxa"/>
            <w:vAlign w:val="bottom"/>
          </w:tcPr>
          <w:p>
            <w:pPr>
              <w:spacing w:after="0"/>
              <w:rPr>
                <w:sz w:val="20"/>
                <w:szCs w:val="20"/>
                <w:color w:val="auto"/>
              </w:rPr>
            </w:pPr>
            <w:r>
              <w:rPr>
                <w:rFonts w:ascii="Arial" w:cs="Arial" w:eastAsia="Arial" w:hAnsi="Arial"/>
                <w:sz w:val="17"/>
                <w:szCs w:val="17"/>
                <w:color w:val="auto"/>
              </w:rPr>
              <w:t>Comcast Corporation</w:t>
            </w:r>
          </w:p>
        </w:tc>
        <w:tc>
          <w:tcPr>
            <w:tcW w:w="5720" w:type="dxa"/>
            <w:vAlign w:val="bottom"/>
            <w:gridSpan w:val="2"/>
          </w:tcPr>
          <w:p>
            <w:pPr>
              <w:ind w:left="2280"/>
              <w:spacing w:after="0"/>
              <w:rPr>
                <w:sz w:val="20"/>
                <w:szCs w:val="20"/>
                <w:color w:val="auto"/>
              </w:rPr>
            </w:pPr>
            <w:r>
              <w:rPr>
                <w:rFonts w:ascii="Arial" w:cs="Arial" w:eastAsia="Arial" w:hAnsi="Arial"/>
                <w:sz w:val="17"/>
                <w:szCs w:val="17"/>
                <w:color w:val="auto"/>
              </w:rPr>
              <w:t>Time Warner Cable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11074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right="420" w:firstLine="1"/>
        <w:spacing w:after="0" w:line="250" w:lineRule="auto"/>
        <w:tabs>
          <w:tab w:leader="none" w:pos="581"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 xml:space="preserve">Rosston/Topper Supplemental Decl. ¶ 6; </w:t>
      </w:r>
      <w:r>
        <w:rPr>
          <w:rFonts w:ascii="Arial" w:cs="Arial" w:eastAsia="Arial" w:hAnsi="Arial"/>
          <w:sz w:val="16"/>
          <w:szCs w:val="16"/>
          <w:i w:val="1"/>
          <w:iCs w:val="1"/>
          <w:color w:val="auto"/>
        </w:rPr>
        <w:t>see also id.</w:t>
      </w:r>
      <w:r>
        <w:rPr>
          <w:rFonts w:ascii="Arial" w:cs="Arial" w:eastAsia="Arial" w:hAnsi="Arial"/>
          <w:sz w:val="16"/>
          <w:szCs w:val="16"/>
          <w:color w:val="auto"/>
        </w:rPr>
        <w:t xml:space="preserve"> ¶¶ 20-53. As Applicants have previously explained, “DMAs are not relevant competitive markets for MVPD services; they are just Nielsen constructs for rating measurement purposes.” Comcast-TWC Public Interest Statement at 150. This remains true, but it bears emphasis that Comcast will now have a presence in 16 of the top 20 DMAs post-transactions, the same number of DMAs as the day before the Comcast-TWC transaction was announced. This change, along with the divestiture of an additional 900,000 customers beyond Comcast’s original proposed divestiture, further ameliorates any potential concerns that the combined company would wield undue leverage against programmers.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635635</wp:posOffset>
            </wp:positionV>
            <wp:extent cx="725995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8" w:name="page9"/>
    <w:bookmarkEnd w:id="8"/>
    <w:p>
      <w:pPr>
        <w:spacing w:after="0" w:line="24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Attachment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1212850</wp:posOffset>
            </wp:positionV>
            <wp:extent cx="725995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24"/>
          <w:szCs w:val="24"/>
          <w:b w:val="1"/>
          <w:bCs w:val="1"/>
          <w:color w:val="auto"/>
        </w:rPr>
        <w:t>DMAs/Markets Involved in Divestiture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5676265</wp:posOffset>
            </wp:positionV>
            <wp:extent cx="725995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9955" cy="20955"/>
                    </a:xfrm>
                    <a:prstGeom prst="rect">
                      <a:avLst/>
                    </a:prstGeom>
                    <a:noFill/>
                  </pic:spPr>
                </pic:pic>
              </a:graphicData>
            </a:graphic>
          </wp:anchor>
        </w:drawing>
        <w:drawing>
          <wp:anchor simplePos="0" relativeHeight="251657728" behindDoc="1" locked="0" layoutInCell="0" allowOverlap="1">
            <wp:simplePos x="0" y="0"/>
            <wp:positionH relativeFrom="column">
              <wp:posOffset>-624205</wp:posOffset>
            </wp:positionH>
            <wp:positionV relativeFrom="paragraph">
              <wp:posOffset>189230</wp:posOffset>
            </wp:positionV>
            <wp:extent cx="6982460" cy="4847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82460" cy="4847590"/>
                    </a:xfrm>
                    <a:prstGeom prst="rect">
                      <a:avLst/>
                    </a:prstGeom>
                    <a:noFill/>
                  </pic:spPr>
                </pic:pic>
              </a:graphicData>
            </a:graphic>
          </wp:anchor>
        </w:drawing>
      </w:r>
    </w:p>
    <w:p>
      <w:pPr>
        <w:sectPr>
          <w:pgSz w:w="11900" w:h="16838" w:orient="portrait"/>
          <w:cols w:equalWidth="0" w:num="1">
            <w:col w:w="9019"/>
          </w:cols>
          <w:pgMar w:left="1440" w:top="969" w:right="1440"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Attachment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1710690</wp:posOffset>
            </wp:positionV>
            <wp:extent cx="725995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ind w:left="2240"/>
        <w:spacing w:after="0"/>
        <w:rPr>
          <w:sz w:val="20"/>
          <w:szCs w:val="20"/>
          <w:color w:val="auto"/>
        </w:rPr>
      </w:pPr>
      <w:r>
        <w:rPr>
          <w:rFonts w:ascii="Arial" w:cs="Arial" w:eastAsia="Arial" w:hAnsi="Arial"/>
          <w:sz w:val="17"/>
          <w:szCs w:val="17"/>
          <w:b w:val="1"/>
          <w:bCs w:val="1"/>
          <w:color w:val="FF0000"/>
        </w:rPr>
        <w:t>UPDATE OF CHART ON PAGE 151 OF COMCAST-TWC PUBLIC INTEREST STATEMENT</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545454"/>
        </w:rPr>
        <w:t>Video Providers in the Top 20 Designated Market Areas (DMAs)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159385</wp:posOffset>
            </wp:positionV>
            <wp:extent cx="72555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56"/>
              <w:spacing w:after="0"/>
              <w:rPr>
                <w:sz w:val="20"/>
                <w:szCs w:val="20"/>
                <w:color w:val="auto"/>
              </w:rPr>
            </w:pPr>
            <w:r>
              <w:rPr>
                <w:rFonts w:ascii="Arial" w:cs="Arial" w:eastAsia="Arial" w:hAnsi="Arial"/>
                <w:sz w:val="17"/>
                <w:szCs w:val="17"/>
                <w:color w:val="auto"/>
              </w:rPr>
              <w:t>Rank</w:t>
            </w:r>
          </w:p>
        </w:tc>
        <w:tc>
          <w:tcPr>
            <w:tcW w:w="3660" w:type="dxa"/>
            <w:vAlign w:val="bottom"/>
          </w:tcPr>
          <w:p>
            <w:pPr>
              <w:ind w:left="140"/>
              <w:spacing w:after="0"/>
              <w:rPr>
                <w:sz w:val="20"/>
                <w:szCs w:val="20"/>
                <w:color w:val="auto"/>
              </w:rPr>
            </w:pPr>
            <w:r>
              <w:rPr>
                <w:rFonts w:ascii="Arial" w:cs="Arial" w:eastAsia="Arial" w:hAnsi="Arial"/>
                <w:sz w:val="17"/>
                <w:szCs w:val="17"/>
                <w:color w:val="auto"/>
              </w:rPr>
              <w:t>DMA</w:t>
            </w:r>
          </w:p>
        </w:tc>
        <w:tc>
          <w:tcPr>
            <w:tcW w:w="4900" w:type="dxa"/>
            <w:vAlign w:val="bottom"/>
          </w:tcPr>
          <w:p>
            <w:pPr>
              <w:ind w:left="180"/>
              <w:spacing w:after="0"/>
              <w:rPr>
                <w:sz w:val="20"/>
                <w:szCs w:val="20"/>
                <w:color w:val="auto"/>
              </w:rPr>
            </w:pPr>
            <w:r>
              <w:rPr>
                <w:rFonts w:ascii="Arial" w:cs="Arial" w:eastAsia="Arial" w:hAnsi="Arial"/>
                <w:sz w:val="17"/>
                <w:szCs w:val="17"/>
                <w:color w:val="auto"/>
              </w:rPr>
              <w:t>Providers (excluding Comcast and TWC)</w:t>
            </w:r>
          </w:p>
        </w:tc>
        <w:tc>
          <w:tcPr>
            <w:tcW w:w="720" w:type="dxa"/>
            <w:vAlign w:val="bottom"/>
          </w:tcPr>
          <w:p>
            <w:pPr>
              <w:ind w:left="180"/>
              <w:spacing w:after="0"/>
              <w:rPr>
                <w:sz w:val="20"/>
                <w:szCs w:val="20"/>
                <w:color w:val="auto"/>
              </w:rPr>
            </w:pPr>
            <w:r>
              <w:rPr>
                <w:rFonts w:ascii="Arial" w:cs="Arial" w:eastAsia="Arial" w:hAnsi="Arial"/>
                <w:sz w:val="17"/>
                <w:szCs w:val="17"/>
                <w:color w:val="auto"/>
              </w:rPr>
              <w:t>Total</w:t>
            </w:r>
          </w:p>
        </w:tc>
        <w:tc>
          <w:tcPr>
            <w:tcW w:w="1520" w:type="dxa"/>
            <w:vAlign w:val="bottom"/>
          </w:tcPr>
          <w:p>
            <w:pPr>
              <w:jc w:val="center"/>
              <w:spacing w:after="0"/>
              <w:rPr>
                <w:sz w:val="20"/>
                <w:szCs w:val="20"/>
                <w:color w:val="auto"/>
              </w:rPr>
            </w:pPr>
            <w:r>
              <w:rPr>
                <w:rFonts w:ascii="Arial" w:cs="Arial" w:eastAsia="Arial" w:hAnsi="Arial"/>
                <w:sz w:val="17"/>
                <w:szCs w:val="17"/>
                <w:color w:val="auto"/>
                <w:w w:val="88"/>
              </w:rPr>
              <w:t>Post-Transaction</w:t>
            </w:r>
          </w:p>
        </w:tc>
        <w:tc>
          <w:tcPr>
            <w:tcW w:w="0" w:type="dxa"/>
            <w:vAlign w:val="bottom"/>
          </w:tcPr>
          <w:p>
            <w:pPr>
              <w:spacing w:after="0"/>
              <w:rPr>
                <w:sz w:val="1"/>
                <w:szCs w:val="1"/>
                <w:color w:val="auto"/>
              </w:rPr>
            </w:pPr>
          </w:p>
        </w:tc>
      </w:tr>
      <w:tr>
        <w:trPr>
          <w:trHeight w:val="152"/>
        </w:trPr>
        <w:tc>
          <w:tcPr>
            <w:tcW w:w="620" w:type="dxa"/>
            <w:vAlign w:val="bottom"/>
            <w:tcBorders>
              <w:bottom w:val="single" w:sz="8" w:color="BFBFBF"/>
            </w:tcBorders>
          </w:tcPr>
          <w:p>
            <w:pPr>
              <w:spacing w:after="0"/>
              <w:rPr>
                <w:sz w:val="13"/>
                <w:szCs w:val="13"/>
                <w:color w:val="auto"/>
              </w:rPr>
            </w:pPr>
          </w:p>
        </w:tc>
        <w:tc>
          <w:tcPr>
            <w:tcW w:w="3660" w:type="dxa"/>
            <w:vAlign w:val="bottom"/>
            <w:tcBorders>
              <w:bottom w:val="single" w:sz="8" w:color="BFBFBF"/>
            </w:tcBorders>
          </w:tcPr>
          <w:p>
            <w:pPr>
              <w:spacing w:after="0"/>
              <w:rPr>
                <w:sz w:val="13"/>
                <w:szCs w:val="13"/>
                <w:color w:val="auto"/>
              </w:rPr>
            </w:pPr>
          </w:p>
        </w:tc>
        <w:tc>
          <w:tcPr>
            <w:tcW w:w="4900" w:type="dxa"/>
            <w:vAlign w:val="bottom"/>
            <w:tcBorders>
              <w:bottom w:val="single" w:sz="8" w:color="BFBFBF"/>
            </w:tcBorders>
          </w:tcPr>
          <w:p>
            <w:pPr>
              <w:spacing w:after="0"/>
              <w:rPr>
                <w:sz w:val="13"/>
                <w:szCs w:val="13"/>
                <w:color w:val="auto"/>
              </w:rPr>
            </w:pPr>
          </w:p>
        </w:tc>
        <w:tc>
          <w:tcPr>
            <w:tcW w:w="720" w:type="dxa"/>
            <w:vAlign w:val="bottom"/>
            <w:tcBorders>
              <w:bottom w:val="single" w:sz="8" w:color="BFBFBF"/>
            </w:tcBorders>
          </w:tcPr>
          <w:p>
            <w:pPr>
              <w:spacing w:after="0"/>
              <w:rPr>
                <w:sz w:val="13"/>
                <w:szCs w:val="13"/>
                <w:color w:val="auto"/>
              </w:rPr>
            </w:pPr>
          </w:p>
        </w:tc>
        <w:tc>
          <w:tcPr>
            <w:tcW w:w="1520" w:type="dxa"/>
            <w:vAlign w:val="bottom"/>
            <w:tcBorders>
              <w:bottom w:val="single" w:sz="8" w:color="BFBFB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1</w:t>
            </w:r>
          </w:p>
        </w:tc>
        <w:tc>
          <w:tcPr>
            <w:tcW w:w="3660" w:type="dxa"/>
            <w:vAlign w:val="bottom"/>
            <w:tcBorders>
              <w:bottom w:val="single" w:sz="8" w:color="BFBFBF"/>
            </w:tcBorders>
          </w:tcPr>
          <w:p>
            <w:pPr>
              <w:ind w:left="140"/>
              <w:spacing w:after="0"/>
              <w:rPr>
                <w:sz w:val="20"/>
                <w:szCs w:val="20"/>
                <w:color w:val="auto"/>
              </w:rPr>
            </w:pPr>
            <w:r>
              <w:rPr>
                <w:rFonts w:ascii="Arial" w:cs="Arial" w:eastAsia="Arial" w:hAnsi="Arial"/>
                <w:sz w:val="17"/>
                <w:szCs w:val="17"/>
                <w:b w:val="1"/>
                <w:bCs w:val="1"/>
                <w:color w:val="545454"/>
              </w:rPr>
              <w:t>New York, NY</w:t>
            </w:r>
          </w:p>
        </w:tc>
        <w:tc>
          <w:tcPr>
            <w:tcW w:w="4900" w:type="dxa"/>
            <w:vAlign w:val="bottom"/>
            <w:tcBorders>
              <w:bottom w:val="single" w:sz="8" w:color="BFBFBF"/>
            </w:tcBorders>
          </w:tcPr>
          <w:p>
            <w:pPr>
              <w:ind w:left="180"/>
              <w:spacing w:after="0"/>
              <w:rPr>
                <w:sz w:val="20"/>
                <w:szCs w:val="20"/>
                <w:color w:val="auto"/>
              </w:rPr>
            </w:pPr>
            <w:r>
              <w:rPr>
                <w:rFonts w:ascii="Arial" w:cs="Arial" w:eastAsia="Arial" w:hAnsi="Arial"/>
                <w:sz w:val="17"/>
                <w:szCs w:val="17"/>
                <w:color w:val="545454"/>
              </w:rPr>
              <w:t>Dish, DirecTV, Verizon, RCN, Cablevision, and 5 others</w:t>
            </w:r>
          </w:p>
        </w:tc>
        <w:tc>
          <w:tcPr>
            <w:tcW w:w="7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10</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91"/>
              </w:rPr>
              <w:t>-1 (Charter)</w:t>
            </w:r>
          </w:p>
        </w:tc>
        <w:tc>
          <w:tcPr>
            <w:tcW w:w="0" w:type="dxa"/>
            <w:vAlign w:val="bottom"/>
          </w:tcPr>
          <w:p>
            <w:pPr>
              <w:spacing w:after="0"/>
              <w:rPr>
                <w:sz w:val="1"/>
                <w:szCs w:val="1"/>
                <w:color w:val="auto"/>
              </w:rPr>
            </w:pPr>
          </w:p>
        </w:tc>
      </w:tr>
      <w:tr>
        <w:trPr>
          <w:trHeight w:val="195"/>
        </w:trPr>
        <w:tc>
          <w:tcPr>
            <w:tcW w:w="6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2</w:t>
            </w:r>
          </w:p>
        </w:tc>
        <w:tc>
          <w:tcPr>
            <w:tcW w:w="3660" w:type="dxa"/>
            <w:vAlign w:val="bottom"/>
            <w:tcBorders>
              <w:bottom w:val="single" w:sz="8" w:color="BFBFBF"/>
            </w:tcBorders>
          </w:tcPr>
          <w:p>
            <w:pPr>
              <w:ind w:left="140"/>
              <w:spacing w:after="0"/>
              <w:rPr>
                <w:sz w:val="20"/>
                <w:szCs w:val="20"/>
                <w:color w:val="auto"/>
              </w:rPr>
            </w:pPr>
            <w:r>
              <w:rPr>
                <w:rFonts w:ascii="Arial" w:cs="Arial" w:eastAsia="Arial" w:hAnsi="Arial"/>
                <w:sz w:val="17"/>
                <w:szCs w:val="17"/>
                <w:b w:val="1"/>
                <w:bCs w:val="1"/>
                <w:color w:val="545454"/>
              </w:rPr>
              <w:t>Los Angeles, CA</w:t>
            </w:r>
          </w:p>
        </w:tc>
        <w:tc>
          <w:tcPr>
            <w:tcW w:w="4900" w:type="dxa"/>
            <w:vAlign w:val="bottom"/>
            <w:tcBorders>
              <w:bottom w:val="single" w:sz="8" w:color="BFBFBF"/>
            </w:tcBorders>
          </w:tcPr>
          <w:p>
            <w:pPr>
              <w:ind w:left="180"/>
              <w:spacing w:after="0"/>
              <w:rPr>
                <w:sz w:val="20"/>
                <w:szCs w:val="20"/>
                <w:color w:val="auto"/>
              </w:rPr>
            </w:pPr>
            <w:r>
              <w:rPr>
                <w:rFonts w:ascii="Arial" w:cs="Arial" w:eastAsia="Arial" w:hAnsi="Arial"/>
                <w:sz w:val="17"/>
                <w:szCs w:val="17"/>
                <w:color w:val="545454"/>
              </w:rPr>
              <w:t>Dish, DirecTV, Verizon, AT&amp;T, and 16 others</w:t>
            </w:r>
          </w:p>
        </w:tc>
        <w:tc>
          <w:tcPr>
            <w:tcW w:w="7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20</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91"/>
              </w:rPr>
              <w:t>-1 (Charter)</w:t>
            </w:r>
          </w:p>
        </w:tc>
        <w:tc>
          <w:tcPr>
            <w:tcW w:w="0" w:type="dxa"/>
            <w:vAlign w:val="bottom"/>
          </w:tcPr>
          <w:p>
            <w:pPr>
              <w:spacing w:after="0"/>
              <w:rPr>
                <w:sz w:val="1"/>
                <w:szCs w:val="1"/>
                <w:color w:val="auto"/>
              </w:rPr>
            </w:pPr>
          </w:p>
        </w:tc>
      </w:tr>
      <w:tr>
        <w:trPr>
          <w:trHeight w:val="195"/>
        </w:trPr>
        <w:tc>
          <w:tcPr>
            <w:tcW w:w="6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3</w:t>
            </w:r>
          </w:p>
        </w:tc>
        <w:tc>
          <w:tcPr>
            <w:tcW w:w="3660" w:type="dxa"/>
            <w:vAlign w:val="bottom"/>
            <w:tcBorders>
              <w:bottom w:val="single" w:sz="8" w:color="BFBFBF"/>
            </w:tcBorders>
          </w:tcPr>
          <w:p>
            <w:pPr>
              <w:ind w:left="140"/>
              <w:spacing w:after="0"/>
              <w:rPr>
                <w:sz w:val="20"/>
                <w:szCs w:val="20"/>
                <w:color w:val="auto"/>
              </w:rPr>
            </w:pPr>
            <w:r>
              <w:rPr>
                <w:rFonts w:ascii="Arial" w:cs="Arial" w:eastAsia="Arial" w:hAnsi="Arial"/>
                <w:sz w:val="17"/>
                <w:szCs w:val="17"/>
                <w:b w:val="1"/>
                <w:bCs w:val="1"/>
                <w:color w:val="545454"/>
              </w:rPr>
              <w:t>Chicago, IL</w:t>
            </w:r>
          </w:p>
        </w:tc>
        <w:tc>
          <w:tcPr>
            <w:tcW w:w="4900" w:type="dxa"/>
            <w:vAlign w:val="bottom"/>
            <w:tcBorders>
              <w:bottom w:val="single" w:sz="8" w:color="BFBFBF"/>
            </w:tcBorders>
          </w:tcPr>
          <w:p>
            <w:pPr>
              <w:ind w:left="180"/>
              <w:spacing w:after="0"/>
              <w:rPr>
                <w:sz w:val="20"/>
                <w:szCs w:val="20"/>
                <w:color w:val="auto"/>
              </w:rPr>
            </w:pPr>
            <w:r>
              <w:rPr>
                <w:rFonts w:ascii="Arial" w:cs="Arial" w:eastAsia="Arial" w:hAnsi="Arial"/>
                <w:sz w:val="17"/>
                <w:szCs w:val="17"/>
                <w:color w:val="545454"/>
              </w:rPr>
              <w:t>Dish, DirecTV, AT&amp;T, RCN, WOW!, and 7 others</w:t>
            </w:r>
          </w:p>
        </w:tc>
        <w:tc>
          <w:tcPr>
            <w:tcW w:w="7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12</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95"/>
        </w:trPr>
        <w:tc>
          <w:tcPr>
            <w:tcW w:w="6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4</w:t>
            </w:r>
          </w:p>
        </w:tc>
        <w:tc>
          <w:tcPr>
            <w:tcW w:w="3660" w:type="dxa"/>
            <w:vAlign w:val="bottom"/>
            <w:tcBorders>
              <w:bottom w:val="single" w:sz="8" w:color="BFBFBF"/>
            </w:tcBorders>
          </w:tcPr>
          <w:p>
            <w:pPr>
              <w:ind w:left="140"/>
              <w:spacing w:after="0"/>
              <w:rPr>
                <w:sz w:val="20"/>
                <w:szCs w:val="20"/>
                <w:color w:val="auto"/>
              </w:rPr>
            </w:pPr>
            <w:r>
              <w:rPr>
                <w:rFonts w:ascii="Arial" w:cs="Arial" w:eastAsia="Arial" w:hAnsi="Arial"/>
                <w:sz w:val="17"/>
                <w:szCs w:val="17"/>
                <w:b w:val="1"/>
                <w:bCs w:val="1"/>
                <w:color w:val="545454"/>
              </w:rPr>
              <w:t>Philadelphia, PA</w:t>
            </w:r>
          </w:p>
        </w:tc>
        <w:tc>
          <w:tcPr>
            <w:tcW w:w="4900" w:type="dxa"/>
            <w:vAlign w:val="bottom"/>
            <w:tcBorders>
              <w:bottom w:val="single" w:sz="8" w:color="BFBFBF"/>
            </w:tcBorders>
          </w:tcPr>
          <w:p>
            <w:pPr>
              <w:ind w:left="180"/>
              <w:spacing w:after="0"/>
              <w:rPr>
                <w:sz w:val="20"/>
                <w:szCs w:val="20"/>
                <w:color w:val="auto"/>
              </w:rPr>
            </w:pPr>
            <w:r>
              <w:rPr>
                <w:rFonts w:ascii="Arial" w:cs="Arial" w:eastAsia="Arial" w:hAnsi="Arial"/>
                <w:sz w:val="17"/>
                <w:szCs w:val="17"/>
                <w:color w:val="545454"/>
                <w:w w:val="98"/>
              </w:rPr>
              <w:t>Dish, DirecTV, Verizon, RCN, Atlantic Broadband, and 4 others</w:t>
            </w:r>
          </w:p>
        </w:tc>
        <w:tc>
          <w:tcPr>
            <w:tcW w:w="7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9</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95"/>
        </w:trPr>
        <w:tc>
          <w:tcPr>
            <w:tcW w:w="6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5</w:t>
            </w:r>
          </w:p>
        </w:tc>
        <w:tc>
          <w:tcPr>
            <w:tcW w:w="3660" w:type="dxa"/>
            <w:vAlign w:val="bottom"/>
            <w:tcBorders>
              <w:bottom w:val="single" w:sz="8" w:color="BFBFBF"/>
            </w:tcBorders>
          </w:tcPr>
          <w:p>
            <w:pPr>
              <w:ind w:left="140"/>
              <w:spacing w:after="0"/>
              <w:rPr>
                <w:sz w:val="20"/>
                <w:szCs w:val="20"/>
                <w:color w:val="auto"/>
              </w:rPr>
            </w:pPr>
            <w:r>
              <w:rPr>
                <w:rFonts w:ascii="Arial" w:cs="Arial" w:eastAsia="Arial" w:hAnsi="Arial"/>
                <w:sz w:val="17"/>
                <w:szCs w:val="17"/>
                <w:b w:val="1"/>
                <w:bCs w:val="1"/>
                <w:color w:val="545454"/>
              </w:rPr>
              <w:t>Dallas-Ft. Worth, TX</w:t>
            </w:r>
          </w:p>
        </w:tc>
        <w:tc>
          <w:tcPr>
            <w:tcW w:w="4900" w:type="dxa"/>
            <w:vAlign w:val="bottom"/>
            <w:tcBorders>
              <w:bottom w:val="single" w:sz="8" w:color="BFBFBF"/>
            </w:tcBorders>
          </w:tcPr>
          <w:p>
            <w:pPr>
              <w:ind w:left="180"/>
              <w:spacing w:after="0"/>
              <w:rPr>
                <w:sz w:val="20"/>
                <w:szCs w:val="20"/>
                <w:color w:val="auto"/>
              </w:rPr>
            </w:pPr>
            <w:r>
              <w:rPr>
                <w:rFonts w:ascii="Arial" w:cs="Arial" w:eastAsia="Arial" w:hAnsi="Arial"/>
                <w:sz w:val="17"/>
                <w:szCs w:val="17"/>
                <w:color w:val="545454"/>
              </w:rPr>
              <w:t>Dish, DirecTV, Verizon, AT&amp;T, Cable One, and 27 others</w:t>
            </w:r>
          </w:p>
        </w:tc>
        <w:tc>
          <w:tcPr>
            <w:tcW w:w="7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32</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91"/>
              </w:rPr>
              <w:t>-1 (Charter)</w:t>
            </w:r>
          </w:p>
        </w:tc>
        <w:tc>
          <w:tcPr>
            <w:tcW w:w="0" w:type="dxa"/>
            <w:vAlign w:val="bottom"/>
          </w:tcPr>
          <w:p>
            <w:pPr>
              <w:spacing w:after="0"/>
              <w:rPr>
                <w:sz w:val="1"/>
                <w:szCs w:val="1"/>
                <w:color w:val="auto"/>
              </w:rPr>
            </w:pPr>
          </w:p>
        </w:tc>
      </w:tr>
      <w:tr>
        <w:trPr>
          <w:trHeight w:val="195"/>
        </w:trPr>
        <w:tc>
          <w:tcPr>
            <w:tcW w:w="6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6</w:t>
            </w:r>
          </w:p>
        </w:tc>
        <w:tc>
          <w:tcPr>
            <w:tcW w:w="3660" w:type="dxa"/>
            <w:vAlign w:val="bottom"/>
            <w:tcBorders>
              <w:bottom w:val="single" w:sz="8" w:color="BFBFBF"/>
            </w:tcBorders>
          </w:tcPr>
          <w:p>
            <w:pPr>
              <w:ind w:left="140"/>
              <w:spacing w:after="0"/>
              <w:rPr>
                <w:sz w:val="20"/>
                <w:szCs w:val="20"/>
                <w:color w:val="auto"/>
              </w:rPr>
            </w:pPr>
            <w:r>
              <w:rPr>
                <w:rFonts w:ascii="Arial" w:cs="Arial" w:eastAsia="Arial" w:hAnsi="Arial"/>
                <w:sz w:val="17"/>
                <w:szCs w:val="17"/>
                <w:b w:val="1"/>
                <w:bCs w:val="1"/>
                <w:color w:val="545454"/>
              </w:rPr>
              <w:t>San Francisco-Oakland-San Jose, CA</w:t>
            </w:r>
          </w:p>
        </w:tc>
        <w:tc>
          <w:tcPr>
            <w:tcW w:w="4900" w:type="dxa"/>
            <w:vAlign w:val="bottom"/>
            <w:tcBorders>
              <w:bottom w:val="single" w:sz="8" w:color="BFBFBF"/>
            </w:tcBorders>
          </w:tcPr>
          <w:p>
            <w:pPr>
              <w:ind w:left="180"/>
              <w:spacing w:after="0"/>
              <w:rPr>
                <w:sz w:val="20"/>
                <w:szCs w:val="20"/>
                <w:color w:val="auto"/>
              </w:rPr>
            </w:pPr>
            <w:r>
              <w:rPr>
                <w:rFonts w:ascii="Arial" w:cs="Arial" w:eastAsia="Arial" w:hAnsi="Arial"/>
                <w:sz w:val="17"/>
                <w:szCs w:val="17"/>
                <w:color w:val="545454"/>
              </w:rPr>
              <w:t>Dish, DirecTV, AT&amp;T, WARPSPEED, and 4 others</w:t>
            </w:r>
          </w:p>
        </w:tc>
        <w:tc>
          <w:tcPr>
            <w:tcW w:w="7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8</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91"/>
              </w:rPr>
              <w:t>-1 (Charter)</w:t>
            </w:r>
          </w:p>
        </w:tc>
        <w:tc>
          <w:tcPr>
            <w:tcW w:w="0" w:type="dxa"/>
            <w:vAlign w:val="bottom"/>
          </w:tcPr>
          <w:p>
            <w:pPr>
              <w:spacing w:after="0"/>
              <w:rPr>
                <w:sz w:val="1"/>
                <w:szCs w:val="1"/>
                <w:color w:val="auto"/>
              </w:rPr>
            </w:pPr>
          </w:p>
        </w:tc>
      </w:tr>
      <w:tr>
        <w:trPr>
          <w:trHeight w:val="195"/>
        </w:trPr>
        <w:tc>
          <w:tcPr>
            <w:tcW w:w="6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7</w:t>
            </w:r>
          </w:p>
        </w:tc>
        <w:tc>
          <w:tcPr>
            <w:tcW w:w="3660" w:type="dxa"/>
            <w:vAlign w:val="bottom"/>
            <w:tcBorders>
              <w:bottom w:val="single" w:sz="8" w:color="BFBFBF"/>
            </w:tcBorders>
          </w:tcPr>
          <w:p>
            <w:pPr>
              <w:ind w:left="140"/>
              <w:spacing w:after="0"/>
              <w:rPr>
                <w:sz w:val="20"/>
                <w:szCs w:val="20"/>
                <w:color w:val="auto"/>
              </w:rPr>
            </w:pPr>
            <w:r>
              <w:rPr>
                <w:rFonts w:ascii="Arial" w:cs="Arial" w:eastAsia="Arial" w:hAnsi="Arial"/>
                <w:sz w:val="17"/>
                <w:szCs w:val="17"/>
                <w:b w:val="1"/>
                <w:bCs w:val="1"/>
                <w:color w:val="545454"/>
              </w:rPr>
              <w:t>Boston, MA (Manchester, NH)</w:t>
            </w:r>
          </w:p>
        </w:tc>
        <w:tc>
          <w:tcPr>
            <w:tcW w:w="4900" w:type="dxa"/>
            <w:vAlign w:val="bottom"/>
            <w:tcBorders>
              <w:bottom w:val="single" w:sz="8" w:color="BFBFBF"/>
            </w:tcBorders>
          </w:tcPr>
          <w:p>
            <w:pPr>
              <w:ind w:left="180"/>
              <w:spacing w:after="0"/>
              <w:rPr>
                <w:sz w:val="20"/>
                <w:szCs w:val="20"/>
                <w:color w:val="auto"/>
              </w:rPr>
            </w:pPr>
            <w:r>
              <w:rPr>
                <w:rFonts w:ascii="Arial" w:cs="Arial" w:eastAsia="Arial" w:hAnsi="Arial"/>
                <w:sz w:val="17"/>
                <w:szCs w:val="17"/>
                <w:color w:val="545454"/>
              </w:rPr>
              <w:t>Dish, DirecTV, Verizon, RCN, MetroCast, and 6 others</w:t>
            </w:r>
          </w:p>
        </w:tc>
        <w:tc>
          <w:tcPr>
            <w:tcW w:w="7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11</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91"/>
              </w:rPr>
              <w:t>-1 (Charter)</w:t>
            </w:r>
          </w:p>
        </w:tc>
        <w:tc>
          <w:tcPr>
            <w:tcW w:w="0" w:type="dxa"/>
            <w:vAlign w:val="bottom"/>
          </w:tcPr>
          <w:p>
            <w:pPr>
              <w:spacing w:after="0"/>
              <w:rPr>
                <w:sz w:val="1"/>
                <w:szCs w:val="1"/>
                <w:color w:val="auto"/>
              </w:rPr>
            </w:pPr>
          </w:p>
        </w:tc>
      </w:tr>
      <w:tr>
        <w:trPr>
          <w:trHeight w:val="195"/>
        </w:trPr>
        <w:tc>
          <w:tcPr>
            <w:tcW w:w="6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8</w:t>
            </w:r>
          </w:p>
        </w:tc>
        <w:tc>
          <w:tcPr>
            <w:tcW w:w="3660" w:type="dxa"/>
            <w:vAlign w:val="bottom"/>
            <w:tcBorders>
              <w:bottom w:val="single" w:sz="8" w:color="BFBFBF"/>
            </w:tcBorders>
          </w:tcPr>
          <w:p>
            <w:pPr>
              <w:ind w:left="140"/>
              <w:spacing w:after="0"/>
              <w:rPr>
                <w:sz w:val="20"/>
                <w:szCs w:val="20"/>
                <w:color w:val="auto"/>
              </w:rPr>
            </w:pPr>
            <w:r>
              <w:rPr>
                <w:rFonts w:ascii="Arial" w:cs="Arial" w:eastAsia="Arial" w:hAnsi="Arial"/>
                <w:sz w:val="17"/>
                <w:szCs w:val="17"/>
                <w:b w:val="1"/>
                <w:bCs w:val="1"/>
                <w:color w:val="545454"/>
              </w:rPr>
              <w:t>Washington, DC (Hagerstown, MD)</w:t>
            </w:r>
          </w:p>
        </w:tc>
        <w:tc>
          <w:tcPr>
            <w:tcW w:w="4900" w:type="dxa"/>
            <w:vAlign w:val="bottom"/>
            <w:tcBorders>
              <w:bottom w:val="single" w:sz="8" w:color="BFBFBF"/>
            </w:tcBorders>
          </w:tcPr>
          <w:p>
            <w:pPr>
              <w:ind w:left="180"/>
              <w:spacing w:after="0"/>
              <w:rPr>
                <w:sz w:val="20"/>
                <w:szCs w:val="20"/>
                <w:color w:val="auto"/>
              </w:rPr>
            </w:pPr>
            <w:r>
              <w:rPr>
                <w:rFonts w:ascii="Arial" w:cs="Arial" w:eastAsia="Arial" w:hAnsi="Arial"/>
                <w:sz w:val="17"/>
                <w:szCs w:val="17"/>
                <w:color w:val="545454"/>
                <w:w w:val="98"/>
              </w:rPr>
              <w:t>Dish, DirecTV, Verizon, RCN, Atlantic Broadband, and 8 others</w:t>
            </w:r>
          </w:p>
        </w:tc>
        <w:tc>
          <w:tcPr>
            <w:tcW w:w="7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13</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95"/>
        </w:trPr>
        <w:tc>
          <w:tcPr>
            <w:tcW w:w="6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9</w:t>
            </w:r>
          </w:p>
        </w:tc>
        <w:tc>
          <w:tcPr>
            <w:tcW w:w="3660" w:type="dxa"/>
            <w:vAlign w:val="bottom"/>
            <w:tcBorders>
              <w:bottom w:val="single" w:sz="8" w:color="BFBFBF"/>
            </w:tcBorders>
          </w:tcPr>
          <w:p>
            <w:pPr>
              <w:ind w:left="140"/>
              <w:spacing w:after="0"/>
              <w:rPr>
                <w:sz w:val="20"/>
                <w:szCs w:val="20"/>
                <w:color w:val="auto"/>
              </w:rPr>
            </w:pPr>
            <w:r>
              <w:rPr>
                <w:rFonts w:ascii="Arial" w:cs="Arial" w:eastAsia="Arial" w:hAnsi="Arial"/>
                <w:sz w:val="17"/>
                <w:szCs w:val="17"/>
                <w:b w:val="1"/>
                <w:bCs w:val="1"/>
                <w:color w:val="545454"/>
              </w:rPr>
              <w:t>Atlanta, GA</w:t>
            </w:r>
          </w:p>
        </w:tc>
        <w:tc>
          <w:tcPr>
            <w:tcW w:w="4900" w:type="dxa"/>
            <w:vAlign w:val="bottom"/>
            <w:tcBorders>
              <w:bottom w:val="single" w:sz="8" w:color="BFBFBF"/>
            </w:tcBorders>
          </w:tcPr>
          <w:p>
            <w:pPr>
              <w:ind w:left="180"/>
              <w:spacing w:after="0"/>
              <w:rPr>
                <w:sz w:val="20"/>
                <w:szCs w:val="20"/>
                <w:color w:val="auto"/>
              </w:rPr>
            </w:pPr>
            <w:r>
              <w:rPr>
                <w:rFonts w:ascii="Arial" w:cs="Arial" w:eastAsia="Arial" w:hAnsi="Arial"/>
                <w:sz w:val="17"/>
                <w:szCs w:val="17"/>
                <w:color w:val="545454"/>
              </w:rPr>
              <w:t>Dish, DirecTV, AT&amp;T, Windstream, WOW!, and 9 others</w:t>
            </w:r>
          </w:p>
        </w:tc>
        <w:tc>
          <w:tcPr>
            <w:tcW w:w="7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14</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82"/>
        </w:trPr>
        <w:tc>
          <w:tcPr>
            <w:tcW w:w="620" w:type="dxa"/>
            <w:vAlign w:val="bottom"/>
            <w:vMerge w:val="restart"/>
          </w:tcPr>
          <w:p>
            <w:pPr>
              <w:jc w:val="center"/>
              <w:spacing w:after="0"/>
              <w:rPr>
                <w:sz w:val="20"/>
                <w:szCs w:val="20"/>
                <w:color w:val="auto"/>
              </w:rPr>
            </w:pPr>
            <w:r>
              <w:rPr>
                <w:rFonts w:ascii="Arial" w:cs="Arial" w:eastAsia="Arial" w:hAnsi="Arial"/>
                <w:sz w:val="17"/>
                <w:szCs w:val="17"/>
                <w:color w:val="545454"/>
                <w:w w:val="84"/>
              </w:rPr>
              <w:t>10</w:t>
            </w:r>
          </w:p>
        </w:tc>
        <w:tc>
          <w:tcPr>
            <w:tcW w:w="3660" w:type="dxa"/>
            <w:vAlign w:val="bottom"/>
            <w:vMerge w:val="restart"/>
          </w:tcPr>
          <w:p>
            <w:pPr>
              <w:ind w:left="140"/>
              <w:spacing w:after="0"/>
              <w:rPr>
                <w:sz w:val="20"/>
                <w:szCs w:val="20"/>
                <w:color w:val="auto"/>
              </w:rPr>
            </w:pPr>
            <w:r>
              <w:rPr>
                <w:rFonts w:ascii="Arial" w:cs="Arial" w:eastAsia="Arial" w:hAnsi="Arial"/>
                <w:sz w:val="17"/>
                <w:szCs w:val="17"/>
                <w:b w:val="1"/>
                <w:bCs w:val="1"/>
                <w:color w:val="545454"/>
              </w:rPr>
              <w:t>Houston, TX</w:t>
            </w:r>
          </w:p>
        </w:tc>
        <w:tc>
          <w:tcPr>
            <w:tcW w:w="4900" w:type="dxa"/>
            <w:vAlign w:val="bottom"/>
          </w:tcPr>
          <w:p>
            <w:pPr>
              <w:ind w:left="180"/>
              <w:spacing w:after="0" w:line="182" w:lineRule="exact"/>
              <w:rPr>
                <w:sz w:val="20"/>
                <w:szCs w:val="20"/>
                <w:color w:val="auto"/>
              </w:rPr>
            </w:pPr>
            <w:r>
              <w:rPr>
                <w:rFonts w:ascii="Arial" w:cs="Arial" w:eastAsia="Arial" w:hAnsi="Arial"/>
                <w:sz w:val="17"/>
                <w:szCs w:val="17"/>
                <w:color w:val="545454"/>
              </w:rPr>
              <w:t>Dish, DirecTV, AT&amp;T, CenturyLink, Consolidated</w:t>
            </w:r>
          </w:p>
        </w:tc>
        <w:tc>
          <w:tcPr>
            <w:tcW w:w="720" w:type="dxa"/>
            <w:vAlign w:val="bottom"/>
            <w:vMerge w:val="restart"/>
          </w:tcPr>
          <w:p>
            <w:pPr>
              <w:jc w:val="center"/>
              <w:spacing w:after="0"/>
              <w:rPr>
                <w:sz w:val="20"/>
                <w:szCs w:val="20"/>
                <w:color w:val="auto"/>
              </w:rPr>
            </w:pPr>
            <w:r>
              <w:rPr>
                <w:rFonts w:ascii="Arial" w:cs="Arial" w:eastAsia="Arial" w:hAnsi="Arial"/>
                <w:sz w:val="17"/>
                <w:szCs w:val="17"/>
                <w:b w:val="1"/>
                <w:bCs w:val="1"/>
                <w:color w:val="545454"/>
                <w:w w:val="84"/>
              </w:rPr>
              <w:t>29</w:t>
            </w:r>
          </w:p>
        </w:tc>
        <w:tc>
          <w:tcPr>
            <w:tcW w:w="1520" w:type="dxa"/>
            <w:vAlign w:val="bottom"/>
            <w:vMerge w:val="restart"/>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13"/>
        </w:trPr>
        <w:tc>
          <w:tcPr>
            <w:tcW w:w="620" w:type="dxa"/>
            <w:vAlign w:val="bottom"/>
            <w:vMerge w:val="continue"/>
          </w:tcPr>
          <w:p>
            <w:pPr>
              <w:spacing w:after="0"/>
              <w:rPr>
                <w:sz w:val="9"/>
                <w:szCs w:val="9"/>
                <w:color w:val="auto"/>
              </w:rPr>
            </w:pPr>
          </w:p>
        </w:tc>
        <w:tc>
          <w:tcPr>
            <w:tcW w:w="3660" w:type="dxa"/>
            <w:vAlign w:val="bottom"/>
            <w:vMerge w:val="continue"/>
          </w:tcPr>
          <w:p>
            <w:pPr>
              <w:spacing w:after="0"/>
              <w:rPr>
                <w:sz w:val="9"/>
                <w:szCs w:val="9"/>
                <w:color w:val="auto"/>
              </w:rPr>
            </w:pPr>
          </w:p>
        </w:tc>
        <w:tc>
          <w:tcPr>
            <w:tcW w:w="4900" w:type="dxa"/>
            <w:vAlign w:val="bottom"/>
            <w:vMerge w:val="restart"/>
          </w:tcPr>
          <w:p>
            <w:pPr>
              <w:ind w:left="180"/>
              <w:spacing w:after="0"/>
              <w:rPr>
                <w:sz w:val="20"/>
                <w:szCs w:val="20"/>
                <w:color w:val="auto"/>
              </w:rPr>
            </w:pPr>
            <w:r>
              <w:rPr>
                <w:rFonts w:ascii="Arial" w:cs="Arial" w:eastAsia="Arial" w:hAnsi="Arial"/>
                <w:sz w:val="17"/>
                <w:szCs w:val="17"/>
                <w:color w:val="545454"/>
              </w:rPr>
              <w:t>Communications, and 24 others</w:t>
            </w:r>
          </w:p>
        </w:tc>
        <w:tc>
          <w:tcPr>
            <w:tcW w:w="7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20" w:type="dxa"/>
            <w:vAlign w:val="bottom"/>
            <w:tcBorders>
              <w:bottom w:val="single" w:sz="8" w:color="BFBFBF"/>
            </w:tcBorders>
          </w:tcPr>
          <w:p>
            <w:pPr>
              <w:spacing w:after="0"/>
              <w:rPr>
                <w:sz w:val="8"/>
                <w:szCs w:val="8"/>
                <w:color w:val="auto"/>
              </w:rPr>
            </w:pPr>
          </w:p>
        </w:tc>
        <w:tc>
          <w:tcPr>
            <w:tcW w:w="3660" w:type="dxa"/>
            <w:vAlign w:val="bottom"/>
            <w:tcBorders>
              <w:bottom w:val="single" w:sz="8" w:color="BFBFBF"/>
            </w:tcBorders>
          </w:tcPr>
          <w:p>
            <w:pPr>
              <w:spacing w:after="0"/>
              <w:rPr>
                <w:sz w:val="8"/>
                <w:szCs w:val="8"/>
                <w:color w:val="auto"/>
              </w:rPr>
            </w:pPr>
          </w:p>
        </w:tc>
        <w:tc>
          <w:tcPr>
            <w:tcW w:w="4900" w:type="dxa"/>
            <w:vAlign w:val="bottom"/>
            <w:tcBorders>
              <w:bottom w:val="single" w:sz="8" w:color="BFBFBF"/>
            </w:tcBorders>
            <w:vMerge w:val="continue"/>
          </w:tcPr>
          <w:p>
            <w:pPr>
              <w:spacing w:after="0"/>
              <w:rPr>
                <w:sz w:val="8"/>
                <w:szCs w:val="8"/>
                <w:color w:val="auto"/>
              </w:rPr>
            </w:pPr>
          </w:p>
        </w:tc>
        <w:tc>
          <w:tcPr>
            <w:tcW w:w="720" w:type="dxa"/>
            <w:vAlign w:val="bottom"/>
            <w:tcBorders>
              <w:bottom w:val="single" w:sz="8" w:color="BFBFBF"/>
            </w:tcBorders>
          </w:tcPr>
          <w:p>
            <w:pPr>
              <w:spacing w:after="0"/>
              <w:rPr>
                <w:sz w:val="8"/>
                <w:szCs w:val="8"/>
                <w:color w:val="auto"/>
              </w:rPr>
            </w:pPr>
          </w:p>
        </w:tc>
        <w:tc>
          <w:tcPr>
            <w:tcW w:w="152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620" w:type="dxa"/>
            <w:vAlign w:val="bottom"/>
            <w:vMerge w:val="restart"/>
          </w:tcPr>
          <w:p>
            <w:pPr>
              <w:jc w:val="center"/>
              <w:spacing w:after="0"/>
              <w:rPr>
                <w:sz w:val="20"/>
                <w:szCs w:val="20"/>
                <w:color w:val="auto"/>
              </w:rPr>
            </w:pPr>
            <w:r>
              <w:rPr>
                <w:rFonts w:ascii="Arial" w:cs="Arial" w:eastAsia="Arial" w:hAnsi="Arial"/>
                <w:sz w:val="17"/>
                <w:szCs w:val="17"/>
                <w:color w:val="545454"/>
                <w:w w:val="84"/>
              </w:rPr>
              <w:t>11</w:t>
            </w:r>
          </w:p>
        </w:tc>
        <w:tc>
          <w:tcPr>
            <w:tcW w:w="3660" w:type="dxa"/>
            <w:vAlign w:val="bottom"/>
          </w:tcPr>
          <w:p>
            <w:pPr>
              <w:ind w:left="140"/>
              <w:spacing w:after="0" w:line="183" w:lineRule="exact"/>
              <w:rPr>
                <w:sz w:val="20"/>
                <w:szCs w:val="20"/>
                <w:color w:val="auto"/>
              </w:rPr>
            </w:pPr>
            <w:r>
              <w:rPr>
                <w:rFonts w:ascii="Arial" w:cs="Arial" w:eastAsia="Arial" w:hAnsi="Arial"/>
                <w:sz w:val="17"/>
                <w:szCs w:val="17"/>
                <w:b w:val="1"/>
                <w:bCs w:val="1"/>
                <w:color w:val="545454"/>
                <w:w w:val="95"/>
              </w:rPr>
              <w:t xml:space="preserve">Detroit, MI </w:t>
            </w:r>
            <w:r>
              <w:rPr>
                <w:rFonts w:ascii="Arial" w:cs="Arial" w:eastAsia="Arial" w:hAnsi="Arial"/>
                <w:sz w:val="17"/>
                <w:szCs w:val="17"/>
                <w:i w:val="1"/>
                <w:iCs w:val="1"/>
                <w:color w:val="545454"/>
                <w:w w:val="95"/>
              </w:rPr>
              <w:t>(no Comcast or TWC presence post-</w:t>
            </w:r>
          </w:p>
        </w:tc>
        <w:tc>
          <w:tcPr>
            <w:tcW w:w="4900" w:type="dxa"/>
            <w:vAlign w:val="bottom"/>
            <w:vMerge w:val="restart"/>
          </w:tcPr>
          <w:p>
            <w:pPr>
              <w:ind w:left="180"/>
              <w:spacing w:after="0"/>
              <w:rPr>
                <w:sz w:val="20"/>
                <w:szCs w:val="20"/>
                <w:color w:val="auto"/>
              </w:rPr>
            </w:pPr>
            <w:r>
              <w:rPr>
                <w:rFonts w:ascii="Arial" w:cs="Arial" w:eastAsia="Arial" w:hAnsi="Arial"/>
                <w:sz w:val="17"/>
                <w:szCs w:val="17"/>
                <w:color w:val="545454"/>
              </w:rPr>
              <w:t>--</w:t>
            </w:r>
          </w:p>
        </w:tc>
        <w:tc>
          <w:tcPr>
            <w:tcW w:w="720" w:type="dxa"/>
            <w:vAlign w:val="bottom"/>
            <w:vMerge w:val="restart"/>
          </w:tcPr>
          <w:p>
            <w:pPr>
              <w:jc w:val="center"/>
              <w:spacing w:after="0"/>
              <w:rPr>
                <w:sz w:val="20"/>
                <w:szCs w:val="20"/>
                <w:color w:val="auto"/>
              </w:rPr>
            </w:pPr>
            <w:r>
              <w:rPr>
                <w:rFonts w:ascii="Arial" w:cs="Arial" w:eastAsia="Arial" w:hAnsi="Arial"/>
                <w:sz w:val="17"/>
                <w:szCs w:val="17"/>
                <w:b w:val="1"/>
                <w:bCs w:val="1"/>
                <w:color w:val="545454"/>
                <w:w w:val="84"/>
              </w:rPr>
              <w:t>11</w:t>
            </w:r>
          </w:p>
        </w:tc>
        <w:tc>
          <w:tcPr>
            <w:tcW w:w="1520" w:type="dxa"/>
            <w:vAlign w:val="bottom"/>
            <w:vMerge w:val="restart"/>
          </w:tcPr>
          <w:p>
            <w:pPr>
              <w:jc w:val="center"/>
              <w:spacing w:after="0"/>
              <w:rPr>
                <w:sz w:val="20"/>
                <w:szCs w:val="20"/>
                <w:color w:val="auto"/>
              </w:rPr>
            </w:pPr>
            <w:r>
              <w:rPr>
                <w:rFonts w:ascii="Arial" w:cs="Arial" w:eastAsia="Arial" w:hAnsi="Arial"/>
                <w:sz w:val="17"/>
                <w:szCs w:val="17"/>
                <w:color w:val="545454"/>
                <w:w w:val="92"/>
              </w:rPr>
              <w:t>+1 (SpinCo)</w:t>
            </w:r>
          </w:p>
        </w:tc>
        <w:tc>
          <w:tcPr>
            <w:tcW w:w="0" w:type="dxa"/>
            <w:vAlign w:val="bottom"/>
          </w:tcPr>
          <w:p>
            <w:pPr>
              <w:spacing w:after="0"/>
              <w:rPr>
                <w:sz w:val="1"/>
                <w:szCs w:val="1"/>
                <w:color w:val="auto"/>
              </w:rPr>
            </w:pPr>
          </w:p>
        </w:tc>
      </w:tr>
      <w:tr>
        <w:trPr>
          <w:trHeight w:val="113"/>
        </w:trPr>
        <w:tc>
          <w:tcPr>
            <w:tcW w:w="620" w:type="dxa"/>
            <w:vAlign w:val="bottom"/>
            <w:vMerge w:val="continue"/>
          </w:tcPr>
          <w:p>
            <w:pPr>
              <w:spacing w:after="0"/>
              <w:rPr>
                <w:sz w:val="9"/>
                <w:szCs w:val="9"/>
                <w:color w:val="auto"/>
              </w:rPr>
            </w:pPr>
          </w:p>
        </w:tc>
        <w:tc>
          <w:tcPr>
            <w:tcW w:w="3660" w:type="dxa"/>
            <w:vAlign w:val="bottom"/>
            <w:vMerge w:val="restart"/>
          </w:tcPr>
          <w:p>
            <w:pPr>
              <w:ind w:left="140"/>
              <w:spacing w:after="0"/>
              <w:rPr>
                <w:sz w:val="20"/>
                <w:szCs w:val="20"/>
                <w:color w:val="auto"/>
              </w:rPr>
            </w:pPr>
            <w:r>
              <w:rPr>
                <w:rFonts w:ascii="Arial" w:cs="Arial" w:eastAsia="Arial" w:hAnsi="Arial"/>
                <w:sz w:val="17"/>
                <w:szCs w:val="17"/>
                <w:i w:val="1"/>
                <w:iCs w:val="1"/>
                <w:color w:val="545454"/>
              </w:rPr>
              <w:t>transaction)</w:t>
            </w:r>
          </w:p>
        </w:tc>
        <w:tc>
          <w:tcPr>
            <w:tcW w:w="4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20" w:type="dxa"/>
            <w:vAlign w:val="bottom"/>
            <w:tcBorders>
              <w:bottom w:val="single" w:sz="8" w:color="BFBFBF"/>
            </w:tcBorders>
          </w:tcPr>
          <w:p>
            <w:pPr>
              <w:spacing w:after="0"/>
              <w:rPr>
                <w:sz w:val="8"/>
                <w:szCs w:val="8"/>
                <w:color w:val="auto"/>
              </w:rPr>
            </w:pPr>
          </w:p>
        </w:tc>
        <w:tc>
          <w:tcPr>
            <w:tcW w:w="3660" w:type="dxa"/>
            <w:vAlign w:val="bottom"/>
            <w:tcBorders>
              <w:bottom w:val="single" w:sz="8" w:color="BFBFBF"/>
            </w:tcBorders>
            <w:vMerge w:val="continue"/>
          </w:tcPr>
          <w:p>
            <w:pPr>
              <w:spacing w:after="0"/>
              <w:rPr>
                <w:sz w:val="8"/>
                <w:szCs w:val="8"/>
                <w:color w:val="auto"/>
              </w:rPr>
            </w:pPr>
          </w:p>
        </w:tc>
        <w:tc>
          <w:tcPr>
            <w:tcW w:w="4900" w:type="dxa"/>
            <w:vAlign w:val="bottom"/>
            <w:tcBorders>
              <w:bottom w:val="single" w:sz="8" w:color="BFBFBF"/>
            </w:tcBorders>
          </w:tcPr>
          <w:p>
            <w:pPr>
              <w:spacing w:after="0"/>
              <w:rPr>
                <w:sz w:val="8"/>
                <w:szCs w:val="8"/>
                <w:color w:val="auto"/>
              </w:rPr>
            </w:pPr>
          </w:p>
        </w:tc>
        <w:tc>
          <w:tcPr>
            <w:tcW w:w="720" w:type="dxa"/>
            <w:vAlign w:val="bottom"/>
            <w:tcBorders>
              <w:bottom w:val="single" w:sz="8" w:color="BFBFBF"/>
            </w:tcBorders>
          </w:tcPr>
          <w:p>
            <w:pPr>
              <w:spacing w:after="0"/>
              <w:rPr>
                <w:sz w:val="8"/>
                <w:szCs w:val="8"/>
                <w:color w:val="auto"/>
              </w:rPr>
            </w:pPr>
          </w:p>
        </w:tc>
        <w:tc>
          <w:tcPr>
            <w:tcW w:w="152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620" w:type="dxa"/>
            <w:vAlign w:val="bottom"/>
            <w:vMerge w:val="restart"/>
          </w:tcPr>
          <w:p>
            <w:pPr>
              <w:jc w:val="center"/>
              <w:spacing w:after="0"/>
              <w:rPr>
                <w:sz w:val="20"/>
                <w:szCs w:val="20"/>
                <w:color w:val="auto"/>
              </w:rPr>
            </w:pPr>
            <w:r>
              <w:rPr>
                <w:rFonts w:ascii="Arial" w:cs="Arial" w:eastAsia="Arial" w:hAnsi="Arial"/>
                <w:sz w:val="17"/>
                <w:szCs w:val="17"/>
                <w:color w:val="545454"/>
                <w:w w:val="84"/>
              </w:rPr>
              <w:t>12</w:t>
            </w:r>
          </w:p>
        </w:tc>
        <w:tc>
          <w:tcPr>
            <w:tcW w:w="3660" w:type="dxa"/>
            <w:vAlign w:val="bottom"/>
          </w:tcPr>
          <w:p>
            <w:pPr>
              <w:ind w:left="140"/>
              <w:spacing w:after="0" w:line="183" w:lineRule="exact"/>
              <w:rPr>
                <w:sz w:val="20"/>
                <w:szCs w:val="20"/>
                <w:color w:val="auto"/>
              </w:rPr>
            </w:pPr>
            <w:r>
              <w:rPr>
                <w:rFonts w:ascii="Arial" w:cs="Arial" w:eastAsia="Arial" w:hAnsi="Arial"/>
                <w:sz w:val="17"/>
                <w:szCs w:val="17"/>
                <w:b w:val="1"/>
                <w:bCs w:val="1"/>
                <w:color w:val="545454"/>
              </w:rPr>
              <w:t xml:space="preserve">Phoenix, AZ </w:t>
            </w:r>
            <w:r>
              <w:rPr>
                <w:rFonts w:ascii="Arial" w:cs="Arial" w:eastAsia="Arial" w:hAnsi="Arial"/>
                <w:sz w:val="17"/>
                <w:szCs w:val="17"/>
                <w:i w:val="1"/>
                <w:iCs w:val="1"/>
                <w:color w:val="545454"/>
              </w:rPr>
              <w:t>(no current Comcast or TWC</w:t>
            </w:r>
          </w:p>
        </w:tc>
        <w:tc>
          <w:tcPr>
            <w:tcW w:w="4900" w:type="dxa"/>
            <w:vAlign w:val="bottom"/>
            <w:vMerge w:val="restart"/>
          </w:tcPr>
          <w:p>
            <w:pPr>
              <w:ind w:left="180"/>
              <w:spacing w:after="0"/>
              <w:rPr>
                <w:sz w:val="20"/>
                <w:szCs w:val="20"/>
                <w:color w:val="auto"/>
              </w:rPr>
            </w:pPr>
            <w:r>
              <w:rPr>
                <w:rFonts w:ascii="Arial" w:cs="Arial" w:eastAsia="Arial" w:hAnsi="Arial"/>
                <w:sz w:val="17"/>
                <w:szCs w:val="17"/>
                <w:color w:val="545454"/>
              </w:rPr>
              <w:t>--</w:t>
            </w:r>
          </w:p>
        </w:tc>
        <w:tc>
          <w:tcPr>
            <w:tcW w:w="720" w:type="dxa"/>
            <w:vAlign w:val="bottom"/>
            <w:vMerge w:val="restart"/>
          </w:tcPr>
          <w:p>
            <w:pPr>
              <w:jc w:val="center"/>
              <w:spacing w:after="0"/>
              <w:rPr>
                <w:sz w:val="20"/>
                <w:szCs w:val="20"/>
                <w:color w:val="auto"/>
              </w:rPr>
            </w:pPr>
            <w:r>
              <w:rPr>
                <w:rFonts w:ascii="Arial" w:cs="Arial" w:eastAsia="Arial" w:hAnsi="Arial"/>
                <w:sz w:val="17"/>
                <w:szCs w:val="17"/>
                <w:b w:val="1"/>
                <w:bCs w:val="1"/>
                <w:color w:val="545454"/>
                <w:w w:val="84"/>
              </w:rPr>
              <w:t>13</w:t>
            </w:r>
          </w:p>
        </w:tc>
        <w:tc>
          <w:tcPr>
            <w:tcW w:w="1520" w:type="dxa"/>
            <w:vAlign w:val="bottom"/>
            <w:vMerge w:val="restart"/>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13"/>
        </w:trPr>
        <w:tc>
          <w:tcPr>
            <w:tcW w:w="620" w:type="dxa"/>
            <w:vAlign w:val="bottom"/>
            <w:vMerge w:val="continue"/>
          </w:tcPr>
          <w:p>
            <w:pPr>
              <w:spacing w:after="0"/>
              <w:rPr>
                <w:sz w:val="9"/>
                <w:szCs w:val="9"/>
                <w:color w:val="auto"/>
              </w:rPr>
            </w:pPr>
          </w:p>
        </w:tc>
        <w:tc>
          <w:tcPr>
            <w:tcW w:w="3660" w:type="dxa"/>
            <w:vAlign w:val="bottom"/>
            <w:vMerge w:val="restart"/>
          </w:tcPr>
          <w:p>
            <w:pPr>
              <w:ind w:left="140"/>
              <w:spacing w:after="0"/>
              <w:rPr>
                <w:sz w:val="20"/>
                <w:szCs w:val="20"/>
                <w:color w:val="auto"/>
              </w:rPr>
            </w:pPr>
            <w:r>
              <w:rPr>
                <w:rFonts w:ascii="Arial" w:cs="Arial" w:eastAsia="Arial" w:hAnsi="Arial"/>
                <w:sz w:val="17"/>
                <w:szCs w:val="17"/>
                <w:i w:val="1"/>
                <w:iCs w:val="1"/>
                <w:color w:val="545454"/>
              </w:rPr>
              <w:t>presence)</w:t>
            </w:r>
          </w:p>
        </w:tc>
        <w:tc>
          <w:tcPr>
            <w:tcW w:w="4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20" w:type="dxa"/>
            <w:vAlign w:val="bottom"/>
            <w:tcBorders>
              <w:bottom w:val="single" w:sz="8" w:color="BFBFBF"/>
            </w:tcBorders>
          </w:tcPr>
          <w:p>
            <w:pPr>
              <w:spacing w:after="0"/>
              <w:rPr>
                <w:sz w:val="8"/>
                <w:szCs w:val="8"/>
                <w:color w:val="auto"/>
              </w:rPr>
            </w:pPr>
          </w:p>
        </w:tc>
        <w:tc>
          <w:tcPr>
            <w:tcW w:w="3660" w:type="dxa"/>
            <w:vAlign w:val="bottom"/>
            <w:tcBorders>
              <w:bottom w:val="single" w:sz="8" w:color="BFBFBF"/>
            </w:tcBorders>
            <w:vMerge w:val="continue"/>
          </w:tcPr>
          <w:p>
            <w:pPr>
              <w:spacing w:after="0"/>
              <w:rPr>
                <w:sz w:val="8"/>
                <w:szCs w:val="8"/>
                <w:color w:val="auto"/>
              </w:rPr>
            </w:pPr>
          </w:p>
        </w:tc>
        <w:tc>
          <w:tcPr>
            <w:tcW w:w="4900" w:type="dxa"/>
            <w:vAlign w:val="bottom"/>
            <w:tcBorders>
              <w:bottom w:val="single" w:sz="8" w:color="BFBFBF"/>
            </w:tcBorders>
          </w:tcPr>
          <w:p>
            <w:pPr>
              <w:spacing w:after="0"/>
              <w:rPr>
                <w:sz w:val="8"/>
                <w:szCs w:val="8"/>
                <w:color w:val="auto"/>
              </w:rPr>
            </w:pPr>
          </w:p>
        </w:tc>
        <w:tc>
          <w:tcPr>
            <w:tcW w:w="720" w:type="dxa"/>
            <w:vAlign w:val="bottom"/>
            <w:tcBorders>
              <w:bottom w:val="single" w:sz="8" w:color="BFBFBF"/>
            </w:tcBorders>
          </w:tcPr>
          <w:p>
            <w:pPr>
              <w:spacing w:after="0"/>
              <w:rPr>
                <w:sz w:val="8"/>
                <w:szCs w:val="8"/>
                <w:color w:val="auto"/>
              </w:rPr>
            </w:pPr>
          </w:p>
        </w:tc>
        <w:tc>
          <w:tcPr>
            <w:tcW w:w="152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620" w:type="dxa"/>
            <w:vAlign w:val="bottom"/>
            <w:vMerge w:val="restart"/>
          </w:tcPr>
          <w:p>
            <w:pPr>
              <w:jc w:val="center"/>
              <w:spacing w:after="0"/>
              <w:rPr>
                <w:sz w:val="20"/>
                <w:szCs w:val="20"/>
                <w:color w:val="auto"/>
              </w:rPr>
            </w:pPr>
            <w:r>
              <w:rPr>
                <w:rFonts w:ascii="Arial" w:cs="Arial" w:eastAsia="Arial" w:hAnsi="Arial"/>
                <w:sz w:val="17"/>
                <w:szCs w:val="17"/>
                <w:color w:val="545454"/>
                <w:w w:val="84"/>
              </w:rPr>
              <w:t>13</w:t>
            </w:r>
          </w:p>
        </w:tc>
        <w:tc>
          <w:tcPr>
            <w:tcW w:w="3660" w:type="dxa"/>
            <w:vAlign w:val="bottom"/>
            <w:vMerge w:val="restart"/>
          </w:tcPr>
          <w:p>
            <w:pPr>
              <w:ind w:left="140"/>
              <w:spacing w:after="0"/>
              <w:rPr>
                <w:sz w:val="20"/>
                <w:szCs w:val="20"/>
                <w:color w:val="auto"/>
              </w:rPr>
            </w:pPr>
            <w:r>
              <w:rPr>
                <w:rFonts w:ascii="Arial" w:cs="Arial" w:eastAsia="Arial" w:hAnsi="Arial"/>
                <w:sz w:val="17"/>
                <w:szCs w:val="17"/>
                <w:b w:val="1"/>
                <w:bCs w:val="1"/>
                <w:color w:val="545454"/>
              </w:rPr>
              <w:t>Seattle-Tacoma, WA</w:t>
            </w:r>
          </w:p>
        </w:tc>
        <w:tc>
          <w:tcPr>
            <w:tcW w:w="4900" w:type="dxa"/>
            <w:vAlign w:val="bottom"/>
          </w:tcPr>
          <w:p>
            <w:pPr>
              <w:ind w:left="180"/>
              <w:spacing w:after="0" w:line="183" w:lineRule="exact"/>
              <w:rPr>
                <w:sz w:val="20"/>
                <w:szCs w:val="20"/>
                <w:color w:val="auto"/>
              </w:rPr>
            </w:pPr>
            <w:r>
              <w:rPr>
                <w:rFonts w:ascii="Arial" w:cs="Arial" w:eastAsia="Arial" w:hAnsi="Arial"/>
                <w:sz w:val="17"/>
                <w:szCs w:val="17"/>
                <w:color w:val="545454"/>
                <w:w w:val="99"/>
              </w:rPr>
              <w:t>Dish, DirecTV, Frontier, Coast Communications, Wave, and 11</w:t>
            </w:r>
          </w:p>
        </w:tc>
        <w:tc>
          <w:tcPr>
            <w:tcW w:w="720" w:type="dxa"/>
            <w:vAlign w:val="bottom"/>
            <w:vMerge w:val="restart"/>
          </w:tcPr>
          <w:p>
            <w:pPr>
              <w:jc w:val="center"/>
              <w:spacing w:after="0"/>
              <w:rPr>
                <w:sz w:val="20"/>
                <w:szCs w:val="20"/>
                <w:color w:val="auto"/>
              </w:rPr>
            </w:pPr>
            <w:r>
              <w:rPr>
                <w:rFonts w:ascii="Arial" w:cs="Arial" w:eastAsia="Arial" w:hAnsi="Arial"/>
                <w:sz w:val="17"/>
                <w:szCs w:val="17"/>
                <w:b w:val="1"/>
                <w:bCs w:val="1"/>
                <w:color w:val="545454"/>
                <w:w w:val="84"/>
              </w:rPr>
              <w:t>16</w:t>
            </w:r>
          </w:p>
        </w:tc>
        <w:tc>
          <w:tcPr>
            <w:tcW w:w="1520" w:type="dxa"/>
            <w:vAlign w:val="bottom"/>
            <w:vMerge w:val="restart"/>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13"/>
        </w:trPr>
        <w:tc>
          <w:tcPr>
            <w:tcW w:w="620" w:type="dxa"/>
            <w:vAlign w:val="bottom"/>
            <w:vMerge w:val="continue"/>
          </w:tcPr>
          <w:p>
            <w:pPr>
              <w:spacing w:after="0"/>
              <w:rPr>
                <w:sz w:val="9"/>
                <w:szCs w:val="9"/>
                <w:color w:val="auto"/>
              </w:rPr>
            </w:pPr>
          </w:p>
        </w:tc>
        <w:tc>
          <w:tcPr>
            <w:tcW w:w="3660" w:type="dxa"/>
            <w:vAlign w:val="bottom"/>
            <w:vMerge w:val="continue"/>
          </w:tcPr>
          <w:p>
            <w:pPr>
              <w:spacing w:after="0"/>
              <w:rPr>
                <w:sz w:val="9"/>
                <w:szCs w:val="9"/>
                <w:color w:val="auto"/>
              </w:rPr>
            </w:pPr>
          </w:p>
        </w:tc>
        <w:tc>
          <w:tcPr>
            <w:tcW w:w="4900" w:type="dxa"/>
            <w:vAlign w:val="bottom"/>
            <w:vMerge w:val="restart"/>
          </w:tcPr>
          <w:p>
            <w:pPr>
              <w:ind w:left="180"/>
              <w:spacing w:after="0"/>
              <w:rPr>
                <w:sz w:val="20"/>
                <w:szCs w:val="20"/>
                <w:color w:val="auto"/>
              </w:rPr>
            </w:pPr>
            <w:r>
              <w:rPr>
                <w:rFonts w:ascii="Arial" w:cs="Arial" w:eastAsia="Arial" w:hAnsi="Arial"/>
                <w:sz w:val="17"/>
                <w:szCs w:val="17"/>
                <w:color w:val="545454"/>
              </w:rPr>
              <w:t>others</w:t>
            </w:r>
          </w:p>
        </w:tc>
        <w:tc>
          <w:tcPr>
            <w:tcW w:w="7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20" w:type="dxa"/>
            <w:vAlign w:val="bottom"/>
            <w:tcBorders>
              <w:bottom w:val="single" w:sz="8" w:color="BFBFBF"/>
            </w:tcBorders>
          </w:tcPr>
          <w:p>
            <w:pPr>
              <w:spacing w:after="0"/>
              <w:rPr>
                <w:sz w:val="8"/>
                <w:szCs w:val="8"/>
                <w:color w:val="auto"/>
              </w:rPr>
            </w:pPr>
          </w:p>
        </w:tc>
        <w:tc>
          <w:tcPr>
            <w:tcW w:w="3660" w:type="dxa"/>
            <w:vAlign w:val="bottom"/>
            <w:tcBorders>
              <w:bottom w:val="single" w:sz="8" w:color="BFBFBF"/>
            </w:tcBorders>
          </w:tcPr>
          <w:p>
            <w:pPr>
              <w:spacing w:after="0"/>
              <w:rPr>
                <w:sz w:val="8"/>
                <w:szCs w:val="8"/>
                <w:color w:val="auto"/>
              </w:rPr>
            </w:pPr>
          </w:p>
        </w:tc>
        <w:tc>
          <w:tcPr>
            <w:tcW w:w="4900" w:type="dxa"/>
            <w:vAlign w:val="bottom"/>
            <w:tcBorders>
              <w:bottom w:val="single" w:sz="8" w:color="BFBFBF"/>
            </w:tcBorders>
            <w:vMerge w:val="continue"/>
          </w:tcPr>
          <w:p>
            <w:pPr>
              <w:spacing w:after="0"/>
              <w:rPr>
                <w:sz w:val="8"/>
                <w:szCs w:val="8"/>
                <w:color w:val="auto"/>
              </w:rPr>
            </w:pPr>
          </w:p>
        </w:tc>
        <w:tc>
          <w:tcPr>
            <w:tcW w:w="720" w:type="dxa"/>
            <w:vAlign w:val="bottom"/>
            <w:tcBorders>
              <w:bottom w:val="single" w:sz="8" w:color="BFBFBF"/>
            </w:tcBorders>
          </w:tcPr>
          <w:p>
            <w:pPr>
              <w:spacing w:after="0"/>
              <w:rPr>
                <w:sz w:val="8"/>
                <w:szCs w:val="8"/>
                <w:color w:val="auto"/>
              </w:rPr>
            </w:pPr>
          </w:p>
        </w:tc>
        <w:tc>
          <w:tcPr>
            <w:tcW w:w="152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6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14</w:t>
            </w:r>
          </w:p>
        </w:tc>
        <w:tc>
          <w:tcPr>
            <w:tcW w:w="3660" w:type="dxa"/>
            <w:vAlign w:val="bottom"/>
            <w:tcBorders>
              <w:bottom w:val="single" w:sz="8" w:color="BFBFBF"/>
            </w:tcBorders>
          </w:tcPr>
          <w:p>
            <w:pPr>
              <w:ind w:left="140"/>
              <w:spacing w:after="0"/>
              <w:rPr>
                <w:sz w:val="20"/>
                <w:szCs w:val="20"/>
                <w:color w:val="auto"/>
              </w:rPr>
            </w:pPr>
            <w:r>
              <w:rPr>
                <w:rFonts w:ascii="Arial" w:cs="Arial" w:eastAsia="Arial" w:hAnsi="Arial"/>
                <w:sz w:val="17"/>
                <w:szCs w:val="17"/>
                <w:b w:val="1"/>
                <w:bCs w:val="1"/>
                <w:color w:val="545454"/>
              </w:rPr>
              <w:t>Tampa-St. Petersburg, FL</w:t>
            </w:r>
          </w:p>
        </w:tc>
        <w:tc>
          <w:tcPr>
            <w:tcW w:w="4900" w:type="dxa"/>
            <w:vAlign w:val="bottom"/>
            <w:tcBorders>
              <w:bottom w:val="single" w:sz="8" w:color="BFBFBF"/>
            </w:tcBorders>
          </w:tcPr>
          <w:p>
            <w:pPr>
              <w:ind w:left="180"/>
              <w:spacing w:after="0"/>
              <w:rPr>
                <w:sz w:val="20"/>
                <w:szCs w:val="20"/>
                <w:color w:val="auto"/>
              </w:rPr>
            </w:pPr>
            <w:r>
              <w:rPr>
                <w:rFonts w:ascii="Arial" w:cs="Arial" w:eastAsia="Arial" w:hAnsi="Arial"/>
                <w:sz w:val="17"/>
                <w:szCs w:val="17"/>
                <w:color w:val="545454"/>
              </w:rPr>
              <w:t>Dish, DirecTV, Verizon, WOW!, CenturyLink, and 6 others</w:t>
            </w:r>
          </w:p>
        </w:tc>
        <w:tc>
          <w:tcPr>
            <w:tcW w:w="7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11</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82"/>
        </w:trPr>
        <w:tc>
          <w:tcPr>
            <w:tcW w:w="620" w:type="dxa"/>
            <w:vAlign w:val="bottom"/>
            <w:vMerge w:val="restart"/>
          </w:tcPr>
          <w:p>
            <w:pPr>
              <w:jc w:val="center"/>
              <w:spacing w:after="0"/>
              <w:rPr>
                <w:sz w:val="20"/>
                <w:szCs w:val="20"/>
                <w:color w:val="auto"/>
              </w:rPr>
            </w:pPr>
            <w:r>
              <w:rPr>
                <w:rFonts w:ascii="Arial" w:cs="Arial" w:eastAsia="Arial" w:hAnsi="Arial"/>
                <w:sz w:val="17"/>
                <w:szCs w:val="17"/>
                <w:color w:val="545454"/>
                <w:w w:val="84"/>
              </w:rPr>
              <w:t>15</w:t>
            </w:r>
          </w:p>
        </w:tc>
        <w:tc>
          <w:tcPr>
            <w:tcW w:w="3660" w:type="dxa"/>
            <w:vAlign w:val="bottom"/>
          </w:tcPr>
          <w:p>
            <w:pPr>
              <w:ind w:left="140"/>
              <w:spacing w:after="0" w:line="182" w:lineRule="exact"/>
              <w:rPr>
                <w:sz w:val="20"/>
                <w:szCs w:val="20"/>
                <w:color w:val="auto"/>
              </w:rPr>
            </w:pPr>
            <w:r>
              <w:rPr>
                <w:rFonts w:ascii="Arial" w:cs="Arial" w:eastAsia="Arial" w:hAnsi="Arial"/>
                <w:sz w:val="17"/>
                <w:szCs w:val="17"/>
                <w:b w:val="1"/>
                <w:bCs w:val="1"/>
                <w:color w:val="545454"/>
                <w:w w:val="95"/>
              </w:rPr>
              <w:t xml:space="preserve">Minneapolis-St. Paul, MN </w:t>
            </w:r>
            <w:r>
              <w:rPr>
                <w:rFonts w:ascii="Arial" w:cs="Arial" w:eastAsia="Arial" w:hAnsi="Arial"/>
                <w:sz w:val="17"/>
                <w:szCs w:val="17"/>
                <w:i w:val="1"/>
                <w:iCs w:val="1"/>
                <w:color w:val="545454"/>
                <w:w w:val="95"/>
              </w:rPr>
              <w:t>(no Comcast or TWC</w:t>
            </w:r>
          </w:p>
        </w:tc>
        <w:tc>
          <w:tcPr>
            <w:tcW w:w="4900" w:type="dxa"/>
            <w:vAlign w:val="bottom"/>
            <w:vMerge w:val="restart"/>
          </w:tcPr>
          <w:p>
            <w:pPr>
              <w:ind w:left="180"/>
              <w:spacing w:after="0"/>
              <w:rPr>
                <w:sz w:val="20"/>
                <w:szCs w:val="20"/>
                <w:color w:val="auto"/>
              </w:rPr>
            </w:pPr>
            <w:r>
              <w:rPr>
                <w:rFonts w:ascii="Arial" w:cs="Arial" w:eastAsia="Arial" w:hAnsi="Arial"/>
                <w:sz w:val="17"/>
                <w:szCs w:val="17"/>
                <w:color w:val="545454"/>
              </w:rPr>
              <w:t>--</w:t>
            </w:r>
          </w:p>
        </w:tc>
        <w:tc>
          <w:tcPr>
            <w:tcW w:w="720" w:type="dxa"/>
            <w:vAlign w:val="bottom"/>
            <w:vMerge w:val="restart"/>
          </w:tcPr>
          <w:p>
            <w:pPr>
              <w:jc w:val="center"/>
              <w:spacing w:after="0"/>
              <w:rPr>
                <w:sz w:val="20"/>
                <w:szCs w:val="20"/>
                <w:color w:val="auto"/>
              </w:rPr>
            </w:pPr>
            <w:r>
              <w:rPr>
                <w:rFonts w:ascii="Arial" w:cs="Arial" w:eastAsia="Arial" w:hAnsi="Arial"/>
                <w:sz w:val="17"/>
                <w:szCs w:val="17"/>
                <w:b w:val="1"/>
                <w:bCs w:val="1"/>
                <w:color w:val="545454"/>
                <w:w w:val="84"/>
              </w:rPr>
              <w:t>42</w:t>
            </w:r>
          </w:p>
        </w:tc>
        <w:tc>
          <w:tcPr>
            <w:tcW w:w="1520" w:type="dxa"/>
            <w:vAlign w:val="bottom"/>
            <w:vMerge w:val="restart"/>
          </w:tcPr>
          <w:p>
            <w:pPr>
              <w:jc w:val="center"/>
              <w:spacing w:after="0"/>
              <w:rPr>
                <w:sz w:val="20"/>
                <w:szCs w:val="20"/>
                <w:color w:val="auto"/>
              </w:rPr>
            </w:pPr>
            <w:r>
              <w:rPr>
                <w:rFonts w:ascii="Arial" w:cs="Arial" w:eastAsia="Arial" w:hAnsi="Arial"/>
                <w:sz w:val="17"/>
                <w:szCs w:val="17"/>
                <w:color w:val="545454"/>
                <w:w w:val="92"/>
              </w:rPr>
              <w:t>+1 (SpinCo)</w:t>
            </w:r>
          </w:p>
        </w:tc>
        <w:tc>
          <w:tcPr>
            <w:tcW w:w="0" w:type="dxa"/>
            <w:vAlign w:val="bottom"/>
          </w:tcPr>
          <w:p>
            <w:pPr>
              <w:spacing w:after="0"/>
              <w:rPr>
                <w:sz w:val="1"/>
                <w:szCs w:val="1"/>
                <w:color w:val="auto"/>
              </w:rPr>
            </w:pPr>
          </w:p>
        </w:tc>
      </w:tr>
      <w:tr>
        <w:trPr>
          <w:trHeight w:val="113"/>
        </w:trPr>
        <w:tc>
          <w:tcPr>
            <w:tcW w:w="620" w:type="dxa"/>
            <w:vAlign w:val="bottom"/>
            <w:vMerge w:val="continue"/>
          </w:tcPr>
          <w:p>
            <w:pPr>
              <w:spacing w:after="0"/>
              <w:rPr>
                <w:sz w:val="9"/>
                <w:szCs w:val="9"/>
                <w:color w:val="auto"/>
              </w:rPr>
            </w:pPr>
          </w:p>
        </w:tc>
        <w:tc>
          <w:tcPr>
            <w:tcW w:w="3660" w:type="dxa"/>
            <w:vAlign w:val="bottom"/>
            <w:vMerge w:val="restart"/>
          </w:tcPr>
          <w:p>
            <w:pPr>
              <w:ind w:left="140"/>
              <w:spacing w:after="0"/>
              <w:rPr>
                <w:sz w:val="20"/>
                <w:szCs w:val="20"/>
                <w:color w:val="auto"/>
              </w:rPr>
            </w:pPr>
            <w:r>
              <w:rPr>
                <w:rFonts w:ascii="Arial" w:cs="Arial" w:eastAsia="Arial" w:hAnsi="Arial"/>
                <w:sz w:val="17"/>
                <w:szCs w:val="17"/>
                <w:i w:val="1"/>
                <w:iCs w:val="1"/>
                <w:color w:val="545454"/>
              </w:rPr>
              <w:t>presence post-transaction)</w:t>
            </w:r>
          </w:p>
        </w:tc>
        <w:tc>
          <w:tcPr>
            <w:tcW w:w="4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20" w:type="dxa"/>
            <w:vAlign w:val="bottom"/>
            <w:tcBorders>
              <w:bottom w:val="single" w:sz="8" w:color="BFBFBF"/>
            </w:tcBorders>
          </w:tcPr>
          <w:p>
            <w:pPr>
              <w:spacing w:after="0"/>
              <w:rPr>
                <w:sz w:val="8"/>
                <w:szCs w:val="8"/>
                <w:color w:val="auto"/>
              </w:rPr>
            </w:pPr>
          </w:p>
        </w:tc>
        <w:tc>
          <w:tcPr>
            <w:tcW w:w="3660" w:type="dxa"/>
            <w:vAlign w:val="bottom"/>
            <w:tcBorders>
              <w:bottom w:val="single" w:sz="8" w:color="BFBFBF"/>
            </w:tcBorders>
            <w:vMerge w:val="continue"/>
          </w:tcPr>
          <w:p>
            <w:pPr>
              <w:spacing w:after="0"/>
              <w:rPr>
                <w:sz w:val="8"/>
                <w:szCs w:val="8"/>
                <w:color w:val="auto"/>
              </w:rPr>
            </w:pPr>
          </w:p>
        </w:tc>
        <w:tc>
          <w:tcPr>
            <w:tcW w:w="4900" w:type="dxa"/>
            <w:vAlign w:val="bottom"/>
            <w:tcBorders>
              <w:bottom w:val="single" w:sz="8" w:color="BFBFBF"/>
            </w:tcBorders>
          </w:tcPr>
          <w:p>
            <w:pPr>
              <w:spacing w:after="0"/>
              <w:rPr>
                <w:sz w:val="8"/>
                <w:szCs w:val="8"/>
                <w:color w:val="auto"/>
              </w:rPr>
            </w:pPr>
          </w:p>
        </w:tc>
        <w:tc>
          <w:tcPr>
            <w:tcW w:w="720" w:type="dxa"/>
            <w:vAlign w:val="bottom"/>
            <w:tcBorders>
              <w:bottom w:val="single" w:sz="8" w:color="BFBFBF"/>
            </w:tcBorders>
          </w:tcPr>
          <w:p>
            <w:pPr>
              <w:spacing w:after="0"/>
              <w:rPr>
                <w:sz w:val="8"/>
                <w:szCs w:val="8"/>
                <w:color w:val="auto"/>
              </w:rPr>
            </w:pPr>
          </w:p>
        </w:tc>
        <w:tc>
          <w:tcPr>
            <w:tcW w:w="152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620" w:type="dxa"/>
            <w:vAlign w:val="bottom"/>
            <w:vMerge w:val="restart"/>
          </w:tcPr>
          <w:p>
            <w:pPr>
              <w:jc w:val="center"/>
              <w:spacing w:after="0"/>
              <w:rPr>
                <w:sz w:val="20"/>
                <w:szCs w:val="20"/>
                <w:color w:val="auto"/>
              </w:rPr>
            </w:pPr>
            <w:r>
              <w:rPr>
                <w:rFonts w:ascii="Arial" w:cs="Arial" w:eastAsia="Arial" w:hAnsi="Arial"/>
                <w:sz w:val="17"/>
                <w:szCs w:val="17"/>
                <w:color w:val="545454"/>
                <w:w w:val="84"/>
              </w:rPr>
              <w:t>16</w:t>
            </w:r>
          </w:p>
        </w:tc>
        <w:tc>
          <w:tcPr>
            <w:tcW w:w="3660" w:type="dxa"/>
            <w:vAlign w:val="bottom"/>
            <w:vMerge w:val="restart"/>
          </w:tcPr>
          <w:p>
            <w:pPr>
              <w:ind w:left="140"/>
              <w:spacing w:after="0"/>
              <w:rPr>
                <w:sz w:val="20"/>
                <w:szCs w:val="20"/>
                <w:color w:val="auto"/>
              </w:rPr>
            </w:pPr>
            <w:r>
              <w:rPr>
                <w:rFonts w:ascii="Arial" w:cs="Arial" w:eastAsia="Arial" w:hAnsi="Arial"/>
                <w:sz w:val="17"/>
                <w:szCs w:val="17"/>
                <w:b w:val="1"/>
                <w:bCs w:val="1"/>
                <w:color w:val="545454"/>
              </w:rPr>
              <w:t>Miami-Ft. Lauderdale, FL</w:t>
            </w:r>
          </w:p>
        </w:tc>
        <w:tc>
          <w:tcPr>
            <w:tcW w:w="4900" w:type="dxa"/>
            <w:vAlign w:val="bottom"/>
          </w:tcPr>
          <w:p>
            <w:pPr>
              <w:ind w:left="180"/>
              <w:spacing w:after="0" w:line="183" w:lineRule="exact"/>
              <w:rPr>
                <w:sz w:val="20"/>
                <w:szCs w:val="20"/>
                <w:color w:val="auto"/>
              </w:rPr>
            </w:pPr>
            <w:r>
              <w:rPr>
                <w:rFonts w:ascii="Arial" w:cs="Arial" w:eastAsia="Arial" w:hAnsi="Arial"/>
                <w:sz w:val="17"/>
                <w:szCs w:val="17"/>
                <w:color w:val="545454"/>
                <w:w w:val="96"/>
              </w:rPr>
              <w:t>Dish, DirecTV, AT&amp;T, Advanced Cable Communications, Atlantic</w:t>
            </w:r>
          </w:p>
        </w:tc>
        <w:tc>
          <w:tcPr>
            <w:tcW w:w="720" w:type="dxa"/>
            <w:vAlign w:val="bottom"/>
            <w:vMerge w:val="restart"/>
          </w:tcPr>
          <w:p>
            <w:pPr>
              <w:jc w:val="center"/>
              <w:spacing w:after="0"/>
              <w:rPr>
                <w:sz w:val="20"/>
                <w:szCs w:val="20"/>
                <w:color w:val="auto"/>
              </w:rPr>
            </w:pPr>
            <w:r>
              <w:rPr>
                <w:rFonts w:ascii="Arial" w:cs="Arial" w:eastAsia="Arial" w:hAnsi="Arial"/>
                <w:sz w:val="17"/>
                <w:szCs w:val="17"/>
                <w:b w:val="1"/>
                <w:bCs w:val="1"/>
                <w:color w:val="545454"/>
                <w:w w:val="84"/>
              </w:rPr>
              <w:t>7</w:t>
            </w:r>
          </w:p>
        </w:tc>
        <w:tc>
          <w:tcPr>
            <w:tcW w:w="1520" w:type="dxa"/>
            <w:vAlign w:val="bottom"/>
            <w:vMerge w:val="restart"/>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13"/>
        </w:trPr>
        <w:tc>
          <w:tcPr>
            <w:tcW w:w="620" w:type="dxa"/>
            <w:vAlign w:val="bottom"/>
            <w:vMerge w:val="continue"/>
          </w:tcPr>
          <w:p>
            <w:pPr>
              <w:spacing w:after="0"/>
              <w:rPr>
                <w:sz w:val="9"/>
                <w:szCs w:val="9"/>
                <w:color w:val="auto"/>
              </w:rPr>
            </w:pPr>
          </w:p>
        </w:tc>
        <w:tc>
          <w:tcPr>
            <w:tcW w:w="3660" w:type="dxa"/>
            <w:vAlign w:val="bottom"/>
            <w:vMerge w:val="continue"/>
          </w:tcPr>
          <w:p>
            <w:pPr>
              <w:spacing w:after="0"/>
              <w:rPr>
                <w:sz w:val="9"/>
                <w:szCs w:val="9"/>
                <w:color w:val="auto"/>
              </w:rPr>
            </w:pPr>
          </w:p>
        </w:tc>
        <w:tc>
          <w:tcPr>
            <w:tcW w:w="4900" w:type="dxa"/>
            <w:vAlign w:val="bottom"/>
            <w:vMerge w:val="restart"/>
          </w:tcPr>
          <w:p>
            <w:pPr>
              <w:ind w:left="180"/>
              <w:spacing w:after="0"/>
              <w:rPr>
                <w:sz w:val="20"/>
                <w:szCs w:val="20"/>
                <w:color w:val="auto"/>
              </w:rPr>
            </w:pPr>
            <w:r>
              <w:rPr>
                <w:rFonts w:ascii="Arial" w:cs="Arial" w:eastAsia="Arial" w:hAnsi="Arial"/>
                <w:sz w:val="17"/>
                <w:szCs w:val="17"/>
                <w:color w:val="545454"/>
              </w:rPr>
              <w:t>Broadband, and 2 others</w:t>
            </w:r>
          </w:p>
        </w:tc>
        <w:tc>
          <w:tcPr>
            <w:tcW w:w="7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20" w:type="dxa"/>
            <w:vAlign w:val="bottom"/>
            <w:tcBorders>
              <w:bottom w:val="single" w:sz="8" w:color="BFBFBF"/>
            </w:tcBorders>
          </w:tcPr>
          <w:p>
            <w:pPr>
              <w:spacing w:after="0"/>
              <w:rPr>
                <w:sz w:val="8"/>
                <w:szCs w:val="8"/>
                <w:color w:val="auto"/>
              </w:rPr>
            </w:pPr>
          </w:p>
        </w:tc>
        <w:tc>
          <w:tcPr>
            <w:tcW w:w="3660" w:type="dxa"/>
            <w:vAlign w:val="bottom"/>
            <w:tcBorders>
              <w:bottom w:val="single" w:sz="8" w:color="BFBFBF"/>
            </w:tcBorders>
          </w:tcPr>
          <w:p>
            <w:pPr>
              <w:spacing w:after="0"/>
              <w:rPr>
                <w:sz w:val="8"/>
                <w:szCs w:val="8"/>
                <w:color w:val="auto"/>
              </w:rPr>
            </w:pPr>
          </w:p>
        </w:tc>
        <w:tc>
          <w:tcPr>
            <w:tcW w:w="4900" w:type="dxa"/>
            <w:vAlign w:val="bottom"/>
            <w:tcBorders>
              <w:bottom w:val="single" w:sz="8" w:color="BFBFBF"/>
            </w:tcBorders>
            <w:vMerge w:val="continue"/>
          </w:tcPr>
          <w:p>
            <w:pPr>
              <w:spacing w:after="0"/>
              <w:rPr>
                <w:sz w:val="8"/>
                <w:szCs w:val="8"/>
                <w:color w:val="auto"/>
              </w:rPr>
            </w:pPr>
          </w:p>
        </w:tc>
        <w:tc>
          <w:tcPr>
            <w:tcW w:w="720" w:type="dxa"/>
            <w:vAlign w:val="bottom"/>
            <w:tcBorders>
              <w:bottom w:val="single" w:sz="8" w:color="BFBFBF"/>
            </w:tcBorders>
          </w:tcPr>
          <w:p>
            <w:pPr>
              <w:spacing w:after="0"/>
              <w:rPr>
                <w:sz w:val="8"/>
                <w:szCs w:val="8"/>
                <w:color w:val="auto"/>
              </w:rPr>
            </w:pPr>
          </w:p>
        </w:tc>
        <w:tc>
          <w:tcPr>
            <w:tcW w:w="152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620" w:type="dxa"/>
            <w:vAlign w:val="bottom"/>
            <w:vMerge w:val="restart"/>
          </w:tcPr>
          <w:p>
            <w:pPr>
              <w:jc w:val="center"/>
              <w:spacing w:after="0"/>
              <w:rPr>
                <w:sz w:val="20"/>
                <w:szCs w:val="20"/>
                <w:color w:val="auto"/>
              </w:rPr>
            </w:pPr>
            <w:r>
              <w:rPr>
                <w:rFonts w:ascii="Arial" w:cs="Arial" w:eastAsia="Arial" w:hAnsi="Arial"/>
                <w:sz w:val="17"/>
                <w:szCs w:val="17"/>
                <w:color w:val="545454"/>
                <w:w w:val="84"/>
              </w:rPr>
              <w:t>17</w:t>
            </w:r>
          </w:p>
        </w:tc>
        <w:tc>
          <w:tcPr>
            <w:tcW w:w="3660" w:type="dxa"/>
            <w:vAlign w:val="bottom"/>
            <w:vMerge w:val="restart"/>
          </w:tcPr>
          <w:p>
            <w:pPr>
              <w:ind w:left="140"/>
              <w:spacing w:after="0"/>
              <w:rPr>
                <w:sz w:val="20"/>
                <w:szCs w:val="20"/>
                <w:color w:val="auto"/>
              </w:rPr>
            </w:pPr>
            <w:r>
              <w:rPr>
                <w:rFonts w:ascii="Arial" w:cs="Arial" w:eastAsia="Arial" w:hAnsi="Arial"/>
                <w:sz w:val="17"/>
                <w:szCs w:val="17"/>
                <w:b w:val="1"/>
                <w:bCs w:val="1"/>
                <w:color w:val="545454"/>
              </w:rPr>
              <w:t>Denver, CO</w:t>
            </w:r>
          </w:p>
        </w:tc>
        <w:tc>
          <w:tcPr>
            <w:tcW w:w="4900" w:type="dxa"/>
            <w:vAlign w:val="bottom"/>
          </w:tcPr>
          <w:p>
            <w:pPr>
              <w:ind w:left="180"/>
              <w:spacing w:after="0" w:line="183" w:lineRule="exact"/>
              <w:rPr>
                <w:sz w:val="20"/>
                <w:szCs w:val="20"/>
                <w:color w:val="auto"/>
              </w:rPr>
            </w:pPr>
            <w:r>
              <w:rPr>
                <w:rFonts w:ascii="Arial" w:cs="Arial" w:eastAsia="Arial" w:hAnsi="Arial"/>
                <w:sz w:val="17"/>
                <w:szCs w:val="17"/>
                <w:color w:val="545454"/>
              </w:rPr>
              <w:t>Dish, DirecTV, Consolidated Communications, Suddenlink,</w:t>
            </w:r>
          </w:p>
        </w:tc>
        <w:tc>
          <w:tcPr>
            <w:tcW w:w="720" w:type="dxa"/>
            <w:vAlign w:val="bottom"/>
            <w:vMerge w:val="restart"/>
          </w:tcPr>
          <w:p>
            <w:pPr>
              <w:jc w:val="center"/>
              <w:spacing w:after="0"/>
              <w:rPr>
                <w:sz w:val="20"/>
                <w:szCs w:val="20"/>
                <w:color w:val="auto"/>
              </w:rPr>
            </w:pPr>
            <w:r>
              <w:rPr>
                <w:rFonts w:ascii="Arial" w:cs="Arial" w:eastAsia="Arial" w:hAnsi="Arial"/>
                <w:sz w:val="17"/>
                <w:szCs w:val="17"/>
                <w:b w:val="1"/>
                <w:bCs w:val="1"/>
                <w:color w:val="545454"/>
                <w:w w:val="84"/>
              </w:rPr>
              <w:t>21</w:t>
            </w:r>
          </w:p>
        </w:tc>
        <w:tc>
          <w:tcPr>
            <w:tcW w:w="1520" w:type="dxa"/>
            <w:vAlign w:val="bottom"/>
            <w:vMerge w:val="restart"/>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13"/>
        </w:trPr>
        <w:tc>
          <w:tcPr>
            <w:tcW w:w="620" w:type="dxa"/>
            <w:vAlign w:val="bottom"/>
            <w:vMerge w:val="continue"/>
          </w:tcPr>
          <w:p>
            <w:pPr>
              <w:spacing w:after="0"/>
              <w:rPr>
                <w:sz w:val="9"/>
                <w:szCs w:val="9"/>
                <w:color w:val="auto"/>
              </w:rPr>
            </w:pPr>
          </w:p>
        </w:tc>
        <w:tc>
          <w:tcPr>
            <w:tcW w:w="3660" w:type="dxa"/>
            <w:vAlign w:val="bottom"/>
            <w:vMerge w:val="continue"/>
          </w:tcPr>
          <w:p>
            <w:pPr>
              <w:spacing w:after="0"/>
              <w:rPr>
                <w:sz w:val="9"/>
                <w:szCs w:val="9"/>
                <w:color w:val="auto"/>
              </w:rPr>
            </w:pPr>
          </w:p>
        </w:tc>
        <w:tc>
          <w:tcPr>
            <w:tcW w:w="4900" w:type="dxa"/>
            <w:vAlign w:val="bottom"/>
            <w:vMerge w:val="restart"/>
          </w:tcPr>
          <w:p>
            <w:pPr>
              <w:ind w:left="180"/>
              <w:spacing w:after="0"/>
              <w:rPr>
                <w:sz w:val="20"/>
                <w:szCs w:val="20"/>
                <w:color w:val="auto"/>
              </w:rPr>
            </w:pPr>
            <w:r>
              <w:rPr>
                <w:rFonts w:ascii="Arial" w:cs="Arial" w:eastAsia="Arial" w:hAnsi="Arial"/>
                <w:sz w:val="17"/>
                <w:szCs w:val="17"/>
                <w:color w:val="545454"/>
              </w:rPr>
              <w:t>Midcontinent, and 16 others</w:t>
            </w:r>
          </w:p>
        </w:tc>
        <w:tc>
          <w:tcPr>
            <w:tcW w:w="7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20" w:type="dxa"/>
            <w:vAlign w:val="bottom"/>
            <w:tcBorders>
              <w:bottom w:val="single" w:sz="8" w:color="BFBFBF"/>
            </w:tcBorders>
          </w:tcPr>
          <w:p>
            <w:pPr>
              <w:spacing w:after="0"/>
              <w:rPr>
                <w:sz w:val="8"/>
                <w:szCs w:val="8"/>
                <w:color w:val="auto"/>
              </w:rPr>
            </w:pPr>
          </w:p>
        </w:tc>
        <w:tc>
          <w:tcPr>
            <w:tcW w:w="3660" w:type="dxa"/>
            <w:vAlign w:val="bottom"/>
            <w:tcBorders>
              <w:bottom w:val="single" w:sz="8" w:color="BFBFBF"/>
            </w:tcBorders>
          </w:tcPr>
          <w:p>
            <w:pPr>
              <w:spacing w:after="0"/>
              <w:rPr>
                <w:sz w:val="8"/>
                <w:szCs w:val="8"/>
                <w:color w:val="auto"/>
              </w:rPr>
            </w:pPr>
          </w:p>
        </w:tc>
        <w:tc>
          <w:tcPr>
            <w:tcW w:w="4900" w:type="dxa"/>
            <w:vAlign w:val="bottom"/>
            <w:tcBorders>
              <w:bottom w:val="single" w:sz="8" w:color="BFBFBF"/>
            </w:tcBorders>
            <w:vMerge w:val="continue"/>
          </w:tcPr>
          <w:p>
            <w:pPr>
              <w:spacing w:after="0"/>
              <w:rPr>
                <w:sz w:val="8"/>
                <w:szCs w:val="8"/>
                <w:color w:val="auto"/>
              </w:rPr>
            </w:pPr>
          </w:p>
        </w:tc>
        <w:tc>
          <w:tcPr>
            <w:tcW w:w="720" w:type="dxa"/>
            <w:vAlign w:val="bottom"/>
            <w:tcBorders>
              <w:bottom w:val="single" w:sz="8" w:color="BFBFBF"/>
            </w:tcBorders>
          </w:tcPr>
          <w:p>
            <w:pPr>
              <w:spacing w:after="0"/>
              <w:rPr>
                <w:sz w:val="8"/>
                <w:szCs w:val="8"/>
                <w:color w:val="auto"/>
              </w:rPr>
            </w:pPr>
          </w:p>
        </w:tc>
        <w:tc>
          <w:tcPr>
            <w:tcW w:w="152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620" w:type="dxa"/>
            <w:vAlign w:val="bottom"/>
            <w:vMerge w:val="restart"/>
          </w:tcPr>
          <w:p>
            <w:pPr>
              <w:jc w:val="center"/>
              <w:spacing w:after="0"/>
              <w:rPr>
                <w:sz w:val="20"/>
                <w:szCs w:val="20"/>
                <w:color w:val="auto"/>
              </w:rPr>
            </w:pPr>
            <w:r>
              <w:rPr>
                <w:rFonts w:ascii="Arial" w:cs="Arial" w:eastAsia="Arial" w:hAnsi="Arial"/>
                <w:sz w:val="17"/>
                <w:szCs w:val="17"/>
                <w:color w:val="545454"/>
                <w:w w:val="84"/>
              </w:rPr>
              <w:t>18</w:t>
            </w:r>
          </w:p>
        </w:tc>
        <w:tc>
          <w:tcPr>
            <w:tcW w:w="3660" w:type="dxa"/>
            <w:vAlign w:val="bottom"/>
            <w:vMerge w:val="restart"/>
          </w:tcPr>
          <w:p>
            <w:pPr>
              <w:ind w:left="140"/>
              <w:spacing w:after="0"/>
              <w:rPr>
                <w:sz w:val="20"/>
                <w:szCs w:val="20"/>
                <w:color w:val="auto"/>
              </w:rPr>
            </w:pPr>
            <w:r>
              <w:rPr>
                <w:rFonts w:ascii="Arial" w:cs="Arial" w:eastAsia="Arial" w:hAnsi="Arial"/>
                <w:sz w:val="17"/>
                <w:szCs w:val="17"/>
                <w:b w:val="1"/>
                <w:bCs w:val="1"/>
                <w:color w:val="545454"/>
              </w:rPr>
              <w:t>Orlando-Daytona Beach-Melbourne, FL</w:t>
            </w:r>
          </w:p>
        </w:tc>
        <w:tc>
          <w:tcPr>
            <w:tcW w:w="4900" w:type="dxa"/>
            <w:vAlign w:val="bottom"/>
          </w:tcPr>
          <w:p>
            <w:pPr>
              <w:ind w:left="180"/>
              <w:spacing w:after="0" w:line="183" w:lineRule="exact"/>
              <w:rPr>
                <w:sz w:val="20"/>
                <w:szCs w:val="20"/>
                <w:color w:val="auto"/>
              </w:rPr>
            </w:pPr>
            <w:r>
              <w:rPr>
                <w:rFonts w:ascii="Arial" w:cs="Arial" w:eastAsia="Arial" w:hAnsi="Arial"/>
                <w:sz w:val="17"/>
                <w:szCs w:val="17"/>
                <w:color w:val="545454"/>
                <w:w w:val="95"/>
              </w:rPr>
              <w:t>Dish, DirecTV, AT&amp;T, Grande Communications, CenturyLink, and</w:t>
            </w:r>
          </w:p>
        </w:tc>
        <w:tc>
          <w:tcPr>
            <w:tcW w:w="720" w:type="dxa"/>
            <w:vAlign w:val="bottom"/>
            <w:vMerge w:val="restart"/>
          </w:tcPr>
          <w:p>
            <w:pPr>
              <w:jc w:val="center"/>
              <w:spacing w:after="0"/>
              <w:rPr>
                <w:sz w:val="20"/>
                <w:szCs w:val="20"/>
                <w:color w:val="auto"/>
              </w:rPr>
            </w:pPr>
            <w:r>
              <w:rPr>
                <w:rFonts w:ascii="Arial" w:cs="Arial" w:eastAsia="Arial" w:hAnsi="Arial"/>
                <w:sz w:val="17"/>
                <w:szCs w:val="17"/>
                <w:b w:val="1"/>
                <w:bCs w:val="1"/>
                <w:color w:val="545454"/>
                <w:w w:val="84"/>
              </w:rPr>
              <w:t>12</w:t>
            </w:r>
          </w:p>
        </w:tc>
        <w:tc>
          <w:tcPr>
            <w:tcW w:w="1520" w:type="dxa"/>
            <w:vAlign w:val="bottom"/>
            <w:vMerge w:val="restart"/>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13"/>
        </w:trPr>
        <w:tc>
          <w:tcPr>
            <w:tcW w:w="620" w:type="dxa"/>
            <w:vAlign w:val="bottom"/>
            <w:vMerge w:val="continue"/>
          </w:tcPr>
          <w:p>
            <w:pPr>
              <w:spacing w:after="0"/>
              <w:rPr>
                <w:sz w:val="9"/>
                <w:szCs w:val="9"/>
                <w:color w:val="auto"/>
              </w:rPr>
            </w:pPr>
          </w:p>
        </w:tc>
        <w:tc>
          <w:tcPr>
            <w:tcW w:w="3660" w:type="dxa"/>
            <w:vAlign w:val="bottom"/>
            <w:vMerge w:val="continue"/>
          </w:tcPr>
          <w:p>
            <w:pPr>
              <w:spacing w:after="0"/>
              <w:rPr>
                <w:sz w:val="9"/>
                <w:szCs w:val="9"/>
                <w:color w:val="auto"/>
              </w:rPr>
            </w:pPr>
          </w:p>
        </w:tc>
        <w:tc>
          <w:tcPr>
            <w:tcW w:w="4900" w:type="dxa"/>
            <w:vAlign w:val="bottom"/>
            <w:vMerge w:val="restart"/>
          </w:tcPr>
          <w:p>
            <w:pPr>
              <w:ind w:left="180"/>
              <w:spacing w:after="0"/>
              <w:rPr>
                <w:sz w:val="20"/>
                <w:szCs w:val="20"/>
                <w:color w:val="auto"/>
              </w:rPr>
            </w:pPr>
            <w:r>
              <w:rPr>
                <w:rFonts w:ascii="Arial" w:cs="Arial" w:eastAsia="Arial" w:hAnsi="Arial"/>
                <w:sz w:val="17"/>
                <w:szCs w:val="17"/>
                <w:color w:val="545454"/>
              </w:rPr>
              <w:t>7 others</w:t>
            </w:r>
          </w:p>
        </w:tc>
        <w:tc>
          <w:tcPr>
            <w:tcW w:w="7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20" w:type="dxa"/>
            <w:vAlign w:val="bottom"/>
            <w:tcBorders>
              <w:bottom w:val="single" w:sz="8" w:color="BFBFBF"/>
            </w:tcBorders>
          </w:tcPr>
          <w:p>
            <w:pPr>
              <w:spacing w:after="0"/>
              <w:rPr>
                <w:sz w:val="8"/>
                <w:szCs w:val="8"/>
                <w:color w:val="auto"/>
              </w:rPr>
            </w:pPr>
          </w:p>
        </w:tc>
        <w:tc>
          <w:tcPr>
            <w:tcW w:w="3660" w:type="dxa"/>
            <w:vAlign w:val="bottom"/>
            <w:tcBorders>
              <w:bottom w:val="single" w:sz="8" w:color="BFBFBF"/>
            </w:tcBorders>
          </w:tcPr>
          <w:p>
            <w:pPr>
              <w:spacing w:after="0"/>
              <w:rPr>
                <w:sz w:val="8"/>
                <w:szCs w:val="8"/>
                <w:color w:val="auto"/>
              </w:rPr>
            </w:pPr>
          </w:p>
        </w:tc>
        <w:tc>
          <w:tcPr>
            <w:tcW w:w="4900" w:type="dxa"/>
            <w:vAlign w:val="bottom"/>
            <w:tcBorders>
              <w:bottom w:val="single" w:sz="8" w:color="BFBFBF"/>
            </w:tcBorders>
            <w:vMerge w:val="continue"/>
          </w:tcPr>
          <w:p>
            <w:pPr>
              <w:spacing w:after="0"/>
              <w:rPr>
                <w:sz w:val="8"/>
                <w:szCs w:val="8"/>
                <w:color w:val="auto"/>
              </w:rPr>
            </w:pPr>
          </w:p>
        </w:tc>
        <w:tc>
          <w:tcPr>
            <w:tcW w:w="720" w:type="dxa"/>
            <w:vAlign w:val="bottom"/>
            <w:tcBorders>
              <w:bottom w:val="single" w:sz="8" w:color="BFBFBF"/>
            </w:tcBorders>
          </w:tcPr>
          <w:p>
            <w:pPr>
              <w:spacing w:after="0"/>
              <w:rPr>
                <w:sz w:val="8"/>
                <w:szCs w:val="8"/>
                <w:color w:val="auto"/>
              </w:rPr>
            </w:pPr>
          </w:p>
        </w:tc>
        <w:tc>
          <w:tcPr>
            <w:tcW w:w="152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620" w:type="dxa"/>
            <w:vAlign w:val="bottom"/>
            <w:vMerge w:val="restart"/>
          </w:tcPr>
          <w:p>
            <w:pPr>
              <w:jc w:val="right"/>
              <w:ind w:right="56"/>
              <w:spacing w:after="0"/>
              <w:rPr>
                <w:sz w:val="20"/>
                <w:szCs w:val="20"/>
                <w:color w:val="auto"/>
              </w:rPr>
            </w:pPr>
            <w:r>
              <w:rPr>
                <w:rFonts w:ascii="Arial" w:cs="Arial" w:eastAsia="Arial" w:hAnsi="Arial"/>
                <w:sz w:val="17"/>
                <w:szCs w:val="17"/>
                <w:color w:val="545454"/>
              </w:rPr>
              <w:t>19</w:t>
            </w:r>
          </w:p>
        </w:tc>
        <w:tc>
          <w:tcPr>
            <w:tcW w:w="3660" w:type="dxa"/>
            <w:vAlign w:val="bottom"/>
          </w:tcPr>
          <w:p>
            <w:pPr>
              <w:ind w:left="140"/>
              <w:spacing w:after="0" w:line="183" w:lineRule="exact"/>
              <w:rPr>
                <w:sz w:val="20"/>
                <w:szCs w:val="20"/>
                <w:color w:val="auto"/>
              </w:rPr>
            </w:pPr>
            <w:r>
              <w:rPr>
                <w:rFonts w:ascii="Arial" w:cs="Arial" w:eastAsia="Arial" w:hAnsi="Arial"/>
                <w:sz w:val="17"/>
                <w:szCs w:val="17"/>
                <w:b w:val="1"/>
                <w:bCs w:val="1"/>
                <w:color w:val="545454"/>
                <w:w w:val="98"/>
              </w:rPr>
              <w:t xml:space="preserve">Cleveland, OH </w:t>
            </w:r>
            <w:r>
              <w:rPr>
                <w:rFonts w:ascii="Arial" w:cs="Arial" w:eastAsia="Arial" w:hAnsi="Arial"/>
                <w:sz w:val="17"/>
                <w:szCs w:val="17"/>
                <w:i w:val="1"/>
                <w:iCs w:val="1"/>
                <w:color w:val="545454"/>
                <w:w w:val="98"/>
              </w:rPr>
              <w:t>(no Comcast or TWC presence</w:t>
            </w:r>
          </w:p>
        </w:tc>
        <w:tc>
          <w:tcPr>
            <w:tcW w:w="4900" w:type="dxa"/>
            <w:vAlign w:val="bottom"/>
            <w:vMerge w:val="restart"/>
          </w:tcPr>
          <w:p>
            <w:pPr>
              <w:ind w:left="180"/>
              <w:spacing w:after="0"/>
              <w:rPr>
                <w:sz w:val="20"/>
                <w:szCs w:val="20"/>
                <w:color w:val="auto"/>
              </w:rPr>
            </w:pPr>
            <w:r>
              <w:rPr>
                <w:rFonts w:ascii="Arial" w:cs="Arial" w:eastAsia="Arial" w:hAnsi="Arial"/>
                <w:sz w:val="17"/>
                <w:szCs w:val="17"/>
                <w:color w:val="545454"/>
              </w:rPr>
              <w:t>--</w:t>
            </w:r>
          </w:p>
        </w:tc>
        <w:tc>
          <w:tcPr>
            <w:tcW w:w="720" w:type="dxa"/>
            <w:vAlign w:val="bottom"/>
            <w:vMerge w:val="restart"/>
          </w:tcPr>
          <w:p>
            <w:pPr>
              <w:jc w:val="center"/>
              <w:spacing w:after="0"/>
              <w:rPr>
                <w:sz w:val="20"/>
                <w:szCs w:val="20"/>
                <w:color w:val="auto"/>
              </w:rPr>
            </w:pPr>
            <w:r>
              <w:rPr>
                <w:rFonts w:ascii="Arial" w:cs="Arial" w:eastAsia="Arial" w:hAnsi="Arial"/>
                <w:sz w:val="17"/>
                <w:szCs w:val="17"/>
                <w:b w:val="1"/>
                <w:bCs w:val="1"/>
                <w:color w:val="545454"/>
                <w:w w:val="84"/>
              </w:rPr>
              <w:t>9</w:t>
            </w:r>
          </w:p>
        </w:tc>
        <w:tc>
          <w:tcPr>
            <w:tcW w:w="1520" w:type="dxa"/>
            <w:vAlign w:val="bottom"/>
            <w:vMerge w:val="restart"/>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13"/>
        </w:trPr>
        <w:tc>
          <w:tcPr>
            <w:tcW w:w="620" w:type="dxa"/>
            <w:vAlign w:val="bottom"/>
            <w:vMerge w:val="continue"/>
          </w:tcPr>
          <w:p>
            <w:pPr>
              <w:spacing w:after="0"/>
              <w:rPr>
                <w:sz w:val="9"/>
                <w:szCs w:val="9"/>
                <w:color w:val="auto"/>
              </w:rPr>
            </w:pPr>
          </w:p>
        </w:tc>
        <w:tc>
          <w:tcPr>
            <w:tcW w:w="3660" w:type="dxa"/>
            <w:vAlign w:val="bottom"/>
            <w:vMerge w:val="restart"/>
          </w:tcPr>
          <w:p>
            <w:pPr>
              <w:ind w:left="140"/>
              <w:spacing w:after="0"/>
              <w:rPr>
                <w:sz w:val="20"/>
                <w:szCs w:val="20"/>
                <w:color w:val="auto"/>
              </w:rPr>
            </w:pPr>
            <w:r>
              <w:rPr>
                <w:rFonts w:ascii="Arial" w:cs="Arial" w:eastAsia="Arial" w:hAnsi="Arial"/>
                <w:sz w:val="17"/>
                <w:szCs w:val="17"/>
                <w:i w:val="1"/>
                <w:iCs w:val="1"/>
                <w:color w:val="545454"/>
              </w:rPr>
              <w:t>post-transaction)</w:t>
            </w:r>
          </w:p>
        </w:tc>
        <w:tc>
          <w:tcPr>
            <w:tcW w:w="4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20" w:type="dxa"/>
            <w:vAlign w:val="bottom"/>
            <w:tcBorders>
              <w:bottom w:val="single" w:sz="8" w:color="BFBFBF"/>
            </w:tcBorders>
          </w:tcPr>
          <w:p>
            <w:pPr>
              <w:spacing w:after="0"/>
              <w:rPr>
                <w:sz w:val="8"/>
                <w:szCs w:val="8"/>
                <w:color w:val="auto"/>
              </w:rPr>
            </w:pPr>
          </w:p>
        </w:tc>
        <w:tc>
          <w:tcPr>
            <w:tcW w:w="3660" w:type="dxa"/>
            <w:vAlign w:val="bottom"/>
            <w:tcBorders>
              <w:bottom w:val="single" w:sz="8" w:color="BFBFBF"/>
            </w:tcBorders>
            <w:vMerge w:val="continue"/>
          </w:tcPr>
          <w:p>
            <w:pPr>
              <w:spacing w:after="0"/>
              <w:rPr>
                <w:sz w:val="8"/>
                <w:szCs w:val="8"/>
                <w:color w:val="auto"/>
              </w:rPr>
            </w:pPr>
          </w:p>
        </w:tc>
        <w:tc>
          <w:tcPr>
            <w:tcW w:w="4900" w:type="dxa"/>
            <w:vAlign w:val="bottom"/>
            <w:tcBorders>
              <w:bottom w:val="single" w:sz="8" w:color="BFBFBF"/>
            </w:tcBorders>
          </w:tcPr>
          <w:p>
            <w:pPr>
              <w:spacing w:after="0"/>
              <w:rPr>
                <w:sz w:val="8"/>
                <w:szCs w:val="8"/>
                <w:color w:val="auto"/>
              </w:rPr>
            </w:pPr>
          </w:p>
        </w:tc>
        <w:tc>
          <w:tcPr>
            <w:tcW w:w="720" w:type="dxa"/>
            <w:vAlign w:val="bottom"/>
            <w:tcBorders>
              <w:bottom w:val="single" w:sz="8" w:color="BFBFBF"/>
            </w:tcBorders>
          </w:tcPr>
          <w:p>
            <w:pPr>
              <w:spacing w:after="0"/>
              <w:rPr>
                <w:sz w:val="8"/>
                <w:szCs w:val="8"/>
                <w:color w:val="auto"/>
              </w:rPr>
            </w:pPr>
          </w:p>
        </w:tc>
        <w:tc>
          <w:tcPr>
            <w:tcW w:w="152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620" w:type="dxa"/>
            <w:vAlign w:val="bottom"/>
            <w:vMerge w:val="restart"/>
          </w:tcPr>
          <w:p>
            <w:pPr>
              <w:jc w:val="right"/>
              <w:ind w:right="56"/>
              <w:spacing w:after="0"/>
              <w:rPr>
                <w:sz w:val="20"/>
                <w:szCs w:val="20"/>
                <w:color w:val="auto"/>
              </w:rPr>
            </w:pPr>
            <w:r>
              <w:rPr>
                <w:rFonts w:ascii="Arial" w:cs="Arial" w:eastAsia="Arial" w:hAnsi="Arial"/>
                <w:sz w:val="17"/>
                <w:szCs w:val="17"/>
                <w:color w:val="545454"/>
              </w:rPr>
              <w:t>20</w:t>
            </w:r>
          </w:p>
        </w:tc>
        <w:tc>
          <w:tcPr>
            <w:tcW w:w="3660" w:type="dxa"/>
            <w:vAlign w:val="bottom"/>
            <w:vMerge w:val="restart"/>
          </w:tcPr>
          <w:p>
            <w:pPr>
              <w:ind w:left="140"/>
              <w:spacing w:after="0"/>
              <w:rPr>
                <w:sz w:val="20"/>
                <w:szCs w:val="20"/>
                <w:color w:val="auto"/>
              </w:rPr>
            </w:pPr>
            <w:r>
              <w:rPr>
                <w:rFonts w:ascii="Arial" w:cs="Arial" w:eastAsia="Arial" w:hAnsi="Arial"/>
                <w:sz w:val="17"/>
                <w:szCs w:val="17"/>
                <w:b w:val="1"/>
                <w:bCs w:val="1"/>
                <w:color w:val="545454"/>
              </w:rPr>
              <w:t>Sacramento-Stockton-Modesto, CA</w:t>
            </w:r>
          </w:p>
        </w:tc>
        <w:tc>
          <w:tcPr>
            <w:tcW w:w="4900" w:type="dxa"/>
            <w:vAlign w:val="bottom"/>
          </w:tcPr>
          <w:p>
            <w:pPr>
              <w:ind w:left="180"/>
              <w:spacing w:after="0" w:line="183" w:lineRule="exact"/>
              <w:rPr>
                <w:sz w:val="20"/>
                <w:szCs w:val="20"/>
                <w:color w:val="auto"/>
              </w:rPr>
            </w:pPr>
            <w:r>
              <w:rPr>
                <w:rFonts w:ascii="Arial" w:cs="Arial" w:eastAsia="Arial" w:hAnsi="Arial"/>
                <w:sz w:val="17"/>
                <w:szCs w:val="17"/>
                <w:color w:val="545454"/>
                <w:w w:val="98"/>
              </w:rPr>
              <w:t>Dish, DirecTV, Sierra Nevada Communications, WARPSPEED,</w:t>
            </w:r>
          </w:p>
        </w:tc>
        <w:tc>
          <w:tcPr>
            <w:tcW w:w="720" w:type="dxa"/>
            <w:vAlign w:val="bottom"/>
            <w:vMerge w:val="restart"/>
          </w:tcPr>
          <w:p>
            <w:pPr>
              <w:jc w:val="center"/>
              <w:spacing w:after="0"/>
              <w:rPr>
                <w:sz w:val="20"/>
                <w:szCs w:val="20"/>
                <w:color w:val="auto"/>
              </w:rPr>
            </w:pPr>
            <w:r>
              <w:rPr>
                <w:rFonts w:ascii="Arial" w:cs="Arial" w:eastAsia="Arial" w:hAnsi="Arial"/>
                <w:sz w:val="17"/>
                <w:szCs w:val="17"/>
                <w:b w:val="1"/>
                <w:bCs w:val="1"/>
                <w:color w:val="545454"/>
                <w:w w:val="84"/>
              </w:rPr>
              <w:t>13</w:t>
            </w:r>
          </w:p>
        </w:tc>
        <w:tc>
          <w:tcPr>
            <w:tcW w:w="1520" w:type="dxa"/>
            <w:vAlign w:val="bottom"/>
            <w:vMerge w:val="restart"/>
          </w:tcPr>
          <w:p>
            <w:pPr>
              <w:jc w:val="center"/>
              <w:spacing w:after="0"/>
              <w:rPr>
                <w:sz w:val="20"/>
                <w:szCs w:val="20"/>
                <w:color w:val="auto"/>
              </w:rPr>
            </w:pPr>
            <w:r>
              <w:rPr>
                <w:rFonts w:ascii="Arial" w:cs="Arial" w:eastAsia="Arial" w:hAnsi="Arial"/>
                <w:sz w:val="17"/>
                <w:szCs w:val="17"/>
                <w:color w:val="545454"/>
                <w:w w:val="91"/>
              </w:rPr>
              <w:t>-1 (Charter)</w:t>
            </w:r>
          </w:p>
        </w:tc>
        <w:tc>
          <w:tcPr>
            <w:tcW w:w="0" w:type="dxa"/>
            <w:vAlign w:val="bottom"/>
          </w:tcPr>
          <w:p>
            <w:pPr>
              <w:spacing w:after="0"/>
              <w:rPr>
                <w:sz w:val="1"/>
                <w:szCs w:val="1"/>
                <w:color w:val="auto"/>
              </w:rPr>
            </w:pPr>
          </w:p>
        </w:tc>
      </w:tr>
      <w:tr>
        <w:trPr>
          <w:trHeight w:val="113"/>
        </w:trPr>
        <w:tc>
          <w:tcPr>
            <w:tcW w:w="620" w:type="dxa"/>
            <w:vAlign w:val="bottom"/>
            <w:vMerge w:val="continue"/>
          </w:tcPr>
          <w:p>
            <w:pPr>
              <w:spacing w:after="0"/>
              <w:rPr>
                <w:sz w:val="9"/>
                <w:szCs w:val="9"/>
                <w:color w:val="auto"/>
              </w:rPr>
            </w:pPr>
          </w:p>
        </w:tc>
        <w:tc>
          <w:tcPr>
            <w:tcW w:w="3660" w:type="dxa"/>
            <w:vAlign w:val="bottom"/>
            <w:vMerge w:val="continue"/>
          </w:tcPr>
          <w:p>
            <w:pPr>
              <w:spacing w:after="0"/>
              <w:rPr>
                <w:sz w:val="9"/>
                <w:szCs w:val="9"/>
                <w:color w:val="auto"/>
              </w:rPr>
            </w:pPr>
          </w:p>
        </w:tc>
        <w:tc>
          <w:tcPr>
            <w:tcW w:w="4900" w:type="dxa"/>
            <w:vAlign w:val="bottom"/>
            <w:vMerge w:val="restart"/>
          </w:tcPr>
          <w:p>
            <w:pPr>
              <w:ind w:left="180"/>
              <w:spacing w:after="0"/>
              <w:rPr>
                <w:sz w:val="20"/>
                <w:szCs w:val="20"/>
                <w:color w:val="auto"/>
              </w:rPr>
            </w:pPr>
            <w:r>
              <w:rPr>
                <w:rFonts w:ascii="Arial" w:cs="Arial" w:eastAsia="Arial" w:hAnsi="Arial"/>
                <w:sz w:val="17"/>
                <w:szCs w:val="17"/>
                <w:color w:val="545454"/>
              </w:rPr>
              <w:t>Wave, and 8 others</w:t>
            </w:r>
          </w:p>
        </w:tc>
        <w:tc>
          <w:tcPr>
            <w:tcW w:w="7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20" w:type="dxa"/>
            <w:vAlign w:val="bottom"/>
            <w:tcBorders>
              <w:bottom w:val="single" w:sz="8" w:color="BFBFBF"/>
            </w:tcBorders>
          </w:tcPr>
          <w:p>
            <w:pPr>
              <w:spacing w:after="0"/>
              <w:rPr>
                <w:sz w:val="8"/>
                <w:szCs w:val="8"/>
                <w:color w:val="auto"/>
              </w:rPr>
            </w:pPr>
          </w:p>
        </w:tc>
        <w:tc>
          <w:tcPr>
            <w:tcW w:w="3660" w:type="dxa"/>
            <w:vAlign w:val="bottom"/>
            <w:tcBorders>
              <w:bottom w:val="single" w:sz="8" w:color="BFBFBF"/>
            </w:tcBorders>
          </w:tcPr>
          <w:p>
            <w:pPr>
              <w:spacing w:after="0"/>
              <w:rPr>
                <w:sz w:val="8"/>
                <w:szCs w:val="8"/>
                <w:color w:val="auto"/>
              </w:rPr>
            </w:pPr>
          </w:p>
        </w:tc>
        <w:tc>
          <w:tcPr>
            <w:tcW w:w="4900" w:type="dxa"/>
            <w:vAlign w:val="bottom"/>
            <w:tcBorders>
              <w:bottom w:val="single" w:sz="8" w:color="BFBFBF"/>
            </w:tcBorders>
            <w:vMerge w:val="continue"/>
          </w:tcPr>
          <w:p>
            <w:pPr>
              <w:spacing w:after="0"/>
              <w:rPr>
                <w:sz w:val="8"/>
                <w:szCs w:val="8"/>
                <w:color w:val="auto"/>
              </w:rPr>
            </w:pPr>
          </w:p>
        </w:tc>
        <w:tc>
          <w:tcPr>
            <w:tcW w:w="720" w:type="dxa"/>
            <w:vAlign w:val="bottom"/>
            <w:tcBorders>
              <w:bottom w:val="single" w:sz="8" w:color="BFBFBF"/>
            </w:tcBorders>
          </w:tcPr>
          <w:p>
            <w:pPr>
              <w:spacing w:after="0"/>
              <w:rPr>
                <w:sz w:val="8"/>
                <w:szCs w:val="8"/>
                <w:color w:val="auto"/>
              </w:rPr>
            </w:pPr>
          </w:p>
        </w:tc>
        <w:tc>
          <w:tcPr>
            <w:tcW w:w="152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Source: GeoResults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post-transaction column are due to the exchange, sale, and spin-off of systems as part of the Divestiture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652145</wp:posOffset>
            </wp:positionV>
            <wp:extent cx="725995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1517650</wp:posOffset>
            </wp:positionV>
            <wp:extent cx="725995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ind w:left="2240"/>
        <w:spacing w:after="0"/>
        <w:rPr>
          <w:sz w:val="20"/>
          <w:szCs w:val="20"/>
          <w:color w:val="auto"/>
        </w:rPr>
      </w:pPr>
      <w:r>
        <w:rPr>
          <w:rFonts w:ascii="Arial" w:cs="Arial" w:eastAsia="Arial" w:hAnsi="Arial"/>
          <w:sz w:val="17"/>
          <w:szCs w:val="17"/>
          <w:b w:val="1"/>
          <w:bCs w:val="1"/>
          <w:color w:val="FF0000"/>
        </w:rPr>
        <w:t>UPDATE OF CHART ON PAGE 142 OF COMCAST-TWC PUBLIC INTEREST STATEMENT</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545454"/>
        </w:rPr>
        <w:t>Broadband Providers in the Top 20 Metropolitan Statistical Areas (MSAs)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303530</wp:posOffset>
            </wp:positionV>
            <wp:extent cx="72555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0" w:type="dxa"/>
            <w:vAlign w:val="bottom"/>
          </w:tcPr>
          <w:p>
            <w:pPr>
              <w:ind w:left="160"/>
              <w:spacing w:after="0"/>
              <w:rPr>
                <w:sz w:val="20"/>
                <w:szCs w:val="20"/>
                <w:color w:val="auto"/>
              </w:rPr>
            </w:pPr>
            <w:r>
              <w:rPr>
                <w:rFonts w:ascii="Arial" w:cs="Arial" w:eastAsia="Arial" w:hAnsi="Arial"/>
                <w:sz w:val="17"/>
                <w:szCs w:val="17"/>
                <w:color w:val="auto"/>
              </w:rPr>
              <w:t>Rank</w:t>
            </w:r>
          </w:p>
        </w:tc>
        <w:tc>
          <w:tcPr>
            <w:tcW w:w="3720" w:type="dxa"/>
            <w:vAlign w:val="bottom"/>
          </w:tcPr>
          <w:p>
            <w:pPr>
              <w:ind w:left="120"/>
              <w:spacing w:after="0"/>
              <w:rPr>
                <w:sz w:val="20"/>
                <w:szCs w:val="20"/>
                <w:color w:val="auto"/>
              </w:rPr>
            </w:pPr>
            <w:r>
              <w:rPr>
                <w:rFonts w:ascii="Arial" w:cs="Arial" w:eastAsia="Arial" w:hAnsi="Arial"/>
                <w:sz w:val="17"/>
                <w:szCs w:val="17"/>
                <w:color w:val="auto"/>
              </w:rPr>
              <w:t>MSA</w:t>
            </w:r>
          </w:p>
        </w:tc>
        <w:tc>
          <w:tcPr>
            <w:tcW w:w="4760" w:type="dxa"/>
            <w:vAlign w:val="bottom"/>
          </w:tcPr>
          <w:p>
            <w:pPr>
              <w:ind w:left="100"/>
              <w:spacing w:after="0"/>
              <w:rPr>
                <w:sz w:val="20"/>
                <w:szCs w:val="20"/>
                <w:color w:val="auto"/>
              </w:rPr>
            </w:pPr>
            <w:r>
              <w:rPr>
                <w:rFonts w:ascii="Arial" w:cs="Arial" w:eastAsia="Arial" w:hAnsi="Arial"/>
                <w:sz w:val="17"/>
                <w:szCs w:val="17"/>
                <w:color w:val="auto"/>
              </w:rPr>
              <w:t>Providers (excluding Comcast and TWC)</w:t>
            </w:r>
          </w:p>
        </w:tc>
        <w:tc>
          <w:tcPr>
            <w:tcW w:w="780" w:type="dxa"/>
            <w:vAlign w:val="bottom"/>
          </w:tcPr>
          <w:p>
            <w:pPr>
              <w:ind w:left="240"/>
              <w:spacing w:after="0"/>
              <w:rPr>
                <w:sz w:val="20"/>
                <w:szCs w:val="20"/>
                <w:color w:val="auto"/>
              </w:rPr>
            </w:pPr>
            <w:r>
              <w:rPr>
                <w:rFonts w:ascii="Arial" w:cs="Arial" w:eastAsia="Arial" w:hAnsi="Arial"/>
                <w:sz w:val="17"/>
                <w:szCs w:val="17"/>
                <w:color w:val="auto"/>
              </w:rPr>
              <w:t>Total</w:t>
            </w:r>
          </w:p>
        </w:tc>
        <w:tc>
          <w:tcPr>
            <w:tcW w:w="1520" w:type="dxa"/>
            <w:vAlign w:val="bottom"/>
          </w:tcPr>
          <w:p>
            <w:pPr>
              <w:jc w:val="center"/>
              <w:spacing w:after="0"/>
              <w:rPr>
                <w:sz w:val="20"/>
                <w:szCs w:val="20"/>
                <w:color w:val="auto"/>
              </w:rPr>
            </w:pPr>
            <w:r>
              <w:rPr>
                <w:rFonts w:ascii="Arial" w:cs="Arial" w:eastAsia="Arial" w:hAnsi="Arial"/>
                <w:sz w:val="17"/>
                <w:szCs w:val="17"/>
                <w:color w:val="auto"/>
                <w:w w:val="88"/>
              </w:rPr>
              <w:t>Post-Transaction</w:t>
            </w:r>
          </w:p>
        </w:tc>
        <w:tc>
          <w:tcPr>
            <w:tcW w:w="0" w:type="dxa"/>
            <w:vAlign w:val="bottom"/>
          </w:tcPr>
          <w:p>
            <w:pPr>
              <w:spacing w:after="0"/>
              <w:rPr>
                <w:sz w:val="1"/>
                <w:szCs w:val="1"/>
                <w:color w:val="auto"/>
              </w:rPr>
            </w:pPr>
          </w:p>
        </w:tc>
      </w:tr>
      <w:tr>
        <w:trPr>
          <w:trHeight w:val="152"/>
        </w:trPr>
        <w:tc>
          <w:tcPr>
            <w:tcW w:w="640" w:type="dxa"/>
            <w:vAlign w:val="bottom"/>
            <w:tcBorders>
              <w:bottom w:val="single" w:sz="8" w:color="BFBFBF"/>
            </w:tcBorders>
          </w:tcPr>
          <w:p>
            <w:pPr>
              <w:spacing w:after="0"/>
              <w:rPr>
                <w:sz w:val="13"/>
                <w:szCs w:val="13"/>
                <w:color w:val="auto"/>
              </w:rPr>
            </w:pPr>
          </w:p>
        </w:tc>
        <w:tc>
          <w:tcPr>
            <w:tcW w:w="3720" w:type="dxa"/>
            <w:vAlign w:val="bottom"/>
            <w:tcBorders>
              <w:bottom w:val="single" w:sz="8" w:color="BFBFBF"/>
            </w:tcBorders>
          </w:tcPr>
          <w:p>
            <w:pPr>
              <w:spacing w:after="0"/>
              <w:rPr>
                <w:sz w:val="13"/>
                <w:szCs w:val="13"/>
                <w:color w:val="auto"/>
              </w:rPr>
            </w:pPr>
          </w:p>
        </w:tc>
        <w:tc>
          <w:tcPr>
            <w:tcW w:w="4760" w:type="dxa"/>
            <w:vAlign w:val="bottom"/>
            <w:tcBorders>
              <w:bottom w:val="single" w:sz="8" w:color="BFBFBF"/>
            </w:tcBorders>
          </w:tcPr>
          <w:p>
            <w:pPr>
              <w:spacing w:after="0"/>
              <w:rPr>
                <w:sz w:val="13"/>
                <w:szCs w:val="13"/>
                <w:color w:val="auto"/>
              </w:rPr>
            </w:pPr>
          </w:p>
        </w:tc>
        <w:tc>
          <w:tcPr>
            <w:tcW w:w="780" w:type="dxa"/>
            <w:vAlign w:val="bottom"/>
            <w:tcBorders>
              <w:bottom w:val="single" w:sz="8" w:color="BFBFBF"/>
            </w:tcBorders>
          </w:tcPr>
          <w:p>
            <w:pPr>
              <w:spacing w:after="0"/>
              <w:rPr>
                <w:sz w:val="13"/>
                <w:szCs w:val="13"/>
                <w:color w:val="auto"/>
              </w:rPr>
            </w:pPr>
          </w:p>
        </w:tc>
        <w:tc>
          <w:tcPr>
            <w:tcW w:w="1520" w:type="dxa"/>
            <w:vAlign w:val="bottom"/>
            <w:tcBorders>
              <w:bottom w:val="single" w:sz="8" w:color="BFBFB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4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1</w:t>
            </w:r>
          </w:p>
        </w:tc>
        <w:tc>
          <w:tcPr>
            <w:tcW w:w="3720" w:type="dxa"/>
            <w:vAlign w:val="bottom"/>
            <w:tcBorders>
              <w:bottom w:val="single" w:sz="8" w:color="BFBFBF"/>
            </w:tcBorders>
          </w:tcPr>
          <w:p>
            <w:pPr>
              <w:ind w:left="120"/>
              <w:spacing w:after="0"/>
              <w:rPr>
                <w:sz w:val="20"/>
                <w:szCs w:val="20"/>
                <w:color w:val="auto"/>
              </w:rPr>
            </w:pPr>
            <w:r>
              <w:rPr>
                <w:rFonts w:ascii="Arial" w:cs="Arial" w:eastAsia="Arial" w:hAnsi="Arial"/>
                <w:sz w:val="17"/>
                <w:szCs w:val="17"/>
                <w:b w:val="1"/>
                <w:bCs w:val="1"/>
                <w:color w:val="545454"/>
              </w:rPr>
              <w:t>New York-Newark-Jersey City, NY-NJ-PA</w:t>
            </w:r>
          </w:p>
        </w:tc>
        <w:tc>
          <w:tcPr>
            <w:tcW w:w="4760" w:type="dxa"/>
            <w:vAlign w:val="bottom"/>
            <w:tcBorders>
              <w:bottom w:val="single" w:sz="8" w:color="BFBFBF"/>
            </w:tcBorders>
          </w:tcPr>
          <w:p>
            <w:pPr>
              <w:ind w:left="100"/>
              <w:spacing w:after="0"/>
              <w:rPr>
                <w:sz w:val="20"/>
                <w:szCs w:val="20"/>
                <w:color w:val="auto"/>
              </w:rPr>
            </w:pPr>
            <w:r>
              <w:rPr>
                <w:rFonts w:ascii="Arial" w:cs="Arial" w:eastAsia="Arial" w:hAnsi="Arial"/>
                <w:sz w:val="17"/>
                <w:szCs w:val="17"/>
                <w:color w:val="545454"/>
                <w:w w:val="99"/>
              </w:rPr>
              <w:t>AT&amp;T, Cablevision, CenturyLink, RCN, Verizon, and 23 others</w:t>
            </w:r>
          </w:p>
        </w:tc>
        <w:tc>
          <w:tcPr>
            <w:tcW w:w="78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rPr>
              <w:t>28*</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95"/>
        </w:trPr>
        <w:tc>
          <w:tcPr>
            <w:tcW w:w="64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2</w:t>
            </w:r>
          </w:p>
        </w:tc>
        <w:tc>
          <w:tcPr>
            <w:tcW w:w="3720" w:type="dxa"/>
            <w:vAlign w:val="bottom"/>
            <w:tcBorders>
              <w:bottom w:val="single" w:sz="8" w:color="BFBFBF"/>
            </w:tcBorders>
          </w:tcPr>
          <w:p>
            <w:pPr>
              <w:ind w:left="120"/>
              <w:spacing w:after="0"/>
              <w:rPr>
                <w:sz w:val="20"/>
                <w:szCs w:val="20"/>
                <w:color w:val="auto"/>
              </w:rPr>
            </w:pPr>
            <w:r>
              <w:rPr>
                <w:rFonts w:ascii="Arial" w:cs="Arial" w:eastAsia="Arial" w:hAnsi="Arial"/>
                <w:sz w:val="17"/>
                <w:szCs w:val="17"/>
                <w:b w:val="1"/>
                <w:bCs w:val="1"/>
                <w:color w:val="545454"/>
              </w:rPr>
              <w:t>Los Angeles-Long Beach-Santa Ana, CA</w:t>
            </w:r>
          </w:p>
        </w:tc>
        <w:tc>
          <w:tcPr>
            <w:tcW w:w="4760" w:type="dxa"/>
            <w:vAlign w:val="bottom"/>
            <w:tcBorders>
              <w:bottom w:val="single" w:sz="8" w:color="BFBFBF"/>
            </w:tcBorders>
          </w:tcPr>
          <w:p>
            <w:pPr>
              <w:ind w:left="100"/>
              <w:spacing w:after="0"/>
              <w:rPr>
                <w:sz w:val="20"/>
                <w:szCs w:val="20"/>
                <w:color w:val="auto"/>
              </w:rPr>
            </w:pPr>
            <w:r>
              <w:rPr>
                <w:rFonts w:ascii="Arial" w:cs="Arial" w:eastAsia="Arial" w:hAnsi="Arial"/>
                <w:sz w:val="17"/>
                <w:szCs w:val="17"/>
                <w:color w:val="545454"/>
              </w:rPr>
              <w:t>AT&amp;T, Cablevision, Cox, Verizon, and 12 others</w:t>
            </w:r>
          </w:p>
        </w:tc>
        <w:tc>
          <w:tcPr>
            <w:tcW w:w="78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16</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91"/>
              </w:rPr>
              <w:t>-1 (Charter)</w:t>
            </w:r>
          </w:p>
        </w:tc>
        <w:tc>
          <w:tcPr>
            <w:tcW w:w="0" w:type="dxa"/>
            <w:vAlign w:val="bottom"/>
          </w:tcPr>
          <w:p>
            <w:pPr>
              <w:spacing w:after="0"/>
              <w:rPr>
                <w:sz w:val="1"/>
                <w:szCs w:val="1"/>
                <w:color w:val="auto"/>
              </w:rPr>
            </w:pPr>
          </w:p>
        </w:tc>
      </w:tr>
      <w:tr>
        <w:trPr>
          <w:trHeight w:val="195"/>
        </w:trPr>
        <w:tc>
          <w:tcPr>
            <w:tcW w:w="64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3</w:t>
            </w:r>
          </w:p>
        </w:tc>
        <w:tc>
          <w:tcPr>
            <w:tcW w:w="3720" w:type="dxa"/>
            <w:vAlign w:val="bottom"/>
            <w:tcBorders>
              <w:bottom w:val="single" w:sz="8" w:color="BFBFBF"/>
            </w:tcBorders>
          </w:tcPr>
          <w:p>
            <w:pPr>
              <w:ind w:left="120"/>
              <w:spacing w:after="0"/>
              <w:rPr>
                <w:sz w:val="20"/>
                <w:szCs w:val="20"/>
                <w:color w:val="auto"/>
              </w:rPr>
            </w:pPr>
            <w:r>
              <w:rPr>
                <w:rFonts w:ascii="Arial" w:cs="Arial" w:eastAsia="Arial" w:hAnsi="Arial"/>
                <w:sz w:val="17"/>
                <w:szCs w:val="17"/>
                <w:b w:val="1"/>
                <w:bCs w:val="1"/>
                <w:color w:val="545454"/>
              </w:rPr>
              <w:t>Chicago-Joliet-Naperville, IL-IN-WI</w:t>
            </w:r>
          </w:p>
        </w:tc>
        <w:tc>
          <w:tcPr>
            <w:tcW w:w="4760" w:type="dxa"/>
            <w:vAlign w:val="bottom"/>
            <w:tcBorders>
              <w:bottom w:val="single" w:sz="8" w:color="BFBFBF"/>
            </w:tcBorders>
          </w:tcPr>
          <w:p>
            <w:pPr>
              <w:ind w:left="100"/>
              <w:spacing w:after="0"/>
              <w:rPr>
                <w:sz w:val="20"/>
                <w:szCs w:val="20"/>
                <w:color w:val="auto"/>
              </w:rPr>
            </w:pPr>
            <w:r>
              <w:rPr>
                <w:rFonts w:ascii="Arial" w:cs="Arial" w:eastAsia="Arial" w:hAnsi="Arial"/>
                <w:sz w:val="17"/>
                <w:szCs w:val="17"/>
                <w:color w:val="545454"/>
              </w:rPr>
              <w:t>AT&amp;T, RCN, T-Mobile, Sprint, Verizon, WOW!, and 16 others</w:t>
            </w:r>
          </w:p>
        </w:tc>
        <w:tc>
          <w:tcPr>
            <w:tcW w:w="78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22</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95"/>
        </w:trPr>
        <w:tc>
          <w:tcPr>
            <w:tcW w:w="64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4</w:t>
            </w:r>
          </w:p>
        </w:tc>
        <w:tc>
          <w:tcPr>
            <w:tcW w:w="3720" w:type="dxa"/>
            <w:vAlign w:val="bottom"/>
            <w:tcBorders>
              <w:bottom w:val="single" w:sz="8" w:color="BFBFBF"/>
            </w:tcBorders>
          </w:tcPr>
          <w:p>
            <w:pPr>
              <w:ind w:left="120"/>
              <w:spacing w:after="0"/>
              <w:rPr>
                <w:sz w:val="20"/>
                <w:szCs w:val="20"/>
                <w:color w:val="auto"/>
              </w:rPr>
            </w:pPr>
            <w:r>
              <w:rPr>
                <w:rFonts w:ascii="Arial" w:cs="Arial" w:eastAsia="Arial" w:hAnsi="Arial"/>
                <w:sz w:val="17"/>
                <w:szCs w:val="17"/>
                <w:b w:val="1"/>
                <w:bCs w:val="1"/>
                <w:color w:val="545454"/>
              </w:rPr>
              <w:t>Dallas-Fort Worth-Arlington, TX</w:t>
            </w:r>
          </w:p>
        </w:tc>
        <w:tc>
          <w:tcPr>
            <w:tcW w:w="4760" w:type="dxa"/>
            <w:vAlign w:val="bottom"/>
            <w:tcBorders>
              <w:bottom w:val="single" w:sz="8" w:color="BFBFBF"/>
            </w:tcBorders>
          </w:tcPr>
          <w:p>
            <w:pPr>
              <w:ind w:left="100"/>
              <w:spacing w:after="0"/>
              <w:rPr>
                <w:sz w:val="20"/>
                <w:szCs w:val="20"/>
                <w:color w:val="auto"/>
              </w:rPr>
            </w:pPr>
            <w:r>
              <w:rPr>
                <w:rFonts w:ascii="Arial" w:cs="Arial" w:eastAsia="Arial" w:hAnsi="Arial"/>
                <w:sz w:val="17"/>
                <w:szCs w:val="17"/>
                <w:color w:val="545454"/>
              </w:rPr>
              <w:t>AT&amp;T, CenturyLink, Suddenlink, Verizon, and 28 others</w:t>
            </w:r>
          </w:p>
        </w:tc>
        <w:tc>
          <w:tcPr>
            <w:tcW w:w="78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32</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91"/>
              </w:rPr>
              <w:t>-1 (Charter)</w:t>
            </w:r>
          </w:p>
        </w:tc>
        <w:tc>
          <w:tcPr>
            <w:tcW w:w="0" w:type="dxa"/>
            <w:vAlign w:val="bottom"/>
          </w:tcPr>
          <w:p>
            <w:pPr>
              <w:spacing w:after="0"/>
              <w:rPr>
                <w:sz w:val="1"/>
                <w:szCs w:val="1"/>
                <w:color w:val="auto"/>
              </w:rPr>
            </w:pPr>
          </w:p>
        </w:tc>
      </w:tr>
      <w:tr>
        <w:trPr>
          <w:trHeight w:val="195"/>
        </w:trPr>
        <w:tc>
          <w:tcPr>
            <w:tcW w:w="64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5</w:t>
            </w:r>
          </w:p>
        </w:tc>
        <w:tc>
          <w:tcPr>
            <w:tcW w:w="3720" w:type="dxa"/>
            <w:vAlign w:val="bottom"/>
            <w:tcBorders>
              <w:bottom w:val="single" w:sz="8" w:color="BFBFBF"/>
            </w:tcBorders>
          </w:tcPr>
          <w:p>
            <w:pPr>
              <w:ind w:left="120"/>
              <w:spacing w:after="0"/>
              <w:rPr>
                <w:sz w:val="20"/>
                <w:szCs w:val="20"/>
                <w:color w:val="auto"/>
              </w:rPr>
            </w:pPr>
            <w:r>
              <w:rPr>
                <w:rFonts w:ascii="Arial" w:cs="Arial" w:eastAsia="Arial" w:hAnsi="Arial"/>
                <w:sz w:val="17"/>
                <w:szCs w:val="17"/>
                <w:b w:val="1"/>
                <w:bCs w:val="1"/>
                <w:color w:val="545454"/>
              </w:rPr>
              <w:t>Houston-Sugar Land-Baytown, TX</w:t>
            </w:r>
          </w:p>
        </w:tc>
        <w:tc>
          <w:tcPr>
            <w:tcW w:w="4760" w:type="dxa"/>
            <w:vAlign w:val="bottom"/>
            <w:tcBorders>
              <w:bottom w:val="single" w:sz="8" w:color="BFBFBF"/>
            </w:tcBorders>
          </w:tcPr>
          <w:p>
            <w:pPr>
              <w:ind w:left="100"/>
              <w:spacing w:after="0"/>
              <w:rPr>
                <w:sz w:val="20"/>
                <w:szCs w:val="20"/>
                <w:color w:val="auto"/>
              </w:rPr>
            </w:pPr>
            <w:r>
              <w:rPr>
                <w:rFonts w:ascii="Arial" w:cs="Arial" w:eastAsia="Arial" w:hAnsi="Arial"/>
                <w:sz w:val="17"/>
                <w:szCs w:val="17"/>
                <w:color w:val="545454"/>
              </w:rPr>
              <w:t>AT&amp;T, CenturyLink, Suddenlink, Verizon, and 27 others</w:t>
            </w:r>
          </w:p>
        </w:tc>
        <w:tc>
          <w:tcPr>
            <w:tcW w:w="78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31</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91"/>
              </w:rPr>
              <w:t>-1 (Charter)</w:t>
            </w:r>
          </w:p>
        </w:tc>
        <w:tc>
          <w:tcPr>
            <w:tcW w:w="0" w:type="dxa"/>
            <w:vAlign w:val="bottom"/>
          </w:tcPr>
          <w:p>
            <w:pPr>
              <w:spacing w:after="0"/>
              <w:rPr>
                <w:sz w:val="1"/>
                <w:szCs w:val="1"/>
                <w:color w:val="auto"/>
              </w:rPr>
            </w:pPr>
          </w:p>
        </w:tc>
      </w:tr>
      <w:tr>
        <w:trPr>
          <w:trHeight w:val="178"/>
        </w:trPr>
        <w:tc>
          <w:tcPr>
            <w:tcW w:w="640" w:type="dxa"/>
            <w:vAlign w:val="bottom"/>
            <w:vMerge w:val="restart"/>
          </w:tcPr>
          <w:p>
            <w:pPr>
              <w:jc w:val="center"/>
              <w:spacing w:after="0"/>
              <w:rPr>
                <w:sz w:val="20"/>
                <w:szCs w:val="20"/>
                <w:color w:val="auto"/>
              </w:rPr>
            </w:pPr>
            <w:r>
              <w:rPr>
                <w:rFonts w:ascii="Arial" w:cs="Arial" w:eastAsia="Arial" w:hAnsi="Arial"/>
                <w:sz w:val="17"/>
                <w:szCs w:val="17"/>
                <w:color w:val="545454"/>
                <w:w w:val="84"/>
              </w:rPr>
              <w:t>6</w:t>
            </w:r>
          </w:p>
        </w:tc>
        <w:tc>
          <w:tcPr>
            <w:tcW w:w="3720" w:type="dxa"/>
            <w:vAlign w:val="bottom"/>
          </w:tcPr>
          <w:p>
            <w:pPr>
              <w:ind w:left="120"/>
              <w:spacing w:after="0" w:line="179" w:lineRule="exact"/>
              <w:rPr>
                <w:sz w:val="20"/>
                <w:szCs w:val="20"/>
                <w:color w:val="auto"/>
              </w:rPr>
            </w:pPr>
            <w:r>
              <w:rPr>
                <w:rFonts w:ascii="Arial" w:cs="Arial" w:eastAsia="Arial" w:hAnsi="Arial"/>
                <w:sz w:val="17"/>
                <w:szCs w:val="17"/>
                <w:b w:val="1"/>
                <w:bCs w:val="1"/>
                <w:color w:val="545454"/>
                <w:w w:val="97"/>
              </w:rPr>
              <w:t>Philadelphia-Camden-Wilmington, PA-NJ-DE-</w:t>
            </w:r>
          </w:p>
        </w:tc>
        <w:tc>
          <w:tcPr>
            <w:tcW w:w="4760" w:type="dxa"/>
            <w:vAlign w:val="bottom"/>
            <w:vMerge w:val="restart"/>
          </w:tcPr>
          <w:p>
            <w:pPr>
              <w:ind w:left="100"/>
              <w:spacing w:after="0"/>
              <w:rPr>
                <w:sz w:val="20"/>
                <w:szCs w:val="20"/>
                <w:color w:val="auto"/>
              </w:rPr>
            </w:pPr>
            <w:r>
              <w:rPr>
                <w:rFonts w:ascii="Arial" w:cs="Arial" w:eastAsia="Arial" w:hAnsi="Arial"/>
                <w:sz w:val="17"/>
                <w:szCs w:val="17"/>
                <w:color w:val="545454"/>
              </w:rPr>
              <w:t>AT&amp;T, Cavalier, Frontier, RCN, Verizon, and 27 others</w:t>
            </w:r>
          </w:p>
        </w:tc>
        <w:tc>
          <w:tcPr>
            <w:tcW w:w="780" w:type="dxa"/>
            <w:vAlign w:val="bottom"/>
            <w:vMerge w:val="restart"/>
          </w:tcPr>
          <w:p>
            <w:pPr>
              <w:jc w:val="center"/>
              <w:spacing w:after="0"/>
              <w:rPr>
                <w:sz w:val="20"/>
                <w:szCs w:val="20"/>
                <w:color w:val="auto"/>
              </w:rPr>
            </w:pPr>
            <w:r>
              <w:rPr>
                <w:rFonts w:ascii="Arial" w:cs="Arial" w:eastAsia="Arial" w:hAnsi="Arial"/>
                <w:sz w:val="17"/>
                <w:szCs w:val="17"/>
                <w:b w:val="1"/>
                <w:bCs w:val="1"/>
                <w:color w:val="545454"/>
                <w:w w:val="84"/>
              </w:rPr>
              <w:t>32</w:t>
            </w:r>
          </w:p>
        </w:tc>
        <w:tc>
          <w:tcPr>
            <w:tcW w:w="1520" w:type="dxa"/>
            <w:vAlign w:val="bottom"/>
            <w:vMerge w:val="restart"/>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17"/>
        </w:trPr>
        <w:tc>
          <w:tcPr>
            <w:tcW w:w="640" w:type="dxa"/>
            <w:vAlign w:val="bottom"/>
            <w:vMerge w:val="continue"/>
          </w:tcPr>
          <w:p>
            <w:pPr>
              <w:spacing w:after="0"/>
              <w:rPr>
                <w:sz w:val="10"/>
                <w:szCs w:val="10"/>
                <w:color w:val="auto"/>
              </w:rPr>
            </w:pPr>
          </w:p>
        </w:tc>
        <w:tc>
          <w:tcPr>
            <w:tcW w:w="3720" w:type="dxa"/>
            <w:vAlign w:val="bottom"/>
            <w:vMerge w:val="restart"/>
          </w:tcPr>
          <w:p>
            <w:pPr>
              <w:ind w:left="120"/>
              <w:spacing w:after="0"/>
              <w:rPr>
                <w:sz w:val="20"/>
                <w:szCs w:val="20"/>
                <w:color w:val="auto"/>
              </w:rPr>
            </w:pPr>
            <w:r>
              <w:rPr>
                <w:rFonts w:ascii="Arial" w:cs="Arial" w:eastAsia="Arial" w:hAnsi="Arial"/>
                <w:sz w:val="17"/>
                <w:szCs w:val="17"/>
                <w:b w:val="1"/>
                <w:bCs w:val="1"/>
                <w:color w:val="545454"/>
              </w:rPr>
              <w:t>MD</w:t>
            </w:r>
          </w:p>
        </w:tc>
        <w:tc>
          <w:tcPr>
            <w:tcW w:w="4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640" w:type="dxa"/>
            <w:vAlign w:val="bottom"/>
            <w:tcBorders>
              <w:bottom w:val="single" w:sz="8" w:color="BFBFBF"/>
            </w:tcBorders>
          </w:tcPr>
          <w:p>
            <w:pPr>
              <w:spacing w:after="0"/>
              <w:rPr>
                <w:sz w:val="8"/>
                <w:szCs w:val="8"/>
                <w:color w:val="auto"/>
              </w:rPr>
            </w:pPr>
          </w:p>
        </w:tc>
        <w:tc>
          <w:tcPr>
            <w:tcW w:w="3720" w:type="dxa"/>
            <w:vAlign w:val="bottom"/>
            <w:tcBorders>
              <w:bottom w:val="single" w:sz="8" w:color="BFBFBF"/>
            </w:tcBorders>
            <w:vMerge w:val="continue"/>
          </w:tcPr>
          <w:p>
            <w:pPr>
              <w:spacing w:after="0"/>
              <w:rPr>
                <w:sz w:val="8"/>
                <w:szCs w:val="8"/>
                <w:color w:val="auto"/>
              </w:rPr>
            </w:pPr>
          </w:p>
        </w:tc>
        <w:tc>
          <w:tcPr>
            <w:tcW w:w="4760" w:type="dxa"/>
            <w:vAlign w:val="bottom"/>
            <w:tcBorders>
              <w:bottom w:val="single" w:sz="8" w:color="BFBFBF"/>
            </w:tcBorders>
          </w:tcPr>
          <w:p>
            <w:pPr>
              <w:spacing w:after="0"/>
              <w:rPr>
                <w:sz w:val="8"/>
                <w:szCs w:val="8"/>
                <w:color w:val="auto"/>
              </w:rPr>
            </w:pPr>
          </w:p>
        </w:tc>
        <w:tc>
          <w:tcPr>
            <w:tcW w:w="780" w:type="dxa"/>
            <w:vAlign w:val="bottom"/>
            <w:tcBorders>
              <w:bottom w:val="single" w:sz="8" w:color="BFBFBF"/>
            </w:tcBorders>
          </w:tcPr>
          <w:p>
            <w:pPr>
              <w:spacing w:after="0"/>
              <w:rPr>
                <w:sz w:val="8"/>
                <w:szCs w:val="8"/>
                <w:color w:val="auto"/>
              </w:rPr>
            </w:pPr>
          </w:p>
        </w:tc>
        <w:tc>
          <w:tcPr>
            <w:tcW w:w="152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64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7</w:t>
            </w:r>
          </w:p>
        </w:tc>
        <w:tc>
          <w:tcPr>
            <w:tcW w:w="3720" w:type="dxa"/>
            <w:vAlign w:val="bottom"/>
            <w:tcBorders>
              <w:bottom w:val="single" w:sz="8" w:color="BFBFBF"/>
            </w:tcBorders>
          </w:tcPr>
          <w:p>
            <w:pPr>
              <w:ind w:left="120"/>
              <w:spacing w:after="0"/>
              <w:rPr>
                <w:sz w:val="20"/>
                <w:szCs w:val="20"/>
                <w:color w:val="auto"/>
              </w:rPr>
            </w:pPr>
            <w:r>
              <w:rPr>
                <w:rFonts w:ascii="Arial" w:cs="Arial" w:eastAsia="Arial" w:hAnsi="Arial"/>
                <w:sz w:val="17"/>
                <w:szCs w:val="17"/>
                <w:b w:val="1"/>
                <w:bCs w:val="1"/>
                <w:color w:val="545454"/>
              </w:rPr>
              <w:t>DC-Arlington-Alexandria, DC-VA-MD-WV</w:t>
            </w:r>
          </w:p>
        </w:tc>
        <w:tc>
          <w:tcPr>
            <w:tcW w:w="4760" w:type="dxa"/>
            <w:vAlign w:val="bottom"/>
            <w:tcBorders>
              <w:bottom w:val="single" w:sz="8" w:color="BFBFBF"/>
            </w:tcBorders>
          </w:tcPr>
          <w:p>
            <w:pPr>
              <w:ind w:left="100"/>
              <w:spacing w:after="0"/>
              <w:rPr>
                <w:sz w:val="20"/>
                <w:szCs w:val="20"/>
                <w:color w:val="auto"/>
              </w:rPr>
            </w:pPr>
            <w:r>
              <w:rPr>
                <w:rFonts w:ascii="Arial" w:cs="Arial" w:eastAsia="Arial" w:hAnsi="Arial"/>
                <w:sz w:val="17"/>
                <w:szCs w:val="17"/>
                <w:color w:val="545454"/>
                <w:w w:val="96"/>
              </w:rPr>
              <w:t>AT&amp;T, Cavalier, CenturyLink, Cox, Frontier, RCN, and 31 others</w:t>
            </w:r>
          </w:p>
        </w:tc>
        <w:tc>
          <w:tcPr>
            <w:tcW w:w="78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37</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95"/>
        </w:trPr>
        <w:tc>
          <w:tcPr>
            <w:tcW w:w="64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8</w:t>
            </w:r>
          </w:p>
        </w:tc>
        <w:tc>
          <w:tcPr>
            <w:tcW w:w="3720" w:type="dxa"/>
            <w:vAlign w:val="bottom"/>
            <w:tcBorders>
              <w:bottom w:val="single" w:sz="8" w:color="BFBFBF"/>
            </w:tcBorders>
          </w:tcPr>
          <w:p>
            <w:pPr>
              <w:ind w:left="120"/>
              <w:spacing w:after="0"/>
              <w:rPr>
                <w:sz w:val="20"/>
                <w:szCs w:val="20"/>
                <w:color w:val="auto"/>
              </w:rPr>
            </w:pPr>
            <w:r>
              <w:rPr>
                <w:rFonts w:ascii="Arial" w:cs="Arial" w:eastAsia="Arial" w:hAnsi="Arial"/>
                <w:sz w:val="17"/>
                <w:szCs w:val="17"/>
                <w:b w:val="1"/>
                <w:bCs w:val="1"/>
                <w:color w:val="545454"/>
              </w:rPr>
              <w:t>Miami-Fort Lauderdale-Pompano Beach, FL</w:t>
            </w:r>
          </w:p>
        </w:tc>
        <w:tc>
          <w:tcPr>
            <w:tcW w:w="4760" w:type="dxa"/>
            <w:vAlign w:val="bottom"/>
            <w:tcBorders>
              <w:bottom w:val="single" w:sz="8" w:color="BFBFBF"/>
            </w:tcBorders>
          </w:tcPr>
          <w:p>
            <w:pPr>
              <w:ind w:left="100"/>
              <w:spacing w:after="0"/>
              <w:rPr>
                <w:sz w:val="20"/>
                <w:szCs w:val="20"/>
                <w:color w:val="auto"/>
              </w:rPr>
            </w:pPr>
            <w:r>
              <w:rPr>
                <w:rFonts w:ascii="Arial" w:cs="Arial" w:eastAsia="Arial" w:hAnsi="Arial"/>
                <w:sz w:val="17"/>
                <w:szCs w:val="17"/>
                <w:color w:val="545454"/>
              </w:rPr>
              <w:t>AT&amp;T, CenturyLink, T-Mobile, Sprint, Verizon, and 10 others</w:t>
            </w:r>
          </w:p>
        </w:tc>
        <w:tc>
          <w:tcPr>
            <w:tcW w:w="78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15</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270"/>
        </w:trPr>
        <w:tc>
          <w:tcPr>
            <w:tcW w:w="640" w:type="dxa"/>
            <w:vAlign w:val="bottom"/>
          </w:tcPr>
          <w:p>
            <w:pPr>
              <w:jc w:val="center"/>
              <w:spacing w:after="0"/>
              <w:rPr>
                <w:sz w:val="20"/>
                <w:szCs w:val="20"/>
                <w:color w:val="auto"/>
              </w:rPr>
            </w:pPr>
            <w:r>
              <w:rPr>
                <w:rFonts w:ascii="Arial" w:cs="Arial" w:eastAsia="Arial" w:hAnsi="Arial"/>
                <w:sz w:val="17"/>
                <w:szCs w:val="17"/>
                <w:color w:val="545454"/>
                <w:w w:val="84"/>
              </w:rPr>
              <w:t>9</w:t>
            </w:r>
          </w:p>
        </w:tc>
        <w:tc>
          <w:tcPr>
            <w:tcW w:w="3720" w:type="dxa"/>
            <w:vAlign w:val="bottom"/>
          </w:tcPr>
          <w:p>
            <w:pPr>
              <w:ind w:left="120"/>
              <w:spacing w:after="0"/>
              <w:rPr>
                <w:sz w:val="20"/>
                <w:szCs w:val="20"/>
                <w:color w:val="auto"/>
              </w:rPr>
            </w:pPr>
            <w:r>
              <w:rPr>
                <w:rFonts w:ascii="Arial" w:cs="Arial" w:eastAsia="Arial" w:hAnsi="Arial"/>
                <w:sz w:val="17"/>
                <w:szCs w:val="17"/>
                <w:b w:val="1"/>
                <w:bCs w:val="1"/>
                <w:color w:val="545454"/>
              </w:rPr>
              <w:t>Atlanta-Sandy Springs-Marietta, GA</w:t>
            </w:r>
          </w:p>
        </w:tc>
        <w:tc>
          <w:tcPr>
            <w:tcW w:w="4760" w:type="dxa"/>
            <w:vAlign w:val="bottom"/>
            <w:vMerge w:val="restart"/>
          </w:tcPr>
          <w:p>
            <w:pPr>
              <w:ind w:left="100"/>
              <w:spacing w:after="0"/>
              <w:rPr>
                <w:sz w:val="20"/>
                <w:szCs w:val="20"/>
                <w:color w:val="auto"/>
              </w:rPr>
            </w:pPr>
            <w:r>
              <w:rPr>
                <w:rFonts w:ascii="Arial" w:cs="Arial" w:eastAsia="Arial" w:hAnsi="Arial"/>
                <w:sz w:val="17"/>
                <w:szCs w:val="17"/>
                <w:color w:val="545454"/>
              </w:rPr>
              <w:t>AT&amp;T, Frontier, Mediacom, Sprint, Verizon, and 19 others</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545454"/>
                <w:w w:val="84"/>
              </w:rPr>
              <w:t>24</w:t>
            </w:r>
          </w:p>
        </w:tc>
        <w:tc>
          <w:tcPr>
            <w:tcW w:w="1520" w:type="dxa"/>
            <w:vAlign w:val="bottom"/>
          </w:tcPr>
          <w:p>
            <w:pPr>
              <w:jc w:val="center"/>
              <w:spacing w:after="0"/>
              <w:rPr>
                <w:sz w:val="20"/>
                <w:szCs w:val="20"/>
                <w:color w:val="auto"/>
              </w:rPr>
            </w:pPr>
            <w:r>
              <w:rPr>
                <w:rFonts w:ascii="Arial" w:cs="Arial" w:eastAsia="Arial" w:hAnsi="Arial"/>
                <w:sz w:val="17"/>
                <w:szCs w:val="17"/>
                <w:color w:val="545454"/>
                <w:w w:val="91"/>
              </w:rPr>
              <w:t>-1 (Charter)</w:t>
            </w:r>
          </w:p>
        </w:tc>
        <w:tc>
          <w:tcPr>
            <w:tcW w:w="0" w:type="dxa"/>
            <w:vAlign w:val="bottom"/>
          </w:tcPr>
          <w:p>
            <w:pPr>
              <w:spacing w:after="0"/>
              <w:rPr>
                <w:sz w:val="1"/>
                <w:szCs w:val="1"/>
                <w:color w:val="auto"/>
              </w:rPr>
            </w:pPr>
          </w:p>
        </w:tc>
      </w:tr>
      <w:tr>
        <w:trPr>
          <w:trHeight w:val="76"/>
        </w:trPr>
        <w:tc>
          <w:tcPr>
            <w:tcW w:w="640" w:type="dxa"/>
            <w:vAlign w:val="bottom"/>
            <w:tcBorders>
              <w:bottom w:val="single" w:sz="8" w:color="BFBFBF"/>
            </w:tcBorders>
          </w:tcPr>
          <w:p>
            <w:pPr>
              <w:spacing w:after="0"/>
              <w:rPr>
                <w:sz w:val="6"/>
                <w:szCs w:val="6"/>
                <w:color w:val="auto"/>
              </w:rPr>
            </w:pPr>
          </w:p>
        </w:tc>
        <w:tc>
          <w:tcPr>
            <w:tcW w:w="3720" w:type="dxa"/>
            <w:vAlign w:val="bottom"/>
            <w:tcBorders>
              <w:bottom w:val="single" w:sz="8" w:color="BFBFBF"/>
            </w:tcBorders>
          </w:tcPr>
          <w:p>
            <w:pPr>
              <w:spacing w:after="0"/>
              <w:rPr>
                <w:sz w:val="6"/>
                <w:szCs w:val="6"/>
                <w:color w:val="auto"/>
              </w:rPr>
            </w:pPr>
          </w:p>
        </w:tc>
        <w:tc>
          <w:tcPr>
            <w:tcW w:w="4760" w:type="dxa"/>
            <w:vAlign w:val="bottom"/>
            <w:tcBorders>
              <w:bottom w:val="single" w:sz="8" w:color="BFBFBF"/>
            </w:tcBorders>
            <w:vMerge w:val="continue"/>
          </w:tcPr>
          <w:p>
            <w:pPr>
              <w:spacing w:after="0"/>
              <w:rPr>
                <w:sz w:val="6"/>
                <w:szCs w:val="6"/>
                <w:color w:val="auto"/>
              </w:rPr>
            </w:pPr>
          </w:p>
        </w:tc>
        <w:tc>
          <w:tcPr>
            <w:tcW w:w="780" w:type="dxa"/>
            <w:vAlign w:val="bottom"/>
            <w:tcBorders>
              <w:bottom w:val="single" w:sz="8" w:color="BFBFBF"/>
            </w:tcBorders>
          </w:tcPr>
          <w:p>
            <w:pPr>
              <w:spacing w:after="0"/>
              <w:rPr>
                <w:sz w:val="6"/>
                <w:szCs w:val="6"/>
                <w:color w:val="auto"/>
              </w:rPr>
            </w:pPr>
          </w:p>
        </w:tc>
        <w:tc>
          <w:tcPr>
            <w:tcW w:w="1520" w:type="dxa"/>
            <w:vAlign w:val="bottom"/>
            <w:tcBorders>
              <w:bottom w:val="single" w:sz="8" w:color="BFBFBF"/>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64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10</w:t>
            </w:r>
          </w:p>
        </w:tc>
        <w:tc>
          <w:tcPr>
            <w:tcW w:w="3720" w:type="dxa"/>
            <w:vAlign w:val="bottom"/>
            <w:tcBorders>
              <w:bottom w:val="single" w:sz="8" w:color="BFBFBF"/>
            </w:tcBorders>
          </w:tcPr>
          <w:p>
            <w:pPr>
              <w:ind w:left="120"/>
              <w:spacing w:after="0"/>
              <w:rPr>
                <w:sz w:val="20"/>
                <w:szCs w:val="20"/>
                <w:color w:val="auto"/>
              </w:rPr>
            </w:pPr>
            <w:r>
              <w:rPr>
                <w:rFonts w:ascii="Arial" w:cs="Arial" w:eastAsia="Arial" w:hAnsi="Arial"/>
                <w:sz w:val="17"/>
                <w:szCs w:val="17"/>
                <w:b w:val="1"/>
                <w:bCs w:val="1"/>
                <w:color w:val="545454"/>
              </w:rPr>
              <w:t>Boston-Cambridge-Quincy, MA-NH</w:t>
            </w:r>
          </w:p>
        </w:tc>
        <w:tc>
          <w:tcPr>
            <w:tcW w:w="4760" w:type="dxa"/>
            <w:vAlign w:val="bottom"/>
            <w:tcBorders>
              <w:bottom w:val="single" w:sz="8" w:color="BFBFBF"/>
            </w:tcBorders>
          </w:tcPr>
          <w:p>
            <w:pPr>
              <w:ind w:left="100"/>
              <w:spacing w:after="0"/>
              <w:rPr>
                <w:sz w:val="20"/>
                <w:szCs w:val="20"/>
                <w:color w:val="auto"/>
              </w:rPr>
            </w:pPr>
            <w:r>
              <w:rPr>
                <w:rFonts w:ascii="Arial" w:cs="Arial" w:eastAsia="Arial" w:hAnsi="Arial"/>
                <w:sz w:val="17"/>
                <w:szCs w:val="17"/>
                <w:color w:val="545454"/>
              </w:rPr>
              <w:t>AT&amp;T, RCN, Sprint, T-Mobile, Verizon, and 14 others</w:t>
            </w:r>
          </w:p>
        </w:tc>
        <w:tc>
          <w:tcPr>
            <w:tcW w:w="78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19</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91"/>
              </w:rPr>
              <w:t>-1 (Charter)</w:t>
            </w:r>
          </w:p>
        </w:tc>
        <w:tc>
          <w:tcPr>
            <w:tcW w:w="0" w:type="dxa"/>
            <w:vAlign w:val="bottom"/>
          </w:tcPr>
          <w:p>
            <w:pPr>
              <w:spacing w:after="0"/>
              <w:rPr>
                <w:sz w:val="1"/>
                <w:szCs w:val="1"/>
                <w:color w:val="auto"/>
              </w:rPr>
            </w:pPr>
          </w:p>
        </w:tc>
      </w:tr>
      <w:tr>
        <w:trPr>
          <w:trHeight w:val="195"/>
        </w:trPr>
        <w:tc>
          <w:tcPr>
            <w:tcW w:w="64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11</w:t>
            </w:r>
          </w:p>
        </w:tc>
        <w:tc>
          <w:tcPr>
            <w:tcW w:w="3720" w:type="dxa"/>
            <w:vAlign w:val="bottom"/>
            <w:tcBorders>
              <w:bottom w:val="single" w:sz="8" w:color="BFBFBF"/>
            </w:tcBorders>
          </w:tcPr>
          <w:p>
            <w:pPr>
              <w:ind w:left="120"/>
              <w:spacing w:after="0"/>
              <w:rPr>
                <w:sz w:val="20"/>
                <w:szCs w:val="20"/>
                <w:color w:val="auto"/>
              </w:rPr>
            </w:pPr>
            <w:r>
              <w:rPr>
                <w:rFonts w:ascii="Arial" w:cs="Arial" w:eastAsia="Arial" w:hAnsi="Arial"/>
                <w:sz w:val="17"/>
                <w:szCs w:val="17"/>
                <w:b w:val="1"/>
                <w:bCs w:val="1"/>
                <w:color w:val="545454"/>
              </w:rPr>
              <w:t>San Francisco-Oakland-Fremont, CA</w:t>
            </w:r>
          </w:p>
        </w:tc>
        <w:tc>
          <w:tcPr>
            <w:tcW w:w="4760" w:type="dxa"/>
            <w:vAlign w:val="bottom"/>
            <w:tcBorders>
              <w:bottom w:val="single" w:sz="8" w:color="BFBFBF"/>
            </w:tcBorders>
          </w:tcPr>
          <w:p>
            <w:pPr>
              <w:ind w:left="100"/>
              <w:spacing w:after="0"/>
              <w:rPr>
                <w:sz w:val="20"/>
                <w:szCs w:val="20"/>
                <w:color w:val="auto"/>
              </w:rPr>
            </w:pPr>
            <w:r>
              <w:rPr>
                <w:rFonts w:ascii="Arial" w:cs="Arial" w:eastAsia="Arial" w:hAnsi="Arial"/>
                <w:sz w:val="17"/>
                <w:szCs w:val="17"/>
                <w:color w:val="545454"/>
              </w:rPr>
              <w:t>AT&amp;T, Sprint, T-Mobile, Verizon, Windstream and 9 others</w:t>
            </w:r>
          </w:p>
        </w:tc>
        <w:tc>
          <w:tcPr>
            <w:tcW w:w="78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14</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95"/>
        </w:trPr>
        <w:tc>
          <w:tcPr>
            <w:tcW w:w="64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12</w:t>
            </w:r>
          </w:p>
        </w:tc>
        <w:tc>
          <w:tcPr>
            <w:tcW w:w="3720" w:type="dxa"/>
            <w:vAlign w:val="bottom"/>
            <w:tcBorders>
              <w:bottom w:val="single" w:sz="8" w:color="BFBFBF"/>
            </w:tcBorders>
          </w:tcPr>
          <w:p>
            <w:pPr>
              <w:ind w:left="120"/>
              <w:spacing w:after="0"/>
              <w:rPr>
                <w:sz w:val="20"/>
                <w:szCs w:val="20"/>
                <w:color w:val="auto"/>
              </w:rPr>
            </w:pPr>
            <w:r>
              <w:rPr>
                <w:rFonts w:ascii="Arial" w:cs="Arial" w:eastAsia="Arial" w:hAnsi="Arial"/>
                <w:sz w:val="17"/>
                <w:szCs w:val="17"/>
                <w:b w:val="1"/>
                <w:bCs w:val="1"/>
                <w:color w:val="545454"/>
              </w:rPr>
              <w:t>Phoenix-Mesa-Glendale, AZ</w:t>
            </w:r>
          </w:p>
        </w:tc>
        <w:tc>
          <w:tcPr>
            <w:tcW w:w="4760" w:type="dxa"/>
            <w:vAlign w:val="bottom"/>
            <w:tcBorders>
              <w:bottom w:val="single" w:sz="8" w:color="BFBFBF"/>
            </w:tcBorders>
          </w:tcPr>
          <w:p>
            <w:pPr>
              <w:ind w:left="100"/>
              <w:spacing w:after="0"/>
              <w:rPr>
                <w:sz w:val="20"/>
                <w:szCs w:val="20"/>
                <w:color w:val="auto"/>
              </w:rPr>
            </w:pPr>
            <w:r>
              <w:rPr>
                <w:rFonts w:ascii="Arial" w:cs="Arial" w:eastAsia="Arial" w:hAnsi="Arial"/>
                <w:sz w:val="17"/>
                <w:szCs w:val="17"/>
                <w:color w:val="545454"/>
              </w:rPr>
              <w:t>AT&amp;T, CenturyLink, Cox, Mediacom, Verizon, and 25 others</w:t>
            </w:r>
          </w:p>
        </w:tc>
        <w:tc>
          <w:tcPr>
            <w:tcW w:w="78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30</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95"/>
        </w:trPr>
        <w:tc>
          <w:tcPr>
            <w:tcW w:w="64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13</w:t>
            </w:r>
          </w:p>
        </w:tc>
        <w:tc>
          <w:tcPr>
            <w:tcW w:w="3720" w:type="dxa"/>
            <w:vAlign w:val="bottom"/>
            <w:tcBorders>
              <w:bottom w:val="single" w:sz="8" w:color="BFBFBF"/>
            </w:tcBorders>
          </w:tcPr>
          <w:p>
            <w:pPr>
              <w:ind w:left="120"/>
              <w:spacing w:after="0"/>
              <w:rPr>
                <w:sz w:val="20"/>
                <w:szCs w:val="20"/>
                <w:color w:val="auto"/>
              </w:rPr>
            </w:pPr>
            <w:r>
              <w:rPr>
                <w:rFonts w:ascii="Arial" w:cs="Arial" w:eastAsia="Arial" w:hAnsi="Arial"/>
                <w:sz w:val="17"/>
                <w:szCs w:val="17"/>
                <w:b w:val="1"/>
                <w:bCs w:val="1"/>
                <w:color w:val="545454"/>
              </w:rPr>
              <w:t>Riverside-San Bernardino-Ontario, CA</w:t>
            </w:r>
          </w:p>
        </w:tc>
        <w:tc>
          <w:tcPr>
            <w:tcW w:w="4760" w:type="dxa"/>
            <w:vAlign w:val="bottom"/>
            <w:tcBorders>
              <w:bottom w:val="single" w:sz="8" w:color="BFBFBF"/>
            </w:tcBorders>
          </w:tcPr>
          <w:p>
            <w:pPr>
              <w:ind w:left="100"/>
              <w:spacing w:after="0"/>
              <w:rPr>
                <w:sz w:val="20"/>
                <w:szCs w:val="20"/>
                <w:color w:val="auto"/>
              </w:rPr>
            </w:pPr>
            <w:r>
              <w:rPr>
                <w:rFonts w:ascii="Arial" w:cs="Arial" w:eastAsia="Arial" w:hAnsi="Arial"/>
                <w:sz w:val="17"/>
                <w:szCs w:val="17"/>
                <w:color w:val="545454"/>
              </w:rPr>
              <w:t>AT&amp;T, Frontier, Mediacom, Sprint, Verizon, and 11 others</w:t>
            </w:r>
          </w:p>
        </w:tc>
        <w:tc>
          <w:tcPr>
            <w:tcW w:w="78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16</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245"/>
        </w:trPr>
        <w:tc>
          <w:tcPr>
            <w:tcW w:w="640" w:type="dxa"/>
            <w:vAlign w:val="bottom"/>
          </w:tcPr>
          <w:p>
            <w:pPr>
              <w:jc w:val="center"/>
              <w:spacing w:after="0"/>
              <w:rPr>
                <w:sz w:val="20"/>
                <w:szCs w:val="20"/>
                <w:color w:val="auto"/>
              </w:rPr>
            </w:pPr>
            <w:r>
              <w:rPr>
                <w:rFonts w:ascii="Arial" w:cs="Arial" w:eastAsia="Arial" w:hAnsi="Arial"/>
                <w:sz w:val="17"/>
                <w:szCs w:val="17"/>
                <w:color w:val="545454"/>
                <w:w w:val="84"/>
              </w:rPr>
              <w:t>14</w:t>
            </w:r>
          </w:p>
        </w:tc>
        <w:tc>
          <w:tcPr>
            <w:tcW w:w="3720" w:type="dxa"/>
            <w:vAlign w:val="bottom"/>
          </w:tcPr>
          <w:p>
            <w:pPr>
              <w:ind w:left="120"/>
              <w:spacing w:after="0"/>
              <w:rPr>
                <w:sz w:val="20"/>
                <w:szCs w:val="20"/>
                <w:color w:val="auto"/>
              </w:rPr>
            </w:pPr>
            <w:r>
              <w:rPr>
                <w:rFonts w:ascii="Arial" w:cs="Arial" w:eastAsia="Arial" w:hAnsi="Arial"/>
                <w:sz w:val="17"/>
                <w:szCs w:val="17"/>
                <w:b w:val="1"/>
                <w:bCs w:val="1"/>
                <w:color w:val="545454"/>
                <w:w w:val="94"/>
              </w:rPr>
              <w:t xml:space="preserve">Detroit-Warren-Livonia, MI </w:t>
            </w:r>
            <w:r>
              <w:rPr>
                <w:rFonts w:ascii="Arial" w:cs="Arial" w:eastAsia="Arial" w:hAnsi="Arial"/>
                <w:sz w:val="17"/>
                <w:szCs w:val="17"/>
                <w:i w:val="1"/>
                <w:iCs w:val="1"/>
                <w:color w:val="545454"/>
                <w:w w:val="94"/>
              </w:rPr>
              <w:t>(no Comcast or TWC</w:t>
            </w:r>
          </w:p>
        </w:tc>
        <w:tc>
          <w:tcPr>
            <w:tcW w:w="4760" w:type="dxa"/>
            <w:vAlign w:val="bottom"/>
          </w:tcPr>
          <w:p>
            <w:pPr>
              <w:ind w:left="100"/>
              <w:spacing w:after="0"/>
              <w:rPr>
                <w:sz w:val="20"/>
                <w:szCs w:val="20"/>
                <w:color w:val="auto"/>
              </w:rPr>
            </w:pPr>
            <w:r>
              <w:rPr>
                <w:rFonts w:ascii="Arial" w:cs="Arial" w:eastAsia="Arial" w:hAnsi="Arial"/>
                <w:sz w:val="17"/>
                <w:szCs w:val="17"/>
                <w:color w:val="545454"/>
              </w:rPr>
              <w:t>--</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545454"/>
                <w:w w:val="84"/>
              </w:rPr>
              <w:t>26</w:t>
            </w:r>
          </w:p>
        </w:tc>
        <w:tc>
          <w:tcPr>
            <w:tcW w:w="1520" w:type="dxa"/>
            <w:vAlign w:val="bottom"/>
          </w:tcPr>
          <w:p>
            <w:pPr>
              <w:jc w:val="center"/>
              <w:spacing w:after="0"/>
              <w:rPr>
                <w:sz w:val="20"/>
                <w:szCs w:val="20"/>
                <w:color w:val="auto"/>
              </w:rPr>
            </w:pPr>
            <w:r>
              <w:rPr>
                <w:rFonts w:ascii="Arial" w:cs="Arial" w:eastAsia="Arial" w:hAnsi="Arial"/>
                <w:sz w:val="17"/>
                <w:szCs w:val="17"/>
                <w:color w:val="545454"/>
                <w:w w:val="92"/>
              </w:rPr>
              <w:t>+1 (SpinCo)</w:t>
            </w:r>
          </w:p>
        </w:tc>
        <w:tc>
          <w:tcPr>
            <w:tcW w:w="0" w:type="dxa"/>
            <w:vAlign w:val="bottom"/>
          </w:tcPr>
          <w:p>
            <w:pPr>
              <w:spacing w:after="0"/>
              <w:rPr>
                <w:sz w:val="1"/>
                <w:szCs w:val="1"/>
                <w:color w:val="auto"/>
              </w:rPr>
            </w:pPr>
          </w:p>
        </w:tc>
      </w:tr>
      <w:tr>
        <w:trPr>
          <w:trHeight w:val="152"/>
        </w:trPr>
        <w:tc>
          <w:tcPr>
            <w:tcW w:w="640" w:type="dxa"/>
            <w:vAlign w:val="bottom"/>
            <w:tcBorders>
              <w:bottom w:val="single" w:sz="8" w:color="BFBFBF"/>
            </w:tcBorders>
          </w:tcPr>
          <w:p>
            <w:pPr>
              <w:spacing w:after="0"/>
              <w:rPr>
                <w:sz w:val="13"/>
                <w:szCs w:val="13"/>
                <w:color w:val="auto"/>
              </w:rPr>
            </w:pPr>
          </w:p>
        </w:tc>
        <w:tc>
          <w:tcPr>
            <w:tcW w:w="3720" w:type="dxa"/>
            <w:vAlign w:val="bottom"/>
            <w:tcBorders>
              <w:bottom w:val="single" w:sz="8" w:color="BFBFBF"/>
            </w:tcBorders>
          </w:tcPr>
          <w:p>
            <w:pPr>
              <w:ind w:left="120"/>
              <w:spacing w:after="0" w:line="152" w:lineRule="exact"/>
              <w:rPr>
                <w:sz w:val="20"/>
                <w:szCs w:val="20"/>
                <w:color w:val="auto"/>
              </w:rPr>
            </w:pPr>
            <w:r>
              <w:rPr>
                <w:rFonts w:ascii="Arial" w:cs="Arial" w:eastAsia="Arial" w:hAnsi="Arial"/>
                <w:sz w:val="17"/>
                <w:szCs w:val="17"/>
                <w:i w:val="1"/>
                <w:iCs w:val="1"/>
                <w:color w:val="545454"/>
              </w:rPr>
              <w:t>presence post-transaction)</w:t>
            </w:r>
          </w:p>
        </w:tc>
        <w:tc>
          <w:tcPr>
            <w:tcW w:w="4760" w:type="dxa"/>
            <w:vAlign w:val="bottom"/>
            <w:tcBorders>
              <w:bottom w:val="single" w:sz="8" w:color="BFBFBF"/>
            </w:tcBorders>
          </w:tcPr>
          <w:p>
            <w:pPr>
              <w:spacing w:after="0"/>
              <w:rPr>
                <w:sz w:val="13"/>
                <w:szCs w:val="13"/>
                <w:color w:val="auto"/>
              </w:rPr>
            </w:pPr>
          </w:p>
        </w:tc>
        <w:tc>
          <w:tcPr>
            <w:tcW w:w="780" w:type="dxa"/>
            <w:vAlign w:val="bottom"/>
            <w:tcBorders>
              <w:bottom w:val="single" w:sz="8" w:color="BFBFBF"/>
            </w:tcBorders>
          </w:tcPr>
          <w:p>
            <w:pPr>
              <w:spacing w:after="0"/>
              <w:rPr>
                <w:sz w:val="13"/>
                <w:szCs w:val="13"/>
                <w:color w:val="auto"/>
              </w:rPr>
            </w:pPr>
          </w:p>
        </w:tc>
        <w:tc>
          <w:tcPr>
            <w:tcW w:w="1520" w:type="dxa"/>
            <w:vAlign w:val="bottom"/>
            <w:tcBorders>
              <w:bottom w:val="single" w:sz="8" w:color="BFBFB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4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15</w:t>
            </w:r>
          </w:p>
        </w:tc>
        <w:tc>
          <w:tcPr>
            <w:tcW w:w="3720" w:type="dxa"/>
            <w:vAlign w:val="bottom"/>
            <w:tcBorders>
              <w:bottom w:val="single" w:sz="8" w:color="BFBFBF"/>
            </w:tcBorders>
          </w:tcPr>
          <w:p>
            <w:pPr>
              <w:ind w:left="120"/>
              <w:spacing w:after="0"/>
              <w:rPr>
                <w:sz w:val="20"/>
                <w:szCs w:val="20"/>
                <w:color w:val="auto"/>
              </w:rPr>
            </w:pPr>
            <w:r>
              <w:rPr>
                <w:rFonts w:ascii="Arial" w:cs="Arial" w:eastAsia="Arial" w:hAnsi="Arial"/>
                <w:sz w:val="17"/>
                <w:szCs w:val="17"/>
                <w:b w:val="1"/>
                <w:bCs w:val="1"/>
                <w:color w:val="545454"/>
              </w:rPr>
              <w:t>Seattle-Tacoma-Bellevue, WA</w:t>
            </w:r>
          </w:p>
        </w:tc>
        <w:tc>
          <w:tcPr>
            <w:tcW w:w="4760" w:type="dxa"/>
            <w:vAlign w:val="bottom"/>
            <w:tcBorders>
              <w:bottom w:val="single" w:sz="8" w:color="BFBFBF"/>
            </w:tcBorders>
          </w:tcPr>
          <w:p>
            <w:pPr>
              <w:ind w:left="100"/>
              <w:spacing w:after="0"/>
              <w:rPr>
                <w:sz w:val="20"/>
                <w:szCs w:val="20"/>
                <w:color w:val="auto"/>
              </w:rPr>
            </w:pPr>
            <w:r>
              <w:rPr>
                <w:rFonts w:ascii="Arial" w:cs="Arial" w:eastAsia="Arial" w:hAnsi="Arial"/>
                <w:sz w:val="17"/>
                <w:szCs w:val="17"/>
                <w:color w:val="545454"/>
              </w:rPr>
              <w:t>AT&amp;T, CenturyLink, Sprint, T-Mobile, Verizon, and 20 others</w:t>
            </w:r>
          </w:p>
        </w:tc>
        <w:tc>
          <w:tcPr>
            <w:tcW w:w="78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25</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82"/>
        </w:trPr>
        <w:tc>
          <w:tcPr>
            <w:tcW w:w="640" w:type="dxa"/>
            <w:vAlign w:val="bottom"/>
            <w:vMerge w:val="restart"/>
          </w:tcPr>
          <w:p>
            <w:pPr>
              <w:jc w:val="center"/>
              <w:spacing w:after="0"/>
              <w:rPr>
                <w:sz w:val="20"/>
                <w:szCs w:val="20"/>
                <w:color w:val="auto"/>
              </w:rPr>
            </w:pPr>
            <w:r>
              <w:rPr>
                <w:rFonts w:ascii="Arial" w:cs="Arial" w:eastAsia="Arial" w:hAnsi="Arial"/>
                <w:sz w:val="17"/>
                <w:szCs w:val="17"/>
                <w:color w:val="545454"/>
                <w:w w:val="84"/>
              </w:rPr>
              <w:t>16</w:t>
            </w:r>
          </w:p>
        </w:tc>
        <w:tc>
          <w:tcPr>
            <w:tcW w:w="3720" w:type="dxa"/>
            <w:vAlign w:val="bottom"/>
          </w:tcPr>
          <w:p>
            <w:pPr>
              <w:ind w:left="120"/>
              <w:spacing w:after="0" w:line="182" w:lineRule="exact"/>
              <w:rPr>
                <w:sz w:val="20"/>
                <w:szCs w:val="20"/>
                <w:color w:val="auto"/>
              </w:rPr>
            </w:pPr>
            <w:r>
              <w:rPr>
                <w:rFonts w:ascii="Arial" w:cs="Arial" w:eastAsia="Arial" w:hAnsi="Arial"/>
                <w:sz w:val="17"/>
                <w:szCs w:val="17"/>
                <w:b w:val="1"/>
                <w:bCs w:val="1"/>
                <w:color w:val="545454"/>
                <w:w w:val="97"/>
              </w:rPr>
              <w:t xml:space="preserve">Minneapolis-St. Paul-Bloomington, MN-WI </w:t>
            </w:r>
            <w:r>
              <w:rPr>
                <w:rFonts w:ascii="Arial" w:cs="Arial" w:eastAsia="Arial" w:hAnsi="Arial"/>
                <w:sz w:val="17"/>
                <w:szCs w:val="17"/>
                <w:i w:val="1"/>
                <w:iCs w:val="1"/>
                <w:color w:val="545454"/>
                <w:w w:val="97"/>
              </w:rPr>
              <w:t>(no</w:t>
            </w:r>
          </w:p>
        </w:tc>
        <w:tc>
          <w:tcPr>
            <w:tcW w:w="4760" w:type="dxa"/>
            <w:vAlign w:val="bottom"/>
            <w:vMerge w:val="restart"/>
          </w:tcPr>
          <w:p>
            <w:pPr>
              <w:ind w:left="100"/>
              <w:spacing w:after="0"/>
              <w:rPr>
                <w:sz w:val="20"/>
                <w:szCs w:val="20"/>
                <w:color w:val="auto"/>
              </w:rPr>
            </w:pPr>
            <w:r>
              <w:rPr>
                <w:rFonts w:ascii="Arial" w:cs="Arial" w:eastAsia="Arial" w:hAnsi="Arial"/>
                <w:sz w:val="17"/>
                <w:szCs w:val="17"/>
                <w:color w:val="545454"/>
              </w:rPr>
              <w:t>--</w:t>
            </w:r>
          </w:p>
        </w:tc>
        <w:tc>
          <w:tcPr>
            <w:tcW w:w="780" w:type="dxa"/>
            <w:vAlign w:val="bottom"/>
            <w:vMerge w:val="restart"/>
          </w:tcPr>
          <w:p>
            <w:pPr>
              <w:jc w:val="center"/>
              <w:spacing w:after="0"/>
              <w:rPr>
                <w:sz w:val="20"/>
                <w:szCs w:val="20"/>
                <w:color w:val="auto"/>
              </w:rPr>
            </w:pPr>
            <w:r>
              <w:rPr>
                <w:rFonts w:ascii="Arial" w:cs="Arial" w:eastAsia="Arial" w:hAnsi="Arial"/>
                <w:sz w:val="17"/>
                <w:szCs w:val="17"/>
                <w:b w:val="1"/>
                <w:bCs w:val="1"/>
                <w:color w:val="545454"/>
                <w:w w:val="84"/>
              </w:rPr>
              <w:t>41</w:t>
            </w:r>
          </w:p>
        </w:tc>
        <w:tc>
          <w:tcPr>
            <w:tcW w:w="1520" w:type="dxa"/>
            <w:vAlign w:val="bottom"/>
            <w:vMerge w:val="restart"/>
          </w:tcPr>
          <w:p>
            <w:pPr>
              <w:jc w:val="center"/>
              <w:spacing w:after="0"/>
              <w:rPr>
                <w:sz w:val="20"/>
                <w:szCs w:val="20"/>
                <w:color w:val="auto"/>
              </w:rPr>
            </w:pPr>
            <w:r>
              <w:rPr>
                <w:rFonts w:ascii="Arial" w:cs="Arial" w:eastAsia="Arial" w:hAnsi="Arial"/>
                <w:sz w:val="17"/>
                <w:szCs w:val="17"/>
                <w:color w:val="545454"/>
                <w:w w:val="92"/>
              </w:rPr>
              <w:t>+1 (SpinCo)</w:t>
            </w:r>
          </w:p>
        </w:tc>
        <w:tc>
          <w:tcPr>
            <w:tcW w:w="0" w:type="dxa"/>
            <w:vAlign w:val="bottom"/>
          </w:tcPr>
          <w:p>
            <w:pPr>
              <w:spacing w:after="0"/>
              <w:rPr>
                <w:sz w:val="1"/>
                <w:szCs w:val="1"/>
                <w:color w:val="auto"/>
              </w:rPr>
            </w:pPr>
          </w:p>
        </w:tc>
      </w:tr>
      <w:tr>
        <w:trPr>
          <w:trHeight w:val="113"/>
        </w:trPr>
        <w:tc>
          <w:tcPr>
            <w:tcW w:w="640" w:type="dxa"/>
            <w:vAlign w:val="bottom"/>
            <w:vMerge w:val="continue"/>
          </w:tcPr>
          <w:p>
            <w:pPr>
              <w:spacing w:after="0"/>
              <w:rPr>
                <w:sz w:val="9"/>
                <w:szCs w:val="9"/>
                <w:color w:val="auto"/>
              </w:rPr>
            </w:pPr>
          </w:p>
        </w:tc>
        <w:tc>
          <w:tcPr>
            <w:tcW w:w="3720" w:type="dxa"/>
            <w:vAlign w:val="bottom"/>
            <w:vMerge w:val="restart"/>
          </w:tcPr>
          <w:p>
            <w:pPr>
              <w:ind w:left="120"/>
              <w:spacing w:after="0"/>
              <w:rPr>
                <w:sz w:val="20"/>
                <w:szCs w:val="20"/>
                <w:color w:val="auto"/>
              </w:rPr>
            </w:pPr>
            <w:r>
              <w:rPr>
                <w:rFonts w:ascii="Arial" w:cs="Arial" w:eastAsia="Arial" w:hAnsi="Arial"/>
                <w:sz w:val="17"/>
                <w:szCs w:val="17"/>
                <w:i w:val="1"/>
                <w:iCs w:val="1"/>
                <w:color w:val="545454"/>
              </w:rPr>
              <w:t>Comcast or TWC presence post-transaction)</w:t>
            </w:r>
          </w:p>
        </w:tc>
        <w:tc>
          <w:tcPr>
            <w:tcW w:w="4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40" w:type="dxa"/>
            <w:vAlign w:val="bottom"/>
            <w:tcBorders>
              <w:bottom w:val="single" w:sz="8" w:color="BFBFBF"/>
            </w:tcBorders>
          </w:tcPr>
          <w:p>
            <w:pPr>
              <w:spacing w:after="0"/>
              <w:rPr>
                <w:sz w:val="8"/>
                <w:szCs w:val="8"/>
                <w:color w:val="auto"/>
              </w:rPr>
            </w:pPr>
          </w:p>
        </w:tc>
        <w:tc>
          <w:tcPr>
            <w:tcW w:w="3720" w:type="dxa"/>
            <w:vAlign w:val="bottom"/>
            <w:tcBorders>
              <w:bottom w:val="single" w:sz="8" w:color="BFBFBF"/>
            </w:tcBorders>
            <w:vMerge w:val="continue"/>
          </w:tcPr>
          <w:p>
            <w:pPr>
              <w:spacing w:after="0"/>
              <w:rPr>
                <w:sz w:val="8"/>
                <w:szCs w:val="8"/>
                <w:color w:val="auto"/>
              </w:rPr>
            </w:pPr>
          </w:p>
        </w:tc>
        <w:tc>
          <w:tcPr>
            <w:tcW w:w="4760" w:type="dxa"/>
            <w:vAlign w:val="bottom"/>
            <w:tcBorders>
              <w:bottom w:val="single" w:sz="8" w:color="BFBFBF"/>
            </w:tcBorders>
          </w:tcPr>
          <w:p>
            <w:pPr>
              <w:spacing w:after="0"/>
              <w:rPr>
                <w:sz w:val="8"/>
                <w:szCs w:val="8"/>
                <w:color w:val="auto"/>
              </w:rPr>
            </w:pPr>
          </w:p>
        </w:tc>
        <w:tc>
          <w:tcPr>
            <w:tcW w:w="780" w:type="dxa"/>
            <w:vAlign w:val="bottom"/>
            <w:tcBorders>
              <w:bottom w:val="single" w:sz="8" w:color="BFBFBF"/>
            </w:tcBorders>
          </w:tcPr>
          <w:p>
            <w:pPr>
              <w:spacing w:after="0"/>
              <w:rPr>
                <w:sz w:val="8"/>
                <w:szCs w:val="8"/>
                <w:color w:val="auto"/>
              </w:rPr>
            </w:pPr>
          </w:p>
        </w:tc>
        <w:tc>
          <w:tcPr>
            <w:tcW w:w="152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64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17</w:t>
            </w:r>
          </w:p>
        </w:tc>
        <w:tc>
          <w:tcPr>
            <w:tcW w:w="3720" w:type="dxa"/>
            <w:vAlign w:val="bottom"/>
            <w:tcBorders>
              <w:bottom w:val="single" w:sz="8" w:color="BFBFBF"/>
            </w:tcBorders>
          </w:tcPr>
          <w:p>
            <w:pPr>
              <w:ind w:left="120"/>
              <w:spacing w:after="0"/>
              <w:rPr>
                <w:sz w:val="20"/>
                <w:szCs w:val="20"/>
                <w:color w:val="auto"/>
              </w:rPr>
            </w:pPr>
            <w:r>
              <w:rPr>
                <w:rFonts w:ascii="Arial" w:cs="Arial" w:eastAsia="Arial" w:hAnsi="Arial"/>
                <w:sz w:val="17"/>
                <w:szCs w:val="17"/>
                <w:b w:val="1"/>
                <w:bCs w:val="1"/>
                <w:color w:val="545454"/>
              </w:rPr>
              <w:t>San Diego-Carlsbad-San Marcos, CA</w:t>
            </w:r>
          </w:p>
        </w:tc>
        <w:tc>
          <w:tcPr>
            <w:tcW w:w="4760" w:type="dxa"/>
            <w:vAlign w:val="bottom"/>
            <w:tcBorders>
              <w:bottom w:val="single" w:sz="8" w:color="BFBFBF"/>
            </w:tcBorders>
          </w:tcPr>
          <w:p>
            <w:pPr>
              <w:ind w:left="100"/>
              <w:spacing w:after="0"/>
              <w:rPr>
                <w:sz w:val="20"/>
                <w:szCs w:val="20"/>
                <w:color w:val="auto"/>
              </w:rPr>
            </w:pPr>
            <w:r>
              <w:rPr>
                <w:rFonts w:ascii="Arial" w:cs="Arial" w:eastAsia="Arial" w:hAnsi="Arial"/>
                <w:sz w:val="17"/>
                <w:szCs w:val="17"/>
                <w:color w:val="545454"/>
              </w:rPr>
              <w:t>AT&amp;T, Cox, Mediacom, T-Mobile, Verizon, and 7 others</w:t>
            </w:r>
          </w:p>
        </w:tc>
        <w:tc>
          <w:tcPr>
            <w:tcW w:w="78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12</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95"/>
        </w:trPr>
        <w:tc>
          <w:tcPr>
            <w:tcW w:w="64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18</w:t>
            </w:r>
          </w:p>
        </w:tc>
        <w:tc>
          <w:tcPr>
            <w:tcW w:w="3720" w:type="dxa"/>
            <w:vAlign w:val="bottom"/>
            <w:tcBorders>
              <w:bottom w:val="single" w:sz="8" w:color="BFBFBF"/>
            </w:tcBorders>
          </w:tcPr>
          <w:p>
            <w:pPr>
              <w:ind w:left="120"/>
              <w:spacing w:after="0"/>
              <w:rPr>
                <w:sz w:val="20"/>
                <w:szCs w:val="20"/>
                <w:color w:val="auto"/>
              </w:rPr>
            </w:pPr>
            <w:r>
              <w:rPr>
                <w:rFonts w:ascii="Arial" w:cs="Arial" w:eastAsia="Arial" w:hAnsi="Arial"/>
                <w:sz w:val="17"/>
                <w:szCs w:val="17"/>
                <w:b w:val="1"/>
                <w:bCs w:val="1"/>
                <w:color w:val="545454"/>
              </w:rPr>
              <w:t>Tampa-St. Petersburg-Clearwater, FL</w:t>
            </w:r>
          </w:p>
        </w:tc>
        <w:tc>
          <w:tcPr>
            <w:tcW w:w="4760" w:type="dxa"/>
            <w:vAlign w:val="bottom"/>
            <w:tcBorders>
              <w:bottom w:val="single" w:sz="8" w:color="BFBFBF"/>
            </w:tcBorders>
          </w:tcPr>
          <w:p>
            <w:pPr>
              <w:ind w:left="100"/>
              <w:spacing w:after="0"/>
              <w:rPr>
                <w:sz w:val="20"/>
                <w:szCs w:val="20"/>
                <w:color w:val="auto"/>
              </w:rPr>
            </w:pPr>
            <w:r>
              <w:rPr>
                <w:rFonts w:ascii="Arial" w:cs="Arial" w:eastAsia="Arial" w:hAnsi="Arial"/>
                <w:sz w:val="17"/>
                <w:szCs w:val="17"/>
                <w:color w:val="545454"/>
              </w:rPr>
              <w:t>AT&amp;T, CenturyLink, Verizon, WOW!, and 8 others</w:t>
            </w:r>
          </w:p>
        </w:tc>
        <w:tc>
          <w:tcPr>
            <w:tcW w:w="78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12</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r>
        <w:trPr>
          <w:trHeight w:val="195"/>
        </w:trPr>
        <w:tc>
          <w:tcPr>
            <w:tcW w:w="64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19</w:t>
            </w:r>
          </w:p>
        </w:tc>
        <w:tc>
          <w:tcPr>
            <w:tcW w:w="3720" w:type="dxa"/>
            <w:vAlign w:val="bottom"/>
            <w:tcBorders>
              <w:bottom w:val="single" w:sz="8" w:color="BFBFBF"/>
            </w:tcBorders>
          </w:tcPr>
          <w:p>
            <w:pPr>
              <w:ind w:left="120"/>
              <w:spacing w:after="0"/>
              <w:rPr>
                <w:sz w:val="20"/>
                <w:szCs w:val="20"/>
                <w:color w:val="auto"/>
              </w:rPr>
            </w:pPr>
            <w:r>
              <w:rPr>
                <w:rFonts w:ascii="Arial" w:cs="Arial" w:eastAsia="Arial" w:hAnsi="Arial"/>
                <w:sz w:val="17"/>
                <w:szCs w:val="17"/>
                <w:b w:val="1"/>
                <w:bCs w:val="1"/>
                <w:color w:val="545454"/>
                <w:w w:val="95"/>
              </w:rPr>
              <w:t xml:space="preserve">St. Louis, MO-IL </w:t>
            </w:r>
            <w:r>
              <w:rPr>
                <w:rFonts w:ascii="Arial" w:cs="Arial" w:eastAsia="Arial" w:hAnsi="Arial"/>
                <w:sz w:val="17"/>
                <w:szCs w:val="17"/>
                <w:i w:val="1"/>
                <w:iCs w:val="1"/>
                <w:color w:val="545454"/>
                <w:w w:val="95"/>
              </w:rPr>
              <w:t>(no Comcast or TWC presence)</w:t>
            </w:r>
          </w:p>
        </w:tc>
        <w:tc>
          <w:tcPr>
            <w:tcW w:w="4760" w:type="dxa"/>
            <w:vAlign w:val="bottom"/>
            <w:tcBorders>
              <w:bottom w:val="single" w:sz="8" w:color="BFBFBF"/>
            </w:tcBorders>
          </w:tcPr>
          <w:p>
            <w:pPr>
              <w:ind w:left="100"/>
              <w:spacing w:after="0"/>
              <w:rPr>
                <w:sz w:val="20"/>
                <w:szCs w:val="20"/>
                <w:color w:val="auto"/>
              </w:rPr>
            </w:pPr>
            <w:r>
              <w:rPr>
                <w:rFonts w:ascii="Arial" w:cs="Arial" w:eastAsia="Arial" w:hAnsi="Arial"/>
                <w:sz w:val="17"/>
                <w:szCs w:val="17"/>
                <w:color w:val="545454"/>
              </w:rPr>
              <w:t>--</w:t>
            </w:r>
          </w:p>
        </w:tc>
        <w:tc>
          <w:tcPr>
            <w:tcW w:w="78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rPr>
              <w:t>--</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rPr>
              <w:t>--</w:t>
            </w:r>
          </w:p>
        </w:tc>
        <w:tc>
          <w:tcPr>
            <w:tcW w:w="0" w:type="dxa"/>
            <w:vAlign w:val="bottom"/>
          </w:tcPr>
          <w:p>
            <w:pPr>
              <w:spacing w:after="0"/>
              <w:rPr>
                <w:sz w:val="1"/>
                <w:szCs w:val="1"/>
                <w:color w:val="auto"/>
              </w:rPr>
            </w:pPr>
          </w:p>
        </w:tc>
      </w:tr>
      <w:tr>
        <w:trPr>
          <w:trHeight w:val="195"/>
        </w:trPr>
        <w:tc>
          <w:tcPr>
            <w:tcW w:w="64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4"/>
              </w:rPr>
              <w:t>20</w:t>
            </w:r>
          </w:p>
        </w:tc>
        <w:tc>
          <w:tcPr>
            <w:tcW w:w="3720" w:type="dxa"/>
            <w:vAlign w:val="bottom"/>
            <w:tcBorders>
              <w:bottom w:val="single" w:sz="8" w:color="BFBFBF"/>
            </w:tcBorders>
          </w:tcPr>
          <w:p>
            <w:pPr>
              <w:ind w:left="120"/>
              <w:spacing w:after="0"/>
              <w:rPr>
                <w:sz w:val="20"/>
                <w:szCs w:val="20"/>
                <w:color w:val="auto"/>
              </w:rPr>
            </w:pPr>
            <w:r>
              <w:rPr>
                <w:rFonts w:ascii="Arial" w:cs="Arial" w:eastAsia="Arial" w:hAnsi="Arial"/>
                <w:sz w:val="17"/>
                <w:szCs w:val="17"/>
                <w:b w:val="1"/>
                <w:bCs w:val="1"/>
                <w:color w:val="545454"/>
              </w:rPr>
              <w:t>Baltimore-Towson, MD</w:t>
            </w:r>
          </w:p>
        </w:tc>
        <w:tc>
          <w:tcPr>
            <w:tcW w:w="4760" w:type="dxa"/>
            <w:vAlign w:val="bottom"/>
            <w:tcBorders>
              <w:bottom w:val="single" w:sz="8" w:color="BFBFBF"/>
            </w:tcBorders>
          </w:tcPr>
          <w:p>
            <w:pPr>
              <w:ind w:left="100"/>
              <w:spacing w:after="0"/>
              <w:rPr>
                <w:sz w:val="20"/>
                <w:szCs w:val="20"/>
                <w:color w:val="auto"/>
              </w:rPr>
            </w:pPr>
            <w:r>
              <w:rPr>
                <w:rFonts w:ascii="Arial" w:cs="Arial" w:eastAsia="Arial" w:hAnsi="Arial"/>
                <w:sz w:val="17"/>
                <w:szCs w:val="17"/>
                <w:color w:val="545454"/>
              </w:rPr>
              <w:t>AT&amp;T, Cavalier, RCN, Verizon, and 22 others</w:t>
            </w:r>
          </w:p>
        </w:tc>
        <w:tc>
          <w:tcPr>
            <w:tcW w:w="780" w:type="dxa"/>
            <w:vAlign w:val="bottom"/>
            <w:tcBorders>
              <w:bottom w:val="single" w:sz="8" w:color="BFBFBF"/>
            </w:tcBorders>
          </w:tcPr>
          <w:p>
            <w:pPr>
              <w:jc w:val="center"/>
              <w:spacing w:after="0"/>
              <w:rPr>
                <w:sz w:val="20"/>
                <w:szCs w:val="20"/>
                <w:color w:val="auto"/>
              </w:rPr>
            </w:pPr>
            <w:r>
              <w:rPr>
                <w:rFonts w:ascii="Arial" w:cs="Arial" w:eastAsia="Arial" w:hAnsi="Arial"/>
                <w:sz w:val="17"/>
                <w:szCs w:val="17"/>
                <w:b w:val="1"/>
                <w:bCs w:val="1"/>
                <w:color w:val="545454"/>
                <w:w w:val="84"/>
              </w:rPr>
              <w:t>26</w:t>
            </w:r>
          </w:p>
        </w:tc>
        <w:tc>
          <w:tcPr>
            <w:tcW w:w="1520" w:type="dxa"/>
            <w:vAlign w:val="bottom"/>
            <w:tcBorders>
              <w:bottom w:val="single" w:sz="8" w:color="BFBFBF"/>
            </w:tcBorders>
          </w:tcPr>
          <w:p>
            <w:pPr>
              <w:jc w:val="center"/>
              <w:spacing w:after="0"/>
              <w:rPr>
                <w:sz w:val="20"/>
                <w:szCs w:val="20"/>
                <w:color w:val="auto"/>
              </w:rPr>
            </w:pPr>
            <w:r>
              <w:rPr>
                <w:rFonts w:ascii="Arial" w:cs="Arial" w:eastAsia="Arial" w:hAnsi="Arial"/>
                <w:sz w:val="17"/>
                <w:szCs w:val="17"/>
                <w:color w:val="545454"/>
                <w:w w:val="88"/>
              </w:rPr>
              <w:t>No Change</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i w:val="1"/>
          <w:iCs w:val="1"/>
          <w:color w:val="auto"/>
        </w:rPr>
        <w:t>Source: National Broadband Map (www.broadbandmap.gov). Includes wireline, terrestrial fixed wireless, terrestrial mobile wireless, and satellite providers in the Top 20 MSAs with a reported “highest advertised download speed” of 3Mbps or more. Chicago-Joliet-Naperville, IL-IN-WI MSA information obtained from Broadband Illinois.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post-transaction column are due to the exchange, sale, and spin-off of systems as part of the Divestiture Transactions.</w:t>
      </w:r>
    </w:p>
    <w:p>
      <w:pPr>
        <w:spacing w:after="0" w:line="234" w:lineRule="exact"/>
        <w:rPr>
          <w:sz w:val="20"/>
          <w:szCs w:val="20"/>
          <w:color w:val="auto"/>
        </w:rPr>
      </w:pPr>
    </w:p>
    <w:p>
      <w:pPr>
        <w:ind w:right="140" w:firstLine="1"/>
        <w:spacing w:after="0" w:line="271" w:lineRule="auto"/>
        <w:tabs>
          <w:tab w:leader="none" w:pos="126"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Note: The Comcast-TWC Public Interest Statement incorrectly identified the New York-Newark-Jersey City, NY-NJ-PA MSA as having 29 broadband providers due to the inadvertent inclusion of Leap Wireless. The correct total (28) has been provided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624205</wp:posOffset>
            </wp:positionV>
            <wp:extent cx="725995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Attachment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1389380</wp:posOffset>
            </wp:positionV>
            <wp:extent cx="725995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FF0000"/>
        </w:rPr>
        <w:t>UPDATE OF MAP ON PAGE 44 OF COMCAST-TWC PUBLIC INTEREST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159385</wp:posOffset>
            </wp:positionV>
            <wp:extent cx="7314565" cy="4871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487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Service areas shown represent areas in which the top 10 ILEC providers offer fiber and/or DSL-based Internet access service of any speed. Service area boundaries have been estimated using census block data, wire center locations, and other publicly available information.</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As shown in the map above, in 98.5 percent of the combined company’s service areas (including the systems Comcast receives from Charter), customers have a choice between the combined company and one or more top 10 ILEC competitors. More specifically, the orange in the map represents the service areas of the combined company where a top 10 ILEC offers Internet access service. The red shows the very few areas (representing about 1.5 percent of the combined company’s service areas) not currently served by a top 10 ILEC. (Source: GeoResults)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778510</wp:posOffset>
            </wp:positionV>
            <wp:extent cx="725995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16" w:name="page17"/>
    <w:bookmarkEnd w:id="16"/>
    <w:p>
      <w:pPr>
        <w:ind w:left="2380"/>
        <w:spacing w:after="0"/>
        <w:rPr>
          <w:sz w:val="20"/>
          <w:szCs w:val="20"/>
          <w:color w:val="auto"/>
        </w:rPr>
      </w:pPr>
      <w:r>
        <w:rPr>
          <w:rFonts w:ascii="Arial" w:cs="Arial" w:eastAsia="Arial" w:hAnsi="Arial"/>
          <w:sz w:val="17"/>
          <w:szCs w:val="17"/>
          <w:b w:val="1"/>
          <w:bCs w:val="1"/>
          <w:color w:val="FF0000"/>
        </w:rPr>
        <w:t>UPDATE OF MAP ON PAGE 53 OF COMCAST-TWC PUBLIC INTEREST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159385</wp:posOffset>
            </wp:positionV>
            <wp:extent cx="6444615" cy="4879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44615" cy="487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orange in the above map represents those parts of the service areas of the combined company (including the systems Comcast receives from Charter) where a 4G LTE provider offers Internet access service. The red shows the very few areas not currently served by a 4G LTE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624205</wp:posOffset>
            </wp:positionV>
            <wp:extent cx="725995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160"/>
          </w:cols>
          <w:pgMar w:left="240" w:top="806" w:right="49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17"/>
          <w:szCs w:val="17"/>
          <w:b w:val="1"/>
          <w:bCs w:val="1"/>
          <w:color w:val="FF0000"/>
        </w:rPr>
        <w:t>UPDATE OF MAP ON PAGE 54 OF COMCAST-TWC PUBLIC INTEREST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159385</wp:posOffset>
            </wp:positionV>
            <wp:extent cx="6228080" cy="4743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28080" cy="474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shown in the above map, when one considers the near-ubiquitous availability of top 10 ILECs plus 4G LTE wireless broadband providers, there are virtually no areas of the combined company’s service areas where customers do not have at least one of these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624205</wp:posOffset>
            </wp:positionV>
            <wp:extent cx="725995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60"/>
          </w:cols>
          <w:pgMar w:left="240" w:top="806" w:right="299" w:bottom="1440" w:gutter="0" w:footer="0" w:header="0"/>
        </w:sectPr>
      </w:pPr>
    </w:p>
    <w:bookmarkStart w:id="18" w:name="page19"/>
    <w:bookmarkEnd w:id="18"/>
    <w:p>
      <w:pPr>
        <w:ind w:left="2340"/>
        <w:spacing w:after="0"/>
        <w:rPr>
          <w:sz w:val="20"/>
          <w:szCs w:val="20"/>
          <w:color w:val="auto"/>
        </w:rPr>
      </w:pPr>
      <w:r>
        <w:rPr>
          <w:rFonts w:ascii="Arial" w:cs="Arial" w:eastAsia="Arial" w:hAnsi="Arial"/>
          <w:sz w:val="17"/>
          <w:szCs w:val="17"/>
          <w:b w:val="1"/>
          <w:bCs w:val="1"/>
          <w:color w:val="FF0000"/>
        </w:rPr>
        <w:t>UPDATE OF MAP ON PAGE 150 OF COMCAST-TWC PUBLIC INTEREST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159385</wp:posOffset>
            </wp:positionV>
            <wp:extent cx="6404610" cy="4871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04610" cy="487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shown in the above map, there will be 11 or more MVPDs in most of the 16 DMAs (within the top 20) where the combined company will have a presence and at least six MVPDs in all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624205</wp:posOffset>
            </wp:positionV>
            <wp:extent cx="725995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080"/>
          </w:cols>
          <w:pgMar w:left="240" w:top="806" w:right="57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FF0000"/>
        </w:rPr>
        <w:t>NEW MAP SHOWING SERVICE AREAS OF COMCAST, CHARTER, AND SPINCO AFTER DIVESTITURE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5982970</wp:posOffset>
            </wp:positionV>
            <wp:extent cx="725995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9955" cy="20955"/>
                    </a:xfrm>
                    <a:prstGeom prst="rect">
                      <a:avLst/>
                    </a:prstGeom>
                    <a:noFill/>
                  </pic:spPr>
                </pic:pic>
              </a:graphicData>
            </a:graphic>
          </wp:anchor>
        </w:drawing>
        <w:drawing>
          <wp:anchor simplePos="0" relativeHeight="251657728" behindDoc="1" locked="0" layoutInCell="0" allowOverlap="1">
            <wp:simplePos x="0" y="0"/>
            <wp:positionH relativeFrom="column">
              <wp:posOffset>-335280</wp:posOffset>
            </wp:positionH>
            <wp:positionV relativeFrom="paragraph">
              <wp:posOffset>166370</wp:posOffset>
            </wp:positionV>
            <wp:extent cx="6709410" cy="51765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09410" cy="5176520"/>
                    </a:xfrm>
                    <a:prstGeom prst="rect">
                      <a:avLst/>
                    </a:prstGeom>
                    <a:noFill/>
                  </pic:spPr>
                </pic:pic>
              </a:graphicData>
            </a:graphic>
          </wp:anchor>
        </w:drawing>
      </w:r>
    </w:p>
    <w:p>
      <w:pPr>
        <w:sectPr>
          <w:pgSz w:w="11900" w:h="16838" w:orient="portrait"/>
          <w:cols w:equalWidth="0" w:num="1">
            <w:col w:w="9520"/>
          </w:cols>
          <w:pgMar w:left="1200" w:top="578" w:right="117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Important Information For Investors And Shareholders</w:t>
      </w:r>
    </w:p>
    <w:p>
      <w:pPr>
        <w:spacing w:after="0" w:line="238"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w:t>
      </w:r>
    </w:p>
    <w:p>
      <w:pPr>
        <w:spacing w:after="0" w:line="2"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182"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511810</wp:posOffset>
            </wp:positionV>
            <wp:extent cx="725995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21" w:name="page22"/>
    <w:bookmarkEnd w:id="21"/>
    <w:p>
      <w:pPr>
        <w:ind w:right="40"/>
        <w:spacing w:after="0" w:line="283" w:lineRule="auto"/>
        <w:rPr>
          <w:sz w:val="20"/>
          <w:szCs w:val="20"/>
          <w:color w:val="auto"/>
        </w:rPr>
      </w:pPr>
      <w:r>
        <w:rPr>
          <w:rFonts w:ascii="Arial" w:cs="Arial" w:eastAsia="Arial" w:hAnsi="Arial"/>
          <w:sz w:val="15"/>
          <w:szCs w:val="15"/>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w:t>
      </w:r>
    </w:p>
    <w:p>
      <w:pPr>
        <w:spacing w:after="0" w:line="4"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38"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461010</wp:posOffset>
            </wp:positionV>
            <wp:extent cx="727583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5830" cy="20955"/>
                    </a:xfrm>
                    <a:prstGeom prst="rect">
                      <a:avLst/>
                    </a:prstGeom>
                    <a:noFill/>
                  </pic:spPr>
                </pic:pic>
              </a:graphicData>
            </a:graphic>
          </wp:anchor>
        </w:drawing>
      </w:r>
    </w:p>
    <w:sectPr>
      <w:pgSz w:w="11900" w:h="16838" w:orient="portrait"/>
      <w:cols w:equalWidth="0" w:num="1">
        <w:col w:w="11420"/>
      </w:cols>
      <w:pgMar w:left="240" w:top="7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bullet"/>
      <w:start w:val="1"/>
    </w:lvl>
  </w:abstractNum>
  <w:abstractNum w:abstractNumId="1">
    <w:nsid w:val="140E0F76"/>
    <w:multiLevelType w:val="hybridMultilevel"/>
    <w:lvl w:ilvl="0">
      <w:lvlJc w:val="left"/>
      <w:lvlText w:val="2"/>
      <w:numFmt w:val="bullet"/>
      <w:start w:val="1"/>
    </w:lvl>
  </w:abstractNum>
  <w:abstractNum w:abstractNumId="2">
    <w:nsid w:val="3352255A"/>
    <w:multiLevelType w:val="hybridMultilevel"/>
    <w:lvl w:ilvl="0">
      <w:lvlJc w:val="left"/>
      <w:lvlText w:val="3"/>
      <w:numFmt w:val="bullet"/>
      <w:start w:val="1"/>
    </w:lvl>
  </w:abstractNum>
  <w:abstractNum w:abstractNumId="3">
    <w:nsid w:val="109CF92E"/>
    <w:multiLevelType w:val="hybridMultilevel"/>
    <w:lvl w:ilvl="0">
      <w:lvlJc w:val="left"/>
      <w:lvlText w:val="4"/>
      <w:numFmt w:val="bullet"/>
      <w:start w:val="1"/>
    </w:lvl>
  </w:abstractNum>
  <w:abstractNum w:abstractNumId="4">
    <w:nsid w:val="DED7263"/>
    <w:multiLevelType w:val="hybridMultilevel"/>
    <w:lvl w:ilvl="0">
      <w:lvlJc w:val="left"/>
      <w:lvlText w:val="5"/>
      <w:numFmt w:val="bullet"/>
      <w:start w:val="1"/>
    </w:lvl>
  </w:abstractNum>
  <w:abstractNum w:abstractNumId="5">
    <w:nsid w:val="7FDCC233"/>
    <w:multiLevelType w:val="hybridMultilevel"/>
    <w:lvl w:ilvl="0">
      <w:lvlJc w:val="left"/>
      <w:lvlText w:val="Ø"/>
      <w:numFmt w:val="bullet"/>
      <w:start w:val="1"/>
    </w:lvl>
  </w:abstractNum>
  <w:abstractNum w:abstractNumId="6">
    <w:nsid w:val="1BEFD79F"/>
    <w:multiLevelType w:val="hybridMultilevel"/>
    <w:lvl w:ilvl="0">
      <w:lvlJc w:val="left"/>
      <w:lvlText w:val="6"/>
      <w:numFmt w:val="bullet"/>
      <w:start w:val="1"/>
    </w:lvl>
  </w:abstractNum>
  <w:abstractNum w:abstractNumId="7">
    <w:nsid w:val="41A7C4C9"/>
    <w:multiLevelType w:val="hybridMultilevel"/>
    <w:lvl w:ilvl="0">
      <w:lvlJc w:val="left"/>
      <w:lvlText w:val="7"/>
      <w:numFmt w:val="bullet"/>
      <w:start w:val="1"/>
    </w:lvl>
  </w:abstractNum>
  <w:abstractNum w:abstractNumId="8">
    <w:nsid w:val="6B68079A"/>
    <w:multiLevelType w:val="hybridMultilevel"/>
    <w:lvl w:ilvl="0">
      <w:lvlJc w:val="left"/>
      <w:lvlText w:val="Ø"/>
      <w:numFmt w:val="bullet"/>
      <w:start w:val="1"/>
    </w:lvl>
  </w:abstractNum>
  <w:abstractNum w:abstractNumId="9">
    <w:nsid w:val="4E6AFB66"/>
    <w:multiLevelType w:val="hybridMultilevel"/>
    <w:lvl w:ilvl="0">
      <w:lvlJc w:val="left"/>
      <w:lvlText w:val="o"/>
      <w:numFmt w:val="bullet"/>
      <w:start w:val="1"/>
    </w:lvl>
  </w:abstractNum>
  <w:abstractNum w:abstractNumId="10">
    <w:nsid w:val="25E45D32"/>
    <w:multiLevelType w:val="hybridMultilevel"/>
    <w:lvl w:ilvl="0">
      <w:lvlJc w:val="left"/>
      <w:lvlText w:val="Ø"/>
      <w:numFmt w:val="bullet"/>
      <w:start w:val="1"/>
    </w:lvl>
  </w:abstractNum>
  <w:abstractNum w:abstractNumId="11">
    <w:nsid w:val="519B500D"/>
    <w:multiLevelType w:val="hybridMultilevel"/>
    <w:lvl w:ilvl="0">
      <w:lvlJc w:val="left"/>
      <w:lvlText w:val="8"/>
      <w:numFmt w:val="bullet"/>
      <w:start w:val="1"/>
    </w:lvl>
  </w:abstractNum>
  <w:abstractNum w:abstractNumId="12">
    <w:nsid w:val="431BD7B7"/>
    <w:multiLevelType w:val="hybridMultilevel"/>
    <w:lvl w:ilvl="0">
      <w:lvlJc w:val="left"/>
      <w:lvlText w:val="9"/>
      <w:numFmt w:val="bullet"/>
      <w:start w:val="1"/>
    </w:lvl>
  </w:abstractNum>
  <w:abstractNum w:abstractNumId="13">
    <w:nsid w:val="3F2DBA31"/>
    <w:multiLevelType w:val="hybridMultilevel"/>
    <w:lvl w:ilvl="0">
      <w:lvlJc w:val="left"/>
      <w:lvlText w:val="%1"/>
      <w:numFmt w:val="decimal"/>
      <w:start w:val="10"/>
    </w:lvl>
  </w:abstractNum>
  <w:abstractNum w:abstractNumId="14">
    <w:nsid w:val="7C83E458"/>
    <w:multiLevelType w:val="hybridMultilevel"/>
    <w:lvl w:ilvl="0">
      <w:lvlJc w:val="left"/>
      <w:lvlText w:val="Ø"/>
      <w:numFmt w:val="bullet"/>
      <w:start w:val="1"/>
    </w:lvl>
  </w:abstractNum>
  <w:abstractNum w:abstractNumId="15">
    <w:nsid w:val="257130A3"/>
    <w:multiLevelType w:val="hybridMultilevel"/>
    <w:lvl w:ilvl="0">
      <w:lvlJc w:val="left"/>
      <w:lvlText w:val="%1"/>
      <w:numFmt w:val="decimal"/>
      <w:start w:val="13"/>
    </w:lvl>
  </w:abstractNum>
  <w:abstractNum w:abstractNumId="16">
    <w:nsid w:val="62BBD95A"/>
    <w:multiLevelType w:val="hybridMultilevel"/>
    <w:lvl w:ilvl="0">
      <w:lvlJc w:val="left"/>
      <w:lvlText w:val="Ø"/>
      <w:numFmt w:val="bullet"/>
      <w:start w:val="1"/>
    </w:lvl>
  </w:abstractNum>
  <w:abstractNum w:abstractNumId="17">
    <w:nsid w:val="436C6125"/>
    <w:multiLevelType w:val="hybridMultilevel"/>
    <w:lvl w:ilvl="0">
      <w:lvlJc w:val="left"/>
      <w:lvlText w:val="%1"/>
      <w:numFmt w:val="decimal"/>
      <w:start w:val="17"/>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22"/>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24"/>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2019-12-16T11:56:45Z</dcterms:created>
  <dcterms:modified xsi:type="dcterms:W3CDTF">2019-12-16T11:56:45Z</dcterms:modified>
</cp:coreProperties>
</file>