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20"/>
        <w:spacing w:after="0"/>
        <w:rPr>
          <w:sz w:val="20"/>
          <w:szCs w:val="20"/>
          <w:color w:val="auto"/>
        </w:rPr>
      </w:pPr>
      <w:r>
        <w:rPr>
          <w:rFonts w:ascii="Courier New" w:cs="Courier New" w:eastAsia="Courier New" w:hAnsi="Courier New"/>
          <w:sz w:val="16"/>
          <w:szCs w:val="16"/>
          <w:color w:val="auto"/>
        </w:rPr>
        <w:t>Filed by Comcast Corporation Pursuant to</w:t>
      </w:r>
    </w:p>
    <w:p>
      <w:pPr>
        <w:spacing w:after="0" w:line="1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Rule 425 under the Securities Act of</w:t>
      </w:r>
    </w:p>
    <w:p>
      <w:pPr>
        <w:ind w:left="4220"/>
        <w:spacing w:after="0" w:line="238" w:lineRule="auto"/>
        <w:rPr>
          <w:sz w:val="20"/>
          <w:szCs w:val="20"/>
          <w:color w:val="auto"/>
        </w:rPr>
      </w:pPr>
      <w:r>
        <w:rPr>
          <w:rFonts w:ascii="Courier New" w:cs="Courier New" w:eastAsia="Courier New" w:hAnsi="Courier New"/>
          <w:sz w:val="18"/>
          <w:szCs w:val="18"/>
          <w:color w:val="auto"/>
        </w:rPr>
        <w:t>1933 and deemed filed pursuant to Rule</w:t>
      </w:r>
    </w:p>
    <w:p>
      <w:pPr>
        <w:spacing w:after="0" w:line="5" w:lineRule="exact"/>
        <w:rPr>
          <w:sz w:val="24"/>
          <w:szCs w:val="24"/>
          <w:color w:val="auto"/>
        </w:rPr>
      </w:pPr>
    </w:p>
    <w:p>
      <w:pPr>
        <w:ind w:left="4220"/>
        <w:spacing w:after="0"/>
        <w:rPr>
          <w:sz w:val="20"/>
          <w:szCs w:val="20"/>
          <w:color w:val="auto"/>
        </w:rPr>
      </w:pPr>
      <w:r>
        <w:rPr>
          <w:rFonts w:ascii="Courier New" w:cs="Courier New" w:eastAsia="Courier New" w:hAnsi="Courier New"/>
          <w:sz w:val="16"/>
          <w:szCs w:val="16"/>
          <w:color w:val="auto"/>
        </w:rPr>
        <w:t>14a-12 under the Securities Exchange Act</w:t>
      </w:r>
    </w:p>
    <w:p>
      <w:pPr>
        <w:spacing w:after="0" w:line="1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of 1934</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Subject Company: AT&amp;T Corp.</w:t>
      </w:r>
    </w:p>
    <w:p>
      <w:pPr>
        <w:ind w:left="422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Date: July 9, 2001</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presentation was used by Comcast at its analyst meeting: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and AT&amp;T Broadband:</w:t>
      </w:r>
    </w:p>
    <w:p>
      <w:pPr>
        <w:spacing w:after="0" w:line="238" w:lineRule="auto"/>
        <w:rPr>
          <w:sz w:val="20"/>
          <w:szCs w:val="20"/>
          <w:color w:val="auto"/>
        </w:rPr>
      </w:pPr>
      <w:r>
        <w:rPr>
          <w:rFonts w:ascii="Courier New" w:cs="Courier New" w:eastAsia="Courier New" w:hAnsi="Courier New"/>
          <w:sz w:val="18"/>
          <w:szCs w:val="18"/>
          <w:color w:val="auto"/>
        </w:rPr>
        <w:t>Creating the New Broadband Leader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9, 2001</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38" w:lineRule="auto"/>
        <w:rPr>
          <w:sz w:val="20"/>
          <w:szCs w:val="20"/>
          <w:color w:val="auto"/>
        </w:rPr>
      </w:pPr>
      <w:r>
        <w:rPr>
          <w:rFonts w:ascii="Courier New" w:cs="Courier New" w:eastAsia="Courier New" w:hAnsi="Courier New"/>
          <w:sz w:val="18"/>
          <w:szCs w:val="18"/>
          <w:color w:val="auto"/>
        </w:rPr>
        <w:t>Caution Concerning Forward-Looking Statements</w:t>
      </w:r>
    </w:p>
    <w:p>
      <w:pPr>
        <w:spacing w:after="0" w:line="207" w:lineRule="exact"/>
        <w:rPr>
          <w:sz w:val="24"/>
          <w:szCs w:val="24"/>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presentation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55" w:right="1440" w:bottom="1440" w:gutter="0" w:footer="0" w:header="0"/>
        </w:sectPr>
      </w:pPr>
    </w:p>
    <w:bookmarkStart w:id="1" w:name="page2"/>
    <w:bookmarkEnd w:id="1"/>
    <w:p>
      <w:pPr>
        <w:jc w:val="center"/>
        <w:ind w:right="2979"/>
        <w:spacing w:after="0"/>
        <w:rPr>
          <w:sz w:val="20"/>
          <w:szCs w:val="20"/>
          <w:color w:val="auto"/>
        </w:rPr>
      </w:pPr>
      <w:r>
        <w:rPr>
          <w:rFonts w:ascii="Courier New" w:cs="Courier New" w:eastAsia="Courier New" w:hAnsi="Courier New"/>
          <w:sz w:val="18"/>
          <w:szCs w:val="18"/>
          <w:color w:val="auto"/>
        </w:rPr>
        <w:t>Brian L. Roberts</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President, Comcast Corporation</w:t>
      </w:r>
    </w:p>
    <w:p>
      <w:pPr>
        <w:sectPr>
          <w:pgSz w:w="11900" w:h="16838" w:orient="portrait"/>
          <w:cols w:equalWidth="0" w:num="1">
            <w:col w:w="9019"/>
          </w:cols>
          <w:pgMar w:left="1440" w:top="11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Terms of the Proposed Transaction</w:t>
      </w:r>
    </w:p>
    <w:p>
      <w:pPr>
        <w:spacing w:after="0" w:line="201"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between Comcast and AT&amp;T Broadband</w:t>
      </w:r>
    </w:p>
    <w:p>
      <w:pPr>
        <w:spacing w:after="0" w:line="206"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Values AT&amp;T Broadband at $58 billion, including assumed debt of $13.5 billion</w:t>
      </w:r>
    </w:p>
    <w:p>
      <w:pPr>
        <w:spacing w:after="0" w:line="208" w:lineRule="exact"/>
        <w:rPr>
          <w:rFonts w:ascii="Courier New" w:cs="Courier New" w:eastAsia="Courier New" w:hAnsi="Courier New"/>
          <w:sz w:val="18"/>
          <w:szCs w:val="18"/>
          <w:color w:val="auto"/>
        </w:rPr>
      </w:pPr>
    </w:p>
    <w:p>
      <w:pPr>
        <w:ind w:left="1060" w:right="19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oPrepared to acquire AT&amp;T's interests in TWE, Cablevision and Rainbow Media by assuming more debt and issuing more equity to reflect their values</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will own a majority of the economic and voting interests in NewCo</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Comcast will issue 1.0525 billion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free to AT&amp;T and all AT&amp;T shareholders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AT&amp;T Shareholders:</w:t>
      </w:r>
    </w:p>
    <w:p>
      <w:pPr>
        <w:ind w:left="960"/>
        <w:spacing w:after="0" w:line="238" w:lineRule="auto"/>
        <w:rPr>
          <w:sz w:val="20"/>
          <w:szCs w:val="20"/>
          <w:color w:val="auto"/>
        </w:rPr>
      </w:pPr>
      <w:r>
        <w:rPr>
          <w:rFonts w:ascii="Courier New" w:cs="Courier New" w:eastAsia="Courier New" w:hAnsi="Courier New"/>
          <w:sz w:val="18"/>
          <w:szCs w:val="18"/>
          <w:color w:val="auto"/>
        </w:rPr>
        <w:t>A Better Alternative... Now!</w:t>
      </w:r>
    </w:p>
    <w:p>
      <w:pPr>
        <w:spacing w:after="0" w:line="202" w:lineRule="exact"/>
        <w:rPr>
          <w:sz w:val="20"/>
          <w:szCs w:val="20"/>
          <w:color w:val="auto"/>
        </w:rPr>
      </w:pPr>
    </w:p>
    <w:p>
      <w:pPr>
        <w:ind w:left="1060" w:hanging="525"/>
        <w:spacing w:after="0"/>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Delivers a premium value for AT&amp;T's broadband assets</w:t>
      </w:r>
    </w:p>
    <w:p>
      <w:pPr>
        <w:spacing w:after="0" w:line="206" w:lineRule="exact"/>
        <w:rPr>
          <w:rFonts w:ascii="Courier New" w:cs="Courier New" w:eastAsia="Courier New" w:hAnsi="Courier New"/>
          <w:sz w:val="18"/>
          <w:szCs w:val="18"/>
          <w:color w:val="auto"/>
        </w:rPr>
      </w:pPr>
    </w:p>
    <w:p>
      <w:pPr>
        <w:ind w:left="1580" w:right="20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o$12.60 of value per AT&amp;T share; which represents 75% of AT&amp;T's per share market price(1)</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Provides additional upside from significant cost savings and synergy opportunities</w:t>
      </w:r>
    </w:p>
    <w:p>
      <w:pPr>
        <w:spacing w:after="0" w:line="208" w:lineRule="exact"/>
        <w:rPr>
          <w:rFonts w:ascii="Courier New" w:cs="Courier New" w:eastAsia="Courier New" w:hAnsi="Courier New"/>
          <w:sz w:val="18"/>
          <w:szCs w:val="18"/>
          <w:color w:val="auto"/>
        </w:rPr>
      </w:pPr>
    </w:p>
    <w:p>
      <w:pPr>
        <w:ind w:left="1060" w:right="2419" w:hanging="525"/>
        <w:spacing w:after="0" w:line="235"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Eliminates risks, costs and uncertainties inherent in creating a broadband tracking stock</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Consistent with goals of AT&amp;T's existing restructuring plan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219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per share market price based on AT&amp;T when-issued closing price of $16.80 as of 7/06/01</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Creating the New Broadband Leader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 to Comcast and AT&amp;T shareholders:</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largest broadband company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Powerful platform for growth</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Opportunity to launch new products and build new programming assets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ongoing cost savings and synergies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Industry leading management team with proven integration success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Financially strong with solid investment grade balance sheet</w:t>
      </w:r>
    </w:p>
    <w:p>
      <w:pPr>
        <w:spacing w:after="0" w:line="206"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Creates one of the world's leading media, content and distribution platforms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5" w:name="page6"/>
    <w:bookmarkEnd w:id="5"/>
    <w:p>
      <w:pPr>
        <w:ind w:left="2640"/>
        <w:spacing w:after="0"/>
        <w:rPr>
          <w:sz w:val="20"/>
          <w:szCs w:val="20"/>
          <w:color w:val="auto"/>
        </w:rPr>
      </w:pPr>
      <w:r>
        <w:rPr>
          <w:rFonts w:ascii="Courier New" w:cs="Courier New" w:eastAsia="Courier New" w:hAnsi="Courier New"/>
          <w:sz w:val="18"/>
          <w:szCs w:val="18"/>
          <w:color w:val="auto"/>
        </w:rPr>
        <w:t>The Largest Broadband Company</w:t>
      </w:r>
    </w:p>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Twice the revenues of the next</w:t>
      </w:r>
    </w:p>
    <w:p>
      <w:pPr>
        <w:jc w:val="center"/>
        <w:ind w:right="1979"/>
        <w:spacing w:after="0" w:line="238" w:lineRule="auto"/>
        <w:rPr>
          <w:sz w:val="20"/>
          <w:szCs w:val="20"/>
          <w:color w:val="auto"/>
        </w:rPr>
      </w:pPr>
      <w:r>
        <w:rPr>
          <w:rFonts w:ascii="Courier New" w:cs="Courier New" w:eastAsia="Courier New" w:hAnsi="Courier New"/>
          <w:sz w:val="18"/>
          <w:szCs w:val="18"/>
          <w:color w:val="auto"/>
        </w:rPr>
        <w:t>largest competitor</w:t>
      </w:r>
    </w:p>
    <w:p>
      <w:pPr>
        <w:spacing w:after="0" w:line="200" w:lineRule="exact"/>
        <w:rPr>
          <w:sz w:val="20"/>
          <w:szCs w:val="20"/>
          <w:color w:val="auto"/>
        </w:rPr>
      </w:pPr>
    </w:p>
    <w:p>
      <w:pPr>
        <w:spacing w:after="0" w:line="204"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8"/>
          <w:szCs w:val="18"/>
          <w:color w:val="auto"/>
        </w:rPr>
        <w:t>[Cluster Chart detailing 2001E Cable Revenue* by corporation:</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NewCo</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14.9</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Time Warner Cable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DirectTV</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Charter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Cox</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EchoStar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Adelphia</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Cablevision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($Bn)]</w:t>
            </w:r>
          </w:p>
        </w:tc>
      </w:tr>
    </w:tbl>
    <w:p>
      <w:pPr>
        <w:spacing w:after="0" w:line="200" w:lineRule="exact"/>
        <w:rPr>
          <w:sz w:val="20"/>
          <w:szCs w:val="20"/>
          <w:color w:val="auto"/>
        </w:rPr>
      </w:pPr>
    </w:p>
    <w:p>
      <w:pPr>
        <w:spacing w:after="0" w:line="209" w:lineRule="exact"/>
        <w:rPr>
          <w:sz w:val="20"/>
          <w:szCs w:val="20"/>
          <w:color w:val="auto"/>
        </w:rPr>
      </w:pPr>
    </w:p>
    <w:p>
      <w:pPr>
        <w:ind w:right="293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Statistics include video, residential telephony and high speed data businesses. Source: Wall Street estimates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sectPr>
      </w:pPr>
    </w:p>
    <w:bookmarkStart w:id="6" w:name="page7"/>
    <w:bookmarkEnd w:id="6"/>
    <w:p>
      <w:pPr>
        <w:ind w:left="2640"/>
        <w:spacing w:after="0"/>
        <w:rPr>
          <w:sz w:val="20"/>
          <w:szCs w:val="20"/>
          <w:color w:val="auto"/>
        </w:rPr>
      </w:pPr>
      <w:r>
        <w:rPr>
          <w:rFonts w:ascii="Courier New" w:cs="Courier New" w:eastAsia="Courier New" w:hAnsi="Courier New"/>
          <w:sz w:val="18"/>
          <w:szCs w:val="18"/>
          <w:color w:val="auto"/>
        </w:rPr>
        <w:t>The Largest Broadband Company</w:t>
      </w:r>
    </w:p>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Nearly twice as many subscribers</w:t>
      </w:r>
    </w:p>
    <w:p>
      <w:pPr>
        <w:jc w:val="center"/>
        <w:ind w:right="1979"/>
        <w:spacing w:after="0" w:line="238" w:lineRule="auto"/>
        <w:rPr>
          <w:sz w:val="20"/>
          <w:szCs w:val="20"/>
          <w:color w:val="auto"/>
        </w:rPr>
      </w:pPr>
      <w:r>
        <w:rPr>
          <w:rFonts w:ascii="Courier New" w:cs="Courier New" w:eastAsia="Courier New" w:hAnsi="Courier New"/>
          <w:sz w:val="18"/>
          <w:szCs w:val="18"/>
          <w:color w:val="auto"/>
        </w:rPr>
        <w:t>as the next largest competitor</w:t>
      </w:r>
    </w:p>
    <w:p>
      <w:pPr>
        <w:spacing w:after="0" w:line="200" w:lineRule="exact"/>
        <w:rPr>
          <w:sz w:val="20"/>
          <w:szCs w:val="20"/>
          <w:color w:val="auto"/>
        </w:rPr>
      </w:pPr>
    </w:p>
    <w:p>
      <w:pPr>
        <w:spacing w:after="0" w:line="204"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8"/>
          <w:szCs w:val="18"/>
          <w:color w:val="auto"/>
        </w:rPr>
        <w:t>[Cluster Chart detailing 2001E Subscribers* by corporation:</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NewCo</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21.9</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Time Warner Cable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DirectTV</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Charter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Cox</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EchoStar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Adelphia</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Cablevision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(MM)]</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Wall Street estimates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7" w:name="page8"/>
    <w:bookmarkEnd w:id="7"/>
    <w:p>
      <w:pPr>
        <w:ind w:left="2740"/>
        <w:spacing w:after="0"/>
        <w:rPr>
          <w:sz w:val="20"/>
          <w:szCs w:val="20"/>
          <w:color w:val="auto"/>
        </w:rPr>
      </w:pPr>
      <w:r>
        <w:rPr>
          <w:rFonts w:ascii="Courier New" w:cs="Courier New" w:eastAsia="Courier New" w:hAnsi="Courier New"/>
          <w:sz w:val="18"/>
          <w:szCs w:val="18"/>
          <w:color w:val="auto"/>
        </w:rPr>
        <w:t>Powerful National Presence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 in 41 states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subscribers in top 50 DMAs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 of the continental United States indicating national presence of NewCo.]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Company data and 2001 Cable TV Fact Book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Powerful Major Market Presence</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0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Top 20 DMAs</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NewCo Subs in 000's</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8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NY</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 Angeles, CA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Leader in 8 of top</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3.</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Chicago, IL</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w:t>
            </w:r>
          </w:p>
        </w:tc>
      </w:tr>
      <w:tr>
        <w:trPr>
          <w:trHeight w:val="203"/>
        </w:trPr>
        <w:tc>
          <w:tcPr>
            <w:tcW w:w="32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 DMAs</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4.</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Philadelphia, PA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5.</w:t>
            </w:r>
          </w:p>
        </w:tc>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San Francisco-Oakland-San Jose, CA</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 of NewCo</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Boston, MA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1,680</w:t>
            </w:r>
          </w:p>
        </w:tc>
      </w:tr>
      <w:tr>
        <w:trPr>
          <w:trHeight w:val="203"/>
        </w:trPr>
        <w:tc>
          <w:tcPr>
            <w:tcW w:w="32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subscribers in top</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Dallas-Fort Worth, TX</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w:t>
            </w:r>
          </w:p>
        </w:tc>
      </w:tr>
      <w:tr>
        <w:trPr>
          <w:trHeight w:val="203"/>
        </w:trPr>
        <w:tc>
          <w:tcPr>
            <w:tcW w:w="32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 DMAs</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Washington, DC</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9.</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Detroit, MI</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Greater than 45%</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10.</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Atlanta, GA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32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market share in 14</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11.</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Houston, TX</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of the top 20 DMAs</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12.</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Seattle-Tacoma, WA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13.</w:t>
            </w:r>
          </w:p>
        </w:tc>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Tampa/St. Petersburg-Sarasota, FL</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14.</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Minneapolis-St. Paul, MN</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15.</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Cleveland, OH</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Miami/Ft Lauderdale, FL</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17.</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Phoenix, AZ</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18.</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Denver, CO</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19.</w:t>
            </w:r>
          </w:p>
        </w:tc>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Sacramento-Stockton-Modesto, CA</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20.</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Pittsburgh, PA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Wall Street estimates, Cable Fact Book, Company figures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9" w:name="page10"/>
    <w:bookmarkEnd w:id="9"/>
    <w:p>
      <w:pPr>
        <w:ind w:left="2632"/>
        <w:spacing w:after="0"/>
        <w:rPr>
          <w:sz w:val="20"/>
          <w:szCs w:val="20"/>
          <w:color w:val="auto"/>
        </w:rPr>
      </w:pPr>
      <w:r>
        <w:rPr>
          <w:rFonts w:ascii="Courier New" w:cs="Courier New" w:eastAsia="Courier New" w:hAnsi="Courier New"/>
          <w:sz w:val="18"/>
          <w:szCs w:val="18"/>
          <w:color w:val="auto"/>
        </w:rPr>
        <w:t>Powerful Platform for Growth</w:t>
      </w:r>
    </w:p>
    <w:p>
      <w:pPr>
        <w:spacing w:after="0" w:line="201" w:lineRule="exact"/>
        <w:rPr>
          <w:sz w:val="20"/>
          <w:szCs w:val="20"/>
          <w:color w:val="auto"/>
        </w:rPr>
      </w:pPr>
    </w:p>
    <w:p>
      <w:pPr>
        <w:ind w:left="2732"/>
        <w:spacing w:after="0"/>
        <w:rPr>
          <w:sz w:val="20"/>
          <w:szCs w:val="20"/>
          <w:color w:val="auto"/>
        </w:rPr>
      </w:pPr>
      <w:r>
        <w:rPr>
          <w:rFonts w:ascii="Courier New" w:cs="Courier New" w:eastAsia="Courier New" w:hAnsi="Courier New"/>
          <w:sz w:val="18"/>
          <w:szCs w:val="18"/>
          <w:color w:val="auto"/>
        </w:rPr>
        <w:t>Benefits of scale and scope:</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 new programming content</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Deploy new products and services, including next generation telephony</w:t>
      </w:r>
    </w:p>
    <w:p>
      <w:pPr>
        <w:spacing w:after="0" w:line="218"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Establishes national advertising platform</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Internet opportunities</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Growth and value creation from operating efficiencies</w:t>
      </w:r>
    </w:p>
    <w:p>
      <w:pPr>
        <w:spacing w:after="0" w:line="200" w:lineRule="exact"/>
        <w:rPr>
          <w:sz w:val="20"/>
          <w:szCs w:val="20"/>
          <w:color w:val="auto"/>
        </w:rPr>
      </w:pPr>
    </w:p>
    <w:p>
      <w:pPr>
        <w:spacing w:after="0" w:line="20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919" w:right="1440" w:bottom="1440" w:gutter="0" w:footer="0" w:header="0"/>
        </w:sectPr>
      </w:pPr>
    </w:p>
    <w:bookmarkStart w:id="10" w:name="page11"/>
    <w:bookmarkEnd w:id="10"/>
    <w:p>
      <w:pPr>
        <w:ind w:left="2180"/>
        <w:spacing w:after="0"/>
        <w:rPr>
          <w:sz w:val="20"/>
          <w:szCs w:val="20"/>
          <w:color w:val="auto"/>
        </w:rPr>
      </w:pPr>
      <w:r>
        <w:rPr>
          <w:rFonts w:ascii="Courier New" w:cs="Courier New" w:eastAsia="Courier New" w:hAnsi="Courier New"/>
          <w:sz w:val="18"/>
          <w:szCs w:val="18"/>
          <w:color w:val="auto"/>
        </w:rPr>
        <w:t>Stephen B. Burke</w:t>
      </w:r>
    </w:p>
    <w:p>
      <w:pPr>
        <w:ind w:left="250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Comcast Cable Communications</w:t>
      </w:r>
    </w:p>
    <w:p>
      <w:pPr>
        <w:sectPr>
          <w:pgSz w:w="11900" w:h="16838" w:orient="portrait"/>
          <w:cols w:equalWidth="0" w:num="1">
            <w:col w:w="9019"/>
          </w:cols>
          <w:pgMar w:left="1440" w:top="112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Opportunity for Value Creation</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Substantial EBITDA margin improvement opportunity</w:t>
      </w:r>
    </w:p>
    <w:p>
      <w:pPr>
        <w:spacing w:after="0" w:line="200" w:lineRule="exact"/>
        <w:rPr>
          <w:sz w:val="20"/>
          <w:szCs w:val="20"/>
          <w:color w:val="auto"/>
        </w:rPr>
      </w:pPr>
    </w:p>
    <w:p>
      <w:pPr>
        <w:spacing w:after="0" w:line="20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[Overlap Chart representing Comcast Broadband and AT&amp;T Broadband*</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EBITDA Margins by quarter:</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rPr>
              <w:t>1Q00</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2Q00</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3Q00</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4Q00</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w w:val="97"/>
              </w:rPr>
              <w:t>1Q01</w:t>
            </w:r>
          </w:p>
        </w:tc>
      </w:tr>
      <w:tr>
        <w:trPr>
          <w:trHeight w:val="203"/>
        </w:trPr>
        <w:tc>
          <w:tcPr>
            <w:tcW w:w="216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Broadband</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42%</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44%</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43%</w:t>
            </w: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AT&amp;T Broadband</w:t>
            </w: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rPr>
              <w:t>22%</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24%</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23%</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20%</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w w:val="97"/>
              </w:rPr>
              <w:t>18%]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margins include corporate overhead allocation.</w:t>
      </w:r>
    </w:p>
    <w:p>
      <w:pPr>
        <w:spacing w:after="0" w:line="4" w:lineRule="exact"/>
        <w:rPr>
          <w:sz w:val="20"/>
          <w:szCs w:val="20"/>
          <w:color w:val="auto"/>
        </w:rPr>
      </w:pPr>
    </w:p>
    <w:p>
      <w:pPr>
        <w:ind w:right="347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margins exclude restructuring and other charges Source: Company Reports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Cost Savings and</w:t>
      </w:r>
    </w:p>
    <w:tbl>
      <w:tblPr>
        <w:tblLayout w:type="fixed"/>
        <w:tblInd w:w="0" w:type="dxa"/>
        <w:tblCellMar>
          <w:top w:w="0" w:type="dxa"/>
          <w:left w:w="0" w:type="dxa"/>
          <w:bottom w:w="0" w:type="dxa"/>
          <w:right w:w="0" w:type="dxa"/>
        </w:tblCellMar>
      </w:tblP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Synergy Opportunities</w:t>
            </w:r>
          </w:p>
        </w:tc>
        <w:tc>
          <w:tcPr>
            <w:tcW w:w="1420" w:type="dxa"/>
            <w:vAlign w:val="bottom"/>
          </w:tcPr>
          <w:p>
            <w:pPr>
              <w:spacing w:after="0"/>
              <w:rPr>
                <w:sz w:val="17"/>
                <w:szCs w:val="17"/>
                <w:color w:val="auto"/>
              </w:rPr>
            </w:pPr>
          </w:p>
        </w:tc>
      </w:tr>
      <w:tr>
        <w:trPr>
          <w:trHeight w:val="405"/>
        </w:trPr>
        <w:tc>
          <w:tcPr>
            <w:tcW w:w="6280" w:type="dxa"/>
            <w:vAlign w:val="bottom"/>
          </w:tcPr>
          <w:p>
            <w:pPr>
              <w:ind w:left="2640"/>
              <w:spacing w:after="0"/>
              <w:rPr>
                <w:sz w:val="20"/>
                <w:szCs w:val="20"/>
                <w:color w:val="auto"/>
              </w:rPr>
            </w:pPr>
            <w:r>
              <w:rPr>
                <w:rFonts w:ascii="Courier New" w:cs="Courier New" w:eastAsia="Courier New" w:hAnsi="Courier New"/>
                <w:sz w:val="18"/>
                <w:szCs w:val="18"/>
                <w:color w:val="auto"/>
              </w:rPr>
              <w:t>Potential margin improvement</w:t>
            </w:r>
          </w:p>
        </w:tc>
        <w:tc>
          <w:tcPr>
            <w:tcW w:w="1420" w:type="dxa"/>
            <w:vAlign w:val="bottom"/>
          </w:tcPr>
          <w:p>
            <w:pPr>
              <w:spacing w:after="0"/>
              <w:rPr>
                <w:sz w:val="24"/>
                <w:szCs w:val="24"/>
                <w:color w:val="auto"/>
              </w:rPr>
            </w:pP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Comcast margin(1)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41%</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 Broadband margin(1)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2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Difference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AT&amp;T 2001LQA Broadband revenues(2)</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x $10Bn</w:t>
            </w:r>
          </w:p>
        </w:tc>
      </w:tr>
      <w:tr>
        <w:trPr>
          <w:trHeight w:val="203"/>
        </w:trPr>
        <w:tc>
          <w:tcPr>
            <w:tcW w:w="62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Potential margin improvement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$2.3Bn</w:t>
            </w:r>
          </w:p>
        </w:tc>
      </w:tr>
    </w:tbl>
    <w:p>
      <w:pPr>
        <w:spacing w:after="0" w:line="200" w:lineRule="exact"/>
        <w:rPr>
          <w:sz w:val="20"/>
          <w:szCs w:val="20"/>
          <w:color w:val="auto"/>
        </w:rPr>
      </w:pPr>
    </w:p>
    <w:p>
      <w:pPr>
        <w:spacing w:after="0" w:line="209" w:lineRule="exact"/>
        <w:rPr>
          <w:sz w:val="20"/>
          <w:szCs w:val="20"/>
          <w:color w:val="auto"/>
        </w:rPr>
      </w:pPr>
    </w:p>
    <w:p>
      <w:pPr>
        <w:ind w:right="187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Margin figures are based on 1Q01 publicly available information and include corporate overhead allocation.</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Annualized 1Q01 AT&amp;T Broadband revenues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Cost Savings and</w:t>
      </w:r>
    </w:p>
    <w:p>
      <w:pPr>
        <w:ind w:left="540"/>
        <w:spacing w:after="0" w:line="238" w:lineRule="auto"/>
        <w:rPr>
          <w:sz w:val="20"/>
          <w:szCs w:val="20"/>
          <w:color w:val="auto"/>
        </w:rPr>
      </w:pPr>
      <w:r>
        <w:rPr>
          <w:rFonts w:ascii="Courier New" w:cs="Courier New" w:eastAsia="Courier New" w:hAnsi="Courier New"/>
          <w:sz w:val="18"/>
          <w:szCs w:val="18"/>
          <w:color w:val="auto"/>
        </w:rPr>
        <w:t>Synergy Opportunities</w:t>
      </w:r>
    </w:p>
    <w:p>
      <w:pPr>
        <w:spacing w:after="0" w:line="202"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Sources of margin improvement</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Core cable operating efficiencies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Productivity improvements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overhead reduction</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Improved telephone economics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Cost Savings and</w:t>
      </w:r>
    </w:p>
    <w:p>
      <w:pPr>
        <w:ind w:left="540"/>
        <w:spacing w:after="0" w:line="238" w:lineRule="auto"/>
        <w:rPr>
          <w:sz w:val="20"/>
          <w:szCs w:val="20"/>
          <w:color w:val="auto"/>
        </w:rPr>
      </w:pPr>
      <w:r>
        <w:rPr>
          <w:rFonts w:ascii="Courier New" w:cs="Courier New" w:eastAsia="Courier New" w:hAnsi="Courier New"/>
          <w:sz w:val="18"/>
          <w:szCs w:val="18"/>
          <w:color w:val="auto"/>
        </w:rPr>
        <w:t>Synergy Opportunities</w:t>
      </w:r>
    </w:p>
    <w:p>
      <w:pPr>
        <w:spacing w:after="0" w:line="202"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Value from economies of scale and scope</w:t>
      </w:r>
    </w:p>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Programming savings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Hardware procurement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savings</w:t>
      </w:r>
    </w:p>
    <w:p>
      <w:pPr>
        <w:spacing w:after="0" w:line="200" w:lineRule="exact"/>
        <w:rPr>
          <w:sz w:val="20"/>
          <w:szCs w:val="20"/>
          <w:color w:val="auto"/>
        </w:rPr>
      </w:pPr>
    </w:p>
    <w:p>
      <w:pPr>
        <w:spacing w:after="0" w:line="204"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Targeted annual expense reduction:</w:t>
      </w:r>
      <w:r>
        <w:rPr>
          <w:sz w:val="20"/>
          <w:szCs w:val="20"/>
          <w:color w:val="auto"/>
        </w:rPr>
        <w:tab/>
      </w:r>
      <w:r>
        <w:rPr>
          <w:rFonts w:ascii="Courier New" w:cs="Courier New" w:eastAsia="Courier New" w:hAnsi="Courier New"/>
          <w:sz w:val="16"/>
          <w:szCs w:val="16"/>
          <w:color w:val="auto"/>
        </w:rPr>
        <w:t>$300 - $500MM</w:t>
      </w:r>
    </w:p>
    <w:p>
      <w:pPr>
        <w:spacing w:after="0"/>
        <w:tabs>
          <w:tab w:leader="none" w:pos="3780" w:val="left"/>
        </w:tabs>
        <w:rPr>
          <w:sz w:val="20"/>
          <w:szCs w:val="20"/>
          <w:color w:val="auto"/>
        </w:rPr>
      </w:pPr>
      <w:r>
        <w:rPr>
          <w:rFonts w:ascii="Courier New" w:cs="Courier New" w:eastAsia="Courier New" w:hAnsi="Courier New"/>
          <w:sz w:val="18"/>
          <w:szCs w:val="18"/>
          <w:color w:val="auto"/>
        </w:rPr>
        <w:t>Targeted annual capex reduction:</w:t>
      </w:r>
      <w:r>
        <w:rPr>
          <w:sz w:val="20"/>
          <w:szCs w:val="20"/>
          <w:color w:val="auto"/>
        </w:rPr>
        <w:tab/>
      </w:r>
      <w:r>
        <w:rPr>
          <w:rFonts w:ascii="Courier New" w:cs="Courier New" w:eastAsia="Courier New" w:hAnsi="Courier New"/>
          <w:sz w:val="16"/>
          <w:szCs w:val="16"/>
          <w:color w:val="auto"/>
        </w:rPr>
        <w:t>$200 - $500MM</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Cost Savings and</w:t>
      </w:r>
    </w:p>
    <w:p>
      <w:pPr>
        <w:ind w:left="540"/>
        <w:spacing w:after="0" w:line="238" w:lineRule="auto"/>
        <w:rPr>
          <w:sz w:val="20"/>
          <w:szCs w:val="20"/>
          <w:color w:val="auto"/>
        </w:rPr>
      </w:pPr>
      <w:r>
        <w:rPr>
          <w:rFonts w:ascii="Courier New" w:cs="Courier New" w:eastAsia="Courier New" w:hAnsi="Courier New"/>
          <w:sz w:val="18"/>
          <w:szCs w:val="18"/>
          <w:color w:val="auto"/>
        </w:rPr>
        <w:t>Synergy Opportunities</w:t>
      </w:r>
    </w:p>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annual cost reductions and synergies: $2.6 to $2.8 billion</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Targeted as near term and highly achievable:</w:t>
      </w:r>
      <w:r>
        <w:rPr>
          <w:rFonts w:ascii="Courier New" w:cs="Courier New" w:eastAsia="Courier New" w:hAnsi="Courier New"/>
          <w:sz w:val="16"/>
          <w:szCs w:val="16"/>
          <w:color w:val="auto"/>
        </w:rPr>
        <w:t>$1.25 billion</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[Graphic Omitted]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Economies of Scale and Scope*: $300-$500 Million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Margin Improvement: $2.3 Billion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*Excludes revenue enhancement and capex reduction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1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Pro Forma Cash Flow</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Cash flow enhanced by cost savings</w:t>
      </w:r>
    </w:p>
    <w:p>
      <w:pPr>
        <w:ind w:left="2860"/>
        <w:spacing w:after="0" w:line="238" w:lineRule="auto"/>
        <w:rPr>
          <w:sz w:val="20"/>
          <w:szCs w:val="20"/>
          <w:color w:val="auto"/>
        </w:rPr>
      </w:pPr>
      <w:r>
        <w:rPr>
          <w:rFonts w:ascii="Courier New" w:cs="Courier New" w:eastAsia="Courier New" w:hAnsi="Courier New"/>
          <w:sz w:val="18"/>
          <w:szCs w:val="18"/>
          <w:color w:val="auto"/>
        </w:rPr>
        <w:t>and synergy opportunities</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[Cluster chart detailing 2001E EBITDA* by corporation:</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AT&amp;T Broadband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($Bn)</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NewCo</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($Bn) (including $1.3 Bn</w:t>
            </w:r>
          </w:p>
        </w:tc>
      </w:tr>
    </w:tbl>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in cost savings</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&amp; synergies)]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Wall Street estimates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Financial Powerhouse</w:t>
            </w:r>
          </w:p>
        </w:tc>
        <w:tc>
          <w:tcPr>
            <w:tcW w:w="36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740" w:type="dxa"/>
            <w:vAlign w:val="bottom"/>
          </w:tcPr>
          <w:p>
            <w:pPr>
              <w:spacing w:after="0"/>
              <w:rPr>
                <w:sz w:val="24"/>
                <w:szCs w:val="24"/>
                <w:color w:val="auto"/>
              </w:rPr>
            </w:pPr>
          </w:p>
        </w:tc>
        <w:tc>
          <w:tcPr>
            <w:tcW w:w="558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NewCo to have investment grade profile</w:t>
            </w:r>
          </w:p>
        </w:tc>
        <w:tc>
          <w:tcPr>
            <w:tcW w:w="800" w:type="dxa"/>
            <w:vAlign w:val="bottom"/>
          </w:tcPr>
          <w:p>
            <w:pPr>
              <w:spacing w:after="0"/>
              <w:rPr>
                <w:sz w:val="24"/>
                <w:szCs w:val="24"/>
                <w:color w:val="auto"/>
              </w:rPr>
            </w:pPr>
          </w:p>
        </w:tc>
      </w:tr>
      <w:tr>
        <w:trPr>
          <w:trHeight w:val="405"/>
        </w:trPr>
        <w:tc>
          <w:tcPr>
            <w:tcW w:w="1740" w:type="dxa"/>
            <w:vAlign w:val="bottom"/>
          </w:tcPr>
          <w:p>
            <w:pPr>
              <w:ind w:left="540"/>
              <w:spacing w:after="0"/>
              <w:rPr>
                <w:sz w:val="20"/>
                <w:szCs w:val="20"/>
                <w:color w:val="auto"/>
              </w:rPr>
            </w:pPr>
            <w:r>
              <w:rPr>
                <w:rFonts w:ascii="Courier New" w:cs="Courier New" w:eastAsia="Courier New" w:hAnsi="Courier New"/>
                <w:sz w:val="18"/>
                <w:szCs w:val="18"/>
                <w:color w:val="auto"/>
              </w:rPr>
              <w:t>Leverage</w:t>
            </w:r>
          </w:p>
        </w:tc>
        <w:tc>
          <w:tcPr>
            <w:tcW w:w="1960" w:type="dxa"/>
            <w:vAlign w:val="bottom"/>
          </w:tcPr>
          <w:p>
            <w:pPr>
              <w:spacing w:after="0"/>
              <w:rPr>
                <w:sz w:val="24"/>
                <w:szCs w:val="24"/>
                <w:color w:val="auto"/>
              </w:rPr>
            </w:pPr>
          </w:p>
        </w:tc>
        <w:tc>
          <w:tcPr>
            <w:tcW w:w="3620" w:type="dxa"/>
            <w:vAlign w:val="bottom"/>
          </w:tcPr>
          <w:p>
            <w:pPr>
              <w:ind w:left="2000"/>
              <w:spacing w:after="0"/>
              <w:rPr>
                <w:sz w:val="20"/>
                <w:szCs w:val="20"/>
                <w:color w:val="auto"/>
              </w:rPr>
            </w:pPr>
            <w:r>
              <w:rPr>
                <w:rFonts w:ascii="Courier New" w:cs="Courier New" w:eastAsia="Courier New" w:hAnsi="Courier New"/>
                <w:sz w:val="18"/>
                <w:szCs w:val="18"/>
                <w:color w:val="auto"/>
              </w:rPr>
              <w:t>Credit Profile</w:t>
            </w:r>
          </w:p>
        </w:tc>
        <w:tc>
          <w:tcPr>
            <w:tcW w:w="80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 in Billions)</w:t>
            </w:r>
          </w:p>
        </w:tc>
        <w:tc>
          <w:tcPr>
            <w:tcW w:w="1960" w:type="dxa"/>
            <w:vAlign w:val="bottom"/>
          </w:tcPr>
          <w:p>
            <w:pPr>
              <w:spacing w:after="0"/>
              <w:rPr>
                <w:sz w:val="17"/>
                <w:szCs w:val="17"/>
                <w:color w:val="auto"/>
              </w:rPr>
            </w:pPr>
          </w:p>
        </w:tc>
        <w:tc>
          <w:tcPr>
            <w:tcW w:w="4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Debt/01 EBITDA</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$11.2</w:t>
            </w:r>
          </w:p>
        </w:tc>
        <w:tc>
          <w:tcPr>
            <w:tcW w:w="362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Without synergies</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4.7x</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Assumed debt</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13.5</w:t>
            </w:r>
          </w:p>
        </w:tc>
        <w:tc>
          <w:tcPr>
            <w:tcW w:w="362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$1.25Bn of synergies</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3.8x</w:t>
            </w:r>
          </w:p>
        </w:tc>
      </w:tr>
      <w:tr>
        <w:trPr>
          <w:trHeight w:val="203"/>
        </w:trPr>
        <w:tc>
          <w:tcPr>
            <w:tcW w:w="1740" w:type="dxa"/>
            <w:vAlign w:val="bottom"/>
          </w:tcPr>
          <w:p>
            <w:pPr>
              <w:spacing w:after="0"/>
              <w:rPr>
                <w:sz w:val="17"/>
                <w:szCs w:val="17"/>
                <w:color w:val="auto"/>
              </w:rPr>
            </w:pP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c>
          <w:tcPr>
            <w:tcW w:w="4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Target Rating Investment Grade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debt</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$24.7</w:t>
            </w:r>
          </w:p>
        </w:tc>
        <w:tc>
          <w:tcPr>
            <w:tcW w:w="36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2002 leverage ratios would decline significantly</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debt based on 3/31/01 reported debt adjusted to exclude ZONES and to include impact of subsequent events.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multiples based on EBITDA forecasts from Wall Street estimates.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Accretive to Comcast Shareholders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Transaction is EBITDA accretive to Comcast shareholders</w:t>
      </w:r>
    </w:p>
    <w:p>
      <w:pPr>
        <w:spacing w:after="0" w:line="201" w:lineRule="exact"/>
        <w:rPr>
          <w:sz w:val="20"/>
          <w:szCs w:val="20"/>
          <w:color w:val="auto"/>
        </w:rPr>
      </w:pPr>
    </w:p>
    <w:p>
      <w:pPr>
        <w:spacing w:after="0"/>
        <w:tabs>
          <w:tab w:leader="none" w:pos="4300" w:val="left"/>
          <w:tab w:leader="none" w:pos="5680" w:val="left"/>
          <w:tab w:leader="none" w:pos="7680" w:val="left"/>
        </w:tabs>
        <w:rPr>
          <w:sz w:val="20"/>
          <w:szCs w:val="20"/>
          <w:color w:val="auto"/>
        </w:rPr>
      </w:pPr>
      <w:r>
        <w:rPr>
          <w:rFonts w:ascii="Courier New" w:cs="Courier New" w:eastAsia="Courier New" w:hAnsi="Courier New"/>
          <w:sz w:val="18"/>
          <w:szCs w:val="18"/>
          <w:color w:val="auto"/>
        </w:rPr>
        <w:t>($ millions)</w:t>
      </w:r>
      <w:r>
        <w:rPr>
          <w:sz w:val="20"/>
          <w:szCs w:val="20"/>
          <w:color w:val="auto"/>
        </w:rPr>
        <w:tab/>
      </w:r>
      <w:r>
        <w:rPr>
          <w:rFonts w:ascii="Courier New" w:cs="Courier New" w:eastAsia="Courier New" w:hAnsi="Courier New"/>
          <w:sz w:val="18"/>
          <w:szCs w:val="18"/>
          <w:color w:val="auto"/>
        </w:rPr>
        <w:t>Year 1</w:t>
      </w:r>
      <w:r>
        <w:rPr>
          <w:sz w:val="20"/>
          <w:szCs w:val="20"/>
          <w:color w:val="auto"/>
        </w:rPr>
        <w:tab/>
      </w:r>
      <w:r>
        <w:rPr>
          <w:rFonts w:ascii="Courier New" w:cs="Courier New" w:eastAsia="Courier New" w:hAnsi="Courier New"/>
          <w:sz w:val="18"/>
          <w:szCs w:val="18"/>
          <w:color w:val="auto"/>
        </w:rPr>
        <w:t>Year 2</w:t>
      </w:r>
      <w:r>
        <w:rPr>
          <w:sz w:val="20"/>
          <w:szCs w:val="20"/>
          <w:color w:val="auto"/>
        </w:rPr>
        <w:tab/>
      </w:r>
      <w:r>
        <w:rPr>
          <w:rFonts w:ascii="Courier New" w:cs="Courier New" w:eastAsia="Courier New" w:hAnsi="Courier New"/>
          <w:sz w:val="16"/>
          <w:szCs w:val="16"/>
          <w:color w:val="auto"/>
        </w:rPr>
        <w:t>Year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EBITDA accretion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to (1%)</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 to 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 to 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(dilution)/share(1),(2)</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Synergy assumption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$400</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 $600</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$700 - $900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$1,000 - $1,250</w:t>
            </w:r>
          </w:p>
        </w:tc>
      </w:tr>
    </w:tbl>
    <w:p>
      <w:pPr>
        <w:spacing w:after="0" w:line="200" w:lineRule="exact"/>
        <w:rPr>
          <w:sz w:val="20"/>
          <w:szCs w:val="20"/>
          <w:color w:val="auto"/>
        </w:rPr>
      </w:pPr>
    </w:p>
    <w:p>
      <w:pPr>
        <w:spacing w:after="0" w:line="209" w:lineRule="exact"/>
        <w:rPr>
          <w:sz w:val="20"/>
          <w:szCs w:val="20"/>
          <w:color w:val="auto"/>
        </w:rPr>
      </w:pPr>
    </w:p>
    <w:p>
      <w:pPr>
        <w:ind w:left="1900" w:right="3479" w:hanging="315"/>
        <w:spacing w:after="0" w:line="290" w:lineRule="auto"/>
        <w:rPr>
          <w:sz w:val="20"/>
          <w:szCs w:val="20"/>
          <w:color w:val="auto"/>
        </w:rPr>
      </w:pPr>
      <w:r>
        <w:rPr>
          <w:rFonts w:ascii="Courier New" w:cs="Courier New" w:eastAsia="Courier New" w:hAnsi="Courier New"/>
          <w:sz w:val="16"/>
          <w:szCs w:val="16"/>
          <w:color w:val="auto"/>
        </w:rPr>
        <w:t>Proposal represents 15x-16x 2002 estimated EBITDA after taking into account Year 1 synergies</w:t>
      </w:r>
    </w:p>
    <w:p>
      <w:pPr>
        <w:spacing w:after="0" w:line="367"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forecasts based on Wall Street consensus estimates</w:t>
      </w:r>
    </w:p>
    <w:p>
      <w:pPr>
        <w:spacing w:after="0" w:line="4"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$58Bn transaction pro forma for full year 2002 and the assumption of $13.5Bn of debt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1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Comcast: Proven Integration Success</w:t>
      </w:r>
    </w:p>
    <w:p>
      <w:pPr>
        <w:spacing w:after="0" w:line="200" w:lineRule="exact"/>
        <w:rPr>
          <w:sz w:val="20"/>
          <w:szCs w:val="20"/>
          <w:color w:val="auto"/>
        </w:rPr>
      </w:pPr>
    </w:p>
    <w:p>
      <w:pPr>
        <w:spacing w:after="0" w:line="209" w:lineRule="exact"/>
        <w:rPr>
          <w:sz w:val="20"/>
          <w:szCs w:val="20"/>
          <w:color w:val="auto"/>
        </w:rPr>
      </w:pPr>
    </w:p>
    <w:p>
      <w:pPr>
        <w:ind w:left="540" w:right="251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has grown revenues 13x since 1990, through integration of 11 significant acquisitions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Nearly doubled cable subscribers from 4.5MM to 8.4MM through five major transactions in 24 months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Rapidly and significantly improved acquired systems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1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Comcast's Integration Success</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Dramatic Improvement in 12-24 months</w:t>
      </w:r>
    </w:p>
    <w:p>
      <w:pPr>
        <w:spacing w:after="0" w:line="200" w:lineRule="exact"/>
        <w:rPr>
          <w:sz w:val="20"/>
          <w:szCs w:val="20"/>
          <w:color w:val="auto"/>
        </w:rPr>
      </w:pPr>
    </w:p>
    <w:p>
      <w:pPr>
        <w:spacing w:after="0" w:line="204" w:lineRule="exact"/>
        <w:rPr>
          <w:sz w:val="20"/>
          <w:szCs w:val="20"/>
          <w:color w:val="auto"/>
        </w:rPr>
      </w:pPr>
    </w:p>
    <w:tbl>
      <w:tblPr>
        <w:tblLayout w:type="fixed"/>
        <w:tblInd w:w="200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Jones</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 Scripps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Intercable</w:t>
            </w:r>
          </w:p>
        </w:tc>
        <w:tc>
          <w:tcPr>
            <w:tcW w:w="7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Lenfest</w:t>
            </w:r>
          </w:p>
        </w:tc>
        <w:tc>
          <w:tcPr>
            <w:tcW w:w="840" w:type="dxa"/>
            <w:vAlign w:val="bottom"/>
          </w:tcPr>
          <w:p>
            <w:pPr>
              <w:spacing w:after="0"/>
              <w:rPr>
                <w:sz w:val="17"/>
                <w:szCs w:val="17"/>
                <w:color w:val="auto"/>
              </w:rPr>
            </w:pPr>
          </w:p>
        </w:tc>
      </w:tr>
      <w:tr>
        <w:trPr>
          <w:trHeight w:val="203"/>
        </w:trPr>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1997</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Growth</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Growth</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Growth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Revenue (MM)</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$ 309</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407</w:t>
            </w:r>
          </w:p>
        </w:tc>
        <w:tc>
          <w:tcPr>
            <w:tcW w:w="1060" w:type="dxa"/>
            <w:vAlign w:val="bottom"/>
          </w:tcPr>
          <w:p>
            <w:pPr>
              <w:ind w:left="440"/>
              <w:spacing w:after="0"/>
              <w:rPr>
                <w:sz w:val="20"/>
                <w:szCs w:val="20"/>
                <w:color w:val="auto"/>
              </w:rPr>
            </w:pPr>
            <w:r>
              <w:rPr>
                <w:rFonts w:ascii="Courier New" w:cs="Courier New" w:eastAsia="Courier New" w:hAnsi="Courier New"/>
                <w:sz w:val="18"/>
                <w:szCs w:val="18"/>
                <w:color w:val="auto"/>
              </w:rPr>
              <w:t>+32%</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537</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$ 582</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515</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$ 568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OCF (MM)</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$ 134</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207</w:t>
            </w:r>
          </w:p>
        </w:tc>
        <w:tc>
          <w:tcPr>
            <w:tcW w:w="1060" w:type="dxa"/>
            <w:vAlign w:val="bottom"/>
          </w:tcPr>
          <w:p>
            <w:pPr>
              <w:ind w:left="440"/>
              <w:spacing w:after="0"/>
              <w:rPr>
                <w:sz w:val="20"/>
                <w:szCs w:val="20"/>
                <w:color w:val="auto"/>
              </w:rPr>
            </w:pPr>
            <w:r>
              <w:rPr>
                <w:rFonts w:ascii="Courier New" w:cs="Courier New" w:eastAsia="Courier New" w:hAnsi="Courier New"/>
                <w:sz w:val="18"/>
                <w:szCs w:val="18"/>
                <w:color w:val="auto"/>
              </w:rPr>
              <w:t>+54%</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198</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$ 249</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$ 267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Margin</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43%</w:t>
            </w:r>
          </w:p>
        </w:tc>
        <w:tc>
          <w:tcPr>
            <w:tcW w:w="38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51%</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+8 pts</w:t>
            </w:r>
          </w:p>
        </w:tc>
        <w:tc>
          <w:tcPr>
            <w:tcW w:w="380" w:type="dxa"/>
            <w:vAlign w:val="bottom"/>
          </w:tcPr>
          <w:p>
            <w:pPr>
              <w:spacing w:after="0"/>
              <w:rPr>
                <w:sz w:val="24"/>
                <w:szCs w:val="24"/>
                <w:color w:val="auto"/>
              </w:rPr>
            </w:pP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 pts</w:t>
            </w:r>
          </w:p>
        </w:tc>
        <w:tc>
          <w:tcPr>
            <w:tcW w:w="320" w:type="dxa"/>
            <w:vAlign w:val="bottom"/>
          </w:tcPr>
          <w:p>
            <w:pPr>
              <w:spacing w:after="0"/>
              <w:rPr>
                <w:sz w:val="24"/>
                <w:szCs w:val="24"/>
                <w:color w:val="auto"/>
              </w:rPr>
            </w:pP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 pts</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OCF/Subscriber</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$ 168</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236</w:t>
            </w:r>
          </w:p>
        </w:tc>
        <w:tc>
          <w:tcPr>
            <w:tcW w:w="1060" w:type="dxa"/>
            <w:vAlign w:val="bottom"/>
          </w:tcPr>
          <w:p>
            <w:pPr>
              <w:ind w:left="440"/>
              <w:spacing w:after="0"/>
              <w:rPr>
                <w:sz w:val="20"/>
                <w:szCs w:val="20"/>
                <w:color w:val="auto"/>
              </w:rPr>
            </w:pPr>
            <w:r>
              <w:rPr>
                <w:rFonts w:ascii="Courier New" w:cs="Courier New" w:eastAsia="Courier New" w:hAnsi="Courier New"/>
                <w:sz w:val="18"/>
                <w:szCs w:val="18"/>
                <w:color w:val="auto"/>
              </w:rPr>
              <w:t>+40%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181</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$ 221</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152</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810"/>
        </w:trPr>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8"/>
                <w:szCs w:val="18"/>
                <w:color w:val="auto"/>
              </w:rPr>
              <w:t>22</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440"/>
          </w:cols>
          <w:pgMar w:left="240" w:top="919" w:right="121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7"/>
              </w:rPr>
              <w:t>Comcast's Integration Success</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3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Rapid improvement</w:t>
            </w:r>
          </w:p>
        </w:tc>
        <w:tc>
          <w:tcPr>
            <w:tcW w:w="268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8"/>
              </w:rPr>
              <w:t>in operating performance</w:t>
            </w:r>
          </w:p>
        </w:tc>
        <w:tc>
          <w:tcPr>
            <w:tcW w:w="68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42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of systems recently acquired from AT&amp;T</w:t>
            </w:r>
          </w:p>
        </w:tc>
        <w:tc>
          <w:tcPr>
            <w:tcW w:w="680" w:type="dxa"/>
            <w:vAlign w:val="bottom"/>
          </w:tcPr>
          <w:p>
            <w:pPr>
              <w:spacing w:after="0"/>
              <w:rPr>
                <w:sz w:val="17"/>
                <w:szCs w:val="17"/>
                <w:color w:val="auto"/>
              </w:rPr>
            </w:pPr>
          </w:p>
        </w:tc>
      </w:tr>
      <w:tr>
        <w:trPr>
          <w:trHeight w:val="608"/>
        </w:trPr>
        <w:tc>
          <w:tcPr>
            <w:tcW w:w="2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AT&amp;T</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Broadband(1)</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120" w:type="dxa"/>
            <w:vAlign w:val="bottom"/>
          </w:tcPr>
          <w:p>
            <w:pPr>
              <w:ind w:left="1060"/>
              <w:spacing w:after="0"/>
              <w:rPr>
                <w:sz w:val="20"/>
                <w:szCs w:val="20"/>
                <w:color w:val="auto"/>
              </w:rPr>
            </w:pPr>
            <w:r>
              <w:rPr>
                <w:rFonts w:ascii="Courier New" w:cs="Courier New" w:eastAsia="Courier New" w:hAnsi="Courier New"/>
                <w:sz w:val="18"/>
                <w:szCs w:val="18"/>
                <w:color w:val="auto"/>
              </w:rPr>
              <w:t>Growth</w:t>
            </w:r>
          </w:p>
        </w:tc>
        <w:tc>
          <w:tcPr>
            <w:tcW w:w="1580" w:type="dxa"/>
            <w:vAlign w:val="bottom"/>
          </w:tcPr>
          <w:p>
            <w:pPr>
              <w:spacing w:after="0"/>
              <w:rPr>
                <w:sz w:val="24"/>
                <w:szCs w:val="24"/>
                <w:color w:val="auto"/>
              </w:rPr>
            </w:pPr>
          </w:p>
        </w:tc>
        <w:tc>
          <w:tcPr>
            <w:tcW w:w="1520" w:type="dxa"/>
            <w:vAlign w:val="bottom"/>
          </w:tcPr>
          <w:p>
            <w:pPr>
              <w:jc w:val="right"/>
              <w:ind w:right="1012"/>
              <w:spacing w:after="0"/>
              <w:rPr>
                <w:sz w:val="20"/>
                <w:szCs w:val="20"/>
                <w:color w:val="auto"/>
              </w:rPr>
            </w:pPr>
            <w:r>
              <w:rPr>
                <w:rFonts w:ascii="Courier New" w:cs="Courier New" w:eastAsia="Courier New" w:hAnsi="Courier New"/>
                <w:sz w:val="18"/>
                <w:szCs w:val="18"/>
                <w:color w:val="auto"/>
                <w:w w:val="92"/>
              </w:rPr>
              <w:t>2000</w:t>
            </w:r>
          </w:p>
        </w:tc>
        <w:tc>
          <w:tcPr>
            <w:tcW w:w="116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2001E</w:t>
            </w:r>
          </w:p>
        </w:tc>
        <w:tc>
          <w:tcPr>
            <w:tcW w:w="680" w:type="dxa"/>
            <w:vAlign w:val="bottom"/>
          </w:tcPr>
          <w:p>
            <w:pPr>
              <w:spacing w:after="0"/>
              <w:rPr>
                <w:sz w:val="24"/>
                <w:szCs w:val="24"/>
                <w:color w:val="auto"/>
              </w:rPr>
            </w:pPr>
          </w:p>
        </w:tc>
      </w:tr>
      <w:tr>
        <w:trPr>
          <w:trHeight w:val="203"/>
        </w:trPr>
        <w:tc>
          <w:tcPr>
            <w:tcW w:w="70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Revenue (MM)</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426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w:t>
            </w:r>
          </w:p>
        </w:tc>
      </w:tr>
      <w:tr>
        <w:trPr>
          <w:trHeight w:val="405"/>
        </w:trPr>
        <w:tc>
          <w:tcPr>
            <w:tcW w:w="2120" w:type="dxa"/>
            <w:vAlign w:val="bottom"/>
          </w:tcPr>
          <w:p>
            <w:pPr>
              <w:ind w:left="540"/>
              <w:spacing w:after="0"/>
              <w:rPr>
                <w:sz w:val="20"/>
                <w:szCs w:val="20"/>
                <w:color w:val="auto"/>
              </w:rPr>
            </w:pPr>
            <w:r>
              <w:rPr>
                <w:rFonts w:ascii="Courier New" w:cs="Courier New" w:eastAsia="Courier New" w:hAnsi="Courier New"/>
                <w:sz w:val="18"/>
                <w:szCs w:val="18"/>
                <w:color w:val="auto"/>
              </w:rPr>
              <w:t>OCF (MM)</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113</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149</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405"/>
        </w:trPr>
        <w:tc>
          <w:tcPr>
            <w:tcW w:w="2120" w:type="dxa"/>
            <w:vAlign w:val="bottom"/>
          </w:tcPr>
          <w:p>
            <w:pPr>
              <w:ind w:left="540"/>
              <w:spacing w:after="0"/>
              <w:rPr>
                <w:sz w:val="20"/>
                <w:szCs w:val="20"/>
                <w:color w:val="auto"/>
              </w:rPr>
            </w:pPr>
            <w:r>
              <w:rPr>
                <w:rFonts w:ascii="Courier New" w:cs="Courier New" w:eastAsia="Courier New" w:hAnsi="Courier New"/>
                <w:sz w:val="18"/>
                <w:szCs w:val="18"/>
                <w:color w:val="auto"/>
              </w:rPr>
              <w:t>OCF Margin</w:t>
            </w:r>
          </w:p>
        </w:tc>
        <w:tc>
          <w:tcPr>
            <w:tcW w:w="1580" w:type="dxa"/>
            <w:vAlign w:val="bottom"/>
          </w:tcPr>
          <w:p>
            <w:pPr>
              <w:spacing w:after="0"/>
              <w:rPr>
                <w:sz w:val="24"/>
                <w:szCs w:val="24"/>
                <w:color w:val="auto"/>
              </w:rPr>
            </w:pPr>
          </w:p>
        </w:tc>
        <w:tc>
          <w:tcPr>
            <w:tcW w:w="15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26%</w:t>
            </w:r>
          </w:p>
        </w:tc>
        <w:tc>
          <w:tcPr>
            <w:tcW w:w="320" w:type="dxa"/>
            <w:vAlign w:val="bottom"/>
          </w:tcPr>
          <w:p>
            <w:pPr>
              <w:spacing w:after="0"/>
              <w:rPr>
                <w:sz w:val="24"/>
                <w:szCs w:val="24"/>
                <w:color w:val="auto"/>
              </w:rPr>
            </w:pPr>
          </w:p>
        </w:tc>
        <w:tc>
          <w:tcPr>
            <w:tcW w:w="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32%</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+6 pts</w:t>
            </w:r>
          </w:p>
        </w:tc>
      </w:tr>
      <w:tr>
        <w:trPr>
          <w:trHeight w:val="405"/>
        </w:trPr>
        <w:tc>
          <w:tcPr>
            <w:tcW w:w="2120" w:type="dxa"/>
            <w:vAlign w:val="bottom"/>
          </w:tcPr>
          <w:p>
            <w:pPr>
              <w:ind w:left="540"/>
              <w:spacing w:after="0"/>
              <w:rPr>
                <w:sz w:val="20"/>
                <w:szCs w:val="20"/>
                <w:color w:val="auto"/>
              </w:rPr>
            </w:pPr>
            <w:r>
              <w:rPr>
                <w:rFonts w:ascii="Courier New" w:cs="Courier New" w:eastAsia="Courier New" w:hAnsi="Courier New"/>
                <w:sz w:val="18"/>
                <w:szCs w:val="18"/>
                <w:color w:val="auto"/>
              </w:rPr>
              <w:t>OCF/Subscriber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148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bl>
    <w:p>
      <w:pPr>
        <w:spacing w:after="0" w:line="200" w:lineRule="exact"/>
        <w:rPr>
          <w:sz w:val="20"/>
          <w:szCs w:val="20"/>
          <w:color w:val="auto"/>
        </w:rPr>
      </w:pPr>
    </w:p>
    <w:p>
      <w:pPr>
        <w:spacing w:after="0" w:line="209" w:lineRule="exact"/>
        <w:rPr>
          <w:sz w:val="20"/>
          <w:szCs w:val="20"/>
          <w:color w:val="auto"/>
        </w:rPr>
      </w:pPr>
    </w:p>
    <w:p>
      <w:pPr>
        <w:ind w:left="4020" w:right="3359" w:hanging="4012"/>
        <w:spacing w:after="0" w:line="708" w:lineRule="auto"/>
        <w:tabs>
          <w:tab w:leader="none" w:pos="43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765,000 subscribers acquired in swaps as of 12/31/00 23</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Comcast's Superior</w:t>
      </w:r>
    </w:p>
    <w:p>
      <w:pPr>
        <w:ind w:left="540"/>
        <w:spacing w:after="0" w:line="238" w:lineRule="auto"/>
        <w:rPr>
          <w:sz w:val="20"/>
          <w:szCs w:val="20"/>
          <w:color w:val="auto"/>
        </w:rPr>
      </w:pPr>
      <w:r>
        <w:rPr>
          <w:rFonts w:ascii="Courier New" w:cs="Courier New" w:eastAsia="Courier New" w:hAnsi="Courier New"/>
          <w:sz w:val="18"/>
          <w:szCs w:val="18"/>
          <w:color w:val="auto"/>
        </w:rPr>
        <w:t>Operating Track Record</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Strong EBITDA margins maintained even</w:t>
      </w:r>
    </w:p>
    <w:p>
      <w:pPr>
        <w:ind w:left="2120"/>
        <w:spacing w:after="0" w:line="238" w:lineRule="auto"/>
        <w:rPr>
          <w:sz w:val="20"/>
          <w:szCs w:val="20"/>
          <w:color w:val="auto"/>
        </w:rPr>
      </w:pPr>
      <w:r>
        <w:rPr>
          <w:rFonts w:ascii="Courier New" w:cs="Courier New" w:eastAsia="Courier New" w:hAnsi="Courier New"/>
          <w:sz w:val="18"/>
          <w:szCs w:val="18"/>
          <w:color w:val="auto"/>
        </w:rPr>
        <w:t>as lower margin systems are integrated</w:t>
      </w:r>
    </w:p>
    <w:p>
      <w:pPr>
        <w:spacing w:after="0" w:line="200" w:lineRule="exact"/>
        <w:rPr>
          <w:sz w:val="20"/>
          <w:szCs w:val="20"/>
          <w:color w:val="auto"/>
        </w:rPr>
      </w:pPr>
    </w:p>
    <w:p>
      <w:pPr>
        <w:spacing w:after="0" w:line="210" w:lineRule="exact"/>
        <w:rPr>
          <w:sz w:val="20"/>
          <w:szCs w:val="20"/>
          <w:color w:val="auto"/>
        </w:rPr>
      </w:pPr>
    </w:p>
    <w:p>
      <w:pPr>
        <w:ind w:left="1700" w:right="3159" w:hanging="104"/>
        <w:spacing w:after="0" w:line="237" w:lineRule="auto"/>
        <w:rPr>
          <w:sz w:val="20"/>
          <w:szCs w:val="20"/>
          <w:color w:val="auto"/>
        </w:rPr>
      </w:pPr>
      <w:r>
        <w:rPr>
          <w:rFonts w:ascii="Courier New" w:cs="Courier New" w:eastAsia="Courier New" w:hAnsi="Courier New"/>
          <w:sz w:val="18"/>
          <w:szCs w:val="18"/>
          <w:color w:val="auto"/>
        </w:rPr>
        <w:t>[Chart showing that Comcast has maintained EBITDA margins in excess of 40% while its cable EBITDA has grown from $810 million in 1996 to $1.9 billion in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1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Building Value Through Content</w:t>
      </w:r>
    </w:p>
    <w:p>
      <w:pPr>
        <w:spacing w:after="0" w:line="200" w:lineRule="exact"/>
        <w:rPr>
          <w:sz w:val="20"/>
          <w:szCs w:val="20"/>
          <w:color w:val="auto"/>
        </w:rPr>
      </w:pPr>
    </w:p>
    <w:p>
      <w:pPr>
        <w:spacing w:after="0" w:line="209" w:lineRule="exact"/>
        <w:rPr>
          <w:sz w:val="20"/>
          <w:szCs w:val="20"/>
          <w:color w:val="auto"/>
        </w:rPr>
      </w:pPr>
    </w:p>
    <w:p>
      <w:pPr>
        <w:ind w:left="1060" w:right="2619" w:hanging="525"/>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allows NewCo to capitalize on Comcast's fastest growing business segment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channels have fast track to profitability</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Platform of 22 million subscribers</w:t>
      </w:r>
    </w:p>
    <w:p>
      <w:pPr>
        <w:spacing w:after="0" w:line="206" w:lineRule="exact"/>
        <w:rPr>
          <w:rFonts w:ascii="Courier New" w:cs="Courier New" w:eastAsia="Courier New" w:hAnsi="Courier New"/>
          <w:sz w:val="18"/>
          <w:szCs w:val="18"/>
          <w:color w:val="auto"/>
        </w:rPr>
      </w:pPr>
    </w:p>
    <w:p>
      <w:pPr>
        <w:ind w:left="1580" w:right="18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oTrack record of significant growth in distribution, revenues and operating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[QVC Logo]</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w w:val="98"/>
              </w:rPr>
              <w:t>Tripled OCF in six years</w:t>
            </w:r>
          </w:p>
        </w:tc>
        <w:tc>
          <w:tcPr>
            <w:tcW w:w="4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($209MM in 1994 to $619MM in 2000)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 Logo]</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40% subscriber growth in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three</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 (46MM to 65MM)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Golf Channel Logo]</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Grew revenues from $0 to</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$100MM in five years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SportsNet Logo]</w:t>
            </w:r>
          </w:p>
        </w:tc>
        <w:tc>
          <w:tcPr>
            <w:tcW w:w="3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Regional sports network covers</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nearly 50% of Comcast subscribers</w:t>
            </w:r>
          </w:p>
        </w:tc>
      </w:tr>
      <w:tr>
        <w:trPr>
          <w:trHeight w:val="810"/>
        </w:trPr>
        <w:tc>
          <w:tcPr>
            <w:tcW w:w="2580" w:type="dxa"/>
            <w:vAlign w:val="bottom"/>
          </w:tcPr>
          <w:p>
            <w:pPr>
              <w:spacing w:after="0"/>
              <w:rPr>
                <w:sz w:val="24"/>
                <w:szCs w:val="24"/>
                <w:color w:val="auto"/>
              </w:rPr>
            </w:pPr>
          </w:p>
        </w:tc>
        <w:tc>
          <w:tcPr>
            <w:tcW w:w="2640" w:type="dxa"/>
            <w:vAlign w:val="bottom"/>
          </w:tcPr>
          <w:p>
            <w:pPr>
              <w:ind w:left="1440"/>
              <w:spacing w:after="0"/>
              <w:rPr>
                <w:sz w:val="20"/>
                <w:szCs w:val="20"/>
                <w:color w:val="auto"/>
              </w:rPr>
            </w:pPr>
            <w:r>
              <w:rPr>
                <w:rFonts w:ascii="Courier New" w:cs="Courier New" w:eastAsia="Courier New" w:hAnsi="Courier New"/>
                <w:sz w:val="18"/>
                <w:szCs w:val="18"/>
                <w:color w:val="auto"/>
              </w:rPr>
              <w:t>25</w:t>
            </w:r>
          </w:p>
        </w:tc>
        <w:tc>
          <w:tcPr>
            <w:tcW w:w="64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Building Value Through Investments</w:t>
      </w:r>
    </w:p>
    <w:p>
      <w:pPr>
        <w:spacing w:after="0" w:line="200" w:lineRule="exact"/>
        <w:rPr>
          <w:sz w:val="20"/>
          <w:szCs w:val="20"/>
          <w:color w:val="auto"/>
        </w:rPr>
      </w:pPr>
    </w:p>
    <w:p>
      <w:pPr>
        <w:spacing w:after="0" w:line="204" w:lineRule="exact"/>
        <w:rPr>
          <w:sz w:val="20"/>
          <w:szCs w:val="20"/>
          <w:color w:val="auto"/>
        </w:rPr>
      </w:pPr>
    </w:p>
    <w:p>
      <w:pPr>
        <w:ind w:left="2540"/>
        <w:spacing w:after="0"/>
        <w:tabs>
          <w:tab w:leader="none" w:pos="4840" w:val="left"/>
        </w:tabs>
        <w:rPr>
          <w:sz w:val="20"/>
          <w:szCs w:val="20"/>
          <w:color w:val="auto"/>
        </w:rPr>
      </w:pP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Current</w:t>
      </w:r>
    </w:p>
    <w:p>
      <w:pPr>
        <w:ind w:left="2320"/>
        <w:spacing w:after="0"/>
        <w:tabs>
          <w:tab w:leader="none" w:pos="4720" w:val="left"/>
        </w:tabs>
        <w:rPr>
          <w:sz w:val="20"/>
          <w:szCs w:val="20"/>
          <w:color w:val="auto"/>
        </w:rPr>
      </w:pPr>
      <w:r>
        <w:rPr>
          <w:rFonts w:ascii="Courier New" w:cs="Courier New" w:eastAsia="Courier New" w:hAnsi="Courier New"/>
          <w:sz w:val="18"/>
          <w:szCs w:val="18"/>
          <w:color w:val="auto"/>
        </w:rPr>
        <w:t>at initial</w:t>
      </w:r>
      <w:r>
        <w:rPr>
          <w:sz w:val="20"/>
          <w:szCs w:val="20"/>
          <w:color w:val="auto"/>
        </w:rPr>
        <w:tab/>
      </w:r>
      <w:r>
        <w:rPr>
          <w:rFonts w:ascii="Courier New" w:cs="Courier New" w:eastAsia="Courier New" w:hAnsi="Courier New"/>
          <w:sz w:val="16"/>
          <w:szCs w:val="16"/>
          <w:color w:val="auto"/>
        </w:rPr>
        <w:t>trading or</w:t>
      </w:r>
    </w:p>
    <w:p>
      <w:pPr>
        <w:spacing w:after="0"/>
        <w:tabs>
          <w:tab w:leader="none" w:pos="2300" w:val="left"/>
          <w:tab w:leader="none" w:pos="4520" w:val="left"/>
        </w:tabs>
        <w:rPr>
          <w:sz w:val="20"/>
          <w:szCs w:val="20"/>
          <w:color w:val="auto"/>
        </w:rPr>
      </w:pPr>
      <w:r>
        <w:rPr>
          <w:rFonts w:ascii="Courier New" w:cs="Courier New" w:eastAsia="Courier New" w:hAnsi="Courier New"/>
          <w:sz w:val="18"/>
          <w:szCs w:val="18"/>
          <w:color w:val="auto"/>
        </w:rPr>
        <w:t>Investment</w:t>
      </w:r>
      <w:r>
        <w:rPr>
          <w:sz w:val="20"/>
          <w:szCs w:val="20"/>
          <w:color w:val="auto"/>
        </w:rPr>
        <w:tab/>
      </w:r>
      <w:r>
        <w:rPr>
          <w:rFonts w:ascii="Courier New" w:cs="Courier New" w:eastAsia="Courier New" w:hAnsi="Courier New"/>
          <w:sz w:val="18"/>
          <w:szCs w:val="18"/>
          <w:color w:val="auto"/>
        </w:rPr>
        <w:t>investment</w:t>
      </w:r>
      <w:r>
        <w:rPr>
          <w:sz w:val="20"/>
          <w:szCs w:val="20"/>
          <w:color w:val="auto"/>
        </w:rPr>
        <w:tab/>
      </w:r>
      <w:r>
        <w:rPr>
          <w:rFonts w:ascii="Courier New" w:cs="Courier New" w:eastAsia="Courier New" w:hAnsi="Courier New"/>
          <w:sz w:val="16"/>
          <w:szCs w:val="16"/>
          <w:color w:val="auto"/>
        </w:rPr>
        <w:t>realized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Sprint PCS</w:t>
            </w:r>
          </w:p>
        </w:tc>
        <w:tc>
          <w:tcPr>
            <w:tcW w:w="1780" w:type="dxa"/>
            <w:vAlign w:val="bottom"/>
          </w:tcPr>
          <w:p>
            <w:pPr>
              <w:ind w:left="640"/>
              <w:spacing w:after="0"/>
              <w:rPr>
                <w:sz w:val="20"/>
                <w:szCs w:val="20"/>
                <w:color w:val="auto"/>
              </w:rPr>
            </w:pPr>
            <w:r>
              <w:rPr>
                <w:rFonts w:ascii="Courier New" w:cs="Courier New" w:eastAsia="Courier New" w:hAnsi="Courier New"/>
                <w:sz w:val="18"/>
                <w:szCs w:val="18"/>
                <w:color w:val="auto"/>
              </w:rPr>
              <w:t>$ 680MM</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2.7Bn</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TCG - AT&amp;T</w:t>
            </w:r>
          </w:p>
        </w:tc>
        <w:tc>
          <w:tcPr>
            <w:tcW w:w="1780" w:type="dxa"/>
            <w:vAlign w:val="bottom"/>
          </w:tcPr>
          <w:p>
            <w:pPr>
              <w:ind w:left="640"/>
              <w:spacing w:after="0"/>
              <w:rPr>
                <w:sz w:val="20"/>
                <w:szCs w:val="20"/>
                <w:color w:val="auto"/>
              </w:rPr>
            </w:pPr>
            <w:r>
              <w:rPr>
                <w:rFonts w:ascii="Courier New" w:cs="Courier New" w:eastAsia="Courier New" w:hAnsi="Courier New"/>
                <w:sz w:val="18"/>
                <w:szCs w:val="18"/>
                <w:color w:val="auto"/>
              </w:rPr>
              <w:t>$ 150MM</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2.2Bn</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Excite@Home</w:t>
            </w:r>
          </w:p>
        </w:tc>
        <w:tc>
          <w:tcPr>
            <w:tcW w:w="1780" w:type="dxa"/>
            <w:vAlign w:val="bottom"/>
          </w:tcPr>
          <w:p>
            <w:pPr>
              <w:ind w:left="640"/>
              <w:spacing w:after="0"/>
              <w:rPr>
                <w:sz w:val="20"/>
                <w:szCs w:val="20"/>
                <w:color w:val="auto"/>
              </w:rPr>
            </w:pPr>
            <w:r>
              <w:rPr>
                <w:rFonts w:ascii="Courier New" w:cs="Courier New" w:eastAsia="Courier New" w:hAnsi="Courier New"/>
                <w:sz w:val="18"/>
                <w:szCs w:val="18"/>
                <w:color w:val="auto"/>
              </w:rPr>
              <w:t>$  10MM</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1.7Bn</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1780" w:type="dxa"/>
            <w:vAlign w:val="bottom"/>
          </w:tcPr>
          <w:p>
            <w:pPr>
              <w:ind w:left="640"/>
              <w:spacing w:after="0"/>
              <w:rPr>
                <w:sz w:val="20"/>
                <w:szCs w:val="20"/>
                <w:color w:val="auto"/>
              </w:rPr>
            </w:pPr>
            <w:r>
              <w:rPr>
                <w:rFonts w:ascii="Courier New" w:cs="Courier New" w:eastAsia="Courier New" w:hAnsi="Courier New"/>
                <w:sz w:val="18"/>
                <w:szCs w:val="18"/>
                <w:color w:val="auto"/>
              </w:rPr>
              <w:t>$ 100MM</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0.5Bn</w:t>
            </w:r>
          </w:p>
        </w:tc>
      </w:tr>
      <w:tr>
        <w:trPr>
          <w:trHeight w:val="203"/>
        </w:trPr>
        <w:tc>
          <w:tcPr>
            <w:tcW w:w="1800" w:type="dxa"/>
            <w:vAlign w:val="bottom"/>
          </w:tcPr>
          <w:p>
            <w:pPr>
              <w:spacing w:after="0"/>
              <w:rPr>
                <w:sz w:val="17"/>
                <w:szCs w:val="17"/>
                <w:color w:val="auto"/>
              </w:rPr>
            </w:pPr>
          </w:p>
        </w:tc>
        <w:tc>
          <w:tcPr>
            <w:tcW w:w="17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780" w:type="dxa"/>
            <w:vAlign w:val="bottom"/>
          </w:tcPr>
          <w:p>
            <w:pPr>
              <w:ind w:left="640"/>
              <w:spacing w:after="0"/>
              <w:rPr>
                <w:sz w:val="20"/>
                <w:szCs w:val="20"/>
                <w:color w:val="auto"/>
              </w:rPr>
            </w:pPr>
            <w:r>
              <w:rPr>
                <w:rFonts w:ascii="Courier New" w:cs="Courier New" w:eastAsia="Courier New" w:hAnsi="Courier New"/>
                <w:sz w:val="18"/>
                <w:szCs w:val="18"/>
                <w:color w:val="auto"/>
              </w:rPr>
              <w:t>$ 940MM</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7.1Bn</w:t>
            </w:r>
          </w:p>
        </w:tc>
      </w:tr>
      <w:tr>
        <w:trPr>
          <w:trHeight w:val="608"/>
        </w:trPr>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26</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Comcast: Shareholder Value Creation</w:t>
      </w:r>
    </w:p>
    <w:p>
      <w:pPr>
        <w:spacing w:after="0" w:line="200" w:lineRule="exact"/>
        <w:rPr>
          <w:sz w:val="20"/>
          <w:szCs w:val="20"/>
          <w:color w:val="auto"/>
        </w:rPr>
      </w:pPr>
    </w:p>
    <w:p>
      <w:pPr>
        <w:spacing w:after="0" w:line="209" w:lineRule="exact"/>
        <w:rPr>
          <w:sz w:val="20"/>
          <w:szCs w:val="20"/>
          <w:color w:val="auto"/>
        </w:rPr>
      </w:pPr>
    </w:p>
    <w:p>
      <w:pPr>
        <w:ind w:left="960" w:right="3899" w:hanging="104"/>
        <w:spacing w:after="0" w:line="268" w:lineRule="auto"/>
        <w:rPr>
          <w:sz w:val="20"/>
          <w:szCs w:val="20"/>
          <w:color w:val="auto"/>
        </w:rPr>
      </w:pPr>
      <w:r>
        <w:rPr>
          <w:rFonts w:ascii="Courier New" w:cs="Courier New" w:eastAsia="Courier New" w:hAnsi="Courier New"/>
          <w:sz w:val="16"/>
          <w:szCs w:val="16"/>
          <w:color w:val="auto"/>
        </w:rPr>
        <w:t>[Chart showing that 1000 shares of Comcast purchased in 1972 IPO for $7 per share would have a value</w:t>
      </w:r>
    </w:p>
    <w:p>
      <w:pPr>
        <w:ind w:left="960" w:right="3899"/>
        <w:spacing w:after="0" w:line="236" w:lineRule="auto"/>
        <w:rPr>
          <w:sz w:val="20"/>
          <w:szCs w:val="20"/>
          <w:color w:val="auto"/>
        </w:rPr>
      </w:pPr>
      <w:r>
        <w:rPr>
          <w:rFonts w:ascii="Courier New" w:cs="Courier New" w:eastAsia="Courier New" w:hAnsi="Courier New"/>
          <w:sz w:val="18"/>
          <w:szCs w:val="18"/>
          <w:color w:val="auto"/>
        </w:rPr>
        <w:t>of $3.9 million as of July 6, 2000 representing a compound annual growth rate of 24% (compared to 12% for the S&amp;P 500).]</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1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Comcast: Outperforming the Market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[Chart showing that since 1998 Comcast's stock price</w:t>
      </w:r>
    </w:p>
    <w:p>
      <w:pPr>
        <w:spacing w:after="0" w:line="4" w:lineRule="exact"/>
        <w:rPr>
          <w:sz w:val="20"/>
          <w:szCs w:val="20"/>
          <w:color w:val="auto"/>
        </w:rPr>
      </w:pPr>
    </w:p>
    <w:p>
      <w:pPr>
        <w:jc w:val="both"/>
        <w:ind w:left="960" w:right="3359"/>
        <w:spacing w:after="0" w:line="236" w:lineRule="auto"/>
        <w:rPr>
          <w:sz w:val="20"/>
          <w:szCs w:val="20"/>
          <w:color w:val="auto"/>
        </w:rPr>
      </w:pPr>
      <w:r>
        <w:rPr>
          <w:rFonts w:ascii="Courier New" w:cs="Courier New" w:eastAsia="Courier New" w:hAnsi="Courier New"/>
          <w:sz w:val="18"/>
          <w:szCs w:val="18"/>
          <w:color w:val="auto"/>
        </w:rPr>
        <w:t>has appreciated nearly 168% compared to an approximately 23% increase for the S&amp;P 500 and a 46% decline in AT&amp;T's stock price]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1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Comcast: Outperforming the Market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Comcast has outperformed cable industry peers, Nasdaq and S&amp;P 500 for every period over past 10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 Year</w:t>
            </w: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3 Years 5 Years</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7 Years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 Years</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Comcast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26%</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Cable Composite(1)</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24%</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Nasdaq</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16%</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S&amp;P</w:t>
            </w:r>
          </w:p>
        </w:tc>
        <w:tc>
          <w:tcPr>
            <w:tcW w:w="174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500</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15%</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r>
    </w:tbl>
    <w:p>
      <w:pPr>
        <w:spacing w:after="0" w:line="200" w:lineRule="exact"/>
        <w:rPr>
          <w:sz w:val="20"/>
          <w:szCs w:val="20"/>
          <w:color w:val="auto"/>
        </w:rPr>
      </w:pPr>
    </w:p>
    <w:p>
      <w:pPr>
        <w:spacing w:after="0" w:line="209" w:lineRule="exact"/>
        <w:rPr>
          <w:sz w:val="20"/>
          <w:szCs w:val="20"/>
          <w:color w:val="auto"/>
        </w:rPr>
      </w:pPr>
    </w:p>
    <w:p>
      <w:pPr>
        <w:ind w:right="4519" w:firstLine="8"/>
        <w:spacing w:after="0" w:line="235"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Cox, Cablevision, Adelphia and Charter Source: FactSet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919"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Creating the New Broadband Leader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we would create: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Leader in eight of the top 10 markets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Presence in 18 of the top 20 markets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22 million basic subscribers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Expanded platform to launch new products and build new programming assets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Comcast delivers: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Superior operating track record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Proven integration success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Significant synergy opportunities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Industry leading returns to shareholders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 24% CAGR since IPO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19"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Creating the New Broadband Leader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One of the world's leading media companies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Premier national distribution network</w:t>
      </w:r>
    </w:p>
    <w:p>
      <w:pPr>
        <w:spacing w:after="0" w:line="207" w:lineRule="exact"/>
        <w:rPr>
          <w:sz w:val="20"/>
          <w:szCs w:val="20"/>
          <w:color w:val="auto"/>
        </w:rPr>
      </w:pPr>
    </w:p>
    <w:p>
      <w:pPr>
        <w:ind w:right="4939"/>
        <w:spacing w:after="0" w:line="473" w:lineRule="auto"/>
        <w:rPr>
          <w:sz w:val="20"/>
          <w:szCs w:val="20"/>
          <w:color w:val="auto"/>
        </w:rPr>
      </w:pPr>
      <w:r>
        <w:rPr>
          <w:rFonts w:ascii="Courier New" w:cs="Courier New" w:eastAsia="Courier New" w:hAnsi="Courier New"/>
          <w:sz w:val="18"/>
          <w:szCs w:val="18"/>
          <w:color w:val="auto"/>
        </w:rPr>
        <w:t>o Positioned to expand relationship with customers o Compelling content opportunities o Industry leading management team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Financial strength and flexibility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Expanded margins and multiples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1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Comcast and AT&amp;T Broadband: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Creating the New Broadband Leader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9, 2001</w:t>
      </w:r>
    </w:p>
    <w:p>
      <w:pPr>
        <w:sectPr>
          <w:pgSz w:w="11900" w:h="16838" w:orient="portrait"/>
          <w:cols w:equalWidth="0" w:num="1">
            <w:col w:w="10219"/>
          </w:cols>
          <w:pgMar w:left="240" w:top="919"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Subject to future developments, Comcast may file with the Commission</w:t>
      </w:r>
    </w:p>
    <w:p>
      <w:pPr>
        <w:spacing w:after="0" w:line="4" w:lineRule="exact"/>
        <w:rPr>
          <w:sz w:val="20"/>
          <w:szCs w:val="20"/>
          <w:color w:val="auto"/>
        </w:rPr>
      </w:pPr>
    </w:p>
    <w:p>
      <w:pPr>
        <w:ind w:right="1879" w:firstLine="8"/>
        <w:spacing w:after="0" w:line="238"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decimal"/>
    </w:lvl>
    <w:lvl w:ilvl="1">
      <w:lvlJc w:val="left"/>
      <w:lvlText w:val="o"/>
      <w:numFmt w:val="bullet"/>
      <w:start w:val="1"/>
    </w:lvl>
  </w:abstractNum>
  <w:abstractNum w:abstractNumId="2">
    <w:nsid w:val="216231B"/>
    <w:multiLevelType w:val="hybridMultilevel"/>
    <w:lvl w:ilvl="0">
      <w:lvlJc w:val="left"/>
      <w:lvlText w:val="o"/>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o"/>
      <w:numFmt w:val="bullet"/>
      <w:start w:val="1"/>
    </w:lvl>
  </w:abstractNum>
  <w:abstractNum w:abstractNumId="5">
    <w:nsid w:val="66EF438D"/>
    <w:multiLevelType w:val="hybridMultilevel"/>
    <w:lvl w:ilvl="0">
      <w:lvlJc w:val="left"/>
      <w:lvlText w:val="o"/>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o"/>
      <w:numFmt w:val="bullet"/>
      <w:start w:val="1"/>
    </w:lvl>
  </w:abstractNum>
  <w:abstractNum w:abstractNumId="9">
    <w:nsid w:val="DED7263"/>
    <w:multiLevelType w:val="hybridMultilevel"/>
    <w:lvl w:ilvl="0">
      <w:lvlJc w:val="left"/>
      <w:lvlText w:val="o"/>
      <w:numFmt w:val="bullet"/>
      <w:start w:val="1"/>
    </w:lvl>
  </w:abstractNum>
  <w:abstractNum w:abstractNumId="10">
    <w:nsid w:val="7FDCC233"/>
    <w:multiLevelType w:val="hybridMultilevel"/>
    <w:lvl w:ilvl="0">
      <w:lvlJc w:val="left"/>
      <w:lvlText w:val="o"/>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o"/>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o"/>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2019-12-16T11:42:17Z</dcterms:created>
  <dcterms:modified xsi:type="dcterms:W3CDTF">2019-12-16T11:42:17Z</dcterms:modified>
</cp:coreProperties>
</file>