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37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spacing w:after="0" w:line="3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374" w:lineRule="exact"/>
        <w:rPr>
          <w:sz w:val="24"/>
          <w:szCs w:val="24"/>
          <w:color w:val="auto"/>
        </w:rPr>
      </w:pPr>
    </w:p>
    <w:p>
      <w:pPr>
        <w:ind w:left="960"/>
        <w:spacing w:after="0"/>
        <w:rPr>
          <w:sz w:val="20"/>
          <w:szCs w:val="20"/>
          <w:color w:val="auto"/>
        </w:rPr>
      </w:pPr>
      <w:r>
        <w:rPr>
          <w:rFonts w:ascii="Courier New" w:cs="Courier New" w:eastAsia="Courier New" w:hAnsi="Courier New"/>
          <w:sz w:val="16"/>
          <w:szCs w:val="16"/>
          <w:color w:val="auto"/>
        </w:rPr>
        <w:t>Date of Report (Date of earliest event reported): January 20, 1999</w:t>
      </w:r>
    </w:p>
    <w:p>
      <w:pPr>
        <w:spacing w:after="0" w:line="22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COMCAST CORPORATION</w:t>
      </w:r>
    </w:p>
    <w:p>
      <w:pPr>
        <w:spacing w:after="0" w:line="29"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18" w:right="1440" w:bottom="1440" w:gutter="0" w:footer="0" w:header="0"/>
        </w:sectPr>
      </w:pP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PENNSYLVANIA</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w:t>
      </w:r>
    </w:p>
    <w:p>
      <w:pPr>
        <w:ind w:left="320"/>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000-06983</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w:t>
      </w:r>
    </w:p>
    <w:p>
      <w:pPr>
        <w:spacing w:after="0"/>
        <w:rPr>
          <w:sz w:val="20"/>
          <w:szCs w:val="20"/>
          <w:color w:val="auto"/>
        </w:rPr>
      </w:pPr>
      <w:r>
        <w:rPr>
          <w:rFonts w:ascii="Courier New" w:cs="Courier New" w:eastAsia="Courier New" w:hAnsi="Courier New"/>
          <w:sz w:val="18"/>
          <w:szCs w:val="18"/>
          <w:color w:val="auto"/>
        </w:rPr>
        <w:t>file number)</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23-1709202</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rPr>
          <w:sz w:val="20"/>
          <w:szCs w:val="20"/>
          <w:color w:val="auto"/>
        </w:rPr>
      </w:pPr>
      <w:r>
        <w:rPr>
          <w:rFonts w:ascii="Courier New" w:cs="Courier New" w:eastAsia="Courier New" w:hAnsi="Courier New"/>
          <w:sz w:val="18"/>
          <w:szCs w:val="18"/>
          <w:color w:val="auto"/>
        </w:rPr>
        <w:t>identification no.)</w:t>
      </w:r>
    </w:p>
    <w:p>
      <w:pPr>
        <w:spacing w:after="0" w:line="169" w:lineRule="exact"/>
        <w:rPr>
          <w:sz w:val="24"/>
          <w:szCs w:val="24"/>
          <w:color w:val="auto"/>
        </w:rPr>
      </w:pPr>
    </w:p>
    <w:p>
      <w:pPr>
        <w:sectPr>
          <w:pgSz w:w="11900" w:h="16838" w:orient="portrait"/>
          <w:cols w:equalWidth="0" w:num="3">
            <w:col w:w="3160" w:space="640"/>
            <w:col w:w="1800" w:space="720"/>
            <w:col w:w="3899"/>
          </w:cols>
          <w:pgMar w:left="240" w:top="218" w:right="1440" w:bottom="1440" w:gutter="0" w:footer="0" w:header="0"/>
          <w:type w:val="continuous"/>
        </w:sectPr>
      </w:pPr>
    </w:p>
    <w:p>
      <w:pPr>
        <w:ind w:left="1380"/>
        <w:spacing w:after="0"/>
        <w:tabs>
          <w:tab w:leader="none" w:pos="620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19102-2148</w:t>
      </w:r>
    </w:p>
    <w:p>
      <w:pPr>
        <w:spacing w:after="0" w:line="31"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1380"/>
        <w:spacing w:after="0"/>
        <w:tabs>
          <w:tab w:leader="none" w:pos="610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18" w:right="1440" w:bottom="1440" w:gutter="0" w:footer="0" w:header="0"/>
          <w:type w:val="continuous"/>
        </w:sectPr>
      </w:pPr>
    </w:p>
    <w:p>
      <w:pPr>
        <w:spacing w:after="0" w:line="169"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(215) 665-1700</w:t>
      </w:r>
    </w:p>
    <w:p>
      <w:pPr>
        <w:spacing w:after="0" w:line="31" w:lineRule="exact"/>
        <w:rPr>
          <w:sz w:val="24"/>
          <w:szCs w:val="24"/>
          <w:color w:val="auto"/>
        </w:rPr>
      </w:pPr>
    </w:p>
    <w:p>
      <w:pPr>
        <w:ind w:left="62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1" w:lineRule="exact"/>
        <w:rPr>
          <w:sz w:val="24"/>
          <w:szCs w:val="24"/>
          <w:color w:val="auto"/>
        </w:rPr>
      </w:pPr>
    </w:p>
    <w:p>
      <w:pPr>
        <w:jc w:val="both"/>
        <w:ind w:right="1779"/>
        <w:spacing w:after="0" w:line="253" w:lineRule="auto"/>
        <w:rPr>
          <w:sz w:val="20"/>
          <w:szCs w:val="20"/>
          <w:color w:val="auto"/>
        </w:rPr>
      </w:pPr>
      <w:r>
        <w:rPr>
          <w:rFonts w:ascii="Courier New" w:cs="Courier New" w:eastAsia="Courier New" w:hAnsi="Courier New"/>
          <w:sz w:val="18"/>
          <w:szCs w:val="18"/>
          <w:color w:val="auto"/>
        </w:rPr>
        <w:t>On January 20, 1999, Comcast Corporation (the "Company") issued a press release announcing that it had entered into a definitive agreement to sell its wholly owned subsidiary, Comcast Cellular Corporation, to SBC Communications Inc. ("SBC") for approximately $1.7 billion, including the assumption of approximately $1.3 billion of debt. Consummation of the sale is subject to certain customary conditions, including Hart-Scott-Rodino clearance and regulatory approvals. The Company and SBC expect to complete the transaction in the third quarter of 1999.</w:t>
      </w:r>
    </w:p>
    <w:p>
      <w:pPr>
        <w:spacing w:after="0" w:line="30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0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January 20, 1999 from Comcast Corporation.</w:t>
      </w:r>
    </w:p>
    <w:p>
      <w:pPr>
        <w:sectPr>
          <w:pgSz w:w="11900" w:h="16838" w:orient="portrait"/>
          <w:cols w:equalWidth="0" w:num="1">
            <w:col w:w="10219"/>
          </w:cols>
          <w:pgMar w:left="240" w:top="218" w:right="1440" w:bottom="1440" w:gutter="0" w:footer="0" w:header="0"/>
          <w:type w:val="continuous"/>
        </w:sectPr>
      </w:pPr>
    </w:p>
    <w:bookmarkStart w:id="1" w:name="page2"/>
    <w:bookmarkEnd w:id="1"/>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January 21, 1999</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Joseph J. Euteneuer</w:t>
      </w:r>
    </w:p>
    <w:p>
      <w:pPr>
        <w:spacing w:after="0" w:line="75" w:lineRule="exact"/>
        <w:rPr>
          <w:sz w:val="20"/>
          <w:szCs w:val="20"/>
          <w:color w:val="auto"/>
        </w:rPr>
      </w:pPr>
    </w:p>
    <w:p>
      <w:pPr>
        <w:sectPr>
          <w:pgSz w:w="11900" w:h="16838" w:orient="portrait"/>
          <w:cols w:equalWidth="0" w:num="2">
            <w:col w:w="3180" w:space="720"/>
            <w:col w:w="6319"/>
          </w:cols>
          <w:pgMar w:left="240" w:top="691" w:right="1440" w:bottom="1440" w:gutter="0" w:footer="0" w:header="0"/>
          <w:type w:val="continuous"/>
        </w:sectPr>
      </w:pPr>
    </w:p>
    <w:p>
      <w:pPr>
        <w:ind w:left="4320"/>
        <w:spacing w:after="0"/>
        <w:rPr>
          <w:sz w:val="20"/>
          <w:szCs w:val="20"/>
          <w:color w:val="auto"/>
        </w:rPr>
      </w:pPr>
      <w:r>
        <w:rPr>
          <w:rFonts w:ascii="Courier New" w:cs="Courier New" w:eastAsia="Courier New" w:hAnsi="Courier New"/>
          <w:sz w:val="16"/>
          <w:szCs w:val="16"/>
          <w:color w:val="auto"/>
        </w:rPr>
        <w:t>---------------------------------------</w:t>
      </w:r>
    </w:p>
    <w:p>
      <w:pPr>
        <w:jc w:val="right"/>
        <w:ind w:right="1779"/>
        <w:spacing w:after="0"/>
        <w:rPr>
          <w:sz w:val="20"/>
          <w:szCs w:val="20"/>
          <w:color w:val="auto"/>
        </w:rPr>
      </w:pPr>
      <w:r>
        <w:rPr>
          <w:rFonts w:ascii="Courier New" w:cs="Courier New" w:eastAsia="Courier New" w:hAnsi="Courier New"/>
          <w:sz w:val="18"/>
          <w:szCs w:val="18"/>
          <w:color w:val="auto"/>
        </w:rPr>
        <w:t>Vice President and Corporate Controller</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type w:val="continuous"/>
        </w:sectPr>
      </w:pPr>
    </w:p>
    <w:bookmarkStart w:id="2" w:name="page3"/>
    <w:bookmarkEnd w:id="2"/>
    <w:p>
      <w:pPr>
        <w:ind w:left="64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Contact:</w:t>
            </w:r>
          </w:p>
        </w:tc>
        <w:tc>
          <w:tcPr>
            <w:tcW w:w="164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and Treasurer</w:t>
            </w:r>
          </w:p>
        </w:tc>
        <w:tc>
          <w:tcPr>
            <w:tcW w:w="7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(215)</w:t>
            </w:r>
          </w:p>
        </w:tc>
        <w:tc>
          <w:tcPr>
            <w:tcW w:w="90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981-7503</w:t>
            </w: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John R. Alchin, Senior Vice President</w:t>
            </w:r>
          </w:p>
        </w:tc>
        <w:tc>
          <w:tcPr>
            <w:tcW w:w="1640" w:type="dxa"/>
            <w:vAlign w:val="bottom"/>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E. Dordelman, Vice President,</w:t>
            </w:r>
          </w:p>
        </w:tc>
        <w:tc>
          <w:tcPr>
            <w:tcW w:w="1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981-7550</w:t>
            </w:r>
          </w:p>
        </w:tc>
        <w:tc>
          <w:tcPr>
            <w:tcW w:w="0" w:type="dxa"/>
            <w:vAlign w:val="bottom"/>
          </w:tcPr>
          <w:p>
            <w:pPr>
              <w:spacing w:after="0"/>
              <w:rPr>
                <w:sz w:val="1"/>
                <w:szCs w:val="1"/>
                <w:color w:val="auto"/>
              </w:rPr>
            </w:pPr>
          </w:p>
        </w:tc>
      </w:tr>
      <w:tr>
        <w:trPr>
          <w:trHeight w:val="296"/>
        </w:trPr>
        <w:tc>
          <w:tcPr>
            <w:tcW w:w="800" w:type="dxa"/>
            <w:vAlign w:val="bottom"/>
          </w:tcPr>
          <w:p>
            <w:pPr>
              <w:spacing w:after="0"/>
              <w:rPr>
                <w:sz w:val="20"/>
                <w:szCs w:val="20"/>
                <w:color w:val="auto"/>
              </w:rPr>
            </w:pPr>
            <w:r>
              <w:rPr>
                <w:rFonts w:ascii="Courier New" w:cs="Courier New" w:eastAsia="Courier New" w:hAnsi="Courier New"/>
                <w:sz w:val="18"/>
                <w:szCs w:val="18"/>
                <w:color w:val="auto"/>
              </w:rPr>
              <w:t>Marlene</w:t>
            </w:r>
          </w:p>
        </w:tc>
        <w:tc>
          <w:tcPr>
            <w:tcW w:w="55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S. Dooner, Senior Director, Investor Relations (215)</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981-7392</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COMCAST CORPORATION SELLS CELLULAR TELEPHONE</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OPERATIONS FOR $1.7 BILLION</w:t>
      </w:r>
    </w:p>
    <w:p>
      <w:pPr>
        <w:spacing w:after="0" w:line="16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to focus on core cable and content operations</w:t>
      </w:r>
    </w:p>
    <w:p>
      <w:pPr>
        <w:spacing w:after="0" w:line="201" w:lineRule="exact"/>
        <w:rPr>
          <w:sz w:val="20"/>
          <w:szCs w:val="20"/>
          <w:color w:val="auto"/>
        </w:rPr>
      </w:pPr>
    </w:p>
    <w:p>
      <w:pPr>
        <w:jc w:val="both"/>
        <w:ind w:right="1779"/>
        <w:spacing w:after="0" w:line="293" w:lineRule="auto"/>
        <w:rPr>
          <w:sz w:val="20"/>
          <w:szCs w:val="20"/>
          <w:color w:val="auto"/>
        </w:rPr>
      </w:pPr>
      <w:r>
        <w:rPr>
          <w:rFonts w:ascii="Courier New" w:cs="Courier New" w:eastAsia="Courier New" w:hAnsi="Courier New"/>
          <w:sz w:val="16"/>
          <w:szCs w:val="16"/>
          <w:color w:val="auto"/>
        </w:rPr>
        <w:t>Philadelphia, PA -- January 20, 1999 - Comcast Corporation today announced that it has entered into a definitive agreement to sell its wholly owned subsidiary, Comcast Cellular Corporation, to SBC Communications Inc. for approximately $1.7 billion, including the assumption of approximately $1.3 billion of debt. Consummation of the sale is subject to certain customary conditions, including Hart-Scott-Rodino clearance and regulatory approvals. Comcast and SBC expect to complete the transaction in the third quarter of 1999.</w:t>
      </w:r>
    </w:p>
    <w:p>
      <w:pPr>
        <w:spacing w:after="0" w:line="72" w:lineRule="exact"/>
        <w:rPr>
          <w:sz w:val="20"/>
          <w:szCs w:val="20"/>
          <w:color w:val="auto"/>
        </w:rPr>
      </w:pPr>
    </w:p>
    <w:p>
      <w:pPr>
        <w:jc w:val="both"/>
        <w:ind w:right="1779"/>
        <w:spacing w:after="0" w:line="249" w:lineRule="auto"/>
        <w:rPr>
          <w:sz w:val="20"/>
          <w:szCs w:val="20"/>
          <w:color w:val="auto"/>
        </w:rPr>
      </w:pPr>
      <w:r>
        <w:rPr>
          <w:rFonts w:ascii="Courier New" w:cs="Courier New" w:eastAsia="Courier New" w:hAnsi="Courier New"/>
          <w:sz w:val="18"/>
          <w:szCs w:val="18"/>
          <w:color w:val="auto"/>
        </w:rPr>
        <w:t>Brian L. Roberts, President of Comcast Corporation, stated, "This transaction makes strategic sense for both Comcast and SBC. We are proud of the market leadership position we established in cellular during our ten-year ownership period but, with this sale, we acknowledge the trend toward national and global competitors in the wireless industry. We will now focus on our core cable and content businesses as we move forward with the launch of new products and initiatives in both areas. In addition, this transaction will further strengthen our balance sheet. Pro forma for this sale as of September 30, 1998, Comcast's leverage ratio (defined as debt divided by operating cash flow) would have declined from 3.8 to 3.4 times. Our annual interest expense will also be reduced as a result of this transaction by roughly 20%."</w:t>
      </w:r>
    </w:p>
    <w:p>
      <w:pPr>
        <w:spacing w:after="0" w:line="306" w:lineRule="exact"/>
        <w:rPr>
          <w:sz w:val="20"/>
          <w:szCs w:val="20"/>
          <w:color w:val="auto"/>
        </w:rPr>
      </w:pPr>
    </w:p>
    <w:p>
      <w:pPr>
        <w:jc w:val="both"/>
        <w:ind w:right="1779"/>
        <w:spacing w:after="0" w:line="265" w:lineRule="auto"/>
        <w:rPr>
          <w:sz w:val="20"/>
          <w:szCs w:val="20"/>
          <w:color w:val="auto"/>
        </w:rPr>
      </w:pPr>
      <w:r>
        <w:rPr>
          <w:rFonts w:ascii="Courier New" w:cs="Courier New" w:eastAsia="Courier New" w:hAnsi="Courier New"/>
          <w:sz w:val="18"/>
          <w:szCs w:val="18"/>
          <w:color w:val="auto"/>
        </w:rPr>
        <w:t>Comcast Corporation (www.comcast.com) is principally engaged in the development, management and operation of broadband cable networks and the provision of content through principal ownership of QVC, Comcast-Spectacor and Comcast SportsNet, a controlling interest in E! Entertainment Television and through other programming investments.</w:t>
      </w:r>
    </w:p>
    <w:p>
      <w:pPr>
        <w:spacing w:after="0" w:line="90" w:lineRule="exact"/>
        <w:rPr>
          <w:sz w:val="20"/>
          <w:szCs w:val="20"/>
          <w:color w:val="auto"/>
        </w:rPr>
      </w:pPr>
    </w:p>
    <w:p>
      <w:pPr>
        <w:jc w:val="both"/>
        <w:ind w:right="1779"/>
        <w:spacing w:after="0" w:line="347" w:lineRule="auto"/>
        <w:rPr>
          <w:sz w:val="20"/>
          <w:szCs w:val="20"/>
          <w:color w:val="auto"/>
        </w:rPr>
      </w:pPr>
      <w:r>
        <w:rPr>
          <w:rFonts w:ascii="Courier New" w:cs="Courier New" w:eastAsia="Courier New" w:hAnsi="Courier New"/>
          <w:sz w:val="18"/>
          <w:szCs w:val="18"/>
          <w:color w:val="auto"/>
        </w:rPr>
        <w:t>Comcast's Class A and Class A Special Common Stock are traded on The Nasdaq Stock Market under the symbols CMCSA and CMCSK, respectively.</w:t>
      </w:r>
    </w:p>
    <w:p>
      <w:pPr>
        <w:spacing w:after="0" w:line="22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2019-12-12T05:40:58Z</dcterms:created>
  <dcterms:modified xsi:type="dcterms:W3CDTF">2019-12-12T05:40:58Z</dcterms:modified>
</cp:coreProperties>
</file>