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13</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80"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8"/>
          <w:szCs w:val="18"/>
          <w:color w:val="auto"/>
        </w:rPr>
        <w:t>Stanley L. Wang</w:t>
      </w:r>
    </w:p>
    <w:p>
      <w:pPr>
        <w:jc w:val="center"/>
        <w:ind w:left="620"/>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left="720"/>
        <w:spacing w:after="0"/>
        <w:rPr>
          <w:sz w:val="20"/>
          <w:szCs w:val="20"/>
          <w:color w:val="auto"/>
        </w:rPr>
      </w:pPr>
      <w:r>
        <w:rPr>
          <w:rFonts w:ascii="Courier New" w:cs="Courier New" w:eastAsia="Courier New" w:hAnsi="Courier New"/>
          <w:sz w:val="18"/>
          <w:szCs w:val="18"/>
          <w:color w:val="auto"/>
        </w:rPr>
        <w:t>1500 Market Street</w:t>
      </w:r>
    </w:p>
    <w:p>
      <w:pPr>
        <w:spacing w:after="0" w:line="3"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6"/>
          <w:szCs w:val="16"/>
          <w:color w:val="auto"/>
        </w:rPr>
        <w:t>Philadelphia, PA 19102</w:t>
      </w:r>
    </w:p>
    <w:p>
      <w:pPr>
        <w:spacing w:after="0" w:line="16"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8"/>
          <w:szCs w:val="18"/>
          <w:color w:val="auto"/>
        </w:rPr>
        <w:t>(215) 665-1700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00"/>
        <w:spacing w:after="0" w:line="238" w:lineRule="auto"/>
        <w:rPr>
          <w:sz w:val="20"/>
          <w:szCs w:val="20"/>
          <w:color w:val="auto"/>
        </w:rPr>
      </w:pPr>
      <w:r>
        <w:rPr>
          <w:rFonts w:ascii="Courier New" w:cs="Courier New" w:eastAsia="Courier New" w:hAnsi="Courier New"/>
          <w:sz w:val="18"/>
          <w:szCs w:val="18"/>
          <w:color w:val="auto"/>
        </w:rPr>
        <w:t>Englewood, CO 80111</w:t>
      </w:r>
    </w:p>
    <w:p>
      <w:pPr>
        <w:ind w:left="52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80" w:orient="portrait"/>
          <w:cols w:equalWidth="0" w:num="2">
            <w:col w:w="4140" w:space="720"/>
            <w:col w:w="5359"/>
          </w:cols>
          <w:pgMar w:left="240" w:top="649"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220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Courier New" w:cs="Courier New" w:eastAsia="Courier New" w:hAnsi="Courier New"/>
                <w:sz w:val="18"/>
                <w:szCs w:val="18"/>
                <w:color w:val="auto"/>
              </w:rPr>
              <w:t>Copies to:</w:t>
            </w:r>
          </w:p>
        </w:tc>
      </w:tr>
      <w:tr>
        <w:trPr>
          <w:trHeight w:val="405"/>
        </w:trPr>
        <w:tc>
          <w:tcPr>
            <w:tcW w:w="22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Dennis S. Hersch</w:t>
            </w:r>
          </w:p>
        </w:tc>
        <w:tc>
          <w:tcPr>
            <w:tcW w:w="3600" w:type="dxa"/>
            <w:vAlign w:val="bottom"/>
          </w:tcPr>
          <w:p>
            <w:pPr>
              <w:jc w:val="center"/>
              <w:ind w:left="1172"/>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Davis Polk &amp; Wardwell</w:t>
            </w:r>
          </w:p>
        </w:tc>
        <w:tc>
          <w:tcPr>
            <w:tcW w:w="3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22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450 Lexington Avenue</w:t>
            </w:r>
          </w:p>
        </w:tc>
        <w:tc>
          <w:tcPr>
            <w:tcW w:w="360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8"/>
              </w:rPr>
              <w:t>885 Third Avenue</w:t>
            </w:r>
          </w:p>
        </w:tc>
      </w:tr>
      <w:tr>
        <w:trPr>
          <w:trHeight w:val="203"/>
        </w:trPr>
        <w:tc>
          <w:tcPr>
            <w:tcW w:w="22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360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22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(212) 450-4000</w:t>
            </w:r>
          </w:p>
        </w:tc>
        <w:tc>
          <w:tcPr>
            <w:tcW w:w="360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6"/>
              </w:rPr>
              <w:t>(212) 705-5000</w:t>
            </w:r>
          </w:p>
        </w:tc>
      </w:tr>
    </w:tbl>
    <w:p>
      <w:pPr>
        <w:spacing w:after="0" w:line="207"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14 to the Schedule 13D filed by Tele-Communications, Inc. and Amendment No. 35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4"/>
          <w:szCs w:val="24"/>
          <w:color w:val="auto"/>
        </w:rPr>
      </w:pPr>
    </w:p>
    <w:p>
      <w:pPr>
        <w:ind w:left="1700" w:hanging="428"/>
        <w:spacing w:after="0"/>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w:t>
      </w:r>
      <w:r>
        <w:rPr>
          <w:rFonts w:ascii="Courier New" w:cs="Courier New" w:eastAsia="Courier New" w:hAnsi="Courier New"/>
          <w:sz w:val="16"/>
          <w:szCs w:val="16"/>
          <w:color w:val="auto"/>
        </w:rPr>
        <w:t>The information set forth under "Special Factors</w:t>
      </w:r>
    </w:p>
    <w:p>
      <w:pPr>
        <w:spacing w:after="0" w:line="4" w:lineRule="exact"/>
        <w:rPr>
          <w:rFonts w:ascii="Courier New" w:cs="Courier New" w:eastAsia="Courier New" w:hAnsi="Courier New"/>
          <w:sz w:val="18"/>
          <w:szCs w:val="18"/>
          <w:color w:val="auto"/>
        </w:rPr>
      </w:pPr>
    </w:p>
    <w:p>
      <w:pPr>
        <w:ind w:right="209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Financing of the Transaction" in the Offer to Purchase is hereby amended and supplemented to include the information set forth under Item 10 of this Amendment.</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099" w:firstLine="1272"/>
        <w:spacing w:after="0" w:line="275" w:lineRule="auto"/>
        <w:tabs>
          <w:tab w:leader="none" w:pos="16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(f) The information set forth under "Introduction", "The Tender Offer -- 1. Terms of the Tender Offer", "-- 2. Acceptance for Payment and Payment", "-- 3. Procedure for Tendering Shares", "-- 4. Withdrawal Rights", "-- 10. Certain Conditions of the Offer" and "-- 11. Certain Legal</w:t>
      </w:r>
    </w:p>
    <w:p>
      <w:pPr>
        <w:sectPr>
          <w:pgSz w:w="11900" w:h="16880" w:orient="portrait"/>
          <w:cols w:equalWidth="0" w:num="1">
            <w:col w:w="10219"/>
          </w:cols>
          <w:pgMar w:left="240" w:top="649" w:right="1440" w:bottom="0" w:gutter="0" w:footer="0" w:header="0"/>
          <w:type w:val="continuous"/>
        </w:sectPr>
      </w:pPr>
    </w:p>
    <w:bookmarkStart w:id="1" w:name="page2"/>
    <w:bookmarkEnd w:id="1"/>
    <w:p>
      <w:pPr>
        <w:ind w:right="2099"/>
        <w:spacing w:after="0" w:line="235" w:lineRule="auto"/>
        <w:rPr>
          <w:sz w:val="20"/>
          <w:szCs w:val="20"/>
          <w:color w:val="auto"/>
        </w:rPr>
      </w:pPr>
      <w:r>
        <w:rPr>
          <w:rFonts w:ascii="Courier New" w:cs="Courier New" w:eastAsia="Courier New" w:hAnsi="Courier New"/>
          <w:sz w:val="18"/>
          <w:szCs w:val="18"/>
          <w:color w:val="auto"/>
        </w:rPr>
        <w:t>Matters; Regulatory Approvals" in the Offer to Purchase is hereby amended and supplemented to include the following information:</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On December 15, 1994, Comcast and TCI issued a press release in which they announced that they do not expect that all of the conditions to the Offer will be satisfied by December 16, 1994, the date on which the Offer is currently scheduled to expire. As a result, the Purchaser has extended the Expiration Date for the Offer until 5:00 P.M., New York City time, on Friday, January 13, 1995.</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As previously disclosed, although all applicable waiting periods under the HSR Act relating to the Transaction have expired, Comcast and TCI have agreed to provide ten days' notice to the FTC prior to consummating the Offer in order to allow the FTC sufficient time to complete its review and continue discussions with Comcast and TCI relating to the Transaction. Comcast and TCI have not yet determined when they intend to give such notice. In addition, there can be no assurance as to what action, if any, the FTC intends to take if such notice is given.</w:t>
      </w:r>
    </w:p>
    <w:p>
      <w:pPr>
        <w:spacing w:after="0" w:line="212"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As previously disclosed, the Offer continues to be conditioned upon the Purchaser having obtained sufficient financing on terms satisfactory to it to purchase all of the outstanding Shares pursuant to the Offer, to consummate the Merger and to pay related fees and expenses, and the parties are continuing to pursue arrangements providing for such financing.</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December 15, 1994 approximately 15,344,473 shares of QVC Common Stock, 468 shares of QVC Series B Preferred Stock and 31,639 shares of QVC Series C Preferred Stock have been tendered pursuant to the Offer.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(a)(18) and is hereby incorporated by reference, and the foregoing description is qualified in its entirety by reference to such Exhibit.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(a)(18) -- Text of Press Release issued by Comcast and TCI 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15, 1994.</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16,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4940" w:val="left"/>
          <w:tab w:leader="none" w:pos="5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Stephen M. Brett</w:t>
      </w:r>
    </w:p>
    <w:p>
      <w:pPr>
        <w:ind w:left="4740"/>
        <w:spacing w:after="0" w:line="237" w:lineRule="auto"/>
        <w:rPr>
          <w:sz w:val="20"/>
          <w:szCs w:val="20"/>
          <w:color w:val="auto"/>
        </w:rPr>
      </w:pPr>
      <w:r>
        <w:rPr>
          <w:rFonts w:ascii="Courier New" w:cs="Courier New" w:eastAsia="Courier New" w:hAnsi="Courier New"/>
          <w:sz w:val="18"/>
          <w:szCs w:val="18"/>
          <w:color w:val="auto"/>
        </w:rPr>
        <w:t>Title: Executive Vice</w:t>
      </w:r>
    </w:p>
    <w:p>
      <w:pPr>
        <w:ind w:left="56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0" w:gutter="0" w:footer="0" w:header="0"/>
        </w:sectPr>
      </w:pPr>
    </w:p>
    <w:bookmarkStart w:id="2" w:name="page3"/>
    <w:bookmarkEnd w:id="2"/>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900" w:space="720"/>
            <w:col w:w="2860" w:space="720"/>
            <w:col w:w="3479"/>
          </w:cols>
          <w:pgMar w:left="780" w:top="339" w:right="1440" w:bottom="1440" w:gutter="0" w:footer="0" w:header="0"/>
        </w:sectPr>
      </w:pP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(a)(18)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Text of Press Release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Comcast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TCI on December 15,</w:t>
      </w:r>
    </w:p>
    <w:p>
      <w:pPr>
        <w:spacing w:after="0" w:line="238" w:lineRule="auto"/>
        <w:rPr>
          <w:sz w:val="20"/>
          <w:szCs w:val="20"/>
          <w:color w:val="auto"/>
        </w:rPr>
      </w:pPr>
      <w:r>
        <w:rPr>
          <w:rFonts w:ascii="Courier New" w:cs="Courier New" w:eastAsia="Courier New" w:hAnsi="Courier New"/>
          <w:sz w:val="18"/>
          <w:szCs w:val="18"/>
          <w:color w:val="auto"/>
        </w:rPr>
        <w:t>1994.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3">
            <w:col w:w="1280" w:space="720"/>
            <w:col w:w="4340" w:space="720"/>
            <w:col w:w="2619"/>
          </w:cols>
          <w:pgMar w:left="780" w:top="339" w:right="1440" w:bottom="1440" w:gutter="0" w:footer="0" w:header="0"/>
          <w:type w:val="continuous"/>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(a)(18)</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AND LIBERTY MEDIA</w:t>
      </w:r>
    </w:p>
    <w:p>
      <w:pPr>
        <w:ind w:left="2960"/>
        <w:spacing w:after="0" w:line="238" w:lineRule="auto"/>
        <w:rPr>
          <w:sz w:val="20"/>
          <w:szCs w:val="20"/>
          <w:color w:val="auto"/>
        </w:rPr>
      </w:pPr>
      <w:r>
        <w:rPr>
          <w:rFonts w:ascii="Courier New" w:cs="Courier New" w:eastAsia="Courier New" w:hAnsi="Courier New"/>
          <w:sz w:val="18"/>
          <w:szCs w:val="18"/>
          <w:color w:val="auto"/>
        </w:rPr>
        <w:t>EXTEND QVC TENDER OFFER</w:t>
      </w:r>
    </w:p>
    <w:p>
      <w:pPr>
        <w:ind w:left="3280"/>
        <w:spacing w:after="0"/>
        <w:rPr>
          <w:sz w:val="20"/>
          <w:szCs w:val="20"/>
          <w:color w:val="auto"/>
        </w:rPr>
      </w:pPr>
      <w:r>
        <w:rPr>
          <w:rFonts w:ascii="Courier New" w:cs="Courier New" w:eastAsia="Courier New" w:hAnsi="Courier New"/>
          <w:sz w:val="18"/>
          <w:szCs w:val="18"/>
          <w:color w:val="auto"/>
        </w:rPr>
        <w:t>UNTIL JANUARY 13</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PA and Englewood, CO -- December 15, 1994: Comcast Corporation ("Comcast") and Tele-Communications, Inc. ("TCI") announced today that they do not expect that all of the conditions to the tender offer for stock of QVC, Inc. will be satisfied by December 16, 1994, the date on which the tender offer is currently scheduled to expire. As a result, QVC Programming Holdings, Inc., an acquisition vehicle to be jointly owned by Comcast and Liberty Media Corporation, a wholly-owned subsidiary of TCI, has extended the expiration date for the tender offer until 5:00 P.M., New York City time, on Friday, January 13, 1995.</w:t>
      </w:r>
    </w:p>
    <w:p>
      <w:pPr>
        <w:spacing w:after="0" w:line="11" w:lineRule="exact"/>
        <w:rPr>
          <w:sz w:val="20"/>
          <w:szCs w:val="20"/>
          <w:color w:val="auto"/>
        </w:rPr>
      </w:pPr>
    </w:p>
    <w:p>
      <w:pPr>
        <w:jc w:val="both"/>
        <w:ind w:right="2099" w:firstLine="1264"/>
        <w:spacing w:after="0" w:line="237" w:lineRule="auto"/>
        <w:rPr>
          <w:sz w:val="20"/>
          <w:szCs w:val="20"/>
          <w:color w:val="auto"/>
        </w:rPr>
      </w:pPr>
      <w:r>
        <w:rPr>
          <w:rFonts w:ascii="Courier New" w:cs="Courier New" w:eastAsia="Courier New" w:hAnsi="Courier New"/>
          <w:sz w:val="18"/>
          <w:szCs w:val="18"/>
          <w:color w:val="auto"/>
        </w:rPr>
        <w:t>As a consequence of the extension of the expiration date, holders of QVC shares are entitled to tender or withdraw their shares pursuant to the tender offer until 5:00 P.M., New York City time, on January 13, 1995, unless the offer is further extended.</w:t>
      </w:r>
    </w:p>
    <w:p>
      <w:pPr>
        <w:spacing w:after="0" w:line="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Although all applicable waiting periods under the Hart-Scott-Rodino Antitrust Improvements Act relating to the proposed acquisition of QVC, Inc. by Comcast and TCI have expired, as previously announced, Comcast and TCI have agreed to provide ten days' notice to the Federal Trade Commission (the "FTC") prior to consummating the tender offer in order to allow the FTC additional time to complete its review and continue discussions with Comcast and TCI relating to the transaction. Comcast and TCI have not yet determined when they intend to give such notice. In addition, there can be no assurance as to what action, if any, the FTC intends to take if such notice is given.</w:t>
      </w:r>
    </w:p>
    <w:p>
      <w:pPr>
        <w:spacing w:after="0" w:line="1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tender offer continues to be conditioned upon obtaining sufficient financing to purchase all of the outstanding shares pursuant to the tender offer, to consummate the second step merger and to pay related fees and expenses, and the parties are continuing to pursue arrangements providing for such financing.</w:t>
      </w:r>
    </w:p>
    <w:p>
      <w:pPr>
        <w:spacing w:after="0" w:line="6"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December 15, 1994, approximately 15,344,473 shares of QVC Common Stock, 468 shares of QVC Series B Preferred Stock and 31,639 shares of QVC Series C Preferred Stock had been tendered pursuant to the tender offer.</w:t>
      </w:r>
    </w:p>
    <w:p>
      <w:pPr>
        <w:spacing w:after="0" w:line="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After completion of the acquisition of Maclean Hunter's United States cable properties, Comcast's consolidated and prorated affiliated operations will serve approximately 3.3 million cable subscribers.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11" w:lineRule="exact"/>
        <w:rPr>
          <w:sz w:val="20"/>
          <w:szCs w:val="20"/>
          <w:color w:val="auto"/>
        </w:rPr>
      </w:pPr>
    </w:p>
    <w:p>
      <w:pPr>
        <w:ind w:right="2199" w:firstLine="1264"/>
        <w:spacing w:after="0" w:line="268" w:lineRule="auto"/>
        <w:rPr>
          <w:sz w:val="20"/>
          <w:szCs w:val="20"/>
          <w:color w:val="auto"/>
        </w:rPr>
      </w:pPr>
      <w:r>
        <w:rPr>
          <w:rFonts w:ascii="Courier New" w:cs="Courier New" w:eastAsia="Courier New" w:hAnsi="Courier New"/>
          <w:sz w:val="16"/>
          <w:szCs w:val="16"/>
          <w:color w:val="auto"/>
        </w:rPr>
        <w:t>Comcast's Class A and Class A Special Common Stock are traded on the Nasdaq Stock Market under the symbols CMCSA and CMCSK, respectively.</w:t>
      </w:r>
    </w:p>
    <w:p>
      <w:pPr>
        <w:ind w:right="1999" w:firstLine="1264"/>
        <w:spacing w:after="0" w:line="268"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cable programming networks.</w:t>
      </w:r>
    </w:p>
    <w:p>
      <w:pPr>
        <w:spacing w:after="0" w:line="1"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Tele-Communications, Inc. is traded in the Nasdaq National Market with Class A and Class B Common Stock and Class B Preferred Stock trading separately under the symbols of TCOMA, TCOMB and TCOMP, respectively.</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ectPr>
          <w:pgSz w:w="11900" w:h="16838" w:orient="portrait"/>
          <w:cols w:equalWidth="0" w:num="1">
            <w:col w:w="10219"/>
          </w:cols>
          <w:pgMar w:left="240" w:top="136" w:right="1440" w:bottom="536" w:gutter="0" w:footer="0" w:header="0"/>
        </w:sectPr>
      </w:pPr>
    </w:p>
    <w:p>
      <w:pPr>
        <w:spacing w:after="0" w:line="207" w:lineRule="exact"/>
        <w:rPr>
          <w:sz w:val="20"/>
          <w:szCs w:val="20"/>
          <w:color w:val="auto"/>
        </w:rPr>
      </w:pPr>
    </w:p>
    <w:p>
      <w:pPr>
        <w:ind w:right="960"/>
        <w:spacing w:after="0" w:line="275" w:lineRule="auto"/>
        <w:rPr>
          <w:sz w:val="20"/>
          <w:szCs w:val="20"/>
          <w:color w:val="auto"/>
        </w:rPr>
      </w:pPr>
      <w:r>
        <w:rPr>
          <w:rFonts w:ascii="Courier New" w:cs="Courier New" w:eastAsia="Courier New" w:hAnsi="Courier New"/>
          <w:sz w:val="16"/>
          <w:szCs w:val="16"/>
          <w:color w:val="auto"/>
        </w:rPr>
        <w:t>Comcast Corporation William E. Dordelman Assistant Treasurer (215) 981-7550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981-7392</w:t>
      </w:r>
    </w:p>
    <w:p>
      <w:pPr>
        <w:spacing w:after="0" w:line="224" w:lineRule="exact"/>
        <w:rPr>
          <w:sz w:val="20"/>
          <w:szCs w:val="20"/>
          <w:color w:val="auto"/>
        </w:rPr>
      </w:pPr>
    </w:p>
    <w:p>
      <w:pPr>
        <w:sectPr>
          <w:pgSz w:w="11900" w:h="16838" w:orient="portrait"/>
          <w:cols w:equalWidth="0" w:num="2">
            <w:col w:w="3080" w:space="720"/>
            <w:col w:w="6419"/>
          </w:cols>
          <w:pgMar w:left="240" w:top="136" w:right="1440" w:bottom="536"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Smith</w:t>
      </w:r>
    </w:p>
    <w:p>
      <w:pPr>
        <w:spacing w:after="0" w:line="238" w:lineRule="auto"/>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(303) 267-5048</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Vivian Carr</w:t>
      </w:r>
    </w:p>
    <w:p>
      <w:pPr>
        <w:spacing w:after="0" w:line="238" w:lineRule="auto"/>
        <w:rPr>
          <w:sz w:val="20"/>
          <w:szCs w:val="20"/>
          <w:color w:val="auto"/>
        </w:rPr>
      </w:pPr>
      <w:r>
        <w:rPr>
          <w:rFonts w:ascii="Courier New" w:cs="Courier New" w:eastAsia="Courier New" w:hAnsi="Courier New"/>
          <w:sz w:val="18"/>
          <w:szCs w:val="18"/>
          <w:color w:val="auto"/>
        </w:rPr>
        <w:t>Liberty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721-5406</w:t>
      </w:r>
    </w:p>
    <w:sectPr>
      <w:pgSz w:w="11900" w:h="16838" w:orient="portrait"/>
      <w:cols w:equalWidth="0" w:num="2">
        <w:col w:w="3080" w:space="720"/>
        <w:col w:w="6419"/>
      </w:cols>
      <w:pgMar w:left="240" w:top="136" w:right="1440"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2019-12-16T13:17:01Z</dcterms:created>
  <dcterms:modified xsi:type="dcterms:W3CDTF">2019-12-16T13:17:01Z</dcterms:modified>
</cp:coreProperties>
</file>