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280"/>
        <w:spacing w:after="0"/>
        <w:rPr>
          <w:sz w:val="20"/>
          <w:szCs w:val="20"/>
          <w:color w:val="auto"/>
        </w:rPr>
      </w:pPr>
      <w:r>
        <w:rPr>
          <w:rFonts w:ascii="Arial" w:cs="Arial" w:eastAsia="Arial" w:hAnsi="Arial"/>
          <w:sz w:val="16"/>
          <w:szCs w:val="16"/>
          <w:color w:val="auto"/>
        </w:rPr>
        <w:t>Filed by Comcast Corporation</w:t>
      </w:r>
    </w:p>
    <w:p>
      <w:pPr>
        <w:spacing w:after="0" w:line="5" w:lineRule="exact"/>
        <w:rPr>
          <w:sz w:val="24"/>
          <w:szCs w:val="24"/>
          <w:color w:val="auto"/>
        </w:rPr>
      </w:pPr>
    </w:p>
    <w:p>
      <w:pPr>
        <w:ind w:left="8960"/>
        <w:spacing w:after="0"/>
        <w:rPr>
          <w:sz w:val="20"/>
          <w:szCs w:val="20"/>
          <w:color w:val="auto"/>
        </w:rPr>
      </w:pPr>
      <w:r>
        <w:rPr>
          <w:rFonts w:ascii="Arial" w:cs="Arial" w:eastAsia="Arial" w:hAnsi="Arial"/>
          <w:sz w:val="16"/>
          <w:szCs w:val="16"/>
          <w:color w:val="auto"/>
        </w:rPr>
        <w:t>(Commission File No.: 001-32871)</w:t>
      </w:r>
    </w:p>
    <w:p>
      <w:pPr>
        <w:spacing w:after="0" w:line="5" w:lineRule="exact"/>
        <w:rPr>
          <w:sz w:val="24"/>
          <w:szCs w:val="24"/>
          <w:color w:val="auto"/>
        </w:rPr>
      </w:pPr>
    </w:p>
    <w:p>
      <w:pPr>
        <w:jc w:val="right"/>
        <w:spacing w:after="0"/>
        <w:rPr>
          <w:sz w:val="20"/>
          <w:szCs w:val="20"/>
          <w:color w:val="auto"/>
        </w:rPr>
      </w:pPr>
      <w:r>
        <w:rPr>
          <w:rFonts w:ascii="Arial" w:cs="Arial" w:eastAsia="Arial" w:hAnsi="Arial"/>
          <w:sz w:val="16"/>
          <w:szCs w:val="16"/>
          <w:color w:val="auto"/>
        </w:rPr>
        <w:t>Pursuant to Rule 425 of the Securities Act of 1933</w:t>
      </w:r>
    </w:p>
    <w:p>
      <w:pPr>
        <w:spacing w:after="0" w:line="5" w:lineRule="exact"/>
        <w:rPr>
          <w:sz w:val="24"/>
          <w:szCs w:val="24"/>
          <w:color w:val="auto"/>
        </w:rPr>
      </w:pPr>
    </w:p>
    <w:p>
      <w:pPr>
        <w:jc w:val="right"/>
        <w:spacing w:after="0"/>
        <w:rPr>
          <w:sz w:val="20"/>
          <w:szCs w:val="20"/>
          <w:color w:val="auto"/>
        </w:rPr>
      </w:pPr>
      <w:r>
        <w:rPr>
          <w:rFonts w:ascii="Arial" w:cs="Arial" w:eastAsia="Arial" w:hAnsi="Arial"/>
          <w:sz w:val="16"/>
          <w:szCs w:val="16"/>
          <w:color w:val="auto"/>
        </w:rPr>
        <w:t>and deemed filed pursuant to Rule 14a-12</w:t>
      </w:r>
    </w:p>
    <w:p>
      <w:pPr>
        <w:spacing w:after="0" w:line="5" w:lineRule="exact"/>
        <w:rPr>
          <w:sz w:val="24"/>
          <w:szCs w:val="24"/>
          <w:color w:val="auto"/>
        </w:rPr>
      </w:pPr>
    </w:p>
    <w:p>
      <w:pPr>
        <w:jc w:val="right"/>
        <w:spacing w:after="0"/>
        <w:rPr>
          <w:sz w:val="20"/>
          <w:szCs w:val="20"/>
          <w:color w:val="auto"/>
        </w:rPr>
      </w:pPr>
      <w:r>
        <w:rPr>
          <w:rFonts w:ascii="Arial" w:cs="Arial" w:eastAsia="Arial" w:hAnsi="Arial"/>
          <w:sz w:val="16"/>
          <w:szCs w:val="16"/>
          <w:color w:val="auto"/>
        </w:rPr>
        <w:t>of the Securities Exchange Act of 1934</w:t>
      </w:r>
    </w:p>
    <w:p>
      <w:pPr>
        <w:spacing w:after="0" w:line="208" w:lineRule="exact"/>
        <w:rPr>
          <w:sz w:val="24"/>
          <w:szCs w:val="24"/>
          <w:color w:val="auto"/>
        </w:rPr>
      </w:pPr>
    </w:p>
    <w:p>
      <w:pPr>
        <w:jc w:val="right"/>
        <w:spacing w:after="0"/>
        <w:rPr>
          <w:sz w:val="20"/>
          <w:szCs w:val="20"/>
          <w:color w:val="auto"/>
        </w:rPr>
      </w:pPr>
      <w:r>
        <w:rPr>
          <w:rFonts w:ascii="Arial" w:cs="Arial" w:eastAsia="Arial" w:hAnsi="Arial"/>
          <w:sz w:val="16"/>
          <w:szCs w:val="16"/>
          <w:color w:val="auto"/>
        </w:rPr>
        <w:t>Subject Company: Time Warner Cable Inc.</w:t>
      </w:r>
    </w:p>
    <w:p>
      <w:pPr>
        <w:spacing w:after="0" w:line="5" w:lineRule="exact"/>
        <w:rPr>
          <w:sz w:val="24"/>
          <w:szCs w:val="24"/>
          <w:color w:val="auto"/>
        </w:rPr>
      </w:pPr>
    </w:p>
    <w:p>
      <w:pPr>
        <w:jc w:val="right"/>
        <w:spacing w:after="0"/>
        <w:rPr>
          <w:sz w:val="20"/>
          <w:szCs w:val="20"/>
          <w:color w:val="auto"/>
        </w:rPr>
      </w:pPr>
      <w:r>
        <w:rPr>
          <w:rFonts w:ascii="Arial" w:cs="Arial" w:eastAsia="Arial" w:hAnsi="Arial"/>
          <w:sz w:val="16"/>
          <w:szCs w:val="16"/>
          <w:color w:val="auto"/>
        </w:rPr>
        <w:t>(Commission File No.: 001-33335)</w:t>
      </w:r>
    </w:p>
    <w:p>
      <w:pPr>
        <w:spacing w:after="0" w:line="2"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following email was sent to NBCUniversal employees:</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EMAIL TO NBCU EMPLOYEES</w:t>
      </w:r>
    </w:p>
    <w:p>
      <w:pPr>
        <w:spacing w:after="0" w:line="200" w:lineRule="exact"/>
        <w:rPr>
          <w:sz w:val="24"/>
          <w:szCs w:val="24"/>
          <w:color w:val="auto"/>
        </w:rPr>
      </w:pPr>
    </w:p>
    <w:p>
      <w:pPr>
        <w:spacing w:after="0" w:line="308" w:lineRule="exact"/>
        <w:rPr>
          <w:sz w:val="24"/>
          <w:szCs w:val="24"/>
          <w:color w:val="auto"/>
        </w:rPr>
      </w:pPr>
    </w:p>
    <w:p>
      <w:pPr>
        <w:spacing w:after="0"/>
        <w:rPr>
          <w:sz w:val="20"/>
          <w:szCs w:val="20"/>
          <w:color w:val="auto"/>
        </w:rPr>
      </w:pPr>
      <w:r>
        <w:rPr>
          <w:rFonts w:ascii="Arial" w:cs="Arial" w:eastAsia="Arial" w:hAnsi="Arial"/>
          <w:sz w:val="18"/>
          <w:szCs w:val="18"/>
          <w:color w:val="auto"/>
        </w:rPr>
        <w:t>Subject Line: A Message from Brian Roberts on Our Acquisition of Time Warner Cable</w:t>
      </w:r>
    </w:p>
    <w:p>
      <w:pPr>
        <w:spacing w:after="0" w:line="239" w:lineRule="exact"/>
        <w:rPr>
          <w:sz w:val="24"/>
          <w:szCs w:val="24"/>
          <w:color w:val="auto"/>
        </w:rPr>
      </w:pPr>
    </w:p>
    <w:p>
      <w:pPr>
        <w:ind w:right="100"/>
        <w:spacing w:after="0" w:line="239" w:lineRule="auto"/>
        <w:rPr>
          <w:sz w:val="20"/>
          <w:szCs w:val="20"/>
          <w:color w:val="auto"/>
        </w:rPr>
      </w:pPr>
      <w:r>
        <w:rPr>
          <w:rFonts w:ascii="Arial" w:cs="Arial" w:eastAsia="Arial" w:hAnsi="Arial"/>
          <w:sz w:val="18"/>
          <w:szCs w:val="18"/>
          <w:color w:val="auto"/>
        </w:rPr>
        <w:t>As you may have already heard in the press, Comcast Corporation and Time Warner Cable announced a transaction that will combine the assets of Time Warner Cable with those of Comcast Cable. This is another step on our path to create a world-class technology and media company. We are thrilled at the prospect of bringing the benefits of our industry-leading products, user experience, and broadband technology to millions of additional customers – many of which will be NBCUniversal employees.</w:t>
      </w:r>
    </w:p>
    <w:p>
      <w:pPr>
        <w:spacing w:after="0" w:line="229" w:lineRule="exact"/>
        <w:rPr>
          <w:sz w:val="24"/>
          <w:szCs w:val="24"/>
          <w:color w:val="auto"/>
        </w:rPr>
      </w:pPr>
    </w:p>
    <w:p>
      <w:pPr>
        <w:ind w:right="300"/>
        <w:spacing w:after="0" w:line="246" w:lineRule="auto"/>
        <w:rPr>
          <w:sz w:val="20"/>
          <w:szCs w:val="20"/>
          <w:color w:val="auto"/>
        </w:rPr>
      </w:pPr>
      <w:r>
        <w:rPr>
          <w:rFonts w:ascii="Arial" w:cs="Arial" w:eastAsia="Arial" w:hAnsi="Arial"/>
          <w:sz w:val="18"/>
          <w:szCs w:val="18"/>
          <w:color w:val="auto"/>
        </w:rPr>
        <w:t>After considering the strategic, financial, and consumer benefits of this transaction, we are incredibly excited about the prospect of acquiring Time Warner Cable.</w:t>
      </w:r>
    </w:p>
    <w:p>
      <w:pPr>
        <w:spacing w:after="0" w:line="224" w:lineRule="exact"/>
        <w:rPr>
          <w:sz w:val="24"/>
          <w:szCs w:val="24"/>
          <w:color w:val="auto"/>
        </w:rPr>
      </w:pPr>
    </w:p>
    <w:p>
      <w:pPr>
        <w:ind w:right="300"/>
        <w:spacing w:after="0" w:line="246" w:lineRule="auto"/>
        <w:rPr>
          <w:sz w:val="20"/>
          <w:szCs w:val="20"/>
          <w:color w:val="auto"/>
        </w:rPr>
      </w:pPr>
      <w:r>
        <w:rPr>
          <w:rFonts w:ascii="Arial" w:cs="Arial" w:eastAsia="Arial" w:hAnsi="Arial"/>
          <w:sz w:val="18"/>
          <w:szCs w:val="18"/>
          <w:color w:val="auto"/>
        </w:rPr>
        <w:t xml:space="preserve">We encourage you to read the official press release </w:t>
      </w:r>
      <w:r>
        <w:rPr>
          <w:rFonts w:ascii="Arial" w:cs="Arial" w:eastAsia="Arial" w:hAnsi="Arial"/>
          <w:sz w:val="18"/>
          <w:szCs w:val="18"/>
          <w:u w:val="single" w:color="auto"/>
          <w:color w:val="0000FF"/>
        </w:rPr>
        <w:t>http://corporate.comcast.com/news-information/news-feed/time-warner-cable-to-merge-with-comcast-corporation</w:t>
      </w:r>
      <w:r>
        <w:rPr>
          <w:rFonts w:ascii="Arial" w:cs="Arial" w:eastAsia="Arial" w:hAnsi="Arial"/>
          <w:sz w:val="18"/>
          <w:szCs w:val="18"/>
          <w:color w:val="000000"/>
        </w:rPr>
        <w:t>. We look forward to the day when we welcome Time Warner Cable customers and employees to Comcast.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Brian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4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61"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Time Warner Cable Inc. (“Time Warner Cable”), Comcast and Time Warner Cable will file relevant materials with the Securities and Exchange Commission (the “SEC”), including a Comcast registration statement on Form S-4 that will include a joint proxy statement of Comcast and Time Warner Cable that also constitutes a prospectus of Comcast, and a definitive joint proxy statement/prospectus will be mailed to shareholders of Comcast and Time Warner</w:t>
      </w:r>
    </w:p>
    <w:p>
      <w:pPr>
        <w:spacing w:after="0" w:line="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Cable. INVESTORS AND SECURITY HOLDERS OF COMCAST AND TIME WARNER CABLE ARE URGED TO READ THE JOINT PROXY STATEMENT/PROSPECTUS AND OTHER DOCUMENTS THAT WILL BE FILED WITH THE SEC CAREFULLY AND IN THEIR ENTIRETY WHEN THEY BECOME AVAILABLE BECAUSE THEY WILL CONTAIN IMPORTANT INFORMATION. Investors and security holders will be able to obtain free copies of the registration statement and the joint proxy statement/prospectus (when available) and other documents filed with the SEC by Comcast or Time Warner Cable through the website maintained by the SEC at http://www.sec.gov. Copies of the documents filed with the SEC by Comcast will be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Comcast, Time Warner Cable, their respective directors and certain of their respective executive officers may be considered participants in the solicitation of proxies in connection with the proposed transaction. Information about the directors and executive officers of Time Warner Cable is set forth in its Annual Report on Form 10-K for the year ended December 31, 2012, which was filed with the SEC on February 15, 2013, its proxy statement for its 2013 annual meeting of stockholders, which was filed with the SEC on April 4, 2013, and its Current Reports on Form 8-K filed with the SEC on April 30, 2013, July 29, 2013 and December 6, 2013. Information about the directors and executive officers of Comcast is set forth in its Annual Report on Form 10-K for the year ended December 31, 2013, which was filed with the SEC on February 12, 2014, its proxy statement for its 2013 annual meeting of stockholders, which was filed with the SEC on April 5, 2013, and its Current Reports on Form 8-K filed with the SEC on July 24, 2013 and August 16, 2013. These documents can be obtained free of charge from the sources indicated above. Additional information regarding the participants in the proxy solicitations and a description of their direct and indirect interests, by security holdings or otherwise, will be contained in the joint proxy statement/prospectus and other relevant materials to be filed with the SEC when they become available.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6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including any statements regarding the expected timetable for completing the transaction, benefits and synergies of the transaction, future opportunities for the combined company and products, and any other statements regarding Comcast’s and Time Warner Cable’s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376555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08" w:right="259" w:bottom="1440" w:gutter="0" w:footer="0" w:header="0"/>
        </w:sectPr>
      </w:pPr>
    </w:p>
    <w:bookmarkStart w:id="2" w:name="page3"/>
    <w:bookmarkEnd w:id="2"/>
    <w:p>
      <w:pPr>
        <w:spacing w:after="0" w:line="236" w:lineRule="auto"/>
        <w:rPr>
          <w:sz w:val="20"/>
          <w:szCs w:val="20"/>
          <w:color w:val="auto"/>
        </w:rPr>
      </w:pPr>
      <w:r>
        <w:rPr>
          <w:rFonts w:ascii="Arial" w:cs="Arial" w:eastAsia="Arial" w:hAnsi="Arial"/>
          <w:sz w:val="18"/>
          <w:szCs w:val="18"/>
          <w:color w:val="auto"/>
        </w:rPr>
        <w:t>“forecast(s)”,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 the risk that a condition to closing of the proposed transaction may not be satisfied; the risk that a regulatory approval that may be required for the proposed transaction is not obtained or is obtained subject to conditions that are not anticipated; Comcast’s ability to achieve the synergies and value creation contemplated by the proposed transaction; Comcast’s ability to promptly, efficiently and effectively integrate Time Warner Cable’s operations into those of Comcast; and the diversion of management time on transaction-related issues. Additional information concerning these and other factors can be found in Comcast’s and Time Warner Cable’s respective filings with the SEC, including Comcast’s and Time Warner Cable’s most recent Annual Reports on Form 10-K, Quarterly Reports on Form 10-Q and Current Reports on Form 8-K. Comcast and Time Warner Cable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53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2019-12-16T12:04:27Z</dcterms:created>
  <dcterms:modified xsi:type="dcterms:W3CDTF">2019-12-16T12:04:27Z</dcterms:modified>
</cp:coreProperties>
</file>